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drawings/drawing5.xml" ContentType="application/vnd.openxmlformats-officedocument.drawingml.chartshapes+xml"/>
  <Override PartName="/word/charts/chart21.xml" ContentType="application/vnd.openxmlformats-officedocument.drawingml.chart+xml"/>
  <Override PartName="/word/theme/themeOverride18.xml" ContentType="application/vnd.openxmlformats-officedocument.themeOverride+xml"/>
  <Override PartName="/word/drawings/drawing6.xml" ContentType="application/vnd.openxmlformats-officedocument.drawingml.chartshapes+xml"/>
  <Override PartName="/word/charts/chart22.xml" ContentType="application/vnd.openxmlformats-officedocument.drawingml.chart+xml"/>
  <Override PartName="/word/theme/themeOverride19.xml" ContentType="application/vnd.openxmlformats-officedocument.themeOverride+xml"/>
  <Override PartName="/word/drawings/drawing7.xml" ContentType="application/vnd.openxmlformats-officedocument.drawingml.chartshapes+xml"/>
  <Override PartName="/word/charts/chart23.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drawings/drawing9.xml" ContentType="application/vnd.openxmlformats-officedocument.drawingml.chartshapes+xml"/>
  <Override PartName="/word/charts/chart27.xml" ContentType="application/vnd.openxmlformats-officedocument.drawingml.chart+xml"/>
  <Override PartName="/word/theme/themeOverride24.xml" ContentType="application/vnd.openxmlformats-officedocument.themeOverride+xml"/>
  <Override PartName="/word/drawings/drawing10.xml" ContentType="application/vnd.openxmlformats-officedocument.drawingml.chartshapes+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drawings/drawing11.xml" ContentType="application/vnd.openxmlformats-officedocument.drawingml.chartshapes+xml"/>
  <Override PartName="/word/charts/chart31.xml" ContentType="application/vnd.openxmlformats-officedocument.drawingml.chart+xml"/>
  <Override PartName="/word/theme/themeOverride28.xml" ContentType="application/vnd.openxmlformats-officedocument.themeOverride+xml"/>
  <Override PartName="/word/drawings/drawing12.xml" ContentType="application/vnd.openxmlformats-officedocument.drawingml.chartshapes+xml"/>
  <Override PartName="/word/charts/chart32.xml" ContentType="application/vnd.openxmlformats-officedocument.drawingml.chart+xml"/>
  <Override PartName="/word/theme/themeOverride29.xml" ContentType="application/vnd.openxmlformats-officedocument.themeOverride+xml"/>
  <Override PartName="/word/drawings/drawing13.xml" ContentType="application/vnd.openxmlformats-officedocument.drawingml.chartshapes+xml"/>
  <Override PartName="/word/charts/chart33.xml" ContentType="application/vnd.openxmlformats-officedocument.drawingml.chart+xml"/>
  <Override PartName="/word/theme/themeOverride30.xml" ContentType="application/vnd.openxmlformats-officedocument.themeOverride+xml"/>
  <Override PartName="/word/drawings/drawing14.xml" ContentType="application/vnd.openxmlformats-officedocument.drawingml.chartshapes+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drawings/drawing15.xml" ContentType="application/vnd.openxmlformats-officedocument.drawingml.chartshapes+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drawings/drawing16.xml" ContentType="application/vnd.openxmlformats-officedocument.drawingml.chartshapes+xml"/>
  <Override PartName="/word/charts/chart45.xml" ContentType="application/vnd.openxmlformats-officedocument.drawingml.chart+xml"/>
  <Override PartName="/word/theme/themeOverride42.xml" ContentType="application/vnd.openxmlformats-officedocument.themeOverride+xml"/>
  <Override PartName="/word/drawings/drawing17.xml" ContentType="application/vnd.openxmlformats-officedocument.drawingml.chartshapes+xml"/>
  <Override PartName="/word/charts/chart46.xml" ContentType="application/vnd.openxmlformats-officedocument.drawingml.chart+xml"/>
  <Override PartName="/word/theme/themeOverride43.xml" ContentType="application/vnd.openxmlformats-officedocument.themeOverride+xml"/>
  <Override PartName="/word/drawings/drawing18.xml" ContentType="application/vnd.openxmlformats-officedocument.drawingml.chartshapes+xml"/>
  <Override PartName="/word/charts/chart47.xml" ContentType="application/vnd.openxmlformats-officedocument.drawingml.chart+xml"/>
  <Override PartName="/word/theme/themeOverride44.xml" ContentType="application/vnd.openxmlformats-officedocument.themeOverride+xml"/>
  <Override PartName="/word/drawings/drawing19.xml" ContentType="application/vnd.openxmlformats-officedocument.drawingml.chartshapes+xml"/>
  <Override PartName="/word/charts/chart48.xml" ContentType="application/vnd.openxmlformats-officedocument.drawingml.chart+xml"/>
  <Override PartName="/word/theme/themeOverride45.xml" ContentType="application/vnd.openxmlformats-officedocument.themeOverride+xml"/>
  <Override PartName="/word/drawings/drawing20.xml" ContentType="application/vnd.openxmlformats-officedocument.drawingml.chartshapes+xml"/>
  <Override PartName="/word/charts/chart49.xml" ContentType="application/vnd.openxmlformats-officedocument.drawingml.chart+xml"/>
  <Override PartName="/word/theme/themeOverride46.xml" ContentType="application/vnd.openxmlformats-officedocument.themeOverride+xml"/>
  <Override PartName="/word/drawings/drawing21.xml" ContentType="application/vnd.openxmlformats-officedocument.drawingml.chartshapes+xml"/>
  <Override PartName="/word/charts/chart50.xml" ContentType="application/vnd.openxmlformats-officedocument.drawingml.chart+xml"/>
  <Override PartName="/word/theme/themeOverride47.xml" ContentType="application/vnd.openxmlformats-officedocument.themeOverride+xml"/>
  <Override PartName="/word/drawings/drawing22.xml" ContentType="application/vnd.openxmlformats-officedocument.drawingml.chartshapes+xml"/>
  <Override PartName="/word/charts/chart51.xml" ContentType="application/vnd.openxmlformats-officedocument.drawingml.chart+xml"/>
  <Override PartName="/word/theme/themeOverride48.xml" ContentType="application/vnd.openxmlformats-officedocument.themeOverride+xml"/>
  <Override PartName="/word/drawings/drawing23.xml" ContentType="application/vnd.openxmlformats-officedocument.drawingml.chartshapes+xml"/>
  <Override PartName="/word/charts/chart52.xml" ContentType="application/vnd.openxmlformats-officedocument.drawingml.chart+xml"/>
  <Override PartName="/word/theme/themeOverride49.xml" ContentType="application/vnd.openxmlformats-officedocument.themeOverride+xml"/>
  <Override PartName="/word/drawings/drawing24.xml" ContentType="application/vnd.openxmlformats-officedocument.drawingml.chartshapes+xml"/>
  <Override PartName="/word/charts/chart53.xml" ContentType="application/vnd.openxmlformats-officedocument.drawingml.chart+xml"/>
  <Override PartName="/word/theme/themeOverride50.xml" ContentType="application/vnd.openxmlformats-officedocument.themeOverride+xml"/>
  <Override PartName="/word/drawings/drawing25.xml" ContentType="application/vnd.openxmlformats-officedocument.drawingml.chartshapes+xml"/>
  <Override PartName="/word/charts/chart54.xml" ContentType="application/vnd.openxmlformats-officedocument.drawingml.chart+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drawings/drawing26.xml" ContentType="application/vnd.openxmlformats-officedocument.drawingml.chartshapes+xml"/>
  <Override PartName="/word/charts/chart57.xml" ContentType="application/vnd.openxmlformats-officedocument.drawingml.chart+xml"/>
  <Override PartName="/word/theme/themeOverride53.xml" ContentType="application/vnd.openxmlformats-officedocument.themeOverride+xml"/>
  <Override PartName="/word/drawings/drawing27.xml" ContentType="application/vnd.openxmlformats-officedocument.drawingml.chartshapes+xml"/>
  <Override PartName="/word/charts/chart58.xml" ContentType="application/vnd.openxmlformats-officedocument.drawingml.chart+xml"/>
  <Override PartName="/word/theme/themeOverride54.xml" ContentType="application/vnd.openxmlformats-officedocument.themeOverride+xml"/>
  <Override PartName="/word/drawings/drawing28.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theme/themeOverride55.xml" ContentType="application/vnd.openxmlformats-officedocument.themeOverride+xml"/>
  <Override PartName="/word/charts/chart75.xml" ContentType="application/vnd.openxmlformats-officedocument.drawingml.chart+xml"/>
  <Override PartName="/word/theme/themeOverride56.xml" ContentType="application/vnd.openxmlformats-officedocument.themeOverride+xml"/>
  <Override PartName="/word/charts/chart76.xml" ContentType="application/vnd.openxmlformats-officedocument.drawingml.chart+xml"/>
  <Override PartName="/word/theme/themeOverride57.xml" ContentType="application/vnd.openxmlformats-officedocument.themeOverride+xml"/>
  <Override PartName="/word/charts/chart77.xml" ContentType="application/vnd.openxmlformats-officedocument.drawingml.chart+xml"/>
  <Override PartName="/word/theme/themeOverride58.xml" ContentType="application/vnd.openxmlformats-officedocument.themeOverride+xml"/>
  <Override PartName="/word/charts/chart78.xml" ContentType="application/vnd.openxmlformats-officedocument.drawingml.chart+xml"/>
  <Override PartName="/word/theme/themeOverride5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F47F8" w14:textId="360503DF" w:rsidR="0021126A" w:rsidRPr="003F410A" w:rsidRDefault="00DC6C4E" w:rsidP="00DC6C4E">
      <w:pPr>
        <w:pStyle w:val="TableTitleCharCharCharCharCharCharCharCharCharChar1"/>
        <w:ind w:firstLine="0"/>
        <w:rPr>
          <w:lang w:val="en-US"/>
        </w:rPr>
      </w:pPr>
      <w:r>
        <w:rPr>
          <w:noProof/>
          <w:lang w:val="en-US" w:eastAsia="en-US"/>
        </w:rPr>
        <w:drawing>
          <wp:inline distT="0" distB="0" distL="0" distR="0" wp14:anchorId="3C862C86" wp14:editId="3EACAB9D">
            <wp:extent cx="6195060" cy="3097530"/>
            <wp:effectExtent l="0" t="0" r="0" b="7620"/>
            <wp:docPr id="5" name="Picture 5" descr="https://www.gov.am/new_images/gov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am/new_images/gov_build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3097530"/>
                    </a:xfrm>
                    <a:prstGeom prst="rect">
                      <a:avLst/>
                    </a:prstGeom>
                    <a:noFill/>
                    <a:ln>
                      <a:noFill/>
                    </a:ln>
                  </pic:spPr>
                </pic:pic>
              </a:graphicData>
            </a:graphic>
          </wp:inline>
        </w:drawing>
      </w:r>
    </w:p>
    <w:p w14:paraId="7B18DF7D" w14:textId="77777777" w:rsidR="004A4189" w:rsidRPr="004A4189" w:rsidRDefault="004A4189" w:rsidP="007730AA">
      <w:pPr>
        <w:spacing w:before="0" w:line="276" w:lineRule="auto"/>
        <w:ind w:firstLine="0"/>
        <w:jc w:val="center"/>
        <w:rPr>
          <w:sz w:val="52"/>
          <w:szCs w:val="52"/>
          <w:lang w:val="en-US"/>
        </w:rPr>
      </w:pPr>
    </w:p>
    <w:p w14:paraId="0F2FE371" w14:textId="77777777" w:rsidR="0021126A" w:rsidRPr="008B1D49" w:rsidRDefault="0021126A" w:rsidP="007730AA">
      <w:pPr>
        <w:spacing w:before="0" w:line="276" w:lineRule="auto"/>
        <w:ind w:firstLine="0"/>
        <w:jc w:val="center"/>
        <w:rPr>
          <w:b w:val="0"/>
          <w:sz w:val="52"/>
          <w:szCs w:val="52"/>
          <w:lang w:val="en-US"/>
        </w:rPr>
      </w:pPr>
      <w:r w:rsidRPr="00A83C94">
        <w:rPr>
          <w:sz w:val="52"/>
          <w:szCs w:val="52"/>
        </w:rPr>
        <w:t>ՀԱՅԱՍՏԱՆԻ</w:t>
      </w:r>
      <w:r w:rsidR="001E6978" w:rsidRPr="008B1D49">
        <w:rPr>
          <w:sz w:val="52"/>
          <w:szCs w:val="52"/>
          <w:lang w:val="en-US"/>
        </w:rPr>
        <w:t xml:space="preserve"> </w:t>
      </w:r>
      <w:r w:rsidR="00932A00" w:rsidRPr="00A83C94">
        <w:rPr>
          <w:sz w:val="52"/>
          <w:szCs w:val="52"/>
          <w:lang w:val="en-US"/>
        </w:rPr>
        <w:t>Հ</w:t>
      </w:r>
      <w:r w:rsidRPr="00A83C94">
        <w:rPr>
          <w:sz w:val="52"/>
          <w:szCs w:val="52"/>
        </w:rPr>
        <w:t>ԱՆՐԱՊԵՏՈՒԹՅԱՆ</w:t>
      </w:r>
    </w:p>
    <w:p w14:paraId="3B351AF3" w14:textId="77777777" w:rsidR="0021126A" w:rsidRPr="008B1D49" w:rsidRDefault="0021126A" w:rsidP="007730AA">
      <w:pPr>
        <w:spacing w:before="0" w:line="276" w:lineRule="auto"/>
        <w:ind w:firstLine="0"/>
        <w:jc w:val="center"/>
        <w:rPr>
          <w:b w:val="0"/>
          <w:sz w:val="52"/>
          <w:szCs w:val="52"/>
          <w:lang w:val="en-US"/>
        </w:rPr>
      </w:pPr>
      <w:r w:rsidRPr="00A83C94">
        <w:rPr>
          <w:sz w:val="52"/>
          <w:szCs w:val="52"/>
        </w:rPr>
        <w:t>ԿԱՌԱՎԱՐՈՒԹՅԱՆ</w:t>
      </w:r>
    </w:p>
    <w:p w14:paraId="7F57BF41" w14:textId="77777777" w:rsidR="0021126A" w:rsidRPr="008B1D49" w:rsidRDefault="0021126A" w:rsidP="007730AA">
      <w:pPr>
        <w:spacing w:before="0" w:line="276" w:lineRule="auto"/>
        <w:ind w:firstLine="0"/>
        <w:jc w:val="center"/>
        <w:rPr>
          <w:b w:val="0"/>
          <w:sz w:val="52"/>
          <w:szCs w:val="52"/>
          <w:lang w:val="en-US"/>
        </w:rPr>
      </w:pPr>
    </w:p>
    <w:p w14:paraId="64511ECA" w14:textId="157008D6" w:rsidR="0021126A" w:rsidRPr="008B1D49" w:rsidRDefault="00BB3288" w:rsidP="007730AA">
      <w:pPr>
        <w:spacing w:before="0" w:line="276" w:lineRule="auto"/>
        <w:ind w:firstLine="0"/>
        <w:jc w:val="center"/>
        <w:rPr>
          <w:b w:val="0"/>
          <w:sz w:val="52"/>
          <w:szCs w:val="52"/>
          <w:lang w:val="en-US"/>
        </w:rPr>
      </w:pPr>
      <w:r w:rsidRPr="008B1D49">
        <w:rPr>
          <w:sz w:val="52"/>
          <w:szCs w:val="52"/>
          <w:lang w:val="en-US"/>
        </w:rPr>
        <w:t xml:space="preserve">2022 </w:t>
      </w:r>
      <w:r w:rsidR="0021126A" w:rsidRPr="00A83C94">
        <w:rPr>
          <w:sz w:val="52"/>
          <w:szCs w:val="52"/>
        </w:rPr>
        <w:t>ԹՎԱԿԱՆԻ</w:t>
      </w:r>
      <w:r w:rsidR="0021126A" w:rsidRPr="008B1D49">
        <w:rPr>
          <w:sz w:val="52"/>
          <w:szCs w:val="52"/>
          <w:lang w:val="en-US"/>
        </w:rPr>
        <w:t xml:space="preserve"> </w:t>
      </w:r>
      <w:r w:rsidR="0021126A" w:rsidRPr="00A83C94">
        <w:rPr>
          <w:sz w:val="52"/>
          <w:szCs w:val="52"/>
        </w:rPr>
        <w:t>ԲՅՈՒՋԵՏԱՅԻՆ</w:t>
      </w:r>
      <w:r w:rsidR="0021126A" w:rsidRPr="008B1D49">
        <w:rPr>
          <w:sz w:val="52"/>
          <w:szCs w:val="52"/>
          <w:lang w:val="en-US"/>
        </w:rPr>
        <w:t xml:space="preserve"> </w:t>
      </w:r>
    </w:p>
    <w:p w14:paraId="17172718" w14:textId="77777777" w:rsidR="0021126A" w:rsidRPr="008B1D49" w:rsidRDefault="0021126A" w:rsidP="007730AA">
      <w:pPr>
        <w:spacing w:before="0" w:line="276" w:lineRule="auto"/>
        <w:ind w:firstLine="0"/>
        <w:jc w:val="center"/>
        <w:rPr>
          <w:sz w:val="72"/>
          <w:szCs w:val="72"/>
          <w:lang w:val="en-US"/>
        </w:rPr>
      </w:pPr>
    </w:p>
    <w:p w14:paraId="6E4372EC" w14:textId="77777777" w:rsidR="0021126A" w:rsidRPr="008B1D49" w:rsidRDefault="0021126A" w:rsidP="007730AA">
      <w:pPr>
        <w:spacing w:before="0" w:line="276" w:lineRule="auto"/>
        <w:ind w:firstLine="0"/>
        <w:jc w:val="center"/>
        <w:rPr>
          <w:b w:val="0"/>
          <w:sz w:val="72"/>
          <w:szCs w:val="72"/>
          <w:lang w:val="en-US"/>
        </w:rPr>
      </w:pPr>
      <w:r w:rsidRPr="00A83C94">
        <w:rPr>
          <w:sz w:val="72"/>
          <w:szCs w:val="72"/>
        </w:rPr>
        <w:t>ՈՒ</w:t>
      </w:r>
      <w:r w:rsidRPr="008B1D49">
        <w:rPr>
          <w:sz w:val="72"/>
          <w:szCs w:val="72"/>
          <w:lang w:val="en-US"/>
        </w:rPr>
        <w:t xml:space="preserve"> </w:t>
      </w:r>
      <w:r w:rsidRPr="00A83C94">
        <w:rPr>
          <w:sz w:val="72"/>
          <w:szCs w:val="72"/>
        </w:rPr>
        <w:t>Ղ</w:t>
      </w:r>
      <w:r w:rsidRPr="008B1D49">
        <w:rPr>
          <w:sz w:val="72"/>
          <w:szCs w:val="72"/>
          <w:lang w:val="en-US"/>
        </w:rPr>
        <w:t xml:space="preserve"> </w:t>
      </w:r>
      <w:r w:rsidRPr="00A83C94">
        <w:rPr>
          <w:sz w:val="72"/>
          <w:szCs w:val="72"/>
        </w:rPr>
        <w:t>Ե</w:t>
      </w:r>
      <w:r w:rsidRPr="008B1D49">
        <w:rPr>
          <w:sz w:val="72"/>
          <w:szCs w:val="72"/>
          <w:lang w:val="en-US"/>
        </w:rPr>
        <w:t xml:space="preserve"> </w:t>
      </w:r>
      <w:r w:rsidRPr="00A83C94">
        <w:rPr>
          <w:sz w:val="72"/>
          <w:szCs w:val="72"/>
        </w:rPr>
        <w:t>Ր</w:t>
      </w:r>
      <w:r w:rsidRPr="008B1D49">
        <w:rPr>
          <w:sz w:val="72"/>
          <w:szCs w:val="72"/>
          <w:lang w:val="en-US"/>
        </w:rPr>
        <w:t xml:space="preserve"> </w:t>
      </w:r>
      <w:r w:rsidRPr="00A83C94">
        <w:rPr>
          <w:sz w:val="72"/>
          <w:szCs w:val="72"/>
        </w:rPr>
        <w:t>Ձ</w:t>
      </w:r>
    </w:p>
    <w:p w14:paraId="2C9CB236" w14:textId="77777777" w:rsidR="0021126A" w:rsidRPr="008B1D49" w:rsidRDefault="0021126A" w:rsidP="007730AA">
      <w:pPr>
        <w:spacing w:before="0" w:line="276" w:lineRule="auto"/>
        <w:ind w:firstLine="0"/>
        <w:jc w:val="center"/>
        <w:rPr>
          <w:b w:val="0"/>
          <w:sz w:val="32"/>
          <w:szCs w:val="32"/>
          <w:lang w:val="en-US"/>
        </w:rPr>
      </w:pPr>
    </w:p>
    <w:p w14:paraId="126D7971" w14:textId="77777777" w:rsidR="00140251" w:rsidRPr="008B1D49" w:rsidRDefault="00140251" w:rsidP="007730AA">
      <w:pPr>
        <w:spacing w:before="0" w:line="276" w:lineRule="auto"/>
        <w:ind w:firstLine="0"/>
        <w:jc w:val="center"/>
        <w:rPr>
          <w:b w:val="0"/>
          <w:sz w:val="32"/>
          <w:szCs w:val="32"/>
          <w:lang w:val="en-US"/>
        </w:rPr>
      </w:pPr>
    </w:p>
    <w:p w14:paraId="0CD8A3E5" w14:textId="77777777" w:rsidR="00140251" w:rsidRPr="008B1D49" w:rsidRDefault="00140251" w:rsidP="007730AA">
      <w:pPr>
        <w:spacing w:before="0" w:line="276" w:lineRule="auto"/>
        <w:ind w:firstLine="0"/>
        <w:jc w:val="center"/>
        <w:rPr>
          <w:b w:val="0"/>
          <w:sz w:val="32"/>
          <w:szCs w:val="32"/>
          <w:lang w:val="en-US"/>
        </w:rPr>
      </w:pPr>
    </w:p>
    <w:p w14:paraId="6E143260" w14:textId="77777777" w:rsidR="0021126A" w:rsidRPr="008B1D49" w:rsidRDefault="0021126A" w:rsidP="007730AA">
      <w:pPr>
        <w:spacing w:before="0" w:line="276" w:lineRule="auto"/>
        <w:ind w:firstLine="0"/>
        <w:jc w:val="center"/>
        <w:rPr>
          <w:sz w:val="32"/>
          <w:szCs w:val="32"/>
          <w:lang w:val="en-US"/>
        </w:rPr>
      </w:pPr>
    </w:p>
    <w:p w14:paraId="17DD70D5" w14:textId="77777777" w:rsidR="0021126A" w:rsidRPr="008B1D49" w:rsidRDefault="0021126A" w:rsidP="007730AA">
      <w:pPr>
        <w:spacing w:before="0" w:line="276" w:lineRule="auto"/>
        <w:ind w:firstLine="0"/>
        <w:jc w:val="center"/>
        <w:rPr>
          <w:rFonts w:ascii="Arial Unicode" w:hAnsi="Arial Unicode"/>
          <w:sz w:val="32"/>
          <w:szCs w:val="32"/>
          <w:lang w:val="en-US"/>
        </w:rPr>
      </w:pPr>
    </w:p>
    <w:p w14:paraId="253E5AD8" w14:textId="11FCE4C9" w:rsidR="0021126A" w:rsidRPr="00A83C94" w:rsidRDefault="0021126A" w:rsidP="007730AA">
      <w:pPr>
        <w:spacing w:before="0" w:line="276" w:lineRule="auto"/>
        <w:ind w:firstLine="0"/>
        <w:jc w:val="center"/>
      </w:pPr>
      <w:r w:rsidRPr="00A83C94">
        <w:rPr>
          <w:sz w:val="32"/>
          <w:szCs w:val="32"/>
        </w:rPr>
        <w:t xml:space="preserve">ԵՐԵՎԱՆ </w:t>
      </w:r>
      <w:r w:rsidR="00BB3288" w:rsidRPr="00A83C94">
        <w:rPr>
          <w:sz w:val="32"/>
          <w:szCs w:val="32"/>
        </w:rPr>
        <w:t>20</w:t>
      </w:r>
      <w:r w:rsidR="00BB3288" w:rsidRPr="00A83C94">
        <w:rPr>
          <w:sz w:val="32"/>
          <w:szCs w:val="32"/>
          <w:lang w:val="hy-AM"/>
        </w:rPr>
        <w:t>2</w:t>
      </w:r>
      <w:r w:rsidR="00BB3288" w:rsidRPr="00A83C94">
        <w:rPr>
          <w:sz w:val="32"/>
          <w:szCs w:val="32"/>
        </w:rPr>
        <w:t>1թ</w:t>
      </w:r>
      <w:r w:rsidRPr="00A83C94">
        <w:rPr>
          <w:sz w:val="32"/>
          <w:szCs w:val="32"/>
        </w:rPr>
        <w:t>.</w:t>
      </w:r>
    </w:p>
    <w:p w14:paraId="642FE489" w14:textId="77777777" w:rsidR="0021126A" w:rsidRPr="00A83C94" w:rsidRDefault="0021126A" w:rsidP="007730AA">
      <w:pPr>
        <w:spacing w:before="0" w:line="276" w:lineRule="auto"/>
        <w:ind w:firstLine="0"/>
        <w:contextualSpacing w:val="0"/>
        <w:jc w:val="left"/>
        <w:rPr>
          <w:b w:val="0"/>
          <w:sz w:val="32"/>
          <w:szCs w:val="32"/>
        </w:rPr>
      </w:pPr>
      <w:r w:rsidRPr="00A83C94">
        <w:rPr>
          <w:sz w:val="32"/>
          <w:szCs w:val="32"/>
        </w:rPr>
        <w:br w:type="page"/>
      </w:r>
    </w:p>
    <w:p w14:paraId="1C5F5455" w14:textId="77777777" w:rsidR="00925FDB" w:rsidRPr="00A83C94" w:rsidRDefault="00925FDB" w:rsidP="007730AA">
      <w:pPr>
        <w:spacing w:before="0" w:line="276" w:lineRule="auto"/>
        <w:jc w:val="center"/>
        <w:rPr>
          <w:b w:val="0"/>
          <w:sz w:val="32"/>
          <w:szCs w:val="32"/>
        </w:rPr>
      </w:pPr>
      <w:r w:rsidRPr="00A83C94">
        <w:rPr>
          <w:sz w:val="32"/>
          <w:szCs w:val="32"/>
        </w:rPr>
        <w:lastRenderedPageBreak/>
        <w:t>ԲՈՎԱՆԴԱԿՈՒԹՅՈՒՆ</w:t>
      </w:r>
    </w:p>
    <w:p w14:paraId="1032FE53" w14:textId="77777777" w:rsidR="00BA2D53" w:rsidRPr="00A83C94" w:rsidRDefault="00BA2D53" w:rsidP="007730AA">
      <w:pPr>
        <w:spacing w:before="0" w:line="276" w:lineRule="auto"/>
      </w:pPr>
    </w:p>
    <w:p w14:paraId="7EE698B6" w14:textId="67ABF401" w:rsidR="003B19DD" w:rsidRDefault="003C3925">
      <w:pPr>
        <w:pStyle w:val="TOC3"/>
        <w:rPr>
          <w:rFonts w:asciiTheme="minorHAnsi" w:eastAsiaTheme="minorEastAsia" w:hAnsiTheme="minorHAnsi" w:cstheme="minorBidi"/>
          <w:b w:val="0"/>
          <w:noProof/>
          <w:szCs w:val="22"/>
          <w:lang w:val="en-US" w:eastAsia="en-US"/>
        </w:rPr>
      </w:pPr>
      <w:r w:rsidRPr="00A83C94">
        <w:rPr>
          <w:rFonts w:cs="Sylfaen"/>
          <w:szCs w:val="22"/>
        </w:rPr>
        <w:fldChar w:fldCharType="begin"/>
      </w:r>
      <w:r w:rsidR="00BA2D53" w:rsidRPr="00A83C94">
        <w:rPr>
          <w:rFonts w:cs="Sylfaen"/>
          <w:szCs w:val="22"/>
        </w:rPr>
        <w:instrText xml:space="preserve"> TOC \o "1-4" \h \z \u </w:instrText>
      </w:r>
      <w:r w:rsidRPr="00A83C94">
        <w:rPr>
          <w:rFonts w:cs="Sylfaen"/>
          <w:szCs w:val="22"/>
        </w:rPr>
        <w:fldChar w:fldCharType="separate"/>
      </w:r>
      <w:hyperlink w:anchor="_Toc83996304" w:history="1">
        <w:r w:rsidR="003B19DD" w:rsidRPr="008E5396">
          <w:rPr>
            <w:rStyle w:val="Hyperlink"/>
            <w:noProof/>
            <w:lang w:val="hy-AM"/>
          </w:rPr>
          <w:t>ՎԱՐՉԱՊԵՏ ՆԻԿՈԼ ՓԱՇԻՆՅԱՆԻ ՈՒՂԵՐՁԸ 2022 ԹՎԱԿԱՆԻ ՀԱՅԱՍՏԱՆԻ ՀԱՆՐԱՊԵՏՈՒԹՅԱՆ ՊԵՏԱԿԱՆ ԲՅՈՒՋԵԻ ԸՆԴՈՒՆՄԱՆ ԱՌԻԹՈՎ</w:t>
        </w:r>
        <w:r w:rsidR="003B19DD">
          <w:rPr>
            <w:noProof/>
            <w:webHidden/>
          </w:rPr>
          <w:tab/>
        </w:r>
        <w:r w:rsidR="003B19DD">
          <w:rPr>
            <w:noProof/>
            <w:webHidden/>
          </w:rPr>
          <w:fldChar w:fldCharType="begin"/>
        </w:r>
        <w:r w:rsidR="003B19DD">
          <w:rPr>
            <w:noProof/>
            <w:webHidden/>
          </w:rPr>
          <w:instrText xml:space="preserve"> PAGEREF _Toc83996304 \h </w:instrText>
        </w:r>
        <w:r w:rsidR="003B19DD">
          <w:rPr>
            <w:noProof/>
            <w:webHidden/>
          </w:rPr>
        </w:r>
        <w:r w:rsidR="003B19DD">
          <w:rPr>
            <w:noProof/>
            <w:webHidden/>
          </w:rPr>
          <w:fldChar w:fldCharType="separate"/>
        </w:r>
        <w:r w:rsidR="003B19DD">
          <w:rPr>
            <w:noProof/>
            <w:webHidden/>
          </w:rPr>
          <w:t>6</w:t>
        </w:r>
        <w:r w:rsidR="003B19DD">
          <w:rPr>
            <w:noProof/>
            <w:webHidden/>
          </w:rPr>
          <w:fldChar w:fldCharType="end"/>
        </w:r>
      </w:hyperlink>
    </w:p>
    <w:p w14:paraId="3D07BA17" w14:textId="7939E1DC" w:rsidR="003B19DD" w:rsidRDefault="00F379C0">
      <w:pPr>
        <w:pStyle w:val="TOC3"/>
        <w:rPr>
          <w:rFonts w:asciiTheme="minorHAnsi" w:eastAsiaTheme="minorEastAsia" w:hAnsiTheme="minorHAnsi" w:cstheme="minorBidi"/>
          <w:b w:val="0"/>
          <w:noProof/>
          <w:szCs w:val="22"/>
          <w:lang w:val="en-US" w:eastAsia="en-US"/>
        </w:rPr>
      </w:pPr>
      <w:hyperlink w:anchor="_Toc83996306" w:history="1">
        <w:r w:rsidR="003B19DD" w:rsidRPr="008E5396">
          <w:rPr>
            <w:rStyle w:val="Hyperlink"/>
            <w:noProof/>
            <w:lang w:val="hy-AM"/>
          </w:rPr>
          <w:t>ՆԵՐԱԾՈՒԹՅՈՒՆ</w:t>
        </w:r>
        <w:r w:rsidR="003B19DD">
          <w:rPr>
            <w:noProof/>
            <w:webHidden/>
          </w:rPr>
          <w:tab/>
        </w:r>
        <w:r w:rsidR="003B19DD">
          <w:rPr>
            <w:noProof/>
            <w:webHidden/>
          </w:rPr>
          <w:fldChar w:fldCharType="begin"/>
        </w:r>
        <w:r w:rsidR="003B19DD">
          <w:rPr>
            <w:noProof/>
            <w:webHidden/>
          </w:rPr>
          <w:instrText xml:space="preserve"> PAGEREF _Toc83996306 \h </w:instrText>
        </w:r>
        <w:r w:rsidR="003B19DD">
          <w:rPr>
            <w:noProof/>
            <w:webHidden/>
          </w:rPr>
        </w:r>
        <w:r w:rsidR="003B19DD">
          <w:rPr>
            <w:noProof/>
            <w:webHidden/>
          </w:rPr>
          <w:fldChar w:fldCharType="separate"/>
        </w:r>
        <w:r w:rsidR="003B19DD">
          <w:rPr>
            <w:noProof/>
            <w:webHidden/>
          </w:rPr>
          <w:t>8</w:t>
        </w:r>
        <w:r w:rsidR="003B19DD">
          <w:rPr>
            <w:noProof/>
            <w:webHidden/>
          </w:rPr>
          <w:fldChar w:fldCharType="end"/>
        </w:r>
      </w:hyperlink>
    </w:p>
    <w:p w14:paraId="6C7AD919" w14:textId="2F87D979" w:rsidR="003B19DD" w:rsidRDefault="00F379C0">
      <w:pPr>
        <w:pStyle w:val="TOC1"/>
        <w:rPr>
          <w:rFonts w:asciiTheme="minorHAnsi" w:eastAsiaTheme="minorEastAsia" w:hAnsiTheme="minorHAnsi" w:cstheme="minorBidi"/>
          <w:b w:val="0"/>
          <w:noProof/>
          <w:szCs w:val="22"/>
          <w:lang w:val="en-US" w:eastAsia="en-US"/>
        </w:rPr>
      </w:pPr>
      <w:hyperlink w:anchor="_Toc83996307" w:history="1">
        <w:r w:rsidR="003B19DD" w:rsidRPr="008E5396">
          <w:rPr>
            <w:rStyle w:val="Hyperlink"/>
            <w:noProof/>
            <w:lang w:val="hy-AM"/>
          </w:rPr>
          <w:t>ՄԱՍ I–Ա. ՍՈՑԻԱԼ-ՏՆՏԵՍԱԿԱՆ ԶԱՐԳԱՑՄԱՆ ԵՎ ՀԱՐԿԱԲՅՈՒՋԵՏԱՅԻՆ ՔԱՂԱՔԱԿԱՆՈՒԹՅԱՆ ՀԻՄՆԱԿԱՆ ՈՒՂՂՈՒԹՅՈՒՆՆԵՐԻ ՄԱՍԻՆ</w:t>
        </w:r>
        <w:r w:rsidR="003B19DD">
          <w:rPr>
            <w:noProof/>
            <w:webHidden/>
          </w:rPr>
          <w:tab/>
        </w:r>
        <w:r w:rsidR="003B19DD">
          <w:rPr>
            <w:noProof/>
            <w:webHidden/>
          </w:rPr>
          <w:fldChar w:fldCharType="begin"/>
        </w:r>
        <w:r w:rsidR="003B19DD">
          <w:rPr>
            <w:noProof/>
            <w:webHidden/>
          </w:rPr>
          <w:instrText xml:space="preserve"> PAGEREF _Toc83996307 \h </w:instrText>
        </w:r>
        <w:r w:rsidR="003B19DD">
          <w:rPr>
            <w:noProof/>
            <w:webHidden/>
          </w:rPr>
        </w:r>
        <w:r w:rsidR="003B19DD">
          <w:rPr>
            <w:noProof/>
            <w:webHidden/>
          </w:rPr>
          <w:fldChar w:fldCharType="separate"/>
        </w:r>
        <w:r w:rsidR="003B19DD">
          <w:rPr>
            <w:noProof/>
            <w:webHidden/>
          </w:rPr>
          <w:t>10</w:t>
        </w:r>
        <w:r w:rsidR="003B19DD">
          <w:rPr>
            <w:noProof/>
            <w:webHidden/>
          </w:rPr>
          <w:fldChar w:fldCharType="end"/>
        </w:r>
      </w:hyperlink>
    </w:p>
    <w:p w14:paraId="3FE77EA1" w14:textId="54776AD3" w:rsidR="003B19DD" w:rsidRDefault="00F379C0">
      <w:pPr>
        <w:pStyle w:val="TOC1"/>
        <w:rPr>
          <w:rFonts w:asciiTheme="minorHAnsi" w:eastAsiaTheme="minorEastAsia" w:hAnsiTheme="minorHAnsi" w:cstheme="minorBidi"/>
          <w:b w:val="0"/>
          <w:noProof/>
          <w:szCs w:val="22"/>
          <w:lang w:val="en-US" w:eastAsia="en-US"/>
        </w:rPr>
      </w:pPr>
      <w:hyperlink w:anchor="_Toc83996308" w:history="1">
        <w:r w:rsidR="003B19DD" w:rsidRPr="008E5396">
          <w:rPr>
            <w:rStyle w:val="Hyperlink"/>
            <w:rFonts w:cs="Times LatArm"/>
            <w:noProof/>
            <w:lang w:val="hy-AM"/>
          </w:rPr>
          <w:t xml:space="preserve">2022 </w:t>
        </w:r>
        <w:r w:rsidR="003B19DD" w:rsidRPr="008E5396">
          <w:rPr>
            <w:rStyle w:val="Hyperlink"/>
            <w:rFonts w:cs="Sylfaen"/>
            <w:noProof/>
            <w:lang w:val="hy-AM"/>
          </w:rPr>
          <w:t>թվականի</w:t>
        </w:r>
        <w:r w:rsidR="003B19DD" w:rsidRPr="008E5396">
          <w:rPr>
            <w:rStyle w:val="Hyperlink"/>
            <w:rFonts w:cs="Times LatArm"/>
            <w:noProof/>
            <w:lang w:val="hy-AM"/>
          </w:rPr>
          <w:t xml:space="preserve"> </w:t>
        </w:r>
        <w:r w:rsidR="003B19DD" w:rsidRPr="008E5396">
          <w:rPr>
            <w:rStyle w:val="Hyperlink"/>
            <w:rFonts w:cs="Sylfaen"/>
            <w:noProof/>
            <w:lang w:val="hy-AM"/>
          </w:rPr>
          <w:t>սոցիալ</w:t>
        </w:r>
        <w:r w:rsidR="003B19DD" w:rsidRPr="008E5396">
          <w:rPr>
            <w:rStyle w:val="Hyperlink"/>
            <w:rFonts w:cs="Times LatArm"/>
            <w:noProof/>
            <w:lang w:val="hy-AM"/>
          </w:rPr>
          <w:t>-</w:t>
        </w:r>
        <w:r w:rsidR="003B19DD" w:rsidRPr="008E5396">
          <w:rPr>
            <w:rStyle w:val="Hyperlink"/>
            <w:rFonts w:cs="Sylfaen"/>
            <w:noProof/>
            <w:lang w:val="hy-AM"/>
          </w:rPr>
          <w:t>տնտեսական</w:t>
        </w:r>
        <w:r w:rsidR="003B19DD" w:rsidRPr="008E5396">
          <w:rPr>
            <w:rStyle w:val="Hyperlink"/>
            <w:rFonts w:cs="Times LatArm"/>
            <w:noProof/>
            <w:lang w:val="hy-AM"/>
          </w:rPr>
          <w:t xml:space="preserve"> </w:t>
        </w:r>
        <w:r w:rsidR="003B19DD" w:rsidRPr="008E5396">
          <w:rPr>
            <w:rStyle w:val="Hyperlink"/>
            <w:rFonts w:cs="Sylfaen"/>
            <w:noProof/>
            <w:lang w:val="hy-AM"/>
          </w:rPr>
          <w:t>զարգացման</w:t>
        </w:r>
        <w:r w:rsidR="003B19DD" w:rsidRPr="008E5396">
          <w:rPr>
            <w:rStyle w:val="Hyperlink"/>
            <w:rFonts w:cs="Times LatArm"/>
            <w:noProof/>
            <w:lang w:val="hy-AM"/>
          </w:rPr>
          <w:t xml:space="preserve"> </w:t>
        </w:r>
        <w:r w:rsidR="003B19DD" w:rsidRPr="008E5396">
          <w:rPr>
            <w:rStyle w:val="Hyperlink"/>
            <w:rFonts w:cs="Sylfaen"/>
            <w:noProof/>
            <w:lang w:val="hy-AM"/>
          </w:rPr>
          <w:t>և հարկաբյուջետային քաղաքականության հիմնական</w:t>
        </w:r>
        <w:r w:rsidR="003B19DD" w:rsidRPr="008E5396">
          <w:rPr>
            <w:rStyle w:val="Hyperlink"/>
            <w:rFonts w:cs="Times LatArm"/>
            <w:noProof/>
            <w:lang w:val="hy-AM"/>
          </w:rPr>
          <w:t xml:space="preserve"> </w:t>
        </w:r>
        <w:r w:rsidR="003B19DD" w:rsidRPr="008E5396">
          <w:rPr>
            <w:rStyle w:val="Hyperlink"/>
            <w:rFonts w:cs="Sylfaen"/>
            <w:noProof/>
            <w:lang w:val="hy-AM"/>
          </w:rPr>
          <w:t>ուղղությունները</w:t>
        </w:r>
        <w:r w:rsidR="003B19DD">
          <w:rPr>
            <w:noProof/>
            <w:webHidden/>
          </w:rPr>
          <w:tab/>
        </w:r>
        <w:r w:rsidR="003B19DD">
          <w:rPr>
            <w:noProof/>
            <w:webHidden/>
          </w:rPr>
          <w:fldChar w:fldCharType="begin"/>
        </w:r>
        <w:r w:rsidR="003B19DD">
          <w:rPr>
            <w:noProof/>
            <w:webHidden/>
          </w:rPr>
          <w:instrText xml:space="preserve"> PAGEREF _Toc83996308 \h </w:instrText>
        </w:r>
        <w:r w:rsidR="003B19DD">
          <w:rPr>
            <w:noProof/>
            <w:webHidden/>
          </w:rPr>
        </w:r>
        <w:r w:rsidR="003B19DD">
          <w:rPr>
            <w:noProof/>
            <w:webHidden/>
          </w:rPr>
          <w:fldChar w:fldCharType="separate"/>
        </w:r>
        <w:r w:rsidR="003B19DD">
          <w:rPr>
            <w:noProof/>
            <w:webHidden/>
          </w:rPr>
          <w:t>10</w:t>
        </w:r>
        <w:r w:rsidR="003B19DD">
          <w:rPr>
            <w:noProof/>
            <w:webHidden/>
          </w:rPr>
          <w:fldChar w:fldCharType="end"/>
        </w:r>
      </w:hyperlink>
    </w:p>
    <w:p w14:paraId="2EF1CBB8" w14:textId="024C7A16" w:rsidR="003B19DD" w:rsidRDefault="00F379C0">
      <w:pPr>
        <w:pStyle w:val="TOC3"/>
        <w:rPr>
          <w:rFonts w:asciiTheme="minorHAnsi" w:eastAsiaTheme="minorEastAsia" w:hAnsiTheme="minorHAnsi" w:cstheme="minorBidi"/>
          <w:b w:val="0"/>
          <w:noProof/>
          <w:szCs w:val="22"/>
          <w:lang w:val="en-US" w:eastAsia="en-US"/>
        </w:rPr>
      </w:pPr>
      <w:hyperlink w:anchor="_Toc83996309" w:history="1">
        <w:r w:rsidR="003B19DD" w:rsidRPr="008E5396">
          <w:rPr>
            <w:rStyle w:val="Hyperlink"/>
            <w:rFonts w:cs="Arial"/>
            <w:noProof/>
            <w:lang w:val="hy-AM" w:eastAsia="en-US"/>
          </w:rPr>
          <w:t>Տնտեսական զարգացում</w:t>
        </w:r>
        <w:r w:rsidR="003B19DD">
          <w:rPr>
            <w:noProof/>
            <w:webHidden/>
          </w:rPr>
          <w:tab/>
        </w:r>
        <w:r w:rsidR="003B19DD">
          <w:rPr>
            <w:noProof/>
            <w:webHidden/>
          </w:rPr>
          <w:fldChar w:fldCharType="begin"/>
        </w:r>
        <w:r w:rsidR="003B19DD">
          <w:rPr>
            <w:noProof/>
            <w:webHidden/>
          </w:rPr>
          <w:instrText xml:space="preserve"> PAGEREF _Toc83996309 \h </w:instrText>
        </w:r>
        <w:r w:rsidR="003B19DD">
          <w:rPr>
            <w:noProof/>
            <w:webHidden/>
          </w:rPr>
        </w:r>
        <w:r w:rsidR="003B19DD">
          <w:rPr>
            <w:noProof/>
            <w:webHidden/>
          </w:rPr>
          <w:fldChar w:fldCharType="separate"/>
        </w:r>
        <w:r w:rsidR="003B19DD">
          <w:rPr>
            <w:noProof/>
            <w:webHidden/>
          </w:rPr>
          <w:t>10</w:t>
        </w:r>
        <w:r w:rsidR="003B19DD">
          <w:rPr>
            <w:noProof/>
            <w:webHidden/>
          </w:rPr>
          <w:fldChar w:fldCharType="end"/>
        </w:r>
      </w:hyperlink>
    </w:p>
    <w:p w14:paraId="0D211489" w14:textId="1A226E9A" w:rsidR="003B19DD" w:rsidRDefault="00F379C0">
      <w:pPr>
        <w:pStyle w:val="TOC3"/>
        <w:rPr>
          <w:rFonts w:asciiTheme="minorHAnsi" w:eastAsiaTheme="minorEastAsia" w:hAnsiTheme="minorHAnsi" w:cstheme="minorBidi"/>
          <w:b w:val="0"/>
          <w:noProof/>
          <w:szCs w:val="22"/>
          <w:lang w:val="en-US" w:eastAsia="en-US"/>
        </w:rPr>
      </w:pPr>
      <w:hyperlink w:anchor="_Toc83996310" w:history="1">
        <w:r w:rsidR="003B19DD" w:rsidRPr="008E5396">
          <w:rPr>
            <w:rStyle w:val="Hyperlink"/>
            <w:rFonts w:cs="Arial"/>
            <w:noProof/>
            <w:lang w:val="hy-AM" w:eastAsia="en-US"/>
          </w:rPr>
          <w:t>Տարածքային կառավարում և տեղական ինքնակառավարում</w:t>
        </w:r>
        <w:r w:rsidR="003B19DD">
          <w:rPr>
            <w:noProof/>
            <w:webHidden/>
          </w:rPr>
          <w:tab/>
        </w:r>
        <w:r w:rsidR="003B19DD">
          <w:rPr>
            <w:noProof/>
            <w:webHidden/>
          </w:rPr>
          <w:fldChar w:fldCharType="begin"/>
        </w:r>
        <w:r w:rsidR="003B19DD">
          <w:rPr>
            <w:noProof/>
            <w:webHidden/>
          </w:rPr>
          <w:instrText xml:space="preserve"> PAGEREF _Toc83996310 \h </w:instrText>
        </w:r>
        <w:r w:rsidR="003B19DD">
          <w:rPr>
            <w:noProof/>
            <w:webHidden/>
          </w:rPr>
        </w:r>
        <w:r w:rsidR="003B19DD">
          <w:rPr>
            <w:noProof/>
            <w:webHidden/>
          </w:rPr>
          <w:fldChar w:fldCharType="separate"/>
        </w:r>
        <w:r w:rsidR="003B19DD">
          <w:rPr>
            <w:noProof/>
            <w:webHidden/>
          </w:rPr>
          <w:t>12</w:t>
        </w:r>
        <w:r w:rsidR="003B19DD">
          <w:rPr>
            <w:noProof/>
            <w:webHidden/>
          </w:rPr>
          <w:fldChar w:fldCharType="end"/>
        </w:r>
      </w:hyperlink>
    </w:p>
    <w:p w14:paraId="491D7235" w14:textId="0EA4010C" w:rsidR="003B19DD" w:rsidRDefault="00F379C0">
      <w:pPr>
        <w:pStyle w:val="TOC3"/>
        <w:rPr>
          <w:rFonts w:asciiTheme="minorHAnsi" w:eastAsiaTheme="minorEastAsia" w:hAnsiTheme="minorHAnsi" w:cstheme="minorBidi"/>
          <w:b w:val="0"/>
          <w:noProof/>
          <w:szCs w:val="22"/>
          <w:lang w:val="en-US" w:eastAsia="en-US"/>
        </w:rPr>
      </w:pPr>
      <w:hyperlink w:anchor="_Toc83996311" w:history="1">
        <w:r w:rsidR="003B19DD" w:rsidRPr="008E5396">
          <w:rPr>
            <w:rStyle w:val="Hyperlink"/>
            <w:rFonts w:cs="Arial"/>
            <w:noProof/>
            <w:lang w:val="hy-AM" w:eastAsia="en-US"/>
          </w:rPr>
          <w:t>Ճանապարհային տնտեսություն</w:t>
        </w:r>
        <w:r w:rsidR="003B19DD">
          <w:rPr>
            <w:noProof/>
            <w:webHidden/>
          </w:rPr>
          <w:tab/>
        </w:r>
        <w:r w:rsidR="003B19DD">
          <w:rPr>
            <w:noProof/>
            <w:webHidden/>
          </w:rPr>
          <w:fldChar w:fldCharType="begin"/>
        </w:r>
        <w:r w:rsidR="003B19DD">
          <w:rPr>
            <w:noProof/>
            <w:webHidden/>
          </w:rPr>
          <w:instrText xml:space="preserve"> PAGEREF _Toc83996311 \h </w:instrText>
        </w:r>
        <w:r w:rsidR="003B19DD">
          <w:rPr>
            <w:noProof/>
            <w:webHidden/>
          </w:rPr>
        </w:r>
        <w:r w:rsidR="003B19DD">
          <w:rPr>
            <w:noProof/>
            <w:webHidden/>
          </w:rPr>
          <w:fldChar w:fldCharType="separate"/>
        </w:r>
        <w:r w:rsidR="003B19DD">
          <w:rPr>
            <w:noProof/>
            <w:webHidden/>
          </w:rPr>
          <w:t>13</w:t>
        </w:r>
        <w:r w:rsidR="003B19DD">
          <w:rPr>
            <w:noProof/>
            <w:webHidden/>
          </w:rPr>
          <w:fldChar w:fldCharType="end"/>
        </w:r>
      </w:hyperlink>
    </w:p>
    <w:p w14:paraId="09B33C11" w14:textId="4F9E1CDA" w:rsidR="003B19DD" w:rsidRDefault="00F379C0">
      <w:pPr>
        <w:pStyle w:val="TOC3"/>
        <w:rPr>
          <w:rFonts w:asciiTheme="minorHAnsi" w:eastAsiaTheme="minorEastAsia" w:hAnsiTheme="minorHAnsi" w:cstheme="minorBidi"/>
          <w:b w:val="0"/>
          <w:noProof/>
          <w:szCs w:val="22"/>
          <w:lang w:val="en-US" w:eastAsia="en-US"/>
        </w:rPr>
      </w:pPr>
      <w:hyperlink w:anchor="_Toc83996312" w:history="1">
        <w:r w:rsidR="003B19DD" w:rsidRPr="008E5396">
          <w:rPr>
            <w:rStyle w:val="Hyperlink"/>
            <w:rFonts w:cs="Arial"/>
            <w:noProof/>
            <w:lang w:val="hy-AM" w:eastAsia="en-US"/>
          </w:rPr>
          <w:t>Էներգետիկա</w:t>
        </w:r>
        <w:r w:rsidR="003B19DD">
          <w:rPr>
            <w:noProof/>
            <w:webHidden/>
          </w:rPr>
          <w:tab/>
        </w:r>
        <w:r w:rsidR="003B19DD">
          <w:rPr>
            <w:noProof/>
            <w:webHidden/>
          </w:rPr>
          <w:fldChar w:fldCharType="begin"/>
        </w:r>
        <w:r w:rsidR="003B19DD">
          <w:rPr>
            <w:noProof/>
            <w:webHidden/>
          </w:rPr>
          <w:instrText xml:space="preserve"> PAGEREF _Toc83996312 \h </w:instrText>
        </w:r>
        <w:r w:rsidR="003B19DD">
          <w:rPr>
            <w:noProof/>
            <w:webHidden/>
          </w:rPr>
        </w:r>
        <w:r w:rsidR="003B19DD">
          <w:rPr>
            <w:noProof/>
            <w:webHidden/>
          </w:rPr>
          <w:fldChar w:fldCharType="separate"/>
        </w:r>
        <w:r w:rsidR="003B19DD">
          <w:rPr>
            <w:noProof/>
            <w:webHidden/>
          </w:rPr>
          <w:t>13</w:t>
        </w:r>
        <w:r w:rsidR="003B19DD">
          <w:rPr>
            <w:noProof/>
            <w:webHidden/>
          </w:rPr>
          <w:fldChar w:fldCharType="end"/>
        </w:r>
      </w:hyperlink>
    </w:p>
    <w:p w14:paraId="3C13FF5D" w14:textId="485066A4" w:rsidR="003B19DD" w:rsidRDefault="00F379C0">
      <w:pPr>
        <w:pStyle w:val="TOC3"/>
        <w:rPr>
          <w:rFonts w:asciiTheme="minorHAnsi" w:eastAsiaTheme="minorEastAsia" w:hAnsiTheme="minorHAnsi" w:cstheme="minorBidi"/>
          <w:b w:val="0"/>
          <w:noProof/>
          <w:szCs w:val="22"/>
          <w:lang w:val="en-US" w:eastAsia="en-US"/>
        </w:rPr>
      </w:pPr>
      <w:hyperlink w:anchor="_Toc83996313" w:history="1">
        <w:r w:rsidR="003B19DD" w:rsidRPr="008E5396">
          <w:rPr>
            <w:rStyle w:val="Hyperlink"/>
            <w:rFonts w:cs="Arial"/>
            <w:noProof/>
            <w:lang w:val="hy-AM" w:eastAsia="en-US"/>
          </w:rPr>
          <w:t>Ջրային տնտեսություն</w:t>
        </w:r>
        <w:r w:rsidR="003B19DD">
          <w:rPr>
            <w:noProof/>
            <w:webHidden/>
          </w:rPr>
          <w:tab/>
        </w:r>
        <w:r w:rsidR="003B19DD">
          <w:rPr>
            <w:noProof/>
            <w:webHidden/>
          </w:rPr>
          <w:fldChar w:fldCharType="begin"/>
        </w:r>
        <w:r w:rsidR="003B19DD">
          <w:rPr>
            <w:noProof/>
            <w:webHidden/>
          </w:rPr>
          <w:instrText xml:space="preserve"> PAGEREF _Toc83996313 \h </w:instrText>
        </w:r>
        <w:r w:rsidR="003B19DD">
          <w:rPr>
            <w:noProof/>
            <w:webHidden/>
          </w:rPr>
        </w:r>
        <w:r w:rsidR="003B19DD">
          <w:rPr>
            <w:noProof/>
            <w:webHidden/>
          </w:rPr>
          <w:fldChar w:fldCharType="separate"/>
        </w:r>
        <w:r w:rsidR="003B19DD">
          <w:rPr>
            <w:noProof/>
            <w:webHidden/>
          </w:rPr>
          <w:t>14</w:t>
        </w:r>
        <w:r w:rsidR="003B19DD">
          <w:rPr>
            <w:noProof/>
            <w:webHidden/>
          </w:rPr>
          <w:fldChar w:fldCharType="end"/>
        </w:r>
      </w:hyperlink>
    </w:p>
    <w:p w14:paraId="66386C8C" w14:textId="54E6B85A" w:rsidR="003B19DD" w:rsidRDefault="00F379C0">
      <w:pPr>
        <w:pStyle w:val="TOC3"/>
        <w:rPr>
          <w:rFonts w:asciiTheme="minorHAnsi" w:eastAsiaTheme="minorEastAsia" w:hAnsiTheme="minorHAnsi" w:cstheme="minorBidi"/>
          <w:b w:val="0"/>
          <w:noProof/>
          <w:szCs w:val="22"/>
          <w:lang w:val="en-US" w:eastAsia="en-US"/>
        </w:rPr>
      </w:pPr>
      <w:hyperlink w:anchor="_Toc83996314" w:history="1">
        <w:r w:rsidR="003B19DD" w:rsidRPr="008E5396">
          <w:rPr>
            <w:rStyle w:val="Hyperlink"/>
            <w:rFonts w:cs="Arial"/>
            <w:noProof/>
            <w:lang w:val="hy-AM" w:eastAsia="en-US"/>
          </w:rPr>
          <w:t>Հանրային ծառայությունների կարգավորում</w:t>
        </w:r>
        <w:r w:rsidR="003B19DD">
          <w:rPr>
            <w:noProof/>
            <w:webHidden/>
          </w:rPr>
          <w:tab/>
        </w:r>
        <w:r w:rsidR="003B19DD">
          <w:rPr>
            <w:noProof/>
            <w:webHidden/>
          </w:rPr>
          <w:fldChar w:fldCharType="begin"/>
        </w:r>
        <w:r w:rsidR="003B19DD">
          <w:rPr>
            <w:noProof/>
            <w:webHidden/>
          </w:rPr>
          <w:instrText xml:space="preserve"> PAGEREF _Toc83996314 \h </w:instrText>
        </w:r>
        <w:r w:rsidR="003B19DD">
          <w:rPr>
            <w:noProof/>
            <w:webHidden/>
          </w:rPr>
        </w:r>
        <w:r w:rsidR="003B19DD">
          <w:rPr>
            <w:noProof/>
            <w:webHidden/>
          </w:rPr>
          <w:fldChar w:fldCharType="separate"/>
        </w:r>
        <w:r w:rsidR="003B19DD">
          <w:rPr>
            <w:noProof/>
            <w:webHidden/>
          </w:rPr>
          <w:t>16</w:t>
        </w:r>
        <w:r w:rsidR="003B19DD">
          <w:rPr>
            <w:noProof/>
            <w:webHidden/>
          </w:rPr>
          <w:fldChar w:fldCharType="end"/>
        </w:r>
      </w:hyperlink>
    </w:p>
    <w:p w14:paraId="1DA927EE" w14:textId="391AF623" w:rsidR="003B19DD" w:rsidRDefault="00F379C0">
      <w:pPr>
        <w:pStyle w:val="TOC3"/>
        <w:rPr>
          <w:rFonts w:asciiTheme="minorHAnsi" w:eastAsiaTheme="minorEastAsia" w:hAnsiTheme="minorHAnsi" w:cstheme="minorBidi"/>
          <w:b w:val="0"/>
          <w:noProof/>
          <w:szCs w:val="22"/>
          <w:lang w:val="en-US" w:eastAsia="en-US"/>
        </w:rPr>
      </w:pPr>
      <w:hyperlink w:anchor="_Toc83996315" w:history="1">
        <w:r w:rsidR="003B19DD" w:rsidRPr="008E5396">
          <w:rPr>
            <w:rStyle w:val="Hyperlink"/>
            <w:rFonts w:cs="Arial"/>
            <w:noProof/>
            <w:lang w:val="hy-AM" w:eastAsia="en-US"/>
          </w:rPr>
          <w:t>Քաղաքացիական ավիացիա</w:t>
        </w:r>
        <w:r w:rsidR="003B19DD">
          <w:rPr>
            <w:noProof/>
            <w:webHidden/>
          </w:rPr>
          <w:tab/>
        </w:r>
        <w:r w:rsidR="003B19DD">
          <w:rPr>
            <w:noProof/>
            <w:webHidden/>
          </w:rPr>
          <w:fldChar w:fldCharType="begin"/>
        </w:r>
        <w:r w:rsidR="003B19DD">
          <w:rPr>
            <w:noProof/>
            <w:webHidden/>
          </w:rPr>
          <w:instrText xml:space="preserve"> PAGEREF _Toc83996315 \h </w:instrText>
        </w:r>
        <w:r w:rsidR="003B19DD">
          <w:rPr>
            <w:noProof/>
            <w:webHidden/>
          </w:rPr>
        </w:r>
        <w:r w:rsidR="003B19DD">
          <w:rPr>
            <w:noProof/>
            <w:webHidden/>
          </w:rPr>
          <w:fldChar w:fldCharType="separate"/>
        </w:r>
        <w:r w:rsidR="003B19DD">
          <w:rPr>
            <w:noProof/>
            <w:webHidden/>
          </w:rPr>
          <w:t>16</w:t>
        </w:r>
        <w:r w:rsidR="003B19DD">
          <w:rPr>
            <w:noProof/>
            <w:webHidden/>
          </w:rPr>
          <w:fldChar w:fldCharType="end"/>
        </w:r>
      </w:hyperlink>
    </w:p>
    <w:p w14:paraId="7D6D8C9B" w14:textId="28BA41DE" w:rsidR="003B19DD" w:rsidRDefault="00F379C0">
      <w:pPr>
        <w:pStyle w:val="TOC3"/>
        <w:rPr>
          <w:rFonts w:asciiTheme="minorHAnsi" w:eastAsiaTheme="minorEastAsia" w:hAnsiTheme="minorHAnsi" w:cstheme="minorBidi"/>
          <w:b w:val="0"/>
          <w:noProof/>
          <w:szCs w:val="22"/>
          <w:lang w:val="en-US" w:eastAsia="en-US"/>
        </w:rPr>
      </w:pPr>
      <w:hyperlink w:anchor="_Toc83996316" w:history="1">
        <w:r w:rsidR="003B19DD" w:rsidRPr="008E5396">
          <w:rPr>
            <w:rStyle w:val="Hyperlink"/>
            <w:rFonts w:cs="Arial"/>
            <w:noProof/>
            <w:lang w:val="hy-AM" w:eastAsia="en-US"/>
          </w:rPr>
          <w:t>Պետական գույքի կառավարման ոլորտ</w:t>
        </w:r>
        <w:r w:rsidR="003B19DD">
          <w:rPr>
            <w:noProof/>
            <w:webHidden/>
          </w:rPr>
          <w:tab/>
        </w:r>
        <w:r w:rsidR="003B19DD">
          <w:rPr>
            <w:noProof/>
            <w:webHidden/>
          </w:rPr>
          <w:fldChar w:fldCharType="begin"/>
        </w:r>
        <w:r w:rsidR="003B19DD">
          <w:rPr>
            <w:noProof/>
            <w:webHidden/>
          </w:rPr>
          <w:instrText xml:space="preserve"> PAGEREF _Toc83996316 \h </w:instrText>
        </w:r>
        <w:r w:rsidR="003B19DD">
          <w:rPr>
            <w:noProof/>
            <w:webHidden/>
          </w:rPr>
        </w:r>
        <w:r w:rsidR="003B19DD">
          <w:rPr>
            <w:noProof/>
            <w:webHidden/>
          </w:rPr>
          <w:fldChar w:fldCharType="separate"/>
        </w:r>
        <w:r w:rsidR="003B19DD">
          <w:rPr>
            <w:noProof/>
            <w:webHidden/>
          </w:rPr>
          <w:t>16</w:t>
        </w:r>
        <w:r w:rsidR="003B19DD">
          <w:rPr>
            <w:noProof/>
            <w:webHidden/>
          </w:rPr>
          <w:fldChar w:fldCharType="end"/>
        </w:r>
      </w:hyperlink>
    </w:p>
    <w:p w14:paraId="6EB80A85" w14:textId="02CD3819" w:rsidR="003B19DD" w:rsidRDefault="00F379C0">
      <w:pPr>
        <w:pStyle w:val="TOC3"/>
        <w:rPr>
          <w:rFonts w:asciiTheme="minorHAnsi" w:eastAsiaTheme="minorEastAsia" w:hAnsiTheme="minorHAnsi" w:cstheme="minorBidi"/>
          <w:b w:val="0"/>
          <w:noProof/>
          <w:szCs w:val="22"/>
          <w:lang w:val="en-US" w:eastAsia="en-US"/>
        </w:rPr>
      </w:pPr>
      <w:hyperlink w:anchor="_Toc83996317" w:history="1">
        <w:r w:rsidR="003B19DD" w:rsidRPr="008E5396">
          <w:rPr>
            <w:rStyle w:val="Hyperlink"/>
            <w:rFonts w:cs="Arial"/>
            <w:noProof/>
            <w:lang w:val="hy-AM"/>
          </w:rPr>
          <w:t>Միգրացիա</w:t>
        </w:r>
        <w:r w:rsidR="003B19DD">
          <w:rPr>
            <w:noProof/>
            <w:webHidden/>
          </w:rPr>
          <w:tab/>
        </w:r>
        <w:r w:rsidR="003B19DD">
          <w:rPr>
            <w:noProof/>
            <w:webHidden/>
          </w:rPr>
          <w:fldChar w:fldCharType="begin"/>
        </w:r>
        <w:r w:rsidR="003B19DD">
          <w:rPr>
            <w:noProof/>
            <w:webHidden/>
          </w:rPr>
          <w:instrText xml:space="preserve"> PAGEREF _Toc83996317 \h </w:instrText>
        </w:r>
        <w:r w:rsidR="003B19DD">
          <w:rPr>
            <w:noProof/>
            <w:webHidden/>
          </w:rPr>
        </w:r>
        <w:r w:rsidR="003B19DD">
          <w:rPr>
            <w:noProof/>
            <w:webHidden/>
          </w:rPr>
          <w:fldChar w:fldCharType="separate"/>
        </w:r>
        <w:r w:rsidR="003B19DD">
          <w:rPr>
            <w:noProof/>
            <w:webHidden/>
          </w:rPr>
          <w:t>16</w:t>
        </w:r>
        <w:r w:rsidR="003B19DD">
          <w:rPr>
            <w:noProof/>
            <w:webHidden/>
          </w:rPr>
          <w:fldChar w:fldCharType="end"/>
        </w:r>
      </w:hyperlink>
    </w:p>
    <w:p w14:paraId="25788608" w14:textId="4E122AA7" w:rsidR="003B19DD" w:rsidRDefault="00F379C0">
      <w:pPr>
        <w:pStyle w:val="TOC3"/>
        <w:rPr>
          <w:rFonts w:asciiTheme="minorHAnsi" w:eastAsiaTheme="minorEastAsia" w:hAnsiTheme="minorHAnsi" w:cstheme="minorBidi"/>
          <w:b w:val="0"/>
          <w:noProof/>
          <w:szCs w:val="22"/>
          <w:lang w:val="en-US" w:eastAsia="en-US"/>
        </w:rPr>
      </w:pPr>
      <w:hyperlink w:anchor="_Toc83996318" w:history="1">
        <w:r w:rsidR="003B19DD" w:rsidRPr="008E5396">
          <w:rPr>
            <w:rStyle w:val="Hyperlink"/>
            <w:rFonts w:cs="Arial"/>
            <w:noProof/>
            <w:lang w:val="hy-AM" w:eastAsia="en-US"/>
          </w:rPr>
          <w:t>Բարձր տեխնոլոգիական արդյունաբերություն</w:t>
        </w:r>
        <w:r w:rsidR="003B19DD">
          <w:rPr>
            <w:noProof/>
            <w:webHidden/>
          </w:rPr>
          <w:tab/>
        </w:r>
        <w:r w:rsidR="003B19DD">
          <w:rPr>
            <w:noProof/>
            <w:webHidden/>
          </w:rPr>
          <w:fldChar w:fldCharType="begin"/>
        </w:r>
        <w:r w:rsidR="003B19DD">
          <w:rPr>
            <w:noProof/>
            <w:webHidden/>
          </w:rPr>
          <w:instrText xml:space="preserve"> PAGEREF _Toc83996318 \h </w:instrText>
        </w:r>
        <w:r w:rsidR="003B19DD">
          <w:rPr>
            <w:noProof/>
            <w:webHidden/>
          </w:rPr>
        </w:r>
        <w:r w:rsidR="003B19DD">
          <w:rPr>
            <w:noProof/>
            <w:webHidden/>
          </w:rPr>
          <w:fldChar w:fldCharType="separate"/>
        </w:r>
        <w:r w:rsidR="003B19DD">
          <w:rPr>
            <w:noProof/>
            <w:webHidden/>
          </w:rPr>
          <w:t>17</w:t>
        </w:r>
        <w:r w:rsidR="003B19DD">
          <w:rPr>
            <w:noProof/>
            <w:webHidden/>
          </w:rPr>
          <w:fldChar w:fldCharType="end"/>
        </w:r>
      </w:hyperlink>
    </w:p>
    <w:p w14:paraId="1BBAA22C" w14:textId="0D398C03" w:rsidR="003B19DD" w:rsidRDefault="00F379C0">
      <w:pPr>
        <w:pStyle w:val="TOC3"/>
        <w:rPr>
          <w:rFonts w:asciiTheme="minorHAnsi" w:eastAsiaTheme="minorEastAsia" w:hAnsiTheme="minorHAnsi" w:cstheme="minorBidi"/>
          <w:b w:val="0"/>
          <w:noProof/>
          <w:szCs w:val="22"/>
          <w:lang w:val="en-US" w:eastAsia="en-US"/>
        </w:rPr>
      </w:pPr>
      <w:hyperlink w:anchor="_Toc83996319" w:history="1">
        <w:r w:rsidR="003B19DD" w:rsidRPr="008E5396">
          <w:rPr>
            <w:rStyle w:val="Hyperlink"/>
            <w:rFonts w:cs="Arial"/>
            <w:noProof/>
            <w:lang w:val="hy-AM" w:eastAsia="en-US"/>
          </w:rPr>
          <w:t>Քաղաքաշինություն</w:t>
        </w:r>
        <w:r w:rsidR="003B19DD">
          <w:rPr>
            <w:noProof/>
            <w:webHidden/>
          </w:rPr>
          <w:tab/>
        </w:r>
        <w:r w:rsidR="003B19DD">
          <w:rPr>
            <w:noProof/>
            <w:webHidden/>
          </w:rPr>
          <w:fldChar w:fldCharType="begin"/>
        </w:r>
        <w:r w:rsidR="003B19DD">
          <w:rPr>
            <w:noProof/>
            <w:webHidden/>
          </w:rPr>
          <w:instrText xml:space="preserve"> PAGEREF _Toc83996319 \h </w:instrText>
        </w:r>
        <w:r w:rsidR="003B19DD">
          <w:rPr>
            <w:noProof/>
            <w:webHidden/>
          </w:rPr>
        </w:r>
        <w:r w:rsidR="003B19DD">
          <w:rPr>
            <w:noProof/>
            <w:webHidden/>
          </w:rPr>
          <w:fldChar w:fldCharType="separate"/>
        </w:r>
        <w:r w:rsidR="003B19DD">
          <w:rPr>
            <w:noProof/>
            <w:webHidden/>
          </w:rPr>
          <w:t>18</w:t>
        </w:r>
        <w:r w:rsidR="003B19DD">
          <w:rPr>
            <w:noProof/>
            <w:webHidden/>
          </w:rPr>
          <w:fldChar w:fldCharType="end"/>
        </w:r>
      </w:hyperlink>
    </w:p>
    <w:p w14:paraId="61EC2D7A" w14:textId="15338DA0" w:rsidR="003B19DD" w:rsidRDefault="00F379C0">
      <w:pPr>
        <w:pStyle w:val="TOC3"/>
        <w:rPr>
          <w:rFonts w:asciiTheme="minorHAnsi" w:eastAsiaTheme="minorEastAsia" w:hAnsiTheme="minorHAnsi" w:cstheme="minorBidi"/>
          <w:b w:val="0"/>
          <w:noProof/>
          <w:szCs w:val="22"/>
          <w:lang w:val="en-US" w:eastAsia="en-US"/>
        </w:rPr>
      </w:pPr>
      <w:hyperlink w:anchor="_Toc83996320" w:history="1">
        <w:r w:rsidR="003B19DD" w:rsidRPr="008E5396">
          <w:rPr>
            <w:rStyle w:val="Hyperlink"/>
            <w:rFonts w:cs="Arial"/>
            <w:noProof/>
            <w:lang w:val="hy-AM" w:eastAsia="en-US"/>
          </w:rPr>
          <w:t>Արտակարգ իրավիճակների բնագավառ</w:t>
        </w:r>
        <w:r w:rsidR="003B19DD">
          <w:rPr>
            <w:noProof/>
            <w:webHidden/>
          </w:rPr>
          <w:tab/>
        </w:r>
        <w:r w:rsidR="003B19DD">
          <w:rPr>
            <w:noProof/>
            <w:webHidden/>
          </w:rPr>
          <w:fldChar w:fldCharType="begin"/>
        </w:r>
        <w:r w:rsidR="003B19DD">
          <w:rPr>
            <w:noProof/>
            <w:webHidden/>
          </w:rPr>
          <w:instrText xml:space="preserve"> PAGEREF _Toc83996320 \h </w:instrText>
        </w:r>
        <w:r w:rsidR="003B19DD">
          <w:rPr>
            <w:noProof/>
            <w:webHidden/>
          </w:rPr>
        </w:r>
        <w:r w:rsidR="003B19DD">
          <w:rPr>
            <w:noProof/>
            <w:webHidden/>
          </w:rPr>
          <w:fldChar w:fldCharType="separate"/>
        </w:r>
        <w:r w:rsidR="003B19DD">
          <w:rPr>
            <w:noProof/>
            <w:webHidden/>
          </w:rPr>
          <w:t>18</w:t>
        </w:r>
        <w:r w:rsidR="003B19DD">
          <w:rPr>
            <w:noProof/>
            <w:webHidden/>
          </w:rPr>
          <w:fldChar w:fldCharType="end"/>
        </w:r>
      </w:hyperlink>
    </w:p>
    <w:p w14:paraId="3C9983B4" w14:textId="17884C4C" w:rsidR="003B19DD" w:rsidRDefault="00F379C0">
      <w:pPr>
        <w:pStyle w:val="TOC3"/>
        <w:rPr>
          <w:rFonts w:asciiTheme="minorHAnsi" w:eastAsiaTheme="minorEastAsia" w:hAnsiTheme="minorHAnsi" w:cstheme="minorBidi"/>
          <w:b w:val="0"/>
          <w:noProof/>
          <w:szCs w:val="22"/>
          <w:lang w:val="en-US" w:eastAsia="en-US"/>
        </w:rPr>
      </w:pPr>
      <w:hyperlink w:anchor="_Toc83996321" w:history="1">
        <w:r w:rsidR="003B19DD" w:rsidRPr="008E5396">
          <w:rPr>
            <w:rStyle w:val="Hyperlink"/>
            <w:rFonts w:cs="Arial"/>
            <w:noProof/>
            <w:lang w:val="hy-AM" w:eastAsia="en-US"/>
          </w:rPr>
          <w:t>Արտաքին քաղաքականություն</w:t>
        </w:r>
        <w:r w:rsidR="003B19DD">
          <w:rPr>
            <w:noProof/>
            <w:webHidden/>
          </w:rPr>
          <w:tab/>
        </w:r>
        <w:r w:rsidR="003B19DD">
          <w:rPr>
            <w:noProof/>
            <w:webHidden/>
          </w:rPr>
          <w:fldChar w:fldCharType="begin"/>
        </w:r>
        <w:r w:rsidR="003B19DD">
          <w:rPr>
            <w:noProof/>
            <w:webHidden/>
          </w:rPr>
          <w:instrText xml:space="preserve"> PAGEREF _Toc83996321 \h </w:instrText>
        </w:r>
        <w:r w:rsidR="003B19DD">
          <w:rPr>
            <w:noProof/>
            <w:webHidden/>
          </w:rPr>
        </w:r>
        <w:r w:rsidR="003B19DD">
          <w:rPr>
            <w:noProof/>
            <w:webHidden/>
          </w:rPr>
          <w:fldChar w:fldCharType="separate"/>
        </w:r>
        <w:r w:rsidR="003B19DD">
          <w:rPr>
            <w:noProof/>
            <w:webHidden/>
          </w:rPr>
          <w:t>19</w:t>
        </w:r>
        <w:r w:rsidR="003B19DD">
          <w:rPr>
            <w:noProof/>
            <w:webHidden/>
          </w:rPr>
          <w:fldChar w:fldCharType="end"/>
        </w:r>
      </w:hyperlink>
    </w:p>
    <w:p w14:paraId="685E56D2" w14:textId="32D2E500" w:rsidR="003B19DD" w:rsidRDefault="00F379C0">
      <w:pPr>
        <w:pStyle w:val="TOC3"/>
        <w:rPr>
          <w:rFonts w:asciiTheme="minorHAnsi" w:eastAsiaTheme="minorEastAsia" w:hAnsiTheme="minorHAnsi" w:cstheme="minorBidi"/>
          <w:b w:val="0"/>
          <w:noProof/>
          <w:szCs w:val="22"/>
          <w:lang w:val="en-US" w:eastAsia="en-US"/>
        </w:rPr>
      </w:pPr>
      <w:hyperlink w:anchor="_Toc83996322" w:history="1">
        <w:r w:rsidR="003B19DD" w:rsidRPr="008E5396">
          <w:rPr>
            <w:rStyle w:val="Hyperlink"/>
            <w:rFonts w:cs="Arial"/>
            <w:noProof/>
            <w:lang w:val="hy-AM" w:eastAsia="en-US"/>
          </w:rPr>
          <w:t>Սփյուռք</w:t>
        </w:r>
        <w:r w:rsidR="003B19DD">
          <w:rPr>
            <w:noProof/>
            <w:webHidden/>
          </w:rPr>
          <w:tab/>
        </w:r>
        <w:r w:rsidR="003B19DD">
          <w:rPr>
            <w:noProof/>
            <w:webHidden/>
          </w:rPr>
          <w:fldChar w:fldCharType="begin"/>
        </w:r>
        <w:r w:rsidR="003B19DD">
          <w:rPr>
            <w:noProof/>
            <w:webHidden/>
          </w:rPr>
          <w:instrText xml:space="preserve"> PAGEREF _Toc83996322 \h </w:instrText>
        </w:r>
        <w:r w:rsidR="003B19DD">
          <w:rPr>
            <w:noProof/>
            <w:webHidden/>
          </w:rPr>
        </w:r>
        <w:r w:rsidR="003B19DD">
          <w:rPr>
            <w:noProof/>
            <w:webHidden/>
          </w:rPr>
          <w:fldChar w:fldCharType="separate"/>
        </w:r>
        <w:r w:rsidR="003B19DD">
          <w:rPr>
            <w:noProof/>
            <w:webHidden/>
          </w:rPr>
          <w:t>20</w:t>
        </w:r>
        <w:r w:rsidR="003B19DD">
          <w:rPr>
            <w:noProof/>
            <w:webHidden/>
          </w:rPr>
          <w:fldChar w:fldCharType="end"/>
        </w:r>
      </w:hyperlink>
    </w:p>
    <w:p w14:paraId="0635AC9B" w14:textId="1D1BD59A" w:rsidR="003B19DD" w:rsidRDefault="00F379C0">
      <w:pPr>
        <w:pStyle w:val="TOC3"/>
        <w:rPr>
          <w:rFonts w:asciiTheme="minorHAnsi" w:eastAsiaTheme="minorEastAsia" w:hAnsiTheme="minorHAnsi" w:cstheme="minorBidi"/>
          <w:b w:val="0"/>
          <w:noProof/>
          <w:szCs w:val="22"/>
          <w:lang w:val="en-US" w:eastAsia="en-US"/>
        </w:rPr>
      </w:pPr>
      <w:hyperlink w:anchor="_Toc83996323" w:history="1">
        <w:r w:rsidR="003B19DD" w:rsidRPr="008E5396">
          <w:rPr>
            <w:rStyle w:val="Hyperlink"/>
            <w:rFonts w:cs="Arial"/>
            <w:noProof/>
            <w:lang w:val="hy-AM" w:eastAsia="en-US"/>
          </w:rPr>
          <w:t>Արդարադատություն</w:t>
        </w:r>
        <w:r w:rsidR="003B19DD">
          <w:rPr>
            <w:noProof/>
            <w:webHidden/>
          </w:rPr>
          <w:tab/>
        </w:r>
        <w:r w:rsidR="003B19DD">
          <w:rPr>
            <w:noProof/>
            <w:webHidden/>
          </w:rPr>
          <w:fldChar w:fldCharType="begin"/>
        </w:r>
        <w:r w:rsidR="003B19DD">
          <w:rPr>
            <w:noProof/>
            <w:webHidden/>
          </w:rPr>
          <w:instrText xml:space="preserve"> PAGEREF _Toc83996323 \h </w:instrText>
        </w:r>
        <w:r w:rsidR="003B19DD">
          <w:rPr>
            <w:noProof/>
            <w:webHidden/>
          </w:rPr>
        </w:r>
        <w:r w:rsidR="003B19DD">
          <w:rPr>
            <w:noProof/>
            <w:webHidden/>
          </w:rPr>
          <w:fldChar w:fldCharType="separate"/>
        </w:r>
        <w:r w:rsidR="003B19DD">
          <w:rPr>
            <w:noProof/>
            <w:webHidden/>
          </w:rPr>
          <w:t>21</w:t>
        </w:r>
        <w:r w:rsidR="003B19DD">
          <w:rPr>
            <w:noProof/>
            <w:webHidden/>
          </w:rPr>
          <w:fldChar w:fldCharType="end"/>
        </w:r>
      </w:hyperlink>
    </w:p>
    <w:p w14:paraId="542B6284" w14:textId="00D4FC34" w:rsidR="003B19DD" w:rsidRDefault="00F379C0">
      <w:pPr>
        <w:pStyle w:val="TOC3"/>
        <w:rPr>
          <w:rFonts w:asciiTheme="minorHAnsi" w:eastAsiaTheme="minorEastAsia" w:hAnsiTheme="minorHAnsi" w:cstheme="minorBidi"/>
          <w:b w:val="0"/>
          <w:noProof/>
          <w:szCs w:val="22"/>
          <w:lang w:val="en-US" w:eastAsia="en-US"/>
        </w:rPr>
      </w:pPr>
      <w:hyperlink w:anchor="_Toc83996324" w:history="1">
        <w:r w:rsidR="003B19DD" w:rsidRPr="008E5396">
          <w:rPr>
            <w:rStyle w:val="Hyperlink"/>
            <w:rFonts w:cs="Arial"/>
            <w:noProof/>
            <w:lang w:val="hy-AM" w:eastAsia="en-US"/>
          </w:rPr>
          <w:t>Կրթություն</w:t>
        </w:r>
        <w:r w:rsidR="003B19DD">
          <w:rPr>
            <w:noProof/>
            <w:webHidden/>
          </w:rPr>
          <w:tab/>
        </w:r>
        <w:r w:rsidR="003B19DD">
          <w:rPr>
            <w:noProof/>
            <w:webHidden/>
          </w:rPr>
          <w:fldChar w:fldCharType="begin"/>
        </w:r>
        <w:r w:rsidR="003B19DD">
          <w:rPr>
            <w:noProof/>
            <w:webHidden/>
          </w:rPr>
          <w:instrText xml:space="preserve"> PAGEREF _Toc83996324 \h </w:instrText>
        </w:r>
        <w:r w:rsidR="003B19DD">
          <w:rPr>
            <w:noProof/>
            <w:webHidden/>
          </w:rPr>
        </w:r>
        <w:r w:rsidR="003B19DD">
          <w:rPr>
            <w:noProof/>
            <w:webHidden/>
          </w:rPr>
          <w:fldChar w:fldCharType="separate"/>
        </w:r>
        <w:r w:rsidR="003B19DD">
          <w:rPr>
            <w:noProof/>
            <w:webHidden/>
          </w:rPr>
          <w:t>25</w:t>
        </w:r>
        <w:r w:rsidR="003B19DD">
          <w:rPr>
            <w:noProof/>
            <w:webHidden/>
          </w:rPr>
          <w:fldChar w:fldCharType="end"/>
        </w:r>
      </w:hyperlink>
    </w:p>
    <w:p w14:paraId="1F6F423D" w14:textId="77BAA436" w:rsidR="003B19DD" w:rsidRDefault="00F379C0">
      <w:pPr>
        <w:pStyle w:val="TOC3"/>
        <w:rPr>
          <w:rFonts w:asciiTheme="minorHAnsi" w:eastAsiaTheme="minorEastAsia" w:hAnsiTheme="minorHAnsi" w:cstheme="minorBidi"/>
          <w:b w:val="0"/>
          <w:noProof/>
          <w:szCs w:val="22"/>
          <w:lang w:val="en-US" w:eastAsia="en-US"/>
        </w:rPr>
      </w:pPr>
      <w:hyperlink w:anchor="_Toc83996325" w:history="1">
        <w:r w:rsidR="003B19DD" w:rsidRPr="008E5396">
          <w:rPr>
            <w:rStyle w:val="Hyperlink"/>
            <w:rFonts w:cs="Arial"/>
            <w:noProof/>
            <w:lang w:val="hy-AM" w:eastAsia="en-US"/>
          </w:rPr>
          <w:t>Գիտության ոլորտ</w:t>
        </w:r>
        <w:r w:rsidR="003B19DD">
          <w:rPr>
            <w:noProof/>
            <w:webHidden/>
          </w:rPr>
          <w:tab/>
        </w:r>
        <w:r w:rsidR="003B19DD">
          <w:rPr>
            <w:noProof/>
            <w:webHidden/>
          </w:rPr>
          <w:fldChar w:fldCharType="begin"/>
        </w:r>
        <w:r w:rsidR="003B19DD">
          <w:rPr>
            <w:noProof/>
            <w:webHidden/>
          </w:rPr>
          <w:instrText xml:space="preserve"> PAGEREF _Toc83996325 \h </w:instrText>
        </w:r>
        <w:r w:rsidR="003B19DD">
          <w:rPr>
            <w:noProof/>
            <w:webHidden/>
          </w:rPr>
        </w:r>
        <w:r w:rsidR="003B19DD">
          <w:rPr>
            <w:noProof/>
            <w:webHidden/>
          </w:rPr>
          <w:fldChar w:fldCharType="separate"/>
        </w:r>
        <w:r w:rsidR="003B19DD">
          <w:rPr>
            <w:noProof/>
            <w:webHidden/>
          </w:rPr>
          <w:t>26</w:t>
        </w:r>
        <w:r w:rsidR="003B19DD">
          <w:rPr>
            <w:noProof/>
            <w:webHidden/>
          </w:rPr>
          <w:fldChar w:fldCharType="end"/>
        </w:r>
      </w:hyperlink>
    </w:p>
    <w:p w14:paraId="0A4CE14D" w14:textId="07B28BBC" w:rsidR="003B19DD" w:rsidRDefault="00F379C0">
      <w:pPr>
        <w:pStyle w:val="TOC3"/>
        <w:rPr>
          <w:rFonts w:asciiTheme="minorHAnsi" w:eastAsiaTheme="minorEastAsia" w:hAnsiTheme="minorHAnsi" w:cstheme="minorBidi"/>
          <w:b w:val="0"/>
          <w:noProof/>
          <w:szCs w:val="22"/>
          <w:lang w:val="en-US" w:eastAsia="en-US"/>
        </w:rPr>
      </w:pPr>
      <w:hyperlink w:anchor="_Toc83996326" w:history="1">
        <w:r w:rsidR="003B19DD" w:rsidRPr="008E5396">
          <w:rPr>
            <w:rStyle w:val="Hyperlink"/>
            <w:rFonts w:cs="Arial"/>
            <w:noProof/>
            <w:lang w:val="hy-AM" w:eastAsia="en-US"/>
          </w:rPr>
          <w:t>Մշակույթ</w:t>
        </w:r>
        <w:r w:rsidR="003B19DD">
          <w:rPr>
            <w:noProof/>
            <w:webHidden/>
          </w:rPr>
          <w:tab/>
        </w:r>
        <w:r w:rsidR="003B19DD">
          <w:rPr>
            <w:noProof/>
            <w:webHidden/>
          </w:rPr>
          <w:fldChar w:fldCharType="begin"/>
        </w:r>
        <w:r w:rsidR="003B19DD">
          <w:rPr>
            <w:noProof/>
            <w:webHidden/>
          </w:rPr>
          <w:instrText xml:space="preserve"> PAGEREF _Toc83996326 \h </w:instrText>
        </w:r>
        <w:r w:rsidR="003B19DD">
          <w:rPr>
            <w:noProof/>
            <w:webHidden/>
          </w:rPr>
        </w:r>
        <w:r w:rsidR="003B19DD">
          <w:rPr>
            <w:noProof/>
            <w:webHidden/>
          </w:rPr>
          <w:fldChar w:fldCharType="separate"/>
        </w:r>
        <w:r w:rsidR="003B19DD">
          <w:rPr>
            <w:noProof/>
            <w:webHidden/>
          </w:rPr>
          <w:t>27</w:t>
        </w:r>
        <w:r w:rsidR="003B19DD">
          <w:rPr>
            <w:noProof/>
            <w:webHidden/>
          </w:rPr>
          <w:fldChar w:fldCharType="end"/>
        </w:r>
      </w:hyperlink>
    </w:p>
    <w:p w14:paraId="426BF0DC" w14:textId="59B8B196" w:rsidR="003B19DD" w:rsidRDefault="00F379C0">
      <w:pPr>
        <w:pStyle w:val="TOC3"/>
        <w:rPr>
          <w:rFonts w:asciiTheme="minorHAnsi" w:eastAsiaTheme="minorEastAsia" w:hAnsiTheme="minorHAnsi" w:cstheme="minorBidi"/>
          <w:b w:val="0"/>
          <w:noProof/>
          <w:szCs w:val="22"/>
          <w:lang w:val="en-US" w:eastAsia="en-US"/>
        </w:rPr>
      </w:pPr>
      <w:hyperlink w:anchor="_Toc83996327" w:history="1">
        <w:r w:rsidR="003B19DD" w:rsidRPr="008E5396">
          <w:rPr>
            <w:rStyle w:val="Hyperlink"/>
            <w:rFonts w:cs="Arial"/>
            <w:noProof/>
            <w:lang w:val="hy-AM" w:eastAsia="en-US"/>
          </w:rPr>
          <w:t>Սպորտ</w:t>
        </w:r>
        <w:r w:rsidR="003B19DD">
          <w:rPr>
            <w:noProof/>
            <w:webHidden/>
          </w:rPr>
          <w:tab/>
        </w:r>
        <w:r w:rsidR="003B19DD">
          <w:rPr>
            <w:noProof/>
            <w:webHidden/>
          </w:rPr>
          <w:fldChar w:fldCharType="begin"/>
        </w:r>
        <w:r w:rsidR="003B19DD">
          <w:rPr>
            <w:noProof/>
            <w:webHidden/>
          </w:rPr>
          <w:instrText xml:space="preserve"> PAGEREF _Toc83996327 \h </w:instrText>
        </w:r>
        <w:r w:rsidR="003B19DD">
          <w:rPr>
            <w:noProof/>
            <w:webHidden/>
          </w:rPr>
        </w:r>
        <w:r w:rsidR="003B19DD">
          <w:rPr>
            <w:noProof/>
            <w:webHidden/>
          </w:rPr>
          <w:fldChar w:fldCharType="separate"/>
        </w:r>
        <w:r w:rsidR="003B19DD">
          <w:rPr>
            <w:noProof/>
            <w:webHidden/>
          </w:rPr>
          <w:t>28</w:t>
        </w:r>
        <w:r w:rsidR="003B19DD">
          <w:rPr>
            <w:noProof/>
            <w:webHidden/>
          </w:rPr>
          <w:fldChar w:fldCharType="end"/>
        </w:r>
      </w:hyperlink>
    </w:p>
    <w:p w14:paraId="4203F001" w14:textId="54680FB5" w:rsidR="003B19DD" w:rsidRDefault="00F379C0">
      <w:pPr>
        <w:pStyle w:val="TOC3"/>
        <w:rPr>
          <w:rFonts w:asciiTheme="minorHAnsi" w:eastAsiaTheme="minorEastAsia" w:hAnsiTheme="minorHAnsi" w:cstheme="minorBidi"/>
          <w:b w:val="0"/>
          <w:noProof/>
          <w:szCs w:val="22"/>
          <w:lang w:val="en-US" w:eastAsia="en-US"/>
        </w:rPr>
      </w:pPr>
      <w:hyperlink w:anchor="_Toc83996328" w:history="1">
        <w:r w:rsidR="003B19DD" w:rsidRPr="008E5396">
          <w:rPr>
            <w:rStyle w:val="Hyperlink"/>
            <w:rFonts w:cs="Arial"/>
            <w:noProof/>
            <w:lang w:val="hy-AM" w:eastAsia="en-US"/>
          </w:rPr>
          <w:t>Երիտասարդություն</w:t>
        </w:r>
        <w:r w:rsidR="003B19DD">
          <w:rPr>
            <w:noProof/>
            <w:webHidden/>
          </w:rPr>
          <w:tab/>
        </w:r>
        <w:r w:rsidR="003B19DD">
          <w:rPr>
            <w:noProof/>
            <w:webHidden/>
          </w:rPr>
          <w:fldChar w:fldCharType="begin"/>
        </w:r>
        <w:r w:rsidR="003B19DD">
          <w:rPr>
            <w:noProof/>
            <w:webHidden/>
          </w:rPr>
          <w:instrText xml:space="preserve"> PAGEREF _Toc83996328 \h </w:instrText>
        </w:r>
        <w:r w:rsidR="003B19DD">
          <w:rPr>
            <w:noProof/>
            <w:webHidden/>
          </w:rPr>
        </w:r>
        <w:r w:rsidR="003B19DD">
          <w:rPr>
            <w:noProof/>
            <w:webHidden/>
          </w:rPr>
          <w:fldChar w:fldCharType="separate"/>
        </w:r>
        <w:r w:rsidR="003B19DD">
          <w:rPr>
            <w:noProof/>
            <w:webHidden/>
          </w:rPr>
          <w:t>29</w:t>
        </w:r>
        <w:r w:rsidR="003B19DD">
          <w:rPr>
            <w:noProof/>
            <w:webHidden/>
          </w:rPr>
          <w:fldChar w:fldCharType="end"/>
        </w:r>
      </w:hyperlink>
    </w:p>
    <w:p w14:paraId="2C1B262A" w14:textId="672F88F9" w:rsidR="003B19DD" w:rsidRDefault="00F379C0">
      <w:pPr>
        <w:pStyle w:val="TOC3"/>
        <w:rPr>
          <w:rFonts w:asciiTheme="minorHAnsi" w:eastAsiaTheme="minorEastAsia" w:hAnsiTheme="minorHAnsi" w:cstheme="minorBidi"/>
          <w:b w:val="0"/>
          <w:noProof/>
          <w:szCs w:val="22"/>
          <w:lang w:val="en-US" w:eastAsia="en-US"/>
        </w:rPr>
      </w:pPr>
      <w:hyperlink w:anchor="_Toc83996329" w:history="1">
        <w:r w:rsidR="003B19DD" w:rsidRPr="008E5396">
          <w:rPr>
            <w:rStyle w:val="Hyperlink"/>
            <w:rFonts w:cs="Arial"/>
            <w:noProof/>
            <w:lang w:val="hy-AM" w:eastAsia="en-US"/>
          </w:rPr>
          <w:t>Առողջապահություն</w:t>
        </w:r>
        <w:r w:rsidR="003B19DD">
          <w:rPr>
            <w:noProof/>
            <w:webHidden/>
          </w:rPr>
          <w:tab/>
        </w:r>
        <w:r w:rsidR="003B19DD">
          <w:rPr>
            <w:noProof/>
            <w:webHidden/>
          </w:rPr>
          <w:fldChar w:fldCharType="begin"/>
        </w:r>
        <w:r w:rsidR="003B19DD">
          <w:rPr>
            <w:noProof/>
            <w:webHidden/>
          </w:rPr>
          <w:instrText xml:space="preserve"> PAGEREF _Toc83996329 \h </w:instrText>
        </w:r>
        <w:r w:rsidR="003B19DD">
          <w:rPr>
            <w:noProof/>
            <w:webHidden/>
          </w:rPr>
        </w:r>
        <w:r w:rsidR="003B19DD">
          <w:rPr>
            <w:noProof/>
            <w:webHidden/>
          </w:rPr>
          <w:fldChar w:fldCharType="separate"/>
        </w:r>
        <w:r w:rsidR="003B19DD">
          <w:rPr>
            <w:noProof/>
            <w:webHidden/>
          </w:rPr>
          <w:t>29</w:t>
        </w:r>
        <w:r w:rsidR="003B19DD">
          <w:rPr>
            <w:noProof/>
            <w:webHidden/>
          </w:rPr>
          <w:fldChar w:fldCharType="end"/>
        </w:r>
      </w:hyperlink>
    </w:p>
    <w:p w14:paraId="2893DDE5" w14:textId="4A0D3B8D" w:rsidR="003B19DD" w:rsidRDefault="00F379C0">
      <w:pPr>
        <w:pStyle w:val="TOC3"/>
        <w:rPr>
          <w:rFonts w:asciiTheme="minorHAnsi" w:eastAsiaTheme="minorEastAsia" w:hAnsiTheme="minorHAnsi" w:cstheme="minorBidi"/>
          <w:b w:val="0"/>
          <w:noProof/>
          <w:szCs w:val="22"/>
          <w:lang w:val="en-US" w:eastAsia="en-US"/>
        </w:rPr>
      </w:pPr>
      <w:hyperlink w:anchor="_Toc83996330" w:history="1">
        <w:r w:rsidR="003B19DD" w:rsidRPr="008E5396">
          <w:rPr>
            <w:rStyle w:val="Hyperlink"/>
            <w:rFonts w:cs="Arial"/>
            <w:noProof/>
            <w:lang w:val="hy-AM" w:eastAsia="en-US"/>
          </w:rPr>
          <w:t>Աշխատանքի և սոցիալական պաշտպանություն</w:t>
        </w:r>
        <w:r w:rsidR="003B19DD">
          <w:rPr>
            <w:noProof/>
            <w:webHidden/>
          </w:rPr>
          <w:tab/>
        </w:r>
        <w:r w:rsidR="003B19DD">
          <w:rPr>
            <w:noProof/>
            <w:webHidden/>
          </w:rPr>
          <w:fldChar w:fldCharType="begin"/>
        </w:r>
        <w:r w:rsidR="003B19DD">
          <w:rPr>
            <w:noProof/>
            <w:webHidden/>
          </w:rPr>
          <w:instrText xml:space="preserve"> PAGEREF _Toc83996330 \h </w:instrText>
        </w:r>
        <w:r w:rsidR="003B19DD">
          <w:rPr>
            <w:noProof/>
            <w:webHidden/>
          </w:rPr>
        </w:r>
        <w:r w:rsidR="003B19DD">
          <w:rPr>
            <w:noProof/>
            <w:webHidden/>
          </w:rPr>
          <w:fldChar w:fldCharType="separate"/>
        </w:r>
        <w:r w:rsidR="003B19DD">
          <w:rPr>
            <w:noProof/>
            <w:webHidden/>
          </w:rPr>
          <w:t>31</w:t>
        </w:r>
        <w:r w:rsidR="003B19DD">
          <w:rPr>
            <w:noProof/>
            <w:webHidden/>
          </w:rPr>
          <w:fldChar w:fldCharType="end"/>
        </w:r>
      </w:hyperlink>
    </w:p>
    <w:p w14:paraId="4BB45C5A" w14:textId="56BEC7B5" w:rsidR="003B19DD" w:rsidRDefault="00F379C0">
      <w:pPr>
        <w:pStyle w:val="TOC3"/>
        <w:rPr>
          <w:rFonts w:asciiTheme="minorHAnsi" w:eastAsiaTheme="minorEastAsia" w:hAnsiTheme="minorHAnsi" w:cstheme="minorBidi"/>
          <w:b w:val="0"/>
          <w:noProof/>
          <w:szCs w:val="22"/>
          <w:lang w:val="en-US" w:eastAsia="en-US"/>
        </w:rPr>
      </w:pPr>
      <w:hyperlink w:anchor="_Toc83996331" w:history="1">
        <w:r w:rsidR="003B19DD" w:rsidRPr="008E5396">
          <w:rPr>
            <w:rStyle w:val="Hyperlink"/>
            <w:rFonts w:cs="Arial"/>
            <w:noProof/>
            <w:lang w:val="hy-AM" w:eastAsia="en-US"/>
          </w:rPr>
          <w:t>Շրջակա միջավայր</w:t>
        </w:r>
        <w:r w:rsidR="003B19DD">
          <w:rPr>
            <w:noProof/>
            <w:webHidden/>
          </w:rPr>
          <w:tab/>
        </w:r>
        <w:r w:rsidR="003B19DD">
          <w:rPr>
            <w:noProof/>
            <w:webHidden/>
          </w:rPr>
          <w:fldChar w:fldCharType="begin"/>
        </w:r>
        <w:r w:rsidR="003B19DD">
          <w:rPr>
            <w:noProof/>
            <w:webHidden/>
          </w:rPr>
          <w:instrText xml:space="preserve"> PAGEREF _Toc83996331 \h </w:instrText>
        </w:r>
        <w:r w:rsidR="003B19DD">
          <w:rPr>
            <w:noProof/>
            <w:webHidden/>
          </w:rPr>
        </w:r>
        <w:r w:rsidR="003B19DD">
          <w:rPr>
            <w:noProof/>
            <w:webHidden/>
          </w:rPr>
          <w:fldChar w:fldCharType="separate"/>
        </w:r>
        <w:r w:rsidR="003B19DD">
          <w:rPr>
            <w:noProof/>
            <w:webHidden/>
          </w:rPr>
          <w:t>33</w:t>
        </w:r>
        <w:r w:rsidR="003B19DD">
          <w:rPr>
            <w:noProof/>
            <w:webHidden/>
          </w:rPr>
          <w:fldChar w:fldCharType="end"/>
        </w:r>
      </w:hyperlink>
    </w:p>
    <w:p w14:paraId="6147D171" w14:textId="5CB48836" w:rsidR="003B19DD" w:rsidRDefault="00F379C0">
      <w:pPr>
        <w:pStyle w:val="TOC3"/>
        <w:rPr>
          <w:rFonts w:asciiTheme="minorHAnsi" w:eastAsiaTheme="minorEastAsia" w:hAnsiTheme="minorHAnsi" w:cstheme="minorBidi"/>
          <w:b w:val="0"/>
          <w:noProof/>
          <w:szCs w:val="22"/>
          <w:lang w:val="en-US" w:eastAsia="en-US"/>
        </w:rPr>
      </w:pPr>
      <w:hyperlink w:anchor="_Toc83996332" w:history="1">
        <w:r w:rsidR="003B19DD" w:rsidRPr="008E5396">
          <w:rPr>
            <w:rStyle w:val="Hyperlink"/>
            <w:rFonts w:cs="Arial"/>
            <w:noProof/>
            <w:lang w:val="hy-AM" w:eastAsia="en-US"/>
          </w:rPr>
          <w:t>Բյուջեների կազմման բնագավառ</w:t>
        </w:r>
        <w:r w:rsidR="003B19DD">
          <w:rPr>
            <w:noProof/>
            <w:webHidden/>
          </w:rPr>
          <w:tab/>
        </w:r>
        <w:r w:rsidR="003B19DD">
          <w:rPr>
            <w:noProof/>
            <w:webHidden/>
          </w:rPr>
          <w:fldChar w:fldCharType="begin"/>
        </w:r>
        <w:r w:rsidR="003B19DD">
          <w:rPr>
            <w:noProof/>
            <w:webHidden/>
          </w:rPr>
          <w:instrText xml:space="preserve"> PAGEREF _Toc83996332 \h </w:instrText>
        </w:r>
        <w:r w:rsidR="003B19DD">
          <w:rPr>
            <w:noProof/>
            <w:webHidden/>
          </w:rPr>
        </w:r>
        <w:r w:rsidR="003B19DD">
          <w:rPr>
            <w:noProof/>
            <w:webHidden/>
          </w:rPr>
          <w:fldChar w:fldCharType="separate"/>
        </w:r>
        <w:r w:rsidR="003B19DD">
          <w:rPr>
            <w:noProof/>
            <w:webHidden/>
          </w:rPr>
          <w:t>34</w:t>
        </w:r>
        <w:r w:rsidR="003B19DD">
          <w:rPr>
            <w:noProof/>
            <w:webHidden/>
          </w:rPr>
          <w:fldChar w:fldCharType="end"/>
        </w:r>
      </w:hyperlink>
    </w:p>
    <w:p w14:paraId="1B3AD9B5" w14:textId="39A387B2" w:rsidR="003B19DD" w:rsidRDefault="00F379C0">
      <w:pPr>
        <w:pStyle w:val="TOC3"/>
        <w:rPr>
          <w:rFonts w:asciiTheme="minorHAnsi" w:eastAsiaTheme="minorEastAsia" w:hAnsiTheme="minorHAnsi" w:cstheme="minorBidi"/>
          <w:b w:val="0"/>
          <w:noProof/>
          <w:szCs w:val="22"/>
          <w:lang w:val="en-US" w:eastAsia="en-US"/>
        </w:rPr>
      </w:pPr>
      <w:hyperlink w:anchor="_Toc83996333" w:history="1">
        <w:r w:rsidR="003B19DD" w:rsidRPr="008E5396">
          <w:rPr>
            <w:rStyle w:val="Hyperlink"/>
            <w:rFonts w:cs="Arial"/>
            <w:noProof/>
            <w:lang w:val="hy-AM" w:eastAsia="en-US"/>
          </w:rPr>
          <w:t>Հաշվապահական հաշվառման և աուդիտորական գործունեություն</w:t>
        </w:r>
        <w:r w:rsidR="003B19DD">
          <w:rPr>
            <w:noProof/>
            <w:webHidden/>
          </w:rPr>
          <w:tab/>
        </w:r>
        <w:r w:rsidR="003B19DD">
          <w:rPr>
            <w:noProof/>
            <w:webHidden/>
          </w:rPr>
          <w:fldChar w:fldCharType="begin"/>
        </w:r>
        <w:r w:rsidR="003B19DD">
          <w:rPr>
            <w:noProof/>
            <w:webHidden/>
          </w:rPr>
          <w:instrText xml:space="preserve"> PAGEREF _Toc83996333 \h </w:instrText>
        </w:r>
        <w:r w:rsidR="003B19DD">
          <w:rPr>
            <w:noProof/>
            <w:webHidden/>
          </w:rPr>
        </w:r>
        <w:r w:rsidR="003B19DD">
          <w:rPr>
            <w:noProof/>
            <w:webHidden/>
          </w:rPr>
          <w:fldChar w:fldCharType="separate"/>
        </w:r>
        <w:r w:rsidR="003B19DD">
          <w:rPr>
            <w:noProof/>
            <w:webHidden/>
          </w:rPr>
          <w:t>34</w:t>
        </w:r>
        <w:r w:rsidR="003B19DD">
          <w:rPr>
            <w:noProof/>
            <w:webHidden/>
          </w:rPr>
          <w:fldChar w:fldCharType="end"/>
        </w:r>
      </w:hyperlink>
    </w:p>
    <w:p w14:paraId="3BBEBFAF" w14:textId="18616E31" w:rsidR="003B19DD" w:rsidRDefault="00F379C0">
      <w:pPr>
        <w:pStyle w:val="TOC3"/>
        <w:rPr>
          <w:rFonts w:asciiTheme="minorHAnsi" w:eastAsiaTheme="minorEastAsia" w:hAnsiTheme="minorHAnsi" w:cstheme="minorBidi"/>
          <w:b w:val="0"/>
          <w:noProof/>
          <w:szCs w:val="22"/>
          <w:lang w:val="en-US" w:eastAsia="en-US"/>
        </w:rPr>
      </w:pPr>
      <w:hyperlink w:anchor="_Toc83996334" w:history="1">
        <w:r w:rsidR="003B19DD" w:rsidRPr="008E5396">
          <w:rPr>
            <w:rStyle w:val="Hyperlink"/>
            <w:rFonts w:cs="Arial"/>
            <w:noProof/>
            <w:lang w:val="hy-AM"/>
          </w:rPr>
          <w:t>Եկամուտների քաղաքականության ոլորտ</w:t>
        </w:r>
        <w:r w:rsidR="003B19DD">
          <w:rPr>
            <w:noProof/>
            <w:webHidden/>
          </w:rPr>
          <w:tab/>
        </w:r>
        <w:r w:rsidR="003B19DD">
          <w:rPr>
            <w:noProof/>
            <w:webHidden/>
          </w:rPr>
          <w:fldChar w:fldCharType="begin"/>
        </w:r>
        <w:r w:rsidR="003B19DD">
          <w:rPr>
            <w:noProof/>
            <w:webHidden/>
          </w:rPr>
          <w:instrText xml:space="preserve"> PAGEREF _Toc83996334 \h </w:instrText>
        </w:r>
        <w:r w:rsidR="003B19DD">
          <w:rPr>
            <w:noProof/>
            <w:webHidden/>
          </w:rPr>
        </w:r>
        <w:r w:rsidR="003B19DD">
          <w:rPr>
            <w:noProof/>
            <w:webHidden/>
          </w:rPr>
          <w:fldChar w:fldCharType="separate"/>
        </w:r>
        <w:r w:rsidR="003B19DD">
          <w:rPr>
            <w:noProof/>
            <w:webHidden/>
          </w:rPr>
          <w:t>35</w:t>
        </w:r>
        <w:r w:rsidR="003B19DD">
          <w:rPr>
            <w:noProof/>
            <w:webHidden/>
          </w:rPr>
          <w:fldChar w:fldCharType="end"/>
        </w:r>
      </w:hyperlink>
    </w:p>
    <w:p w14:paraId="1FCC68A1" w14:textId="0ECB4012" w:rsidR="003B19DD" w:rsidRDefault="00F379C0">
      <w:pPr>
        <w:pStyle w:val="TOC3"/>
        <w:rPr>
          <w:rFonts w:asciiTheme="minorHAnsi" w:eastAsiaTheme="minorEastAsia" w:hAnsiTheme="minorHAnsi" w:cstheme="minorBidi"/>
          <w:b w:val="0"/>
          <w:noProof/>
          <w:szCs w:val="22"/>
          <w:lang w:val="en-US" w:eastAsia="en-US"/>
        </w:rPr>
      </w:pPr>
      <w:hyperlink w:anchor="_Toc83996335" w:history="1">
        <w:r w:rsidR="003B19DD" w:rsidRPr="008E5396">
          <w:rPr>
            <w:rStyle w:val="Hyperlink"/>
            <w:rFonts w:cs="Arial"/>
            <w:noProof/>
            <w:lang w:val="hy-AM" w:eastAsia="en-US"/>
          </w:rPr>
          <w:t>Պետական եկամուտների վարչարարություն</w:t>
        </w:r>
        <w:r w:rsidR="003B19DD">
          <w:rPr>
            <w:noProof/>
            <w:webHidden/>
          </w:rPr>
          <w:tab/>
        </w:r>
        <w:r w:rsidR="003B19DD">
          <w:rPr>
            <w:noProof/>
            <w:webHidden/>
          </w:rPr>
          <w:fldChar w:fldCharType="begin"/>
        </w:r>
        <w:r w:rsidR="003B19DD">
          <w:rPr>
            <w:noProof/>
            <w:webHidden/>
          </w:rPr>
          <w:instrText xml:space="preserve"> PAGEREF _Toc83996335 \h </w:instrText>
        </w:r>
        <w:r w:rsidR="003B19DD">
          <w:rPr>
            <w:noProof/>
            <w:webHidden/>
          </w:rPr>
        </w:r>
        <w:r w:rsidR="003B19DD">
          <w:rPr>
            <w:noProof/>
            <w:webHidden/>
          </w:rPr>
          <w:fldChar w:fldCharType="separate"/>
        </w:r>
        <w:r w:rsidR="003B19DD">
          <w:rPr>
            <w:noProof/>
            <w:webHidden/>
          </w:rPr>
          <w:t>36</w:t>
        </w:r>
        <w:r w:rsidR="003B19DD">
          <w:rPr>
            <w:noProof/>
            <w:webHidden/>
          </w:rPr>
          <w:fldChar w:fldCharType="end"/>
        </w:r>
      </w:hyperlink>
    </w:p>
    <w:p w14:paraId="7FD6A9F9" w14:textId="5E1B64BF" w:rsidR="003B19DD" w:rsidRDefault="00F379C0">
      <w:pPr>
        <w:pStyle w:val="TOC3"/>
        <w:rPr>
          <w:rFonts w:asciiTheme="minorHAnsi" w:eastAsiaTheme="minorEastAsia" w:hAnsiTheme="minorHAnsi" w:cstheme="minorBidi"/>
          <w:b w:val="0"/>
          <w:noProof/>
          <w:szCs w:val="22"/>
          <w:lang w:val="en-US" w:eastAsia="en-US"/>
        </w:rPr>
      </w:pPr>
      <w:hyperlink w:anchor="_Toc83996336" w:history="1">
        <w:r w:rsidR="003B19DD" w:rsidRPr="008E5396">
          <w:rPr>
            <w:rStyle w:val="Hyperlink"/>
            <w:rFonts w:cs="Arial"/>
            <w:noProof/>
            <w:lang w:val="hy-AM"/>
          </w:rPr>
          <w:t>Կապիտալի շուկայի զարգացում</w:t>
        </w:r>
        <w:r w:rsidR="003B19DD">
          <w:rPr>
            <w:noProof/>
            <w:webHidden/>
          </w:rPr>
          <w:tab/>
        </w:r>
        <w:r w:rsidR="003B19DD">
          <w:rPr>
            <w:noProof/>
            <w:webHidden/>
          </w:rPr>
          <w:fldChar w:fldCharType="begin"/>
        </w:r>
        <w:r w:rsidR="003B19DD">
          <w:rPr>
            <w:noProof/>
            <w:webHidden/>
          </w:rPr>
          <w:instrText xml:space="preserve"> PAGEREF _Toc83996336 \h </w:instrText>
        </w:r>
        <w:r w:rsidR="003B19DD">
          <w:rPr>
            <w:noProof/>
            <w:webHidden/>
          </w:rPr>
        </w:r>
        <w:r w:rsidR="003B19DD">
          <w:rPr>
            <w:noProof/>
            <w:webHidden/>
          </w:rPr>
          <w:fldChar w:fldCharType="separate"/>
        </w:r>
        <w:r w:rsidR="003B19DD">
          <w:rPr>
            <w:noProof/>
            <w:webHidden/>
          </w:rPr>
          <w:t>38</w:t>
        </w:r>
        <w:r w:rsidR="003B19DD">
          <w:rPr>
            <w:noProof/>
            <w:webHidden/>
          </w:rPr>
          <w:fldChar w:fldCharType="end"/>
        </w:r>
      </w:hyperlink>
    </w:p>
    <w:p w14:paraId="6943AC37" w14:textId="70056E9C" w:rsidR="003B19DD" w:rsidRDefault="00F379C0">
      <w:pPr>
        <w:pStyle w:val="TOC3"/>
        <w:rPr>
          <w:rFonts w:asciiTheme="minorHAnsi" w:eastAsiaTheme="minorEastAsia" w:hAnsiTheme="minorHAnsi" w:cstheme="minorBidi"/>
          <w:b w:val="0"/>
          <w:noProof/>
          <w:szCs w:val="22"/>
          <w:lang w:val="en-US" w:eastAsia="en-US"/>
        </w:rPr>
      </w:pPr>
      <w:hyperlink w:anchor="_Toc83996337" w:history="1">
        <w:r w:rsidR="003B19DD" w:rsidRPr="008E5396">
          <w:rPr>
            <w:rStyle w:val="Hyperlink"/>
            <w:rFonts w:cs="Arial"/>
            <w:noProof/>
            <w:lang w:val="hy-AM" w:eastAsia="en-US"/>
          </w:rPr>
          <w:t>Անշարժ գույքի կադաստր</w:t>
        </w:r>
        <w:r w:rsidR="003B19DD">
          <w:rPr>
            <w:noProof/>
            <w:webHidden/>
          </w:rPr>
          <w:tab/>
        </w:r>
        <w:r w:rsidR="003B19DD">
          <w:rPr>
            <w:noProof/>
            <w:webHidden/>
          </w:rPr>
          <w:fldChar w:fldCharType="begin"/>
        </w:r>
        <w:r w:rsidR="003B19DD">
          <w:rPr>
            <w:noProof/>
            <w:webHidden/>
          </w:rPr>
          <w:instrText xml:space="preserve"> PAGEREF _Toc83996337 \h </w:instrText>
        </w:r>
        <w:r w:rsidR="003B19DD">
          <w:rPr>
            <w:noProof/>
            <w:webHidden/>
          </w:rPr>
        </w:r>
        <w:r w:rsidR="003B19DD">
          <w:rPr>
            <w:noProof/>
            <w:webHidden/>
          </w:rPr>
          <w:fldChar w:fldCharType="separate"/>
        </w:r>
        <w:r w:rsidR="003B19DD">
          <w:rPr>
            <w:noProof/>
            <w:webHidden/>
          </w:rPr>
          <w:t>38</w:t>
        </w:r>
        <w:r w:rsidR="003B19DD">
          <w:rPr>
            <w:noProof/>
            <w:webHidden/>
          </w:rPr>
          <w:fldChar w:fldCharType="end"/>
        </w:r>
      </w:hyperlink>
    </w:p>
    <w:p w14:paraId="6432B66F" w14:textId="76083490" w:rsidR="003B19DD" w:rsidRDefault="00F379C0">
      <w:pPr>
        <w:pStyle w:val="TOC3"/>
        <w:rPr>
          <w:rFonts w:asciiTheme="minorHAnsi" w:eastAsiaTheme="minorEastAsia" w:hAnsiTheme="minorHAnsi" w:cstheme="minorBidi"/>
          <w:b w:val="0"/>
          <w:noProof/>
          <w:szCs w:val="22"/>
          <w:lang w:val="en-US" w:eastAsia="en-US"/>
        </w:rPr>
      </w:pPr>
      <w:hyperlink w:anchor="_Toc83996338" w:history="1">
        <w:r w:rsidR="003B19DD" w:rsidRPr="008E5396">
          <w:rPr>
            <w:rStyle w:val="Hyperlink"/>
            <w:rFonts w:cs="Arial"/>
            <w:noProof/>
            <w:lang w:val="hy-AM" w:eastAsia="en-US"/>
          </w:rPr>
          <w:t>Հասարակական կարգի պահպանություն</w:t>
        </w:r>
        <w:r w:rsidR="003B19DD">
          <w:rPr>
            <w:noProof/>
            <w:webHidden/>
          </w:rPr>
          <w:tab/>
        </w:r>
        <w:r w:rsidR="003B19DD">
          <w:rPr>
            <w:noProof/>
            <w:webHidden/>
          </w:rPr>
          <w:fldChar w:fldCharType="begin"/>
        </w:r>
        <w:r w:rsidR="003B19DD">
          <w:rPr>
            <w:noProof/>
            <w:webHidden/>
          </w:rPr>
          <w:instrText xml:space="preserve"> PAGEREF _Toc83996338 \h </w:instrText>
        </w:r>
        <w:r w:rsidR="003B19DD">
          <w:rPr>
            <w:noProof/>
            <w:webHidden/>
          </w:rPr>
        </w:r>
        <w:r w:rsidR="003B19DD">
          <w:rPr>
            <w:noProof/>
            <w:webHidden/>
          </w:rPr>
          <w:fldChar w:fldCharType="separate"/>
        </w:r>
        <w:r w:rsidR="003B19DD">
          <w:rPr>
            <w:noProof/>
            <w:webHidden/>
          </w:rPr>
          <w:t>39</w:t>
        </w:r>
        <w:r w:rsidR="003B19DD">
          <w:rPr>
            <w:noProof/>
            <w:webHidden/>
          </w:rPr>
          <w:fldChar w:fldCharType="end"/>
        </w:r>
      </w:hyperlink>
    </w:p>
    <w:p w14:paraId="088DB537" w14:textId="0E945B3F" w:rsidR="003B19DD" w:rsidRDefault="00F379C0">
      <w:pPr>
        <w:pStyle w:val="TOC1"/>
        <w:rPr>
          <w:rFonts w:asciiTheme="minorHAnsi" w:eastAsiaTheme="minorEastAsia" w:hAnsiTheme="minorHAnsi" w:cstheme="minorBidi"/>
          <w:b w:val="0"/>
          <w:noProof/>
          <w:szCs w:val="22"/>
          <w:lang w:val="en-US" w:eastAsia="en-US"/>
        </w:rPr>
      </w:pPr>
      <w:hyperlink w:anchor="_Toc83996339" w:history="1">
        <w:r w:rsidR="003B19DD" w:rsidRPr="008E5396">
          <w:rPr>
            <w:rStyle w:val="Hyperlink"/>
            <w:noProof/>
            <w:lang w:val="hy-AM"/>
          </w:rPr>
          <w:t>ՄԱՍ I - Բ. ՄԱԿՐՈՏՆՏԵՍԱԿԱՆ ԶԱՐԳԱՑՈՒՄՆԵՐ ԵՎ ԿԱՆԽԱՏԵՍՈՒՄՆԵՐ</w:t>
        </w:r>
        <w:r w:rsidR="003B19DD">
          <w:rPr>
            <w:noProof/>
            <w:webHidden/>
          </w:rPr>
          <w:tab/>
        </w:r>
        <w:r w:rsidR="003B19DD">
          <w:rPr>
            <w:noProof/>
            <w:webHidden/>
          </w:rPr>
          <w:fldChar w:fldCharType="begin"/>
        </w:r>
        <w:r w:rsidR="003B19DD">
          <w:rPr>
            <w:noProof/>
            <w:webHidden/>
          </w:rPr>
          <w:instrText xml:space="preserve"> PAGEREF _Toc83996339 \h </w:instrText>
        </w:r>
        <w:r w:rsidR="003B19DD">
          <w:rPr>
            <w:noProof/>
            <w:webHidden/>
          </w:rPr>
        </w:r>
        <w:r w:rsidR="003B19DD">
          <w:rPr>
            <w:noProof/>
            <w:webHidden/>
          </w:rPr>
          <w:fldChar w:fldCharType="separate"/>
        </w:r>
        <w:r w:rsidR="003B19DD">
          <w:rPr>
            <w:noProof/>
            <w:webHidden/>
          </w:rPr>
          <w:t>43</w:t>
        </w:r>
        <w:r w:rsidR="003B19DD">
          <w:rPr>
            <w:noProof/>
            <w:webHidden/>
          </w:rPr>
          <w:fldChar w:fldCharType="end"/>
        </w:r>
      </w:hyperlink>
    </w:p>
    <w:p w14:paraId="3F6DC03E" w14:textId="34119912" w:rsidR="003B19DD" w:rsidRDefault="00F379C0">
      <w:pPr>
        <w:pStyle w:val="TOC3"/>
        <w:rPr>
          <w:rFonts w:asciiTheme="minorHAnsi" w:eastAsiaTheme="minorEastAsia" w:hAnsiTheme="minorHAnsi" w:cstheme="minorBidi"/>
          <w:b w:val="0"/>
          <w:noProof/>
          <w:szCs w:val="22"/>
          <w:lang w:val="en-US" w:eastAsia="en-US"/>
        </w:rPr>
      </w:pPr>
      <w:hyperlink w:anchor="_Toc83996340" w:history="1">
        <w:r w:rsidR="003B19DD" w:rsidRPr="008E5396">
          <w:rPr>
            <w:rStyle w:val="Hyperlink"/>
            <w:bCs/>
            <w:noProof/>
            <w:lang w:val="hy-AM"/>
          </w:rPr>
          <w:t>1.1 ՄԱԿՐՈՏՆՏԵՍԱԿԱՆ ԱՄՓՈՓԱԳԻՐ ԵՎ ՇՐՋԱՆԱԿ</w:t>
        </w:r>
        <w:r w:rsidR="003B19DD">
          <w:rPr>
            <w:noProof/>
            <w:webHidden/>
          </w:rPr>
          <w:tab/>
        </w:r>
        <w:r w:rsidR="003B19DD">
          <w:rPr>
            <w:noProof/>
            <w:webHidden/>
          </w:rPr>
          <w:fldChar w:fldCharType="begin"/>
        </w:r>
        <w:r w:rsidR="003B19DD">
          <w:rPr>
            <w:noProof/>
            <w:webHidden/>
          </w:rPr>
          <w:instrText xml:space="preserve"> PAGEREF _Toc83996340 \h </w:instrText>
        </w:r>
        <w:r w:rsidR="003B19DD">
          <w:rPr>
            <w:noProof/>
            <w:webHidden/>
          </w:rPr>
        </w:r>
        <w:r w:rsidR="003B19DD">
          <w:rPr>
            <w:noProof/>
            <w:webHidden/>
          </w:rPr>
          <w:fldChar w:fldCharType="separate"/>
        </w:r>
        <w:r w:rsidR="003B19DD">
          <w:rPr>
            <w:noProof/>
            <w:webHidden/>
          </w:rPr>
          <w:t>43</w:t>
        </w:r>
        <w:r w:rsidR="003B19DD">
          <w:rPr>
            <w:noProof/>
            <w:webHidden/>
          </w:rPr>
          <w:fldChar w:fldCharType="end"/>
        </w:r>
      </w:hyperlink>
    </w:p>
    <w:p w14:paraId="7074EC61" w14:textId="5BB2B5A1" w:rsidR="003B19DD" w:rsidRDefault="00F379C0">
      <w:pPr>
        <w:pStyle w:val="TOC3"/>
        <w:rPr>
          <w:rFonts w:asciiTheme="minorHAnsi" w:eastAsiaTheme="minorEastAsia" w:hAnsiTheme="minorHAnsi" w:cstheme="minorBidi"/>
          <w:b w:val="0"/>
          <w:noProof/>
          <w:szCs w:val="22"/>
          <w:lang w:val="en-US" w:eastAsia="en-US"/>
        </w:rPr>
      </w:pPr>
      <w:hyperlink w:anchor="_Toc83996341" w:history="1">
        <w:r w:rsidR="003B19DD" w:rsidRPr="008E5396">
          <w:rPr>
            <w:rStyle w:val="Hyperlink"/>
            <w:bCs/>
            <w:noProof/>
            <w:lang w:val="hy-AM"/>
          </w:rPr>
          <w:t>1.2. ՀԱՄԱՇԽԱՐՀԱՅԻՆ ՏՆՏԵՍՈՒԹՅԱՆ ԵՎ ԳՈՐԾԸՆԿԵՐ ԵՐԿՐՆԵՐԻ ԶԱՐԳԱՑՈՒՄՆԵՐ ԵՎ ԿԱՆԽԱՏԵՍՈՒՄՆԵՐ</w:t>
        </w:r>
        <w:r w:rsidR="003B19DD">
          <w:rPr>
            <w:noProof/>
            <w:webHidden/>
          </w:rPr>
          <w:tab/>
        </w:r>
        <w:r w:rsidR="003B19DD">
          <w:rPr>
            <w:noProof/>
            <w:webHidden/>
          </w:rPr>
          <w:fldChar w:fldCharType="begin"/>
        </w:r>
        <w:r w:rsidR="003B19DD">
          <w:rPr>
            <w:noProof/>
            <w:webHidden/>
          </w:rPr>
          <w:instrText xml:space="preserve"> PAGEREF _Toc83996341 \h </w:instrText>
        </w:r>
        <w:r w:rsidR="003B19DD">
          <w:rPr>
            <w:noProof/>
            <w:webHidden/>
          </w:rPr>
        </w:r>
        <w:r w:rsidR="003B19DD">
          <w:rPr>
            <w:noProof/>
            <w:webHidden/>
          </w:rPr>
          <w:fldChar w:fldCharType="separate"/>
        </w:r>
        <w:r w:rsidR="003B19DD">
          <w:rPr>
            <w:noProof/>
            <w:webHidden/>
          </w:rPr>
          <w:t>46</w:t>
        </w:r>
        <w:r w:rsidR="003B19DD">
          <w:rPr>
            <w:noProof/>
            <w:webHidden/>
          </w:rPr>
          <w:fldChar w:fldCharType="end"/>
        </w:r>
      </w:hyperlink>
    </w:p>
    <w:p w14:paraId="509D279E" w14:textId="0A840B7F" w:rsidR="003B19DD" w:rsidRDefault="00F379C0">
      <w:pPr>
        <w:pStyle w:val="TOC3"/>
        <w:rPr>
          <w:rFonts w:asciiTheme="minorHAnsi" w:eastAsiaTheme="minorEastAsia" w:hAnsiTheme="minorHAnsi" w:cstheme="minorBidi"/>
          <w:b w:val="0"/>
          <w:noProof/>
          <w:szCs w:val="22"/>
          <w:lang w:val="en-US" w:eastAsia="en-US"/>
        </w:rPr>
      </w:pPr>
      <w:hyperlink w:anchor="_Toc83996342" w:history="1">
        <w:r w:rsidR="003B19DD" w:rsidRPr="008E5396">
          <w:rPr>
            <w:rStyle w:val="Hyperlink"/>
            <w:bCs/>
            <w:noProof/>
            <w:lang w:val="hy-AM" w:eastAsia="en-US"/>
          </w:rPr>
          <w:t>1.3. ՀՀ ՄԱԿՐՈՏՆՏԵՍԱԿԱՆ ԶԱՐԳԱՑՈՒՄՆԵՐ ԵՎ ԿԱՆԽԱՏԵՍՈՒՄՆԵՐ</w:t>
        </w:r>
        <w:r w:rsidR="003B19DD">
          <w:rPr>
            <w:noProof/>
            <w:webHidden/>
          </w:rPr>
          <w:tab/>
        </w:r>
        <w:r w:rsidR="003B19DD">
          <w:rPr>
            <w:noProof/>
            <w:webHidden/>
          </w:rPr>
          <w:fldChar w:fldCharType="begin"/>
        </w:r>
        <w:r w:rsidR="003B19DD">
          <w:rPr>
            <w:noProof/>
            <w:webHidden/>
          </w:rPr>
          <w:instrText xml:space="preserve"> PAGEREF _Toc83996342 \h </w:instrText>
        </w:r>
        <w:r w:rsidR="003B19DD">
          <w:rPr>
            <w:noProof/>
            <w:webHidden/>
          </w:rPr>
        </w:r>
        <w:r w:rsidR="003B19DD">
          <w:rPr>
            <w:noProof/>
            <w:webHidden/>
          </w:rPr>
          <w:fldChar w:fldCharType="separate"/>
        </w:r>
        <w:r w:rsidR="003B19DD">
          <w:rPr>
            <w:noProof/>
            <w:webHidden/>
          </w:rPr>
          <w:t>50</w:t>
        </w:r>
        <w:r w:rsidR="003B19DD">
          <w:rPr>
            <w:noProof/>
            <w:webHidden/>
          </w:rPr>
          <w:fldChar w:fldCharType="end"/>
        </w:r>
      </w:hyperlink>
    </w:p>
    <w:p w14:paraId="3805C545" w14:textId="03074E83" w:rsidR="003B19DD" w:rsidRDefault="00F379C0">
      <w:pPr>
        <w:pStyle w:val="TOC3"/>
        <w:rPr>
          <w:rFonts w:asciiTheme="minorHAnsi" w:eastAsiaTheme="minorEastAsia" w:hAnsiTheme="minorHAnsi" w:cstheme="minorBidi"/>
          <w:b w:val="0"/>
          <w:noProof/>
          <w:szCs w:val="22"/>
          <w:lang w:val="en-US" w:eastAsia="en-US"/>
        </w:rPr>
      </w:pPr>
      <w:hyperlink w:anchor="_Toc83996343" w:history="1">
        <w:r w:rsidR="003B19DD" w:rsidRPr="008E5396">
          <w:rPr>
            <w:rStyle w:val="Hyperlink"/>
            <w:bCs/>
            <w:noProof/>
            <w:lang w:val="hy-AM"/>
          </w:rPr>
          <w:t>1.4. ԿԱՆԽԱՏԵՍՈՒՄՆԵՐԻ ՀԻՄՔՈՒՄ ԸՆԿԱԾ ԵՆԹԱԴՐՈՒԹՅՈՒՆՆԵՐԸ</w:t>
        </w:r>
        <w:r w:rsidR="003B19DD">
          <w:rPr>
            <w:noProof/>
            <w:webHidden/>
          </w:rPr>
          <w:tab/>
        </w:r>
        <w:r w:rsidR="003B19DD">
          <w:rPr>
            <w:noProof/>
            <w:webHidden/>
          </w:rPr>
          <w:fldChar w:fldCharType="begin"/>
        </w:r>
        <w:r w:rsidR="003B19DD">
          <w:rPr>
            <w:noProof/>
            <w:webHidden/>
          </w:rPr>
          <w:instrText xml:space="preserve"> PAGEREF _Toc83996343 \h </w:instrText>
        </w:r>
        <w:r w:rsidR="003B19DD">
          <w:rPr>
            <w:noProof/>
            <w:webHidden/>
          </w:rPr>
        </w:r>
        <w:r w:rsidR="003B19DD">
          <w:rPr>
            <w:noProof/>
            <w:webHidden/>
          </w:rPr>
          <w:fldChar w:fldCharType="separate"/>
        </w:r>
        <w:r w:rsidR="003B19DD">
          <w:rPr>
            <w:noProof/>
            <w:webHidden/>
          </w:rPr>
          <w:t>63</w:t>
        </w:r>
        <w:r w:rsidR="003B19DD">
          <w:rPr>
            <w:noProof/>
            <w:webHidden/>
          </w:rPr>
          <w:fldChar w:fldCharType="end"/>
        </w:r>
      </w:hyperlink>
    </w:p>
    <w:p w14:paraId="506DBEFC" w14:textId="793E3831" w:rsidR="003B19DD" w:rsidRDefault="00F379C0">
      <w:pPr>
        <w:pStyle w:val="TOC3"/>
        <w:rPr>
          <w:rFonts w:asciiTheme="minorHAnsi" w:eastAsiaTheme="minorEastAsia" w:hAnsiTheme="minorHAnsi" w:cstheme="minorBidi"/>
          <w:b w:val="0"/>
          <w:noProof/>
          <w:szCs w:val="22"/>
          <w:lang w:val="en-US" w:eastAsia="en-US"/>
        </w:rPr>
      </w:pPr>
      <w:hyperlink w:anchor="_Toc83996344" w:history="1">
        <w:r w:rsidR="003B19DD" w:rsidRPr="008E5396">
          <w:rPr>
            <w:rStyle w:val="Hyperlink"/>
            <w:bCs/>
            <w:noProof/>
            <w:lang w:val="hy-AM" w:eastAsia="en-US"/>
          </w:rPr>
          <w:t>1.5. ՄԱԿՐՈՏՆՏԵՍԱԿԱՆ ԿԱՆԽԱՏԵՍՈՒՄՆԵՐԻ ՌԻՍԿԵՐԸ</w:t>
        </w:r>
        <w:r w:rsidR="003B19DD">
          <w:rPr>
            <w:noProof/>
            <w:webHidden/>
          </w:rPr>
          <w:tab/>
        </w:r>
        <w:r w:rsidR="003B19DD">
          <w:rPr>
            <w:noProof/>
            <w:webHidden/>
          </w:rPr>
          <w:fldChar w:fldCharType="begin"/>
        </w:r>
        <w:r w:rsidR="003B19DD">
          <w:rPr>
            <w:noProof/>
            <w:webHidden/>
          </w:rPr>
          <w:instrText xml:space="preserve"> PAGEREF _Toc83996344 \h </w:instrText>
        </w:r>
        <w:r w:rsidR="003B19DD">
          <w:rPr>
            <w:noProof/>
            <w:webHidden/>
          </w:rPr>
        </w:r>
        <w:r w:rsidR="003B19DD">
          <w:rPr>
            <w:noProof/>
            <w:webHidden/>
          </w:rPr>
          <w:fldChar w:fldCharType="separate"/>
        </w:r>
        <w:r w:rsidR="003B19DD">
          <w:rPr>
            <w:noProof/>
            <w:webHidden/>
          </w:rPr>
          <w:t>67</w:t>
        </w:r>
        <w:r w:rsidR="003B19DD">
          <w:rPr>
            <w:noProof/>
            <w:webHidden/>
          </w:rPr>
          <w:fldChar w:fldCharType="end"/>
        </w:r>
      </w:hyperlink>
    </w:p>
    <w:p w14:paraId="1D449800" w14:textId="7EBEA6C2" w:rsidR="003B19DD" w:rsidRDefault="00F379C0">
      <w:pPr>
        <w:pStyle w:val="TOC3"/>
        <w:rPr>
          <w:rFonts w:asciiTheme="minorHAnsi" w:eastAsiaTheme="minorEastAsia" w:hAnsiTheme="minorHAnsi" w:cstheme="minorBidi"/>
          <w:b w:val="0"/>
          <w:noProof/>
          <w:szCs w:val="22"/>
          <w:lang w:val="en-US" w:eastAsia="en-US"/>
        </w:rPr>
      </w:pPr>
      <w:hyperlink w:anchor="_Toc83996345" w:history="1">
        <w:r w:rsidR="003B19DD" w:rsidRPr="008E5396">
          <w:rPr>
            <w:rStyle w:val="Hyperlink"/>
            <w:bCs/>
            <w:noProof/>
            <w:lang w:val="hy-AM"/>
          </w:rPr>
          <w:t>1.6. ՀԱՄԵՄԱՏՈՒԹՅՈՒՆ ՆԱԽՈՐԴ ԿԱՆԽԱՏԵՍՈՒՄՆԵՐԻ ՀԵՏ</w:t>
        </w:r>
        <w:r w:rsidR="003B19DD">
          <w:rPr>
            <w:noProof/>
            <w:webHidden/>
          </w:rPr>
          <w:tab/>
        </w:r>
        <w:r w:rsidR="003B19DD">
          <w:rPr>
            <w:noProof/>
            <w:webHidden/>
          </w:rPr>
          <w:fldChar w:fldCharType="begin"/>
        </w:r>
        <w:r w:rsidR="003B19DD">
          <w:rPr>
            <w:noProof/>
            <w:webHidden/>
          </w:rPr>
          <w:instrText xml:space="preserve"> PAGEREF _Toc83996345 \h </w:instrText>
        </w:r>
        <w:r w:rsidR="003B19DD">
          <w:rPr>
            <w:noProof/>
            <w:webHidden/>
          </w:rPr>
        </w:r>
        <w:r w:rsidR="003B19DD">
          <w:rPr>
            <w:noProof/>
            <w:webHidden/>
          </w:rPr>
          <w:fldChar w:fldCharType="separate"/>
        </w:r>
        <w:r w:rsidR="003B19DD">
          <w:rPr>
            <w:noProof/>
            <w:webHidden/>
          </w:rPr>
          <w:t>70</w:t>
        </w:r>
        <w:r w:rsidR="003B19DD">
          <w:rPr>
            <w:noProof/>
            <w:webHidden/>
          </w:rPr>
          <w:fldChar w:fldCharType="end"/>
        </w:r>
      </w:hyperlink>
    </w:p>
    <w:p w14:paraId="6B87F24B" w14:textId="35F63156" w:rsidR="003B19DD" w:rsidRDefault="00F379C0">
      <w:pPr>
        <w:pStyle w:val="TOC1"/>
        <w:rPr>
          <w:rFonts w:asciiTheme="minorHAnsi" w:eastAsiaTheme="minorEastAsia" w:hAnsiTheme="minorHAnsi" w:cstheme="minorBidi"/>
          <w:b w:val="0"/>
          <w:noProof/>
          <w:szCs w:val="22"/>
          <w:lang w:val="en-US" w:eastAsia="en-US"/>
        </w:rPr>
      </w:pPr>
      <w:hyperlink w:anchor="_Toc83996346" w:history="1">
        <w:r w:rsidR="003B19DD" w:rsidRPr="008E5396">
          <w:rPr>
            <w:rStyle w:val="Hyperlink"/>
            <w:noProof/>
            <w:lang w:val="hy-AM"/>
          </w:rPr>
          <w:t>ՄԱՍ I-Գ</w:t>
        </w:r>
        <w:r w:rsidR="003B19DD" w:rsidRPr="008E5396">
          <w:rPr>
            <w:rStyle w:val="Hyperlink"/>
            <w:rFonts w:ascii="Cambria Math" w:hAnsi="Cambria Math"/>
            <w:noProof/>
            <w:lang w:val="hy-AM"/>
          </w:rPr>
          <w:t>.</w:t>
        </w:r>
        <w:r w:rsidR="003B19DD" w:rsidRPr="008E5396">
          <w:rPr>
            <w:rStyle w:val="Hyperlink"/>
            <w:noProof/>
            <w:lang w:val="hy-AM"/>
          </w:rPr>
          <w:t xml:space="preserve"> ՀԱՐԿԱԲՅՈՒՋԵՏԱՅԻՆ ՔԱՂԱՔԱԿԱՆՈՒԹՅԱՆ ՀԻՄՆԱԿԱՆ ՈՒՂՂՈՒԹՅՈՒՆՆԵՐԸ ԵՎ ԿԱՆԽԱՏԵՍՈՒՄՆԵՐԸ</w:t>
        </w:r>
        <w:r w:rsidR="003B19DD">
          <w:rPr>
            <w:noProof/>
            <w:webHidden/>
          </w:rPr>
          <w:tab/>
        </w:r>
        <w:r w:rsidR="003B19DD">
          <w:rPr>
            <w:noProof/>
            <w:webHidden/>
          </w:rPr>
          <w:fldChar w:fldCharType="begin"/>
        </w:r>
        <w:r w:rsidR="003B19DD">
          <w:rPr>
            <w:noProof/>
            <w:webHidden/>
          </w:rPr>
          <w:instrText xml:space="preserve"> PAGEREF _Toc83996346 \h </w:instrText>
        </w:r>
        <w:r w:rsidR="003B19DD">
          <w:rPr>
            <w:noProof/>
            <w:webHidden/>
          </w:rPr>
        </w:r>
        <w:r w:rsidR="003B19DD">
          <w:rPr>
            <w:noProof/>
            <w:webHidden/>
          </w:rPr>
          <w:fldChar w:fldCharType="separate"/>
        </w:r>
        <w:r w:rsidR="003B19DD">
          <w:rPr>
            <w:noProof/>
            <w:webHidden/>
          </w:rPr>
          <w:t>71</w:t>
        </w:r>
        <w:r w:rsidR="003B19DD">
          <w:rPr>
            <w:noProof/>
            <w:webHidden/>
          </w:rPr>
          <w:fldChar w:fldCharType="end"/>
        </w:r>
      </w:hyperlink>
    </w:p>
    <w:p w14:paraId="59670D39" w14:textId="56841F9D" w:rsidR="003B19DD" w:rsidRDefault="00F379C0">
      <w:pPr>
        <w:pStyle w:val="TOC3"/>
        <w:rPr>
          <w:rFonts w:asciiTheme="minorHAnsi" w:eastAsiaTheme="minorEastAsia" w:hAnsiTheme="minorHAnsi" w:cstheme="minorBidi"/>
          <w:b w:val="0"/>
          <w:noProof/>
          <w:szCs w:val="22"/>
          <w:lang w:val="en-US" w:eastAsia="en-US"/>
        </w:rPr>
      </w:pPr>
      <w:hyperlink w:anchor="_Toc83996347" w:history="1">
        <w:r w:rsidR="003B19DD" w:rsidRPr="008E5396">
          <w:rPr>
            <w:rStyle w:val="Hyperlink"/>
            <w:noProof/>
            <w:lang w:val="hy-AM" w:eastAsia="en-US"/>
          </w:rPr>
          <w:t>2.1. ՀԱՐԿԱԲՅՈՒՋԵՏԱՅԻՆ ԸՆԴՀԱՆՈՒՐ ԱԿՆԱՐԿ ԵՎ ՀԱՐԿԱԲՅՈՒՋԵՏԱՅԻՆ ՇՐՋԱՆԱԿ</w:t>
        </w:r>
        <w:r w:rsidR="003B19DD">
          <w:rPr>
            <w:noProof/>
            <w:webHidden/>
          </w:rPr>
          <w:tab/>
        </w:r>
        <w:r w:rsidR="003B19DD">
          <w:rPr>
            <w:noProof/>
            <w:webHidden/>
          </w:rPr>
          <w:fldChar w:fldCharType="begin"/>
        </w:r>
        <w:r w:rsidR="003B19DD">
          <w:rPr>
            <w:noProof/>
            <w:webHidden/>
          </w:rPr>
          <w:instrText xml:space="preserve"> PAGEREF _Toc83996347 \h </w:instrText>
        </w:r>
        <w:r w:rsidR="003B19DD">
          <w:rPr>
            <w:noProof/>
            <w:webHidden/>
          </w:rPr>
        </w:r>
        <w:r w:rsidR="003B19DD">
          <w:rPr>
            <w:noProof/>
            <w:webHidden/>
          </w:rPr>
          <w:fldChar w:fldCharType="separate"/>
        </w:r>
        <w:r w:rsidR="003B19DD">
          <w:rPr>
            <w:noProof/>
            <w:webHidden/>
          </w:rPr>
          <w:t>71</w:t>
        </w:r>
        <w:r w:rsidR="003B19DD">
          <w:rPr>
            <w:noProof/>
            <w:webHidden/>
          </w:rPr>
          <w:fldChar w:fldCharType="end"/>
        </w:r>
      </w:hyperlink>
    </w:p>
    <w:p w14:paraId="617325C9" w14:textId="7CC338D9" w:rsidR="003B19DD" w:rsidRDefault="00F379C0">
      <w:pPr>
        <w:pStyle w:val="TOC3"/>
        <w:rPr>
          <w:rFonts w:asciiTheme="minorHAnsi" w:eastAsiaTheme="minorEastAsia" w:hAnsiTheme="minorHAnsi" w:cstheme="minorBidi"/>
          <w:b w:val="0"/>
          <w:noProof/>
          <w:szCs w:val="22"/>
          <w:lang w:val="en-US" w:eastAsia="en-US"/>
        </w:rPr>
      </w:pPr>
      <w:hyperlink w:anchor="_Toc83996348" w:history="1">
        <w:r w:rsidR="003B19DD" w:rsidRPr="008E5396">
          <w:rPr>
            <w:rStyle w:val="Hyperlink"/>
            <w:noProof/>
            <w:lang w:val="hy-AM" w:eastAsia="en-US"/>
          </w:rPr>
          <w:t>2</w:t>
        </w:r>
        <w:r w:rsidR="003B19DD" w:rsidRPr="008E5396">
          <w:rPr>
            <w:rStyle w:val="Hyperlink"/>
            <w:rFonts w:cs="Cambria Math"/>
            <w:noProof/>
            <w:lang w:val="hy-AM" w:eastAsia="en-US"/>
          </w:rPr>
          <w:t>.</w:t>
        </w:r>
        <w:r w:rsidR="003B19DD" w:rsidRPr="008E5396">
          <w:rPr>
            <w:rStyle w:val="Hyperlink"/>
            <w:noProof/>
            <w:lang w:val="hy-AM" w:eastAsia="en-US"/>
          </w:rPr>
          <w:t>2</w:t>
        </w:r>
        <w:r w:rsidR="003B19DD" w:rsidRPr="008E5396">
          <w:rPr>
            <w:rStyle w:val="Hyperlink"/>
            <w:rFonts w:cs="Cambria Math"/>
            <w:noProof/>
            <w:lang w:val="hy-AM" w:eastAsia="en-US"/>
          </w:rPr>
          <w:t>.</w:t>
        </w:r>
        <w:r w:rsidR="003B19DD" w:rsidRPr="008E5396">
          <w:rPr>
            <w:rStyle w:val="Hyperlink"/>
            <w:noProof/>
            <w:lang w:val="hy-AM" w:eastAsia="en-US"/>
          </w:rPr>
          <w:t xml:space="preserve"> ՀԱՐԿԱԲՅՈՒՋԵՏԱՅԻՆ ՔԱՂԱՔԱԿԱՆՈՒԹՅԱՆ ՄԻՏՈՒՄՆԵՐԸ ԵՎ ԿԱՆԽԱՏԵՍՈՒՄՆԵՐԸ</w:t>
        </w:r>
        <w:r w:rsidR="003B19DD">
          <w:rPr>
            <w:noProof/>
            <w:webHidden/>
          </w:rPr>
          <w:tab/>
        </w:r>
        <w:r w:rsidR="003B19DD">
          <w:rPr>
            <w:noProof/>
            <w:webHidden/>
          </w:rPr>
          <w:fldChar w:fldCharType="begin"/>
        </w:r>
        <w:r w:rsidR="003B19DD">
          <w:rPr>
            <w:noProof/>
            <w:webHidden/>
          </w:rPr>
          <w:instrText xml:space="preserve"> PAGEREF _Toc83996348 \h </w:instrText>
        </w:r>
        <w:r w:rsidR="003B19DD">
          <w:rPr>
            <w:noProof/>
            <w:webHidden/>
          </w:rPr>
        </w:r>
        <w:r w:rsidR="003B19DD">
          <w:rPr>
            <w:noProof/>
            <w:webHidden/>
          </w:rPr>
          <w:fldChar w:fldCharType="separate"/>
        </w:r>
        <w:r w:rsidR="003B19DD">
          <w:rPr>
            <w:noProof/>
            <w:webHidden/>
          </w:rPr>
          <w:t>73</w:t>
        </w:r>
        <w:r w:rsidR="003B19DD">
          <w:rPr>
            <w:noProof/>
            <w:webHidden/>
          </w:rPr>
          <w:fldChar w:fldCharType="end"/>
        </w:r>
      </w:hyperlink>
    </w:p>
    <w:p w14:paraId="197D874F" w14:textId="6EF453C8" w:rsidR="003B19DD" w:rsidRDefault="00F379C0">
      <w:pPr>
        <w:pStyle w:val="TOC3"/>
        <w:rPr>
          <w:rFonts w:asciiTheme="minorHAnsi" w:eastAsiaTheme="minorEastAsia" w:hAnsiTheme="minorHAnsi" w:cstheme="minorBidi"/>
          <w:b w:val="0"/>
          <w:noProof/>
          <w:szCs w:val="22"/>
          <w:lang w:val="en-US" w:eastAsia="en-US"/>
        </w:rPr>
      </w:pPr>
      <w:hyperlink w:anchor="_Toc83996349" w:history="1">
        <w:r w:rsidR="003B19DD" w:rsidRPr="008E5396">
          <w:rPr>
            <w:rStyle w:val="Hyperlink"/>
            <w:noProof/>
            <w:lang w:val="hy-AM" w:eastAsia="en-US"/>
          </w:rPr>
          <w:t>2.3. ՀԱՐԿԱԲՅՈՒՋԵՏԱՅԻՆ ՌԻՍԿԵՐ</w:t>
        </w:r>
        <w:r w:rsidR="003B19DD">
          <w:rPr>
            <w:noProof/>
            <w:webHidden/>
          </w:rPr>
          <w:tab/>
        </w:r>
        <w:r w:rsidR="003B19DD">
          <w:rPr>
            <w:noProof/>
            <w:webHidden/>
          </w:rPr>
          <w:fldChar w:fldCharType="begin"/>
        </w:r>
        <w:r w:rsidR="003B19DD">
          <w:rPr>
            <w:noProof/>
            <w:webHidden/>
          </w:rPr>
          <w:instrText xml:space="preserve"> PAGEREF _Toc83996349 \h </w:instrText>
        </w:r>
        <w:r w:rsidR="003B19DD">
          <w:rPr>
            <w:noProof/>
            <w:webHidden/>
          </w:rPr>
        </w:r>
        <w:r w:rsidR="003B19DD">
          <w:rPr>
            <w:noProof/>
            <w:webHidden/>
          </w:rPr>
          <w:fldChar w:fldCharType="separate"/>
        </w:r>
        <w:r w:rsidR="003B19DD">
          <w:rPr>
            <w:noProof/>
            <w:webHidden/>
          </w:rPr>
          <w:t>81</w:t>
        </w:r>
        <w:r w:rsidR="003B19DD">
          <w:rPr>
            <w:noProof/>
            <w:webHidden/>
          </w:rPr>
          <w:fldChar w:fldCharType="end"/>
        </w:r>
      </w:hyperlink>
    </w:p>
    <w:p w14:paraId="7FBC9BC4" w14:textId="738F565D" w:rsidR="003B19DD" w:rsidRDefault="00F379C0">
      <w:pPr>
        <w:pStyle w:val="TOC3"/>
        <w:rPr>
          <w:rFonts w:asciiTheme="minorHAnsi" w:eastAsiaTheme="minorEastAsia" w:hAnsiTheme="minorHAnsi" w:cstheme="minorBidi"/>
          <w:b w:val="0"/>
          <w:noProof/>
          <w:szCs w:val="22"/>
          <w:lang w:val="en-US" w:eastAsia="en-US"/>
        </w:rPr>
      </w:pPr>
      <w:hyperlink w:anchor="_Toc83996350" w:history="1">
        <w:r w:rsidR="003B19DD" w:rsidRPr="008E5396">
          <w:rPr>
            <w:rStyle w:val="Hyperlink"/>
            <w:rFonts w:eastAsia="Calibri"/>
            <w:noProof/>
            <w:lang w:val="hy-AM" w:eastAsia="en-US"/>
          </w:rPr>
          <w:t>2.4. ՀԱՐԿԱԲՅՈՒՋԵՏԱՅԻՆ  ՔԱՂԱՔԱԿԱՆՈՒԹՅԱՆ ՀԱՄԱՊԱՏԱՍԽԱՆՈՒԹՅՈՒՆԸ ՀԱՐԿԱԲՅՈՒՋԵՏԱՅԻՆ ԿԱՆՈՆՆԵՐԻՆ</w:t>
        </w:r>
        <w:r w:rsidR="003B19DD">
          <w:rPr>
            <w:noProof/>
            <w:webHidden/>
          </w:rPr>
          <w:tab/>
        </w:r>
        <w:r w:rsidR="003B19DD">
          <w:rPr>
            <w:noProof/>
            <w:webHidden/>
          </w:rPr>
          <w:fldChar w:fldCharType="begin"/>
        </w:r>
        <w:r w:rsidR="003B19DD">
          <w:rPr>
            <w:noProof/>
            <w:webHidden/>
          </w:rPr>
          <w:instrText xml:space="preserve"> PAGEREF _Toc83996350 \h </w:instrText>
        </w:r>
        <w:r w:rsidR="003B19DD">
          <w:rPr>
            <w:noProof/>
            <w:webHidden/>
          </w:rPr>
        </w:r>
        <w:r w:rsidR="003B19DD">
          <w:rPr>
            <w:noProof/>
            <w:webHidden/>
          </w:rPr>
          <w:fldChar w:fldCharType="separate"/>
        </w:r>
        <w:r w:rsidR="003B19DD">
          <w:rPr>
            <w:noProof/>
            <w:webHidden/>
          </w:rPr>
          <w:t>84</w:t>
        </w:r>
        <w:r w:rsidR="003B19DD">
          <w:rPr>
            <w:noProof/>
            <w:webHidden/>
          </w:rPr>
          <w:fldChar w:fldCharType="end"/>
        </w:r>
      </w:hyperlink>
    </w:p>
    <w:p w14:paraId="01B0A5A5" w14:textId="7593E481" w:rsidR="003B19DD" w:rsidRDefault="00F379C0">
      <w:pPr>
        <w:pStyle w:val="TOC3"/>
        <w:rPr>
          <w:rFonts w:asciiTheme="minorHAnsi" w:eastAsiaTheme="minorEastAsia" w:hAnsiTheme="minorHAnsi" w:cstheme="minorBidi"/>
          <w:b w:val="0"/>
          <w:noProof/>
          <w:szCs w:val="22"/>
          <w:lang w:val="en-US" w:eastAsia="en-US"/>
        </w:rPr>
      </w:pPr>
      <w:hyperlink w:anchor="_Toc83996351" w:history="1">
        <w:r w:rsidR="003B19DD" w:rsidRPr="008E5396">
          <w:rPr>
            <w:rStyle w:val="Hyperlink"/>
            <w:noProof/>
            <w:lang w:val="hy-AM" w:eastAsia="en-US"/>
          </w:rPr>
          <w:t>2.5. ՊԵՏԱԿԱՆ ԲՅՈՒՋԵԻ ՑՈՒՑԱՆԻՇՆԵՐԻ ԿԱՆԽԱՏԵՍՈՒՄՆԵՐԻ ՀԱՄԵՄԱՏԱԿԱՆ ԱՂՅՈՒՍԱԿՆԵՐ</w:t>
        </w:r>
        <w:r w:rsidR="003B19DD">
          <w:rPr>
            <w:noProof/>
            <w:webHidden/>
          </w:rPr>
          <w:tab/>
        </w:r>
        <w:r w:rsidR="003B19DD">
          <w:rPr>
            <w:noProof/>
            <w:webHidden/>
          </w:rPr>
          <w:fldChar w:fldCharType="begin"/>
        </w:r>
        <w:r w:rsidR="003B19DD">
          <w:rPr>
            <w:noProof/>
            <w:webHidden/>
          </w:rPr>
          <w:instrText xml:space="preserve"> PAGEREF _Toc83996351 \h </w:instrText>
        </w:r>
        <w:r w:rsidR="003B19DD">
          <w:rPr>
            <w:noProof/>
            <w:webHidden/>
          </w:rPr>
        </w:r>
        <w:r w:rsidR="003B19DD">
          <w:rPr>
            <w:noProof/>
            <w:webHidden/>
          </w:rPr>
          <w:fldChar w:fldCharType="separate"/>
        </w:r>
        <w:r w:rsidR="003B19DD">
          <w:rPr>
            <w:noProof/>
            <w:webHidden/>
          </w:rPr>
          <w:t>87</w:t>
        </w:r>
        <w:r w:rsidR="003B19DD">
          <w:rPr>
            <w:noProof/>
            <w:webHidden/>
          </w:rPr>
          <w:fldChar w:fldCharType="end"/>
        </w:r>
      </w:hyperlink>
    </w:p>
    <w:p w14:paraId="70CF4CBB" w14:textId="7D97CA78" w:rsidR="003B19DD" w:rsidRDefault="00F379C0">
      <w:pPr>
        <w:pStyle w:val="TOC1"/>
        <w:rPr>
          <w:rFonts w:asciiTheme="minorHAnsi" w:eastAsiaTheme="minorEastAsia" w:hAnsiTheme="minorHAnsi" w:cstheme="minorBidi"/>
          <w:b w:val="0"/>
          <w:noProof/>
          <w:szCs w:val="22"/>
          <w:lang w:val="en-US" w:eastAsia="en-US"/>
        </w:rPr>
      </w:pPr>
      <w:hyperlink w:anchor="_Toc83996352" w:history="1">
        <w:r w:rsidR="003B19DD" w:rsidRPr="008E5396">
          <w:rPr>
            <w:rStyle w:val="Hyperlink"/>
            <w:noProof/>
            <w:lang w:val="hy-AM"/>
          </w:rPr>
          <w:t>ՄԱՍ</w:t>
        </w:r>
        <w:r w:rsidR="003B19DD" w:rsidRPr="008E5396">
          <w:rPr>
            <w:rStyle w:val="Hyperlink"/>
            <w:noProof/>
            <w:lang w:val="sk-SK"/>
          </w:rPr>
          <w:t xml:space="preserve"> II-</w:t>
        </w:r>
        <w:r w:rsidR="003B19DD" w:rsidRPr="008E5396">
          <w:rPr>
            <w:rStyle w:val="Hyperlink"/>
            <w:noProof/>
            <w:lang w:val="hy-AM"/>
          </w:rPr>
          <w:t>Ա</w:t>
        </w:r>
        <w:r w:rsidR="003B19DD" w:rsidRPr="008E5396">
          <w:rPr>
            <w:rStyle w:val="Hyperlink"/>
            <w:noProof/>
            <w:lang w:val="sk-SK"/>
          </w:rPr>
          <w:t xml:space="preserve"> </w:t>
        </w:r>
        <w:r w:rsidR="003B19DD" w:rsidRPr="008E5396">
          <w:rPr>
            <w:rStyle w:val="Hyperlink"/>
            <w:noProof/>
            <w:lang w:val="hy-AM"/>
          </w:rPr>
          <w:t>ՊԵՏԱԿԱՆ</w:t>
        </w:r>
        <w:r w:rsidR="003B19DD" w:rsidRPr="008E5396">
          <w:rPr>
            <w:rStyle w:val="Hyperlink"/>
            <w:noProof/>
            <w:lang w:val="sk-SK"/>
          </w:rPr>
          <w:t xml:space="preserve"> </w:t>
        </w:r>
        <w:r w:rsidR="003B19DD" w:rsidRPr="008E5396">
          <w:rPr>
            <w:rStyle w:val="Hyperlink"/>
            <w:noProof/>
            <w:lang w:val="hy-AM"/>
          </w:rPr>
          <w:t>ԲՅՈՒՋԵԻ</w:t>
        </w:r>
        <w:r w:rsidR="003B19DD" w:rsidRPr="008E5396">
          <w:rPr>
            <w:rStyle w:val="Hyperlink"/>
            <w:noProof/>
            <w:lang w:val="sk-SK"/>
          </w:rPr>
          <w:t xml:space="preserve"> </w:t>
        </w:r>
        <w:r w:rsidR="003B19DD" w:rsidRPr="008E5396">
          <w:rPr>
            <w:rStyle w:val="Hyperlink"/>
            <w:noProof/>
            <w:lang w:val="hy-AM"/>
          </w:rPr>
          <w:t>ՑՈՒՑԱՆԻՇՆԵՐԻ</w:t>
        </w:r>
        <w:r w:rsidR="003B19DD" w:rsidRPr="008E5396">
          <w:rPr>
            <w:rStyle w:val="Hyperlink"/>
            <w:noProof/>
            <w:lang w:val="sk-SK"/>
          </w:rPr>
          <w:t xml:space="preserve"> </w:t>
        </w:r>
        <w:r w:rsidR="003B19DD" w:rsidRPr="008E5396">
          <w:rPr>
            <w:rStyle w:val="Hyperlink"/>
            <w:noProof/>
            <w:lang w:val="hy-AM"/>
          </w:rPr>
          <w:t>ԿԱՆԽԱՏԵՍՈՒՄՆԵՐ</w:t>
        </w:r>
        <w:r w:rsidR="003B19DD">
          <w:rPr>
            <w:noProof/>
            <w:webHidden/>
          </w:rPr>
          <w:tab/>
        </w:r>
        <w:r w:rsidR="003B19DD">
          <w:rPr>
            <w:noProof/>
            <w:webHidden/>
          </w:rPr>
          <w:fldChar w:fldCharType="begin"/>
        </w:r>
        <w:r w:rsidR="003B19DD">
          <w:rPr>
            <w:noProof/>
            <w:webHidden/>
          </w:rPr>
          <w:instrText xml:space="preserve"> PAGEREF _Toc83996352 \h </w:instrText>
        </w:r>
        <w:r w:rsidR="003B19DD">
          <w:rPr>
            <w:noProof/>
            <w:webHidden/>
          </w:rPr>
        </w:r>
        <w:r w:rsidR="003B19DD">
          <w:rPr>
            <w:noProof/>
            <w:webHidden/>
          </w:rPr>
          <w:fldChar w:fldCharType="separate"/>
        </w:r>
        <w:r w:rsidR="003B19DD">
          <w:rPr>
            <w:noProof/>
            <w:webHidden/>
          </w:rPr>
          <w:t>90</w:t>
        </w:r>
        <w:r w:rsidR="003B19DD">
          <w:rPr>
            <w:noProof/>
            <w:webHidden/>
          </w:rPr>
          <w:fldChar w:fldCharType="end"/>
        </w:r>
      </w:hyperlink>
    </w:p>
    <w:p w14:paraId="5BBF9F11" w14:textId="53ACBBEB" w:rsidR="003B19DD" w:rsidRDefault="00F379C0">
      <w:pPr>
        <w:pStyle w:val="TOC2"/>
        <w:rPr>
          <w:rFonts w:asciiTheme="minorHAnsi" w:eastAsiaTheme="minorEastAsia" w:hAnsiTheme="minorHAnsi" w:cstheme="minorBidi"/>
          <w:b w:val="0"/>
          <w:noProof/>
          <w:szCs w:val="22"/>
          <w:lang w:val="en-US" w:eastAsia="en-US"/>
        </w:rPr>
      </w:pPr>
      <w:hyperlink w:anchor="_Toc83996353" w:history="1">
        <w:r w:rsidR="003B19DD" w:rsidRPr="008E5396">
          <w:rPr>
            <w:rStyle w:val="Hyperlink"/>
            <w:rFonts w:eastAsia="Calibri" w:cs="Times LatArm"/>
            <w:noProof/>
            <w:lang w:val="hy-AM" w:eastAsia="en-US"/>
          </w:rPr>
          <w:t>Հարկաբյուջետային սկզբունքները և ցուցանիշները</w:t>
        </w:r>
        <w:r w:rsidR="003B19DD">
          <w:rPr>
            <w:noProof/>
            <w:webHidden/>
          </w:rPr>
          <w:tab/>
        </w:r>
        <w:r w:rsidR="003B19DD">
          <w:rPr>
            <w:noProof/>
            <w:webHidden/>
          </w:rPr>
          <w:fldChar w:fldCharType="begin"/>
        </w:r>
        <w:r w:rsidR="003B19DD">
          <w:rPr>
            <w:noProof/>
            <w:webHidden/>
          </w:rPr>
          <w:instrText xml:space="preserve"> PAGEREF _Toc83996353 \h </w:instrText>
        </w:r>
        <w:r w:rsidR="003B19DD">
          <w:rPr>
            <w:noProof/>
            <w:webHidden/>
          </w:rPr>
        </w:r>
        <w:r w:rsidR="003B19DD">
          <w:rPr>
            <w:noProof/>
            <w:webHidden/>
          </w:rPr>
          <w:fldChar w:fldCharType="separate"/>
        </w:r>
        <w:r w:rsidR="003B19DD">
          <w:rPr>
            <w:noProof/>
            <w:webHidden/>
          </w:rPr>
          <w:t>90</w:t>
        </w:r>
        <w:r w:rsidR="003B19DD">
          <w:rPr>
            <w:noProof/>
            <w:webHidden/>
          </w:rPr>
          <w:fldChar w:fldCharType="end"/>
        </w:r>
      </w:hyperlink>
    </w:p>
    <w:p w14:paraId="614626C4" w14:textId="27C49E7A" w:rsidR="003B19DD" w:rsidRDefault="00F379C0">
      <w:pPr>
        <w:pStyle w:val="TOC1"/>
        <w:rPr>
          <w:rFonts w:asciiTheme="minorHAnsi" w:eastAsiaTheme="minorEastAsia" w:hAnsiTheme="minorHAnsi" w:cstheme="minorBidi"/>
          <w:b w:val="0"/>
          <w:noProof/>
          <w:szCs w:val="22"/>
          <w:lang w:val="en-US" w:eastAsia="en-US"/>
        </w:rPr>
      </w:pPr>
      <w:hyperlink w:anchor="_Toc83996354" w:history="1">
        <w:r w:rsidR="003B19DD" w:rsidRPr="008E5396">
          <w:rPr>
            <w:rStyle w:val="Hyperlink"/>
            <w:noProof/>
            <w:lang w:val="hy-AM"/>
          </w:rPr>
          <w:t>ՄԱՍ II – Բ. ՀԱՐԿԱԲՅՈՒՋԵՏԱՅԻՆ ՑՈՒՑԱՆԻՇՆԵՐԻ ԿԱՆԽԱՏԵՍՈՒՄ</w:t>
        </w:r>
        <w:r w:rsidR="003B19DD">
          <w:rPr>
            <w:noProof/>
            <w:webHidden/>
          </w:rPr>
          <w:tab/>
        </w:r>
        <w:r w:rsidR="003B19DD">
          <w:rPr>
            <w:noProof/>
            <w:webHidden/>
          </w:rPr>
          <w:fldChar w:fldCharType="begin"/>
        </w:r>
        <w:r w:rsidR="003B19DD">
          <w:rPr>
            <w:noProof/>
            <w:webHidden/>
          </w:rPr>
          <w:instrText xml:space="preserve"> PAGEREF _Toc83996354 \h </w:instrText>
        </w:r>
        <w:r w:rsidR="003B19DD">
          <w:rPr>
            <w:noProof/>
            <w:webHidden/>
          </w:rPr>
        </w:r>
        <w:r w:rsidR="003B19DD">
          <w:rPr>
            <w:noProof/>
            <w:webHidden/>
          </w:rPr>
          <w:fldChar w:fldCharType="separate"/>
        </w:r>
        <w:r w:rsidR="003B19DD">
          <w:rPr>
            <w:noProof/>
            <w:webHidden/>
          </w:rPr>
          <w:t>92</w:t>
        </w:r>
        <w:r w:rsidR="003B19DD">
          <w:rPr>
            <w:noProof/>
            <w:webHidden/>
          </w:rPr>
          <w:fldChar w:fldCharType="end"/>
        </w:r>
      </w:hyperlink>
    </w:p>
    <w:p w14:paraId="5B4A1401" w14:textId="6731532A" w:rsidR="003B19DD" w:rsidRDefault="00F379C0">
      <w:pPr>
        <w:pStyle w:val="TOC2"/>
        <w:rPr>
          <w:rFonts w:asciiTheme="minorHAnsi" w:eastAsiaTheme="minorEastAsia" w:hAnsiTheme="minorHAnsi" w:cstheme="minorBidi"/>
          <w:b w:val="0"/>
          <w:noProof/>
          <w:szCs w:val="22"/>
          <w:lang w:val="en-US" w:eastAsia="en-US"/>
        </w:rPr>
      </w:pPr>
      <w:hyperlink w:anchor="_Toc83996355" w:history="1">
        <w:r w:rsidR="003B19DD" w:rsidRPr="008E5396">
          <w:rPr>
            <w:rStyle w:val="Hyperlink"/>
            <w:noProof/>
          </w:rPr>
          <w:t>2022 ԹՎԱԿԱՆԻ ԾԱԽՍԵՐԻ ՄԱԿԱՐԴԱԿԸ ԵՎ ԳԵՐԱԿԱՅՈՒԹՅՈՒՆՆԵՐԸ</w:t>
        </w:r>
        <w:r w:rsidR="003B19DD">
          <w:rPr>
            <w:noProof/>
            <w:webHidden/>
          </w:rPr>
          <w:tab/>
        </w:r>
        <w:r w:rsidR="003B19DD">
          <w:rPr>
            <w:noProof/>
            <w:webHidden/>
          </w:rPr>
          <w:fldChar w:fldCharType="begin"/>
        </w:r>
        <w:r w:rsidR="003B19DD">
          <w:rPr>
            <w:noProof/>
            <w:webHidden/>
          </w:rPr>
          <w:instrText xml:space="preserve"> PAGEREF _Toc83996355 \h </w:instrText>
        </w:r>
        <w:r w:rsidR="003B19DD">
          <w:rPr>
            <w:noProof/>
            <w:webHidden/>
          </w:rPr>
        </w:r>
        <w:r w:rsidR="003B19DD">
          <w:rPr>
            <w:noProof/>
            <w:webHidden/>
          </w:rPr>
          <w:fldChar w:fldCharType="separate"/>
        </w:r>
        <w:r w:rsidR="003B19DD">
          <w:rPr>
            <w:noProof/>
            <w:webHidden/>
          </w:rPr>
          <w:t>92</w:t>
        </w:r>
        <w:r w:rsidR="003B19DD">
          <w:rPr>
            <w:noProof/>
            <w:webHidden/>
          </w:rPr>
          <w:fldChar w:fldCharType="end"/>
        </w:r>
      </w:hyperlink>
    </w:p>
    <w:p w14:paraId="43EE4C4B" w14:textId="7E9F6EE4" w:rsidR="003B19DD" w:rsidRDefault="00F379C0">
      <w:pPr>
        <w:pStyle w:val="TOC2"/>
        <w:rPr>
          <w:rFonts w:asciiTheme="minorHAnsi" w:eastAsiaTheme="minorEastAsia" w:hAnsiTheme="minorHAnsi" w:cstheme="minorBidi"/>
          <w:b w:val="0"/>
          <w:noProof/>
          <w:szCs w:val="22"/>
          <w:lang w:val="en-US" w:eastAsia="en-US"/>
        </w:rPr>
      </w:pPr>
      <w:hyperlink w:anchor="_Toc83996356" w:history="1">
        <w:r w:rsidR="003B19DD" w:rsidRPr="008E5396">
          <w:rPr>
            <w:rStyle w:val="Hyperlink"/>
            <w:noProof/>
          </w:rPr>
          <w:t>ՊԵՏԱԿԱՆ</w:t>
        </w:r>
        <w:r w:rsidR="003B19DD" w:rsidRPr="008E5396">
          <w:rPr>
            <w:rStyle w:val="Hyperlink"/>
            <w:noProof/>
            <w:lang w:val="es-ES"/>
          </w:rPr>
          <w:t xml:space="preserve"> </w:t>
        </w:r>
        <w:r w:rsidR="003B19DD" w:rsidRPr="008E5396">
          <w:rPr>
            <w:rStyle w:val="Hyperlink"/>
            <w:noProof/>
          </w:rPr>
          <w:t>ԲՅՈՒՋԵԻ</w:t>
        </w:r>
        <w:r w:rsidR="003B19DD" w:rsidRPr="008E5396">
          <w:rPr>
            <w:rStyle w:val="Hyperlink"/>
            <w:noProof/>
            <w:lang w:val="es-ES"/>
          </w:rPr>
          <w:t xml:space="preserve"> </w:t>
        </w:r>
        <w:r w:rsidR="003B19DD" w:rsidRPr="008E5396">
          <w:rPr>
            <w:rStyle w:val="Hyperlink"/>
            <w:noProof/>
          </w:rPr>
          <w:t>ԴԵՖԻՑԻՏԻ</w:t>
        </w:r>
        <w:r w:rsidR="003B19DD" w:rsidRPr="008E5396">
          <w:rPr>
            <w:rStyle w:val="Hyperlink"/>
            <w:noProof/>
            <w:lang w:val="es-ES"/>
          </w:rPr>
          <w:t xml:space="preserve"> (</w:t>
        </w:r>
        <w:r w:rsidR="003B19DD" w:rsidRPr="008E5396">
          <w:rPr>
            <w:rStyle w:val="Hyperlink"/>
            <w:noProof/>
          </w:rPr>
          <w:t>ՊԱԿԱՍՈՒՐԴԻ</w:t>
        </w:r>
        <w:r w:rsidR="003B19DD" w:rsidRPr="008E5396">
          <w:rPr>
            <w:rStyle w:val="Hyperlink"/>
            <w:noProof/>
            <w:lang w:val="es-ES"/>
          </w:rPr>
          <w:t xml:space="preserve">) </w:t>
        </w:r>
        <w:r w:rsidR="003B19DD" w:rsidRPr="008E5396">
          <w:rPr>
            <w:rStyle w:val="Hyperlink"/>
            <w:noProof/>
          </w:rPr>
          <w:t>ԵՎ</w:t>
        </w:r>
        <w:r w:rsidR="003B19DD" w:rsidRPr="008E5396">
          <w:rPr>
            <w:rStyle w:val="Hyperlink"/>
            <w:noProof/>
            <w:lang w:val="es-ES"/>
          </w:rPr>
          <w:t xml:space="preserve"> </w:t>
        </w:r>
        <w:r w:rsidR="003B19DD" w:rsidRPr="008E5396">
          <w:rPr>
            <w:rStyle w:val="Hyperlink"/>
            <w:noProof/>
          </w:rPr>
          <w:t>ՊԱՐՏՔԻ</w:t>
        </w:r>
        <w:r w:rsidR="003B19DD" w:rsidRPr="008E5396">
          <w:rPr>
            <w:rStyle w:val="Hyperlink"/>
            <w:noProof/>
            <w:lang w:val="es-ES"/>
          </w:rPr>
          <w:t xml:space="preserve"> </w:t>
        </w:r>
        <w:r w:rsidR="003B19DD" w:rsidRPr="008E5396">
          <w:rPr>
            <w:rStyle w:val="Hyperlink"/>
            <w:noProof/>
          </w:rPr>
          <w:t>ՄԱԿԱՐԴԱԿԸ</w:t>
        </w:r>
        <w:r w:rsidR="003B19DD">
          <w:rPr>
            <w:noProof/>
            <w:webHidden/>
          </w:rPr>
          <w:tab/>
        </w:r>
        <w:r w:rsidR="003B19DD">
          <w:rPr>
            <w:noProof/>
            <w:webHidden/>
          </w:rPr>
          <w:fldChar w:fldCharType="begin"/>
        </w:r>
        <w:r w:rsidR="003B19DD">
          <w:rPr>
            <w:noProof/>
            <w:webHidden/>
          </w:rPr>
          <w:instrText xml:space="preserve"> PAGEREF _Toc83996356 \h </w:instrText>
        </w:r>
        <w:r w:rsidR="003B19DD">
          <w:rPr>
            <w:noProof/>
            <w:webHidden/>
          </w:rPr>
        </w:r>
        <w:r w:rsidR="003B19DD">
          <w:rPr>
            <w:noProof/>
            <w:webHidden/>
          </w:rPr>
          <w:fldChar w:fldCharType="separate"/>
        </w:r>
        <w:r w:rsidR="003B19DD">
          <w:rPr>
            <w:noProof/>
            <w:webHidden/>
          </w:rPr>
          <w:t>92</w:t>
        </w:r>
        <w:r w:rsidR="003B19DD">
          <w:rPr>
            <w:noProof/>
            <w:webHidden/>
          </w:rPr>
          <w:fldChar w:fldCharType="end"/>
        </w:r>
      </w:hyperlink>
    </w:p>
    <w:p w14:paraId="27F1C299" w14:textId="4BE9DDF8" w:rsidR="003B19DD" w:rsidRDefault="00F379C0">
      <w:pPr>
        <w:pStyle w:val="TOC3"/>
        <w:rPr>
          <w:rFonts w:asciiTheme="minorHAnsi" w:eastAsiaTheme="minorEastAsia" w:hAnsiTheme="minorHAnsi" w:cstheme="minorBidi"/>
          <w:b w:val="0"/>
          <w:noProof/>
          <w:szCs w:val="22"/>
          <w:lang w:val="en-US" w:eastAsia="en-US"/>
        </w:rPr>
      </w:pPr>
      <w:hyperlink w:anchor="_Toc83996357" w:history="1">
        <w:r w:rsidR="003B19DD" w:rsidRPr="008E5396">
          <w:rPr>
            <w:rStyle w:val="Hyperlink"/>
            <w:noProof/>
          </w:rPr>
          <w:t>Պետական բյուջեի դեֆիցիտի ֆինանսավորման աղբյուրները</w:t>
        </w:r>
        <w:r w:rsidR="003B19DD">
          <w:rPr>
            <w:noProof/>
            <w:webHidden/>
          </w:rPr>
          <w:tab/>
        </w:r>
        <w:r w:rsidR="003B19DD">
          <w:rPr>
            <w:noProof/>
            <w:webHidden/>
          </w:rPr>
          <w:fldChar w:fldCharType="begin"/>
        </w:r>
        <w:r w:rsidR="003B19DD">
          <w:rPr>
            <w:noProof/>
            <w:webHidden/>
          </w:rPr>
          <w:instrText xml:space="preserve"> PAGEREF _Toc83996357 \h </w:instrText>
        </w:r>
        <w:r w:rsidR="003B19DD">
          <w:rPr>
            <w:noProof/>
            <w:webHidden/>
          </w:rPr>
        </w:r>
        <w:r w:rsidR="003B19DD">
          <w:rPr>
            <w:noProof/>
            <w:webHidden/>
          </w:rPr>
          <w:fldChar w:fldCharType="separate"/>
        </w:r>
        <w:r w:rsidR="003B19DD">
          <w:rPr>
            <w:noProof/>
            <w:webHidden/>
          </w:rPr>
          <w:t>94</w:t>
        </w:r>
        <w:r w:rsidR="003B19DD">
          <w:rPr>
            <w:noProof/>
            <w:webHidden/>
          </w:rPr>
          <w:fldChar w:fldCharType="end"/>
        </w:r>
      </w:hyperlink>
    </w:p>
    <w:p w14:paraId="00C329E6" w14:textId="072D0642" w:rsidR="003B19DD" w:rsidRDefault="00F379C0">
      <w:pPr>
        <w:pStyle w:val="TOC1"/>
        <w:rPr>
          <w:rFonts w:asciiTheme="minorHAnsi" w:eastAsiaTheme="minorEastAsia" w:hAnsiTheme="minorHAnsi" w:cstheme="minorBidi"/>
          <w:b w:val="0"/>
          <w:noProof/>
          <w:szCs w:val="22"/>
          <w:lang w:val="en-US" w:eastAsia="en-US"/>
        </w:rPr>
      </w:pPr>
      <w:hyperlink w:anchor="_Toc83996358" w:history="1">
        <w:r w:rsidR="003B19DD" w:rsidRPr="008E5396">
          <w:rPr>
            <w:rStyle w:val="Hyperlink"/>
            <w:noProof/>
          </w:rPr>
          <w:t>ՄԱՍ III. «ՀԱՅԱՍՏԱՆԻ ՀԱՆՐԱՊԵՏՈՒԹՅԱՆ 2022 ԹՎԱԿԱՆԻ ՊԵՏԱԿԱՆ ԲՅՈՒՋԵԻ ՄԱՍԻՆ» ՀԱՅԱՍՏԱՆԻ ՀԱՆՐԱՊԵՏՈՒԹՅԱՆ ՕՐԵՆՔԻ ՆԱԽԱԳԾԻ ԲԱՑԱՏՐԱԳԻՐ</w:t>
        </w:r>
        <w:r w:rsidR="003B19DD">
          <w:rPr>
            <w:noProof/>
            <w:webHidden/>
          </w:rPr>
          <w:tab/>
        </w:r>
        <w:r w:rsidR="003B19DD">
          <w:rPr>
            <w:noProof/>
            <w:webHidden/>
          </w:rPr>
          <w:fldChar w:fldCharType="begin"/>
        </w:r>
        <w:r w:rsidR="003B19DD">
          <w:rPr>
            <w:noProof/>
            <w:webHidden/>
          </w:rPr>
          <w:instrText xml:space="preserve"> PAGEREF _Toc83996358 \h </w:instrText>
        </w:r>
        <w:r w:rsidR="003B19DD">
          <w:rPr>
            <w:noProof/>
            <w:webHidden/>
          </w:rPr>
        </w:r>
        <w:r w:rsidR="003B19DD">
          <w:rPr>
            <w:noProof/>
            <w:webHidden/>
          </w:rPr>
          <w:fldChar w:fldCharType="separate"/>
        </w:r>
        <w:r w:rsidR="003B19DD">
          <w:rPr>
            <w:noProof/>
            <w:webHidden/>
          </w:rPr>
          <w:t>96</w:t>
        </w:r>
        <w:r w:rsidR="003B19DD">
          <w:rPr>
            <w:noProof/>
            <w:webHidden/>
          </w:rPr>
          <w:fldChar w:fldCharType="end"/>
        </w:r>
      </w:hyperlink>
    </w:p>
    <w:p w14:paraId="5A2B0683" w14:textId="70D4A80B" w:rsidR="003B19DD" w:rsidRDefault="00F379C0">
      <w:pPr>
        <w:pStyle w:val="TOC1"/>
        <w:rPr>
          <w:rFonts w:asciiTheme="minorHAnsi" w:eastAsiaTheme="minorEastAsia" w:hAnsiTheme="minorHAnsi" w:cstheme="minorBidi"/>
          <w:b w:val="0"/>
          <w:noProof/>
          <w:szCs w:val="22"/>
          <w:lang w:val="en-US" w:eastAsia="en-US"/>
        </w:rPr>
      </w:pPr>
      <w:hyperlink w:anchor="_Toc83996359" w:history="1">
        <w:r w:rsidR="003B19DD" w:rsidRPr="008E5396">
          <w:rPr>
            <w:rStyle w:val="Hyperlink"/>
            <w:noProof/>
          </w:rPr>
          <w:t>ՄԱՍ</w:t>
        </w:r>
        <w:r w:rsidR="003B19DD" w:rsidRPr="008E5396">
          <w:rPr>
            <w:rStyle w:val="Hyperlink"/>
            <w:noProof/>
            <w:lang w:val="af-ZA"/>
          </w:rPr>
          <w:t xml:space="preserve"> III-</w:t>
        </w:r>
        <w:r w:rsidR="003B19DD" w:rsidRPr="008E5396">
          <w:rPr>
            <w:rStyle w:val="Hyperlink"/>
            <w:noProof/>
          </w:rPr>
          <w:t>Ա</w:t>
        </w:r>
        <w:r w:rsidR="003B19DD" w:rsidRPr="008E5396">
          <w:rPr>
            <w:rStyle w:val="Hyperlink"/>
            <w:noProof/>
            <w:lang w:val="af-ZA"/>
          </w:rPr>
          <w:t xml:space="preserve">. </w:t>
        </w:r>
        <w:r w:rsidR="003B19DD" w:rsidRPr="008E5396">
          <w:rPr>
            <w:rStyle w:val="Hyperlink"/>
            <w:noProof/>
          </w:rPr>
          <w:t>ԵԿԱՄՈՒՏՆԵՐԻ</w:t>
        </w:r>
        <w:r w:rsidR="003B19DD" w:rsidRPr="008E5396">
          <w:rPr>
            <w:rStyle w:val="Hyperlink"/>
            <w:noProof/>
            <w:lang w:val="af-ZA"/>
          </w:rPr>
          <w:t xml:space="preserve"> </w:t>
        </w:r>
        <w:r w:rsidR="003B19DD" w:rsidRPr="008E5396">
          <w:rPr>
            <w:rStyle w:val="Hyperlink"/>
            <w:noProof/>
          </w:rPr>
          <w:t>ԿԱՆԽԱՏԵՍՈՒՄ</w:t>
        </w:r>
        <w:r w:rsidR="003B19DD">
          <w:rPr>
            <w:noProof/>
            <w:webHidden/>
          </w:rPr>
          <w:tab/>
        </w:r>
        <w:r w:rsidR="003B19DD">
          <w:rPr>
            <w:noProof/>
            <w:webHidden/>
          </w:rPr>
          <w:fldChar w:fldCharType="begin"/>
        </w:r>
        <w:r w:rsidR="003B19DD">
          <w:rPr>
            <w:noProof/>
            <w:webHidden/>
          </w:rPr>
          <w:instrText xml:space="preserve"> PAGEREF _Toc83996359 \h </w:instrText>
        </w:r>
        <w:r w:rsidR="003B19DD">
          <w:rPr>
            <w:noProof/>
            <w:webHidden/>
          </w:rPr>
        </w:r>
        <w:r w:rsidR="003B19DD">
          <w:rPr>
            <w:noProof/>
            <w:webHidden/>
          </w:rPr>
          <w:fldChar w:fldCharType="separate"/>
        </w:r>
        <w:r w:rsidR="003B19DD">
          <w:rPr>
            <w:noProof/>
            <w:webHidden/>
          </w:rPr>
          <w:t>96</w:t>
        </w:r>
        <w:r w:rsidR="003B19DD">
          <w:rPr>
            <w:noProof/>
            <w:webHidden/>
          </w:rPr>
          <w:fldChar w:fldCharType="end"/>
        </w:r>
      </w:hyperlink>
    </w:p>
    <w:p w14:paraId="3FA5C501" w14:textId="3E8DE6F1" w:rsidR="003B19DD" w:rsidRDefault="00F379C0">
      <w:pPr>
        <w:pStyle w:val="TOC3"/>
        <w:rPr>
          <w:rFonts w:asciiTheme="minorHAnsi" w:eastAsiaTheme="minorEastAsia" w:hAnsiTheme="minorHAnsi" w:cstheme="minorBidi"/>
          <w:b w:val="0"/>
          <w:noProof/>
          <w:szCs w:val="22"/>
          <w:lang w:val="en-US" w:eastAsia="en-US"/>
        </w:rPr>
      </w:pPr>
      <w:hyperlink w:anchor="_Toc83996360" w:history="1">
        <w:r w:rsidR="003B19DD" w:rsidRPr="008E5396">
          <w:rPr>
            <w:rStyle w:val="Hyperlink"/>
            <w:rFonts w:eastAsia="Calibri" w:cs="GHEA Grapalat"/>
            <w:bCs/>
            <w:noProof/>
            <w:lang w:val="hy-AM" w:eastAsia="en-US"/>
          </w:rPr>
          <w:t>Հարկային եկամուտներ և պետական տուրքեր</w:t>
        </w:r>
        <w:r w:rsidR="003B19DD">
          <w:rPr>
            <w:noProof/>
            <w:webHidden/>
          </w:rPr>
          <w:tab/>
        </w:r>
        <w:r w:rsidR="003B19DD">
          <w:rPr>
            <w:noProof/>
            <w:webHidden/>
          </w:rPr>
          <w:fldChar w:fldCharType="begin"/>
        </w:r>
        <w:r w:rsidR="003B19DD">
          <w:rPr>
            <w:noProof/>
            <w:webHidden/>
          </w:rPr>
          <w:instrText xml:space="preserve"> PAGEREF _Toc83996360 \h </w:instrText>
        </w:r>
        <w:r w:rsidR="003B19DD">
          <w:rPr>
            <w:noProof/>
            <w:webHidden/>
          </w:rPr>
        </w:r>
        <w:r w:rsidR="003B19DD">
          <w:rPr>
            <w:noProof/>
            <w:webHidden/>
          </w:rPr>
          <w:fldChar w:fldCharType="separate"/>
        </w:r>
        <w:r w:rsidR="003B19DD">
          <w:rPr>
            <w:noProof/>
            <w:webHidden/>
          </w:rPr>
          <w:t>97</w:t>
        </w:r>
        <w:r w:rsidR="003B19DD">
          <w:rPr>
            <w:noProof/>
            <w:webHidden/>
          </w:rPr>
          <w:fldChar w:fldCharType="end"/>
        </w:r>
      </w:hyperlink>
    </w:p>
    <w:p w14:paraId="55838E81" w14:textId="6CB89CF8" w:rsidR="003B19DD" w:rsidRDefault="00F379C0">
      <w:pPr>
        <w:pStyle w:val="TOC3"/>
        <w:rPr>
          <w:rFonts w:asciiTheme="minorHAnsi" w:eastAsiaTheme="minorEastAsia" w:hAnsiTheme="minorHAnsi" w:cstheme="minorBidi"/>
          <w:b w:val="0"/>
          <w:noProof/>
          <w:szCs w:val="22"/>
          <w:lang w:val="en-US" w:eastAsia="en-US"/>
        </w:rPr>
      </w:pPr>
      <w:hyperlink w:anchor="_Toc83996361" w:history="1">
        <w:r w:rsidR="003B19DD" w:rsidRPr="008E5396">
          <w:rPr>
            <w:rStyle w:val="Hyperlink"/>
            <w:rFonts w:eastAsia="Calibri" w:cs="GHEA Grapalat"/>
            <w:bCs/>
            <w:noProof/>
            <w:lang w:val="hy-AM" w:eastAsia="en-US"/>
          </w:rPr>
          <w:t>Պաշտոնական դրամաշնորհներ</w:t>
        </w:r>
        <w:r w:rsidR="003B19DD">
          <w:rPr>
            <w:noProof/>
            <w:webHidden/>
          </w:rPr>
          <w:tab/>
        </w:r>
        <w:r w:rsidR="003B19DD">
          <w:rPr>
            <w:noProof/>
            <w:webHidden/>
          </w:rPr>
          <w:fldChar w:fldCharType="begin"/>
        </w:r>
        <w:r w:rsidR="003B19DD">
          <w:rPr>
            <w:noProof/>
            <w:webHidden/>
          </w:rPr>
          <w:instrText xml:space="preserve"> PAGEREF _Toc83996361 \h </w:instrText>
        </w:r>
        <w:r w:rsidR="003B19DD">
          <w:rPr>
            <w:noProof/>
            <w:webHidden/>
          </w:rPr>
        </w:r>
        <w:r w:rsidR="003B19DD">
          <w:rPr>
            <w:noProof/>
            <w:webHidden/>
          </w:rPr>
          <w:fldChar w:fldCharType="separate"/>
        </w:r>
        <w:r w:rsidR="003B19DD">
          <w:rPr>
            <w:noProof/>
            <w:webHidden/>
          </w:rPr>
          <w:t>103</w:t>
        </w:r>
        <w:r w:rsidR="003B19DD">
          <w:rPr>
            <w:noProof/>
            <w:webHidden/>
          </w:rPr>
          <w:fldChar w:fldCharType="end"/>
        </w:r>
      </w:hyperlink>
    </w:p>
    <w:p w14:paraId="32FECE38" w14:textId="5085E1AE" w:rsidR="003B19DD" w:rsidRDefault="00F379C0">
      <w:pPr>
        <w:pStyle w:val="TOC3"/>
        <w:rPr>
          <w:rFonts w:asciiTheme="minorHAnsi" w:eastAsiaTheme="minorEastAsia" w:hAnsiTheme="minorHAnsi" w:cstheme="minorBidi"/>
          <w:b w:val="0"/>
          <w:noProof/>
          <w:szCs w:val="22"/>
          <w:lang w:val="en-US" w:eastAsia="en-US"/>
        </w:rPr>
      </w:pPr>
      <w:hyperlink w:anchor="_Toc83996362" w:history="1">
        <w:r w:rsidR="003B19DD" w:rsidRPr="008E5396">
          <w:rPr>
            <w:rStyle w:val="Hyperlink"/>
            <w:rFonts w:eastAsia="Calibri" w:cs="GHEA Grapalat"/>
            <w:bCs/>
            <w:noProof/>
            <w:lang w:val="hy-AM" w:eastAsia="en-US"/>
          </w:rPr>
          <w:t>Այլ եկամուտներ</w:t>
        </w:r>
        <w:r w:rsidR="003B19DD">
          <w:rPr>
            <w:noProof/>
            <w:webHidden/>
          </w:rPr>
          <w:tab/>
        </w:r>
        <w:r w:rsidR="003B19DD">
          <w:rPr>
            <w:noProof/>
            <w:webHidden/>
          </w:rPr>
          <w:fldChar w:fldCharType="begin"/>
        </w:r>
        <w:r w:rsidR="003B19DD">
          <w:rPr>
            <w:noProof/>
            <w:webHidden/>
          </w:rPr>
          <w:instrText xml:space="preserve"> PAGEREF _Toc83996362 \h </w:instrText>
        </w:r>
        <w:r w:rsidR="003B19DD">
          <w:rPr>
            <w:noProof/>
            <w:webHidden/>
          </w:rPr>
        </w:r>
        <w:r w:rsidR="003B19DD">
          <w:rPr>
            <w:noProof/>
            <w:webHidden/>
          </w:rPr>
          <w:fldChar w:fldCharType="separate"/>
        </w:r>
        <w:r w:rsidR="003B19DD">
          <w:rPr>
            <w:noProof/>
            <w:webHidden/>
          </w:rPr>
          <w:t>104</w:t>
        </w:r>
        <w:r w:rsidR="003B19DD">
          <w:rPr>
            <w:noProof/>
            <w:webHidden/>
          </w:rPr>
          <w:fldChar w:fldCharType="end"/>
        </w:r>
      </w:hyperlink>
    </w:p>
    <w:p w14:paraId="743A0EA3" w14:textId="335F0E09" w:rsidR="003B19DD" w:rsidRDefault="00F379C0">
      <w:pPr>
        <w:pStyle w:val="TOC1"/>
        <w:rPr>
          <w:rFonts w:asciiTheme="minorHAnsi" w:eastAsiaTheme="minorEastAsia" w:hAnsiTheme="minorHAnsi" w:cstheme="minorBidi"/>
          <w:b w:val="0"/>
          <w:noProof/>
          <w:szCs w:val="22"/>
          <w:lang w:val="en-US" w:eastAsia="en-US"/>
        </w:rPr>
      </w:pPr>
      <w:hyperlink w:anchor="_Toc83996363" w:history="1">
        <w:r w:rsidR="003B19DD" w:rsidRPr="008E5396">
          <w:rPr>
            <w:rStyle w:val="Hyperlink"/>
            <w:noProof/>
          </w:rPr>
          <w:t>Մ</w:t>
        </w:r>
        <w:r w:rsidR="003B19DD" w:rsidRPr="008E5396">
          <w:rPr>
            <w:rStyle w:val="Hyperlink"/>
            <w:noProof/>
            <w:lang w:val="af-ZA"/>
          </w:rPr>
          <w:t xml:space="preserve"> </w:t>
        </w:r>
        <w:r w:rsidR="003B19DD" w:rsidRPr="008E5396">
          <w:rPr>
            <w:rStyle w:val="Hyperlink"/>
            <w:noProof/>
          </w:rPr>
          <w:t>Ա</w:t>
        </w:r>
        <w:r w:rsidR="003B19DD" w:rsidRPr="008E5396">
          <w:rPr>
            <w:rStyle w:val="Hyperlink"/>
            <w:noProof/>
            <w:lang w:val="af-ZA"/>
          </w:rPr>
          <w:t xml:space="preserve"> </w:t>
        </w:r>
        <w:r w:rsidR="003B19DD" w:rsidRPr="008E5396">
          <w:rPr>
            <w:rStyle w:val="Hyperlink"/>
            <w:noProof/>
          </w:rPr>
          <w:t>Ս</w:t>
        </w:r>
        <w:r w:rsidR="003B19DD" w:rsidRPr="008E5396">
          <w:rPr>
            <w:rStyle w:val="Hyperlink"/>
            <w:noProof/>
            <w:lang w:val="af-ZA"/>
          </w:rPr>
          <w:t xml:space="preserve"> III – </w:t>
        </w:r>
        <w:r w:rsidR="003B19DD" w:rsidRPr="008E5396">
          <w:rPr>
            <w:rStyle w:val="Hyperlink"/>
            <w:noProof/>
          </w:rPr>
          <w:t>Բ</w:t>
        </w:r>
        <w:r w:rsidR="003B19DD" w:rsidRPr="008E5396">
          <w:rPr>
            <w:rStyle w:val="Hyperlink"/>
            <w:noProof/>
            <w:lang w:val="af-ZA"/>
          </w:rPr>
          <w:t xml:space="preserve">. </w:t>
        </w:r>
        <w:r w:rsidR="003B19DD" w:rsidRPr="008E5396">
          <w:rPr>
            <w:rStyle w:val="Hyperlink"/>
            <w:noProof/>
          </w:rPr>
          <w:t>Ծ</w:t>
        </w:r>
        <w:r w:rsidR="003B19DD" w:rsidRPr="008E5396">
          <w:rPr>
            <w:rStyle w:val="Hyperlink"/>
            <w:noProof/>
            <w:lang w:val="af-ZA"/>
          </w:rPr>
          <w:t xml:space="preserve"> </w:t>
        </w:r>
        <w:r w:rsidR="003B19DD" w:rsidRPr="008E5396">
          <w:rPr>
            <w:rStyle w:val="Hyperlink"/>
            <w:noProof/>
          </w:rPr>
          <w:t>Ա</w:t>
        </w:r>
        <w:r w:rsidR="003B19DD" w:rsidRPr="008E5396">
          <w:rPr>
            <w:rStyle w:val="Hyperlink"/>
            <w:noProof/>
            <w:lang w:val="af-ZA"/>
          </w:rPr>
          <w:t xml:space="preserve"> </w:t>
        </w:r>
        <w:r w:rsidR="003B19DD" w:rsidRPr="008E5396">
          <w:rPr>
            <w:rStyle w:val="Hyperlink"/>
            <w:noProof/>
          </w:rPr>
          <w:t>Խ</w:t>
        </w:r>
        <w:r w:rsidR="003B19DD" w:rsidRPr="008E5396">
          <w:rPr>
            <w:rStyle w:val="Hyperlink"/>
            <w:noProof/>
            <w:lang w:val="af-ZA"/>
          </w:rPr>
          <w:t xml:space="preserve"> </w:t>
        </w:r>
        <w:r w:rsidR="003B19DD" w:rsidRPr="008E5396">
          <w:rPr>
            <w:rStyle w:val="Hyperlink"/>
            <w:noProof/>
          </w:rPr>
          <w:t>Ս</w:t>
        </w:r>
        <w:r w:rsidR="003B19DD" w:rsidRPr="008E5396">
          <w:rPr>
            <w:rStyle w:val="Hyperlink"/>
            <w:noProof/>
            <w:lang w:val="af-ZA"/>
          </w:rPr>
          <w:t xml:space="preserve"> </w:t>
        </w:r>
        <w:r w:rsidR="003B19DD" w:rsidRPr="008E5396">
          <w:rPr>
            <w:rStyle w:val="Hyperlink"/>
            <w:noProof/>
          </w:rPr>
          <w:t>Ե</w:t>
        </w:r>
        <w:r w:rsidR="003B19DD" w:rsidRPr="008E5396">
          <w:rPr>
            <w:rStyle w:val="Hyperlink"/>
            <w:noProof/>
            <w:lang w:val="af-ZA"/>
          </w:rPr>
          <w:t xml:space="preserve"> </w:t>
        </w:r>
        <w:r w:rsidR="003B19DD" w:rsidRPr="008E5396">
          <w:rPr>
            <w:rStyle w:val="Hyperlink"/>
            <w:noProof/>
          </w:rPr>
          <w:t>Ր</w:t>
        </w:r>
        <w:r w:rsidR="003B19DD" w:rsidRPr="008E5396">
          <w:rPr>
            <w:rStyle w:val="Hyperlink"/>
            <w:noProof/>
            <w:lang w:val="af-ZA"/>
          </w:rPr>
          <w:t xml:space="preserve"> </w:t>
        </w:r>
        <w:r w:rsidR="003B19DD" w:rsidRPr="008E5396">
          <w:rPr>
            <w:rStyle w:val="Hyperlink"/>
            <w:noProof/>
          </w:rPr>
          <w:t>Ի</w:t>
        </w:r>
        <w:r w:rsidR="003B19DD" w:rsidRPr="008E5396">
          <w:rPr>
            <w:rStyle w:val="Hyperlink"/>
            <w:noProof/>
            <w:lang w:val="af-ZA"/>
          </w:rPr>
          <w:t xml:space="preserve">  </w:t>
        </w:r>
        <w:r w:rsidR="003B19DD" w:rsidRPr="008E5396">
          <w:rPr>
            <w:rStyle w:val="Hyperlink"/>
            <w:noProof/>
          </w:rPr>
          <w:t>Կ</w:t>
        </w:r>
        <w:r w:rsidR="003B19DD" w:rsidRPr="008E5396">
          <w:rPr>
            <w:rStyle w:val="Hyperlink"/>
            <w:noProof/>
            <w:lang w:val="af-ZA"/>
          </w:rPr>
          <w:t xml:space="preserve"> </w:t>
        </w:r>
        <w:r w:rsidR="003B19DD" w:rsidRPr="008E5396">
          <w:rPr>
            <w:rStyle w:val="Hyperlink"/>
            <w:noProof/>
          </w:rPr>
          <w:t>Ա</w:t>
        </w:r>
        <w:r w:rsidR="003B19DD" w:rsidRPr="008E5396">
          <w:rPr>
            <w:rStyle w:val="Hyperlink"/>
            <w:noProof/>
            <w:lang w:val="af-ZA"/>
          </w:rPr>
          <w:t xml:space="preserve"> </w:t>
        </w:r>
        <w:r w:rsidR="003B19DD" w:rsidRPr="008E5396">
          <w:rPr>
            <w:rStyle w:val="Hyperlink"/>
            <w:noProof/>
          </w:rPr>
          <w:t>Ն</w:t>
        </w:r>
        <w:r w:rsidR="003B19DD" w:rsidRPr="008E5396">
          <w:rPr>
            <w:rStyle w:val="Hyperlink"/>
            <w:noProof/>
            <w:lang w:val="af-ZA"/>
          </w:rPr>
          <w:t xml:space="preserve"> </w:t>
        </w:r>
        <w:r w:rsidR="003B19DD" w:rsidRPr="008E5396">
          <w:rPr>
            <w:rStyle w:val="Hyperlink"/>
            <w:noProof/>
          </w:rPr>
          <w:t>Խ</w:t>
        </w:r>
        <w:r w:rsidR="003B19DD" w:rsidRPr="008E5396">
          <w:rPr>
            <w:rStyle w:val="Hyperlink"/>
            <w:noProof/>
            <w:lang w:val="af-ZA"/>
          </w:rPr>
          <w:t xml:space="preserve"> </w:t>
        </w:r>
        <w:r w:rsidR="003B19DD" w:rsidRPr="008E5396">
          <w:rPr>
            <w:rStyle w:val="Hyperlink"/>
            <w:noProof/>
          </w:rPr>
          <w:t>Ա</w:t>
        </w:r>
        <w:r w:rsidR="003B19DD" w:rsidRPr="008E5396">
          <w:rPr>
            <w:rStyle w:val="Hyperlink"/>
            <w:noProof/>
            <w:lang w:val="af-ZA"/>
          </w:rPr>
          <w:t xml:space="preserve"> </w:t>
        </w:r>
        <w:r w:rsidR="003B19DD" w:rsidRPr="008E5396">
          <w:rPr>
            <w:rStyle w:val="Hyperlink"/>
            <w:noProof/>
          </w:rPr>
          <w:t>Տ</w:t>
        </w:r>
        <w:r w:rsidR="003B19DD" w:rsidRPr="008E5396">
          <w:rPr>
            <w:rStyle w:val="Hyperlink"/>
            <w:noProof/>
            <w:lang w:val="af-ZA"/>
          </w:rPr>
          <w:t xml:space="preserve"> </w:t>
        </w:r>
        <w:r w:rsidR="003B19DD" w:rsidRPr="008E5396">
          <w:rPr>
            <w:rStyle w:val="Hyperlink"/>
            <w:noProof/>
          </w:rPr>
          <w:t>Ե</w:t>
        </w:r>
        <w:r w:rsidR="003B19DD" w:rsidRPr="008E5396">
          <w:rPr>
            <w:rStyle w:val="Hyperlink"/>
            <w:noProof/>
            <w:lang w:val="af-ZA"/>
          </w:rPr>
          <w:t xml:space="preserve"> </w:t>
        </w:r>
        <w:r w:rsidR="003B19DD" w:rsidRPr="008E5396">
          <w:rPr>
            <w:rStyle w:val="Hyperlink"/>
            <w:noProof/>
          </w:rPr>
          <w:t>Ս</w:t>
        </w:r>
        <w:r w:rsidR="003B19DD" w:rsidRPr="008E5396">
          <w:rPr>
            <w:rStyle w:val="Hyperlink"/>
            <w:noProof/>
            <w:lang w:val="af-ZA"/>
          </w:rPr>
          <w:t xml:space="preserve"> </w:t>
        </w:r>
        <w:r w:rsidR="003B19DD" w:rsidRPr="008E5396">
          <w:rPr>
            <w:rStyle w:val="Hyperlink"/>
            <w:noProof/>
          </w:rPr>
          <w:t>Ո</w:t>
        </w:r>
        <w:r w:rsidR="003B19DD" w:rsidRPr="008E5396">
          <w:rPr>
            <w:rStyle w:val="Hyperlink"/>
            <w:noProof/>
            <w:lang w:val="af-ZA"/>
          </w:rPr>
          <w:t xml:space="preserve"> </w:t>
        </w:r>
        <w:r w:rsidR="003B19DD" w:rsidRPr="008E5396">
          <w:rPr>
            <w:rStyle w:val="Hyperlink"/>
            <w:noProof/>
          </w:rPr>
          <w:t>Ւ</w:t>
        </w:r>
        <w:r w:rsidR="003B19DD" w:rsidRPr="008E5396">
          <w:rPr>
            <w:rStyle w:val="Hyperlink"/>
            <w:noProof/>
            <w:lang w:val="af-ZA"/>
          </w:rPr>
          <w:t xml:space="preserve"> </w:t>
        </w:r>
        <w:r w:rsidR="003B19DD" w:rsidRPr="008E5396">
          <w:rPr>
            <w:rStyle w:val="Hyperlink"/>
            <w:noProof/>
          </w:rPr>
          <w:t>Մ</w:t>
        </w:r>
        <w:r w:rsidR="003B19DD">
          <w:rPr>
            <w:noProof/>
            <w:webHidden/>
          </w:rPr>
          <w:tab/>
        </w:r>
        <w:r w:rsidR="003B19DD">
          <w:rPr>
            <w:noProof/>
            <w:webHidden/>
          </w:rPr>
          <w:fldChar w:fldCharType="begin"/>
        </w:r>
        <w:r w:rsidR="003B19DD">
          <w:rPr>
            <w:noProof/>
            <w:webHidden/>
          </w:rPr>
          <w:instrText xml:space="preserve"> PAGEREF _Toc83996363 \h </w:instrText>
        </w:r>
        <w:r w:rsidR="003B19DD">
          <w:rPr>
            <w:noProof/>
            <w:webHidden/>
          </w:rPr>
        </w:r>
        <w:r w:rsidR="003B19DD">
          <w:rPr>
            <w:noProof/>
            <w:webHidden/>
          </w:rPr>
          <w:fldChar w:fldCharType="separate"/>
        </w:r>
        <w:r w:rsidR="003B19DD">
          <w:rPr>
            <w:noProof/>
            <w:webHidden/>
          </w:rPr>
          <w:t>107</w:t>
        </w:r>
        <w:r w:rsidR="003B19DD">
          <w:rPr>
            <w:noProof/>
            <w:webHidden/>
          </w:rPr>
          <w:fldChar w:fldCharType="end"/>
        </w:r>
      </w:hyperlink>
    </w:p>
    <w:p w14:paraId="72506A50" w14:textId="32C00165" w:rsidR="003B19DD" w:rsidRDefault="00F379C0">
      <w:pPr>
        <w:pStyle w:val="TOC3"/>
        <w:rPr>
          <w:rFonts w:asciiTheme="minorHAnsi" w:eastAsiaTheme="minorEastAsia" w:hAnsiTheme="minorHAnsi" w:cstheme="minorBidi"/>
          <w:b w:val="0"/>
          <w:noProof/>
          <w:szCs w:val="22"/>
          <w:lang w:val="en-US" w:eastAsia="en-US"/>
        </w:rPr>
      </w:pPr>
      <w:hyperlink w:anchor="_Toc83996364" w:history="1">
        <w:r w:rsidR="003B19DD" w:rsidRPr="008E5396">
          <w:rPr>
            <w:rStyle w:val="Hyperlink"/>
            <w:rFonts w:eastAsia="Calibri" w:cs="GHEA Grapalat"/>
            <w:bCs/>
            <w:noProof/>
            <w:lang w:val="af-ZA" w:eastAsia="en-US"/>
          </w:rPr>
          <w:t>ԾԱԽՍԵՐՆ ԸՍՏ ՏՆՏԵՍԱԳԻՏԱԿԱՆ ԴԱՍԱԿԱՐԳՄԱՆ</w:t>
        </w:r>
        <w:r w:rsidR="003B19DD">
          <w:rPr>
            <w:noProof/>
            <w:webHidden/>
          </w:rPr>
          <w:tab/>
        </w:r>
        <w:r w:rsidR="003B19DD">
          <w:rPr>
            <w:noProof/>
            <w:webHidden/>
          </w:rPr>
          <w:fldChar w:fldCharType="begin"/>
        </w:r>
        <w:r w:rsidR="003B19DD">
          <w:rPr>
            <w:noProof/>
            <w:webHidden/>
          </w:rPr>
          <w:instrText xml:space="preserve"> PAGEREF _Toc83996364 \h </w:instrText>
        </w:r>
        <w:r w:rsidR="003B19DD">
          <w:rPr>
            <w:noProof/>
            <w:webHidden/>
          </w:rPr>
        </w:r>
        <w:r w:rsidR="003B19DD">
          <w:rPr>
            <w:noProof/>
            <w:webHidden/>
          </w:rPr>
          <w:fldChar w:fldCharType="separate"/>
        </w:r>
        <w:r w:rsidR="003B19DD">
          <w:rPr>
            <w:noProof/>
            <w:webHidden/>
          </w:rPr>
          <w:t>108</w:t>
        </w:r>
        <w:r w:rsidR="003B19DD">
          <w:rPr>
            <w:noProof/>
            <w:webHidden/>
          </w:rPr>
          <w:fldChar w:fldCharType="end"/>
        </w:r>
      </w:hyperlink>
    </w:p>
    <w:p w14:paraId="120B7CDF" w14:textId="4C6139AA" w:rsidR="003B19DD" w:rsidRDefault="00F379C0">
      <w:pPr>
        <w:pStyle w:val="TOC3"/>
        <w:rPr>
          <w:rFonts w:asciiTheme="minorHAnsi" w:eastAsiaTheme="minorEastAsia" w:hAnsiTheme="minorHAnsi" w:cstheme="minorBidi"/>
          <w:b w:val="0"/>
          <w:noProof/>
          <w:szCs w:val="22"/>
          <w:lang w:val="en-US" w:eastAsia="en-US"/>
        </w:rPr>
      </w:pPr>
      <w:hyperlink w:anchor="_Toc83996365" w:history="1">
        <w:r w:rsidR="003B19DD" w:rsidRPr="008E5396">
          <w:rPr>
            <w:rStyle w:val="Hyperlink"/>
            <w:rFonts w:eastAsia="Calibri" w:cs="GHEA Grapalat"/>
            <w:bCs/>
            <w:noProof/>
            <w:lang w:val="af-ZA" w:eastAsia="en-US"/>
          </w:rPr>
          <w:t>ԾԱԽՍԵՐՆ ԸՍՏ ԳՈՐԾԱՌԱԿԱՆ ԴԱՍԱԿԱՐԳՄԱՆ</w:t>
        </w:r>
        <w:r w:rsidR="003B19DD">
          <w:rPr>
            <w:noProof/>
            <w:webHidden/>
          </w:rPr>
          <w:tab/>
        </w:r>
        <w:r w:rsidR="003B19DD">
          <w:rPr>
            <w:noProof/>
            <w:webHidden/>
          </w:rPr>
          <w:fldChar w:fldCharType="begin"/>
        </w:r>
        <w:r w:rsidR="003B19DD">
          <w:rPr>
            <w:noProof/>
            <w:webHidden/>
          </w:rPr>
          <w:instrText xml:space="preserve"> PAGEREF _Toc83996365 \h </w:instrText>
        </w:r>
        <w:r w:rsidR="003B19DD">
          <w:rPr>
            <w:noProof/>
            <w:webHidden/>
          </w:rPr>
        </w:r>
        <w:r w:rsidR="003B19DD">
          <w:rPr>
            <w:noProof/>
            <w:webHidden/>
          </w:rPr>
          <w:fldChar w:fldCharType="separate"/>
        </w:r>
        <w:r w:rsidR="003B19DD">
          <w:rPr>
            <w:noProof/>
            <w:webHidden/>
          </w:rPr>
          <w:t>113</w:t>
        </w:r>
        <w:r w:rsidR="003B19DD">
          <w:rPr>
            <w:noProof/>
            <w:webHidden/>
          </w:rPr>
          <w:fldChar w:fldCharType="end"/>
        </w:r>
      </w:hyperlink>
    </w:p>
    <w:p w14:paraId="5DC22996" w14:textId="4CB928EB" w:rsidR="003B19DD" w:rsidRDefault="00F379C0">
      <w:pPr>
        <w:pStyle w:val="TOC3"/>
        <w:rPr>
          <w:rFonts w:asciiTheme="minorHAnsi" w:eastAsiaTheme="minorEastAsia" w:hAnsiTheme="minorHAnsi" w:cstheme="minorBidi"/>
          <w:b w:val="0"/>
          <w:noProof/>
          <w:szCs w:val="22"/>
          <w:lang w:val="en-US" w:eastAsia="en-US"/>
        </w:rPr>
      </w:pPr>
      <w:hyperlink w:anchor="_Toc83996366" w:history="1">
        <w:r w:rsidR="003B19DD" w:rsidRPr="008E5396">
          <w:rPr>
            <w:rStyle w:val="Hyperlink"/>
            <w:rFonts w:eastAsia="Calibri" w:cs="GHEA Grapalat"/>
            <w:bCs/>
            <w:noProof/>
            <w:lang w:val="af-ZA" w:eastAsia="en-US"/>
          </w:rPr>
          <w:t>2022 ԹՎԱԿԱՆԻ ԲՅՈՒՋԵԻ ԱՌԱՋՆԱՀԵՐԹՈՒԹՅՈՒՆՆԵՐԸ</w:t>
        </w:r>
        <w:r w:rsidR="003B19DD">
          <w:rPr>
            <w:noProof/>
            <w:webHidden/>
          </w:rPr>
          <w:tab/>
        </w:r>
        <w:r w:rsidR="003B19DD">
          <w:rPr>
            <w:noProof/>
            <w:webHidden/>
          </w:rPr>
          <w:fldChar w:fldCharType="begin"/>
        </w:r>
        <w:r w:rsidR="003B19DD">
          <w:rPr>
            <w:noProof/>
            <w:webHidden/>
          </w:rPr>
          <w:instrText xml:space="preserve"> PAGEREF _Toc83996366 \h </w:instrText>
        </w:r>
        <w:r w:rsidR="003B19DD">
          <w:rPr>
            <w:noProof/>
            <w:webHidden/>
          </w:rPr>
        </w:r>
        <w:r w:rsidR="003B19DD">
          <w:rPr>
            <w:noProof/>
            <w:webHidden/>
          </w:rPr>
          <w:fldChar w:fldCharType="separate"/>
        </w:r>
        <w:r w:rsidR="003B19DD">
          <w:rPr>
            <w:noProof/>
            <w:webHidden/>
          </w:rPr>
          <w:t>119</w:t>
        </w:r>
        <w:r w:rsidR="003B19DD">
          <w:rPr>
            <w:noProof/>
            <w:webHidden/>
          </w:rPr>
          <w:fldChar w:fldCharType="end"/>
        </w:r>
      </w:hyperlink>
    </w:p>
    <w:p w14:paraId="7CC250A1" w14:textId="06073F2E" w:rsidR="003B19DD" w:rsidRDefault="00F379C0">
      <w:pPr>
        <w:pStyle w:val="TOC3"/>
        <w:rPr>
          <w:rFonts w:asciiTheme="minorHAnsi" w:eastAsiaTheme="minorEastAsia" w:hAnsiTheme="minorHAnsi" w:cstheme="minorBidi"/>
          <w:b w:val="0"/>
          <w:noProof/>
          <w:szCs w:val="22"/>
          <w:lang w:val="en-US" w:eastAsia="en-US"/>
        </w:rPr>
      </w:pPr>
      <w:hyperlink w:anchor="_Toc83996367" w:history="1">
        <w:r w:rsidR="003B19DD" w:rsidRPr="008E5396">
          <w:rPr>
            <w:rStyle w:val="Hyperlink"/>
            <w:rFonts w:eastAsia="Calibri" w:cs="GHEA Grapalat"/>
            <w:bCs/>
            <w:noProof/>
            <w:lang w:val="af-ZA" w:eastAsia="en-US"/>
          </w:rPr>
          <w:t xml:space="preserve">ԾԱԽՍԵՐՆ ԸՍՏ </w:t>
        </w:r>
        <w:r w:rsidR="003B19DD" w:rsidRPr="008E5396">
          <w:rPr>
            <w:rStyle w:val="Hyperlink"/>
            <w:rFonts w:eastAsia="Calibri" w:cs="GHEA Grapalat"/>
            <w:bCs/>
            <w:noProof/>
            <w:lang w:val="hy-AM" w:eastAsia="en-US"/>
          </w:rPr>
          <w:t>ԲՅՈՒՋԵՏԱՅԻՆ ԳԼԽԱՎՈՐ ԿԱՐԳԱԴՐԻՉՆԵՐԻ</w:t>
        </w:r>
        <w:r w:rsidR="003B19DD">
          <w:rPr>
            <w:noProof/>
            <w:webHidden/>
          </w:rPr>
          <w:tab/>
        </w:r>
        <w:r w:rsidR="003B19DD">
          <w:rPr>
            <w:noProof/>
            <w:webHidden/>
          </w:rPr>
          <w:fldChar w:fldCharType="begin"/>
        </w:r>
        <w:r w:rsidR="003B19DD">
          <w:rPr>
            <w:noProof/>
            <w:webHidden/>
          </w:rPr>
          <w:instrText xml:space="preserve"> PAGEREF _Toc83996367 \h </w:instrText>
        </w:r>
        <w:r w:rsidR="003B19DD">
          <w:rPr>
            <w:noProof/>
            <w:webHidden/>
          </w:rPr>
        </w:r>
        <w:r w:rsidR="003B19DD">
          <w:rPr>
            <w:noProof/>
            <w:webHidden/>
          </w:rPr>
          <w:fldChar w:fldCharType="separate"/>
        </w:r>
        <w:r w:rsidR="003B19DD">
          <w:rPr>
            <w:noProof/>
            <w:webHidden/>
          </w:rPr>
          <w:t>121</w:t>
        </w:r>
        <w:r w:rsidR="003B19DD">
          <w:rPr>
            <w:noProof/>
            <w:webHidden/>
          </w:rPr>
          <w:fldChar w:fldCharType="end"/>
        </w:r>
      </w:hyperlink>
    </w:p>
    <w:p w14:paraId="459C3B55" w14:textId="4B9A773A" w:rsidR="003B19DD" w:rsidRDefault="00F379C0">
      <w:pPr>
        <w:pStyle w:val="TOC3"/>
        <w:rPr>
          <w:rFonts w:asciiTheme="minorHAnsi" w:eastAsiaTheme="minorEastAsia" w:hAnsiTheme="minorHAnsi" w:cstheme="minorBidi"/>
          <w:b w:val="0"/>
          <w:noProof/>
          <w:szCs w:val="22"/>
          <w:lang w:val="en-US" w:eastAsia="en-US"/>
        </w:rPr>
      </w:pPr>
      <w:hyperlink w:anchor="_Toc83996368" w:history="1">
        <w:r w:rsidR="003B19DD" w:rsidRPr="008E5396">
          <w:rPr>
            <w:rStyle w:val="Hyperlink"/>
            <w:rFonts w:eastAsia="Calibri" w:cs="GHEA Grapalat"/>
            <w:noProof/>
            <w:lang w:val="af-ZA" w:eastAsia="en-US"/>
          </w:rPr>
          <w:t>Պետական կառավարման համակարգի մարմինների պահպանման ծախսեր</w:t>
        </w:r>
        <w:r w:rsidR="003B19DD">
          <w:rPr>
            <w:noProof/>
            <w:webHidden/>
          </w:rPr>
          <w:tab/>
        </w:r>
        <w:r w:rsidR="003B19DD">
          <w:rPr>
            <w:noProof/>
            <w:webHidden/>
          </w:rPr>
          <w:fldChar w:fldCharType="begin"/>
        </w:r>
        <w:r w:rsidR="003B19DD">
          <w:rPr>
            <w:noProof/>
            <w:webHidden/>
          </w:rPr>
          <w:instrText xml:space="preserve"> PAGEREF _Toc83996368 \h </w:instrText>
        </w:r>
        <w:r w:rsidR="003B19DD">
          <w:rPr>
            <w:noProof/>
            <w:webHidden/>
          </w:rPr>
        </w:r>
        <w:r w:rsidR="003B19DD">
          <w:rPr>
            <w:noProof/>
            <w:webHidden/>
          </w:rPr>
          <w:fldChar w:fldCharType="separate"/>
        </w:r>
        <w:r w:rsidR="003B19DD">
          <w:rPr>
            <w:noProof/>
            <w:webHidden/>
          </w:rPr>
          <w:t>121</w:t>
        </w:r>
        <w:r w:rsidR="003B19DD">
          <w:rPr>
            <w:noProof/>
            <w:webHidden/>
          </w:rPr>
          <w:fldChar w:fldCharType="end"/>
        </w:r>
      </w:hyperlink>
    </w:p>
    <w:p w14:paraId="159CF5B0" w14:textId="30CD84C0" w:rsidR="003B19DD" w:rsidRDefault="00F379C0">
      <w:pPr>
        <w:pStyle w:val="TOC3"/>
        <w:rPr>
          <w:rFonts w:asciiTheme="minorHAnsi" w:eastAsiaTheme="minorEastAsia" w:hAnsiTheme="minorHAnsi" w:cstheme="minorBidi"/>
          <w:b w:val="0"/>
          <w:noProof/>
          <w:szCs w:val="22"/>
          <w:lang w:val="en-US" w:eastAsia="en-US"/>
        </w:rPr>
      </w:pPr>
      <w:hyperlink w:anchor="_Toc83996369" w:history="1">
        <w:r w:rsidR="003B19DD" w:rsidRPr="008E5396">
          <w:rPr>
            <w:rStyle w:val="Hyperlink"/>
            <w:noProof/>
          </w:rPr>
          <w:t>ՀՀ առողջապահության նախարարություն</w:t>
        </w:r>
        <w:r w:rsidR="003B19DD">
          <w:rPr>
            <w:noProof/>
            <w:webHidden/>
          </w:rPr>
          <w:tab/>
        </w:r>
        <w:r w:rsidR="003B19DD">
          <w:rPr>
            <w:noProof/>
            <w:webHidden/>
          </w:rPr>
          <w:fldChar w:fldCharType="begin"/>
        </w:r>
        <w:r w:rsidR="003B19DD">
          <w:rPr>
            <w:noProof/>
            <w:webHidden/>
          </w:rPr>
          <w:instrText xml:space="preserve"> PAGEREF _Toc83996369 \h </w:instrText>
        </w:r>
        <w:r w:rsidR="003B19DD">
          <w:rPr>
            <w:noProof/>
            <w:webHidden/>
          </w:rPr>
        </w:r>
        <w:r w:rsidR="003B19DD">
          <w:rPr>
            <w:noProof/>
            <w:webHidden/>
          </w:rPr>
          <w:fldChar w:fldCharType="separate"/>
        </w:r>
        <w:r w:rsidR="003B19DD">
          <w:rPr>
            <w:noProof/>
            <w:webHidden/>
          </w:rPr>
          <w:t>126</w:t>
        </w:r>
        <w:r w:rsidR="003B19DD">
          <w:rPr>
            <w:noProof/>
            <w:webHidden/>
          </w:rPr>
          <w:fldChar w:fldCharType="end"/>
        </w:r>
      </w:hyperlink>
    </w:p>
    <w:p w14:paraId="418A1131" w14:textId="514A38B9" w:rsidR="003B19DD" w:rsidRDefault="00F379C0">
      <w:pPr>
        <w:pStyle w:val="TOC3"/>
        <w:rPr>
          <w:rFonts w:asciiTheme="minorHAnsi" w:eastAsiaTheme="minorEastAsia" w:hAnsiTheme="minorHAnsi" w:cstheme="minorBidi"/>
          <w:b w:val="0"/>
          <w:noProof/>
          <w:szCs w:val="22"/>
          <w:lang w:val="en-US" w:eastAsia="en-US"/>
        </w:rPr>
      </w:pPr>
      <w:hyperlink w:anchor="_Toc83996370" w:history="1">
        <w:r w:rsidR="003B19DD" w:rsidRPr="008E5396">
          <w:rPr>
            <w:rStyle w:val="Hyperlink"/>
            <w:noProof/>
          </w:rPr>
          <w:t>ՀՀ կրթության, գիտության, մշակույթի և սպորտի նախարարություն</w:t>
        </w:r>
        <w:r w:rsidR="003B19DD">
          <w:rPr>
            <w:noProof/>
            <w:webHidden/>
          </w:rPr>
          <w:tab/>
        </w:r>
        <w:r w:rsidR="003B19DD">
          <w:rPr>
            <w:noProof/>
            <w:webHidden/>
          </w:rPr>
          <w:fldChar w:fldCharType="begin"/>
        </w:r>
        <w:r w:rsidR="003B19DD">
          <w:rPr>
            <w:noProof/>
            <w:webHidden/>
          </w:rPr>
          <w:instrText xml:space="preserve"> PAGEREF _Toc83996370 \h </w:instrText>
        </w:r>
        <w:r w:rsidR="003B19DD">
          <w:rPr>
            <w:noProof/>
            <w:webHidden/>
          </w:rPr>
        </w:r>
        <w:r w:rsidR="003B19DD">
          <w:rPr>
            <w:noProof/>
            <w:webHidden/>
          </w:rPr>
          <w:fldChar w:fldCharType="separate"/>
        </w:r>
        <w:r w:rsidR="003B19DD">
          <w:rPr>
            <w:noProof/>
            <w:webHidden/>
          </w:rPr>
          <w:t>130</w:t>
        </w:r>
        <w:r w:rsidR="003B19DD">
          <w:rPr>
            <w:noProof/>
            <w:webHidden/>
          </w:rPr>
          <w:fldChar w:fldCharType="end"/>
        </w:r>
      </w:hyperlink>
    </w:p>
    <w:p w14:paraId="68C25DBD" w14:textId="3D8ED364" w:rsidR="003B19DD" w:rsidRDefault="00F379C0">
      <w:pPr>
        <w:pStyle w:val="TOC3"/>
        <w:rPr>
          <w:rFonts w:asciiTheme="minorHAnsi" w:eastAsiaTheme="minorEastAsia" w:hAnsiTheme="minorHAnsi" w:cstheme="minorBidi"/>
          <w:b w:val="0"/>
          <w:noProof/>
          <w:szCs w:val="22"/>
          <w:lang w:val="en-US" w:eastAsia="en-US"/>
        </w:rPr>
      </w:pPr>
      <w:hyperlink w:anchor="_Toc83996371" w:history="1">
        <w:r w:rsidR="003B19DD" w:rsidRPr="008E5396">
          <w:rPr>
            <w:rStyle w:val="Hyperlink"/>
            <w:noProof/>
          </w:rPr>
          <w:t>ՀՀ աշխատանքի և սոցիալական հարցերի նախարարություն</w:t>
        </w:r>
        <w:r w:rsidR="003B19DD">
          <w:rPr>
            <w:noProof/>
            <w:webHidden/>
          </w:rPr>
          <w:tab/>
        </w:r>
        <w:r w:rsidR="003B19DD">
          <w:rPr>
            <w:noProof/>
            <w:webHidden/>
          </w:rPr>
          <w:fldChar w:fldCharType="begin"/>
        </w:r>
        <w:r w:rsidR="003B19DD">
          <w:rPr>
            <w:noProof/>
            <w:webHidden/>
          </w:rPr>
          <w:instrText xml:space="preserve"> PAGEREF _Toc83996371 \h </w:instrText>
        </w:r>
        <w:r w:rsidR="003B19DD">
          <w:rPr>
            <w:noProof/>
            <w:webHidden/>
          </w:rPr>
        </w:r>
        <w:r w:rsidR="003B19DD">
          <w:rPr>
            <w:noProof/>
            <w:webHidden/>
          </w:rPr>
          <w:fldChar w:fldCharType="separate"/>
        </w:r>
        <w:r w:rsidR="003B19DD">
          <w:rPr>
            <w:noProof/>
            <w:webHidden/>
          </w:rPr>
          <w:t>141</w:t>
        </w:r>
        <w:r w:rsidR="003B19DD">
          <w:rPr>
            <w:noProof/>
            <w:webHidden/>
          </w:rPr>
          <w:fldChar w:fldCharType="end"/>
        </w:r>
      </w:hyperlink>
    </w:p>
    <w:p w14:paraId="03930CCE" w14:textId="25F60862" w:rsidR="003B19DD" w:rsidRDefault="00F379C0">
      <w:pPr>
        <w:pStyle w:val="TOC3"/>
        <w:rPr>
          <w:rFonts w:asciiTheme="minorHAnsi" w:eastAsiaTheme="minorEastAsia" w:hAnsiTheme="minorHAnsi" w:cstheme="minorBidi"/>
          <w:b w:val="0"/>
          <w:noProof/>
          <w:szCs w:val="22"/>
          <w:lang w:val="en-US" w:eastAsia="en-US"/>
        </w:rPr>
      </w:pPr>
      <w:hyperlink w:anchor="_Toc83996372" w:history="1">
        <w:r w:rsidR="003B19DD" w:rsidRPr="008E5396">
          <w:rPr>
            <w:rStyle w:val="Hyperlink"/>
            <w:noProof/>
          </w:rPr>
          <w:t>ՀՀ տարածքային կառավարման և ենթակառուցվածքների նախարարություն</w:t>
        </w:r>
        <w:r w:rsidR="003B19DD">
          <w:rPr>
            <w:noProof/>
            <w:webHidden/>
          </w:rPr>
          <w:tab/>
        </w:r>
        <w:r w:rsidR="003B19DD">
          <w:rPr>
            <w:noProof/>
            <w:webHidden/>
          </w:rPr>
          <w:fldChar w:fldCharType="begin"/>
        </w:r>
        <w:r w:rsidR="003B19DD">
          <w:rPr>
            <w:noProof/>
            <w:webHidden/>
          </w:rPr>
          <w:instrText xml:space="preserve"> PAGEREF _Toc83996372 \h </w:instrText>
        </w:r>
        <w:r w:rsidR="003B19DD">
          <w:rPr>
            <w:noProof/>
            <w:webHidden/>
          </w:rPr>
        </w:r>
        <w:r w:rsidR="003B19DD">
          <w:rPr>
            <w:noProof/>
            <w:webHidden/>
          </w:rPr>
          <w:fldChar w:fldCharType="separate"/>
        </w:r>
        <w:r w:rsidR="003B19DD">
          <w:rPr>
            <w:noProof/>
            <w:webHidden/>
          </w:rPr>
          <w:t>146</w:t>
        </w:r>
        <w:r w:rsidR="003B19DD">
          <w:rPr>
            <w:noProof/>
            <w:webHidden/>
          </w:rPr>
          <w:fldChar w:fldCharType="end"/>
        </w:r>
      </w:hyperlink>
    </w:p>
    <w:p w14:paraId="3B5EF8F4" w14:textId="74F05B26" w:rsidR="003B19DD" w:rsidRDefault="00F379C0">
      <w:pPr>
        <w:pStyle w:val="TOC3"/>
        <w:rPr>
          <w:rFonts w:asciiTheme="minorHAnsi" w:eastAsiaTheme="minorEastAsia" w:hAnsiTheme="minorHAnsi" w:cstheme="minorBidi"/>
          <w:b w:val="0"/>
          <w:noProof/>
          <w:szCs w:val="22"/>
          <w:lang w:val="en-US" w:eastAsia="en-US"/>
        </w:rPr>
      </w:pPr>
      <w:hyperlink w:anchor="_Toc83996373" w:history="1">
        <w:r w:rsidR="003B19DD" w:rsidRPr="008E5396">
          <w:rPr>
            <w:rStyle w:val="Hyperlink"/>
            <w:noProof/>
          </w:rPr>
          <w:t>ՀՀ բարձր տեխնոլոգիական արդյունաբերության նախարարություն</w:t>
        </w:r>
        <w:r w:rsidR="003B19DD">
          <w:rPr>
            <w:noProof/>
            <w:webHidden/>
          </w:rPr>
          <w:tab/>
        </w:r>
        <w:r w:rsidR="003B19DD">
          <w:rPr>
            <w:noProof/>
            <w:webHidden/>
          </w:rPr>
          <w:fldChar w:fldCharType="begin"/>
        </w:r>
        <w:r w:rsidR="003B19DD">
          <w:rPr>
            <w:noProof/>
            <w:webHidden/>
          </w:rPr>
          <w:instrText xml:space="preserve"> PAGEREF _Toc83996373 \h </w:instrText>
        </w:r>
        <w:r w:rsidR="003B19DD">
          <w:rPr>
            <w:noProof/>
            <w:webHidden/>
          </w:rPr>
        </w:r>
        <w:r w:rsidR="003B19DD">
          <w:rPr>
            <w:noProof/>
            <w:webHidden/>
          </w:rPr>
          <w:fldChar w:fldCharType="separate"/>
        </w:r>
        <w:r w:rsidR="003B19DD">
          <w:rPr>
            <w:noProof/>
            <w:webHidden/>
          </w:rPr>
          <w:t>153</w:t>
        </w:r>
        <w:r w:rsidR="003B19DD">
          <w:rPr>
            <w:noProof/>
            <w:webHidden/>
          </w:rPr>
          <w:fldChar w:fldCharType="end"/>
        </w:r>
      </w:hyperlink>
    </w:p>
    <w:p w14:paraId="4581725F" w14:textId="30E6C6B3" w:rsidR="003B19DD" w:rsidRDefault="00F379C0">
      <w:pPr>
        <w:pStyle w:val="TOC3"/>
        <w:rPr>
          <w:rFonts w:asciiTheme="minorHAnsi" w:eastAsiaTheme="minorEastAsia" w:hAnsiTheme="minorHAnsi" w:cstheme="minorBidi"/>
          <w:b w:val="0"/>
          <w:noProof/>
          <w:szCs w:val="22"/>
          <w:lang w:val="en-US" w:eastAsia="en-US"/>
        </w:rPr>
      </w:pPr>
      <w:hyperlink w:anchor="_Toc83996374" w:history="1">
        <w:r w:rsidR="003B19DD" w:rsidRPr="008E5396">
          <w:rPr>
            <w:rStyle w:val="Hyperlink"/>
            <w:rFonts w:cs="Arial"/>
            <w:noProof/>
            <w:lang w:val="hy-AM" w:eastAsia="en-US"/>
          </w:rPr>
          <w:t>ՀՀ շրջակա միջավայրի նախարարություն</w:t>
        </w:r>
        <w:r w:rsidR="003B19DD">
          <w:rPr>
            <w:noProof/>
            <w:webHidden/>
          </w:rPr>
          <w:tab/>
        </w:r>
        <w:r w:rsidR="003B19DD">
          <w:rPr>
            <w:noProof/>
            <w:webHidden/>
          </w:rPr>
          <w:fldChar w:fldCharType="begin"/>
        </w:r>
        <w:r w:rsidR="003B19DD">
          <w:rPr>
            <w:noProof/>
            <w:webHidden/>
          </w:rPr>
          <w:instrText xml:space="preserve"> PAGEREF _Toc83996374 \h </w:instrText>
        </w:r>
        <w:r w:rsidR="003B19DD">
          <w:rPr>
            <w:noProof/>
            <w:webHidden/>
          </w:rPr>
        </w:r>
        <w:r w:rsidR="003B19DD">
          <w:rPr>
            <w:noProof/>
            <w:webHidden/>
          </w:rPr>
          <w:fldChar w:fldCharType="separate"/>
        </w:r>
        <w:r w:rsidR="003B19DD">
          <w:rPr>
            <w:noProof/>
            <w:webHidden/>
          </w:rPr>
          <w:t>155</w:t>
        </w:r>
        <w:r w:rsidR="003B19DD">
          <w:rPr>
            <w:noProof/>
            <w:webHidden/>
          </w:rPr>
          <w:fldChar w:fldCharType="end"/>
        </w:r>
      </w:hyperlink>
    </w:p>
    <w:p w14:paraId="120D762A" w14:textId="5A2085D8" w:rsidR="003B19DD" w:rsidRDefault="00F379C0">
      <w:pPr>
        <w:pStyle w:val="TOC3"/>
        <w:rPr>
          <w:rFonts w:asciiTheme="minorHAnsi" w:eastAsiaTheme="minorEastAsia" w:hAnsiTheme="minorHAnsi" w:cstheme="minorBidi"/>
          <w:b w:val="0"/>
          <w:noProof/>
          <w:szCs w:val="22"/>
          <w:lang w:val="en-US" w:eastAsia="en-US"/>
        </w:rPr>
      </w:pPr>
      <w:hyperlink w:anchor="_Toc83996375" w:history="1">
        <w:r w:rsidR="003B19DD" w:rsidRPr="008E5396">
          <w:rPr>
            <w:rStyle w:val="Hyperlink"/>
            <w:rFonts w:cs="Arial"/>
            <w:noProof/>
            <w:lang w:val="hy-AM" w:eastAsia="en-US"/>
          </w:rPr>
          <w:t>ՀՀ էկոնոմիկայի նախարարություն</w:t>
        </w:r>
        <w:r w:rsidR="003B19DD">
          <w:rPr>
            <w:noProof/>
            <w:webHidden/>
          </w:rPr>
          <w:tab/>
        </w:r>
        <w:r w:rsidR="003B19DD">
          <w:rPr>
            <w:noProof/>
            <w:webHidden/>
          </w:rPr>
          <w:fldChar w:fldCharType="begin"/>
        </w:r>
        <w:r w:rsidR="003B19DD">
          <w:rPr>
            <w:noProof/>
            <w:webHidden/>
          </w:rPr>
          <w:instrText xml:space="preserve"> PAGEREF _Toc83996375 \h </w:instrText>
        </w:r>
        <w:r w:rsidR="003B19DD">
          <w:rPr>
            <w:noProof/>
            <w:webHidden/>
          </w:rPr>
        </w:r>
        <w:r w:rsidR="003B19DD">
          <w:rPr>
            <w:noProof/>
            <w:webHidden/>
          </w:rPr>
          <w:fldChar w:fldCharType="separate"/>
        </w:r>
        <w:r w:rsidR="003B19DD">
          <w:rPr>
            <w:noProof/>
            <w:webHidden/>
          </w:rPr>
          <w:t>156</w:t>
        </w:r>
        <w:r w:rsidR="003B19DD">
          <w:rPr>
            <w:noProof/>
            <w:webHidden/>
          </w:rPr>
          <w:fldChar w:fldCharType="end"/>
        </w:r>
      </w:hyperlink>
    </w:p>
    <w:p w14:paraId="297ADFF5" w14:textId="7222620C" w:rsidR="003B19DD" w:rsidRDefault="00F379C0">
      <w:pPr>
        <w:pStyle w:val="TOC3"/>
        <w:rPr>
          <w:rFonts w:asciiTheme="minorHAnsi" w:eastAsiaTheme="minorEastAsia" w:hAnsiTheme="minorHAnsi" w:cstheme="minorBidi"/>
          <w:b w:val="0"/>
          <w:noProof/>
          <w:szCs w:val="22"/>
          <w:lang w:val="en-US" w:eastAsia="en-US"/>
        </w:rPr>
      </w:pPr>
      <w:hyperlink w:anchor="_Toc83996376" w:history="1">
        <w:r w:rsidR="003B19DD" w:rsidRPr="008E5396">
          <w:rPr>
            <w:rStyle w:val="Hyperlink"/>
            <w:rFonts w:cs="Arial"/>
            <w:noProof/>
            <w:lang w:val="hy-AM" w:eastAsia="en-US"/>
          </w:rPr>
          <w:t xml:space="preserve">ՀՀ </w:t>
        </w:r>
        <w:r w:rsidR="003B19DD" w:rsidRPr="008E5396">
          <w:rPr>
            <w:rStyle w:val="Hyperlink"/>
            <w:rFonts w:cs="Arial"/>
            <w:noProof/>
            <w:lang w:eastAsia="en-US"/>
          </w:rPr>
          <w:t>ֆինանսների</w:t>
        </w:r>
        <w:r w:rsidR="003B19DD" w:rsidRPr="008E5396">
          <w:rPr>
            <w:rStyle w:val="Hyperlink"/>
            <w:rFonts w:cs="Arial"/>
            <w:noProof/>
            <w:lang w:val="hy-AM" w:eastAsia="en-US"/>
          </w:rPr>
          <w:t xml:space="preserve"> նախարարություն</w:t>
        </w:r>
        <w:r w:rsidR="003B19DD">
          <w:rPr>
            <w:noProof/>
            <w:webHidden/>
          </w:rPr>
          <w:tab/>
        </w:r>
        <w:r w:rsidR="003B19DD">
          <w:rPr>
            <w:noProof/>
            <w:webHidden/>
          </w:rPr>
          <w:fldChar w:fldCharType="begin"/>
        </w:r>
        <w:r w:rsidR="003B19DD">
          <w:rPr>
            <w:noProof/>
            <w:webHidden/>
          </w:rPr>
          <w:instrText xml:space="preserve"> PAGEREF _Toc83996376 \h </w:instrText>
        </w:r>
        <w:r w:rsidR="003B19DD">
          <w:rPr>
            <w:noProof/>
            <w:webHidden/>
          </w:rPr>
        </w:r>
        <w:r w:rsidR="003B19DD">
          <w:rPr>
            <w:noProof/>
            <w:webHidden/>
          </w:rPr>
          <w:fldChar w:fldCharType="separate"/>
        </w:r>
        <w:r w:rsidR="003B19DD">
          <w:rPr>
            <w:noProof/>
            <w:webHidden/>
          </w:rPr>
          <w:t>160</w:t>
        </w:r>
        <w:r w:rsidR="003B19DD">
          <w:rPr>
            <w:noProof/>
            <w:webHidden/>
          </w:rPr>
          <w:fldChar w:fldCharType="end"/>
        </w:r>
      </w:hyperlink>
    </w:p>
    <w:p w14:paraId="69EE8468" w14:textId="3B101411" w:rsidR="003B19DD" w:rsidRDefault="00F379C0">
      <w:pPr>
        <w:pStyle w:val="TOC3"/>
        <w:rPr>
          <w:rFonts w:asciiTheme="minorHAnsi" w:eastAsiaTheme="minorEastAsia" w:hAnsiTheme="minorHAnsi" w:cstheme="minorBidi"/>
          <w:b w:val="0"/>
          <w:noProof/>
          <w:szCs w:val="22"/>
          <w:lang w:val="en-US" w:eastAsia="en-US"/>
        </w:rPr>
      </w:pPr>
      <w:hyperlink w:anchor="_Toc83996377" w:history="1">
        <w:r w:rsidR="003B19DD" w:rsidRPr="008E5396">
          <w:rPr>
            <w:rStyle w:val="Hyperlink"/>
            <w:rFonts w:cs="Arial"/>
            <w:noProof/>
            <w:lang w:val="hy-AM" w:eastAsia="en-US"/>
          </w:rPr>
          <w:t>ՀՀ արտակարգ իրավիճակների նախարարություն</w:t>
        </w:r>
        <w:r w:rsidR="003B19DD">
          <w:rPr>
            <w:noProof/>
            <w:webHidden/>
          </w:rPr>
          <w:tab/>
        </w:r>
        <w:r w:rsidR="003B19DD">
          <w:rPr>
            <w:noProof/>
            <w:webHidden/>
          </w:rPr>
          <w:fldChar w:fldCharType="begin"/>
        </w:r>
        <w:r w:rsidR="003B19DD">
          <w:rPr>
            <w:noProof/>
            <w:webHidden/>
          </w:rPr>
          <w:instrText xml:space="preserve"> PAGEREF _Toc83996377 \h </w:instrText>
        </w:r>
        <w:r w:rsidR="003B19DD">
          <w:rPr>
            <w:noProof/>
            <w:webHidden/>
          </w:rPr>
        </w:r>
        <w:r w:rsidR="003B19DD">
          <w:rPr>
            <w:noProof/>
            <w:webHidden/>
          </w:rPr>
          <w:fldChar w:fldCharType="separate"/>
        </w:r>
        <w:r w:rsidR="003B19DD">
          <w:rPr>
            <w:noProof/>
            <w:webHidden/>
          </w:rPr>
          <w:t>161</w:t>
        </w:r>
        <w:r w:rsidR="003B19DD">
          <w:rPr>
            <w:noProof/>
            <w:webHidden/>
          </w:rPr>
          <w:fldChar w:fldCharType="end"/>
        </w:r>
      </w:hyperlink>
    </w:p>
    <w:p w14:paraId="7E5A71C7" w14:textId="12A27F31" w:rsidR="003B19DD" w:rsidRDefault="00F379C0">
      <w:pPr>
        <w:pStyle w:val="TOC3"/>
        <w:rPr>
          <w:rFonts w:asciiTheme="minorHAnsi" w:eastAsiaTheme="minorEastAsia" w:hAnsiTheme="minorHAnsi" w:cstheme="minorBidi"/>
          <w:b w:val="0"/>
          <w:noProof/>
          <w:szCs w:val="22"/>
          <w:lang w:val="en-US" w:eastAsia="en-US"/>
        </w:rPr>
      </w:pPr>
      <w:hyperlink w:anchor="_Toc83996378" w:history="1">
        <w:r w:rsidR="003B19DD" w:rsidRPr="008E5396">
          <w:rPr>
            <w:rStyle w:val="Hyperlink"/>
            <w:rFonts w:cs="Arial"/>
            <w:noProof/>
            <w:lang w:val="hy-AM" w:eastAsia="en-US"/>
          </w:rPr>
          <w:t>ՀՀ արդարադատության նախարարություն</w:t>
        </w:r>
        <w:r w:rsidR="003B19DD">
          <w:rPr>
            <w:noProof/>
            <w:webHidden/>
          </w:rPr>
          <w:tab/>
        </w:r>
        <w:r w:rsidR="003B19DD">
          <w:rPr>
            <w:noProof/>
            <w:webHidden/>
          </w:rPr>
          <w:fldChar w:fldCharType="begin"/>
        </w:r>
        <w:r w:rsidR="003B19DD">
          <w:rPr>
            <w:noProof/>
            <w:webHidden/>
          </w:rPr>
          <w:instrText xml:space="preserve"> PAGEREF _Toc83996378 \h </w:instrText>
        </w:r>
        <w:r w:rsidR="003B19DD">
          <w:rPr>
            <w:noProof/>
            <w:webHidden/>
          </w:rPr>
        </w:r>
        <w:r w:rsidR="003B19DD">
          <w:rPr>
            <w:noProof/>
            <w:webHidden/>
          </w:rPr>
          <w:fldChar w:fldCharType="separate"/>
        </w:r>
        <w:r w:rsidR="003B19DD">
          <w:rPr>
            <w:noProof/>
            <w:webHidden/>
          </w:rPr>
          <w:t>163</w:t>
        </w:r>
        <w:r w:rsidR="003B19DD">
          <w:rPr>
            <w:noProof/>
            <w:webHidden/>
          </w:rPr>
          <w:fldChar w:fldCharType="end"/>
        </w:r>
      </w:hyperlink>
    </w:p>
    <w:p w14:paraId="6ECBE3FD" w14:textId="46D2936D" w:rsidR="003B19DD" w:rsidRDefault="00F379C0">
      <w:pPr>
        <w:pStyle w:val="TOC3"/>
        <w:rPr>
          <w:rFonts w:asciiTheme="minorHAnsi" w:eastAsiaTheme="minorEastAsia" w:hAnsiTheme="minorHAnsi" w:cstheme="minorBidi"/>
          <w:b w:val="0"/>
          <w:noProof/>
          <w:szCs w:val="22"/>
          <w:lang w:val="en-US" w:eastAsia="en-US"/>
        </w:rPr>
      </w:pPr>
      <w:hyperlink w:anchor="_Toc83996379" w:history="1">
        <w:r w:rsidR="003B19DD" w:rsidRPr="008E5396">
          <w:rPr>
            <w:rStyle w:val="Hyperlink"/>
            <w:rFonts w:cs="Arial"/>
            <w:noProof/>
            <w:lang w:val="hy-AM" w:eastAsia="en-US"/>
          </w:rPr>
          <w:t>ՀՀ արտաքին գործերի նախարարություն</w:t>
        </w:r>
        <w:r w:rsidR="003B19DD">
          <w:rPr>
            <w:noProof/>
            <w:webHidden/>
          </w:rPr>
          <w:tab/>
        </w:r>
        <w:r w:rsidR="003B19DD">
          <w:rPr>
            <w:noProof/>
            <w:webHidden/>
          </w:rPr>
          <w:fldChar w:fldCharType="begin"/>
        </w:r>
        <w:r w:rsidR="003B19DD">
          <w:rPr>
            <w:noProof/>
            <w:webHidden/>
          </w:rPr>
          <w:instrText xml:space="preserve"> PAGEREF _Toc83996379 \h </w:instrText>
        </w:r>
        <w:r w:rsidR="003B19DD">
          <w:rPr>
            <w:noProof/>
            <w:webHidden/>
          </w:rPr>
        </w:r>
        <w:r w:rsidR="003B19DD">
          <w:rPr>
            <w:noProof/>
            <w:webHidden/>
          </w:rPr>
          <w:fldChar w:fldCharType="separate"/>
        </w:r>
        <w:r w:rsidR="003B19DD">
          <w:rPr>
            <w:noProof/>
            <w:webHidden/>
          </w:rPr>
          <w:t>166</w:t>
        </w:r>
        <w:r w:rsidR="003B19DD">
          <w:rPr>
            <w:noProof/>
            <w:webHidden/>
          </w:rPr>
          <w:fldChar w:fldCharType="end"/>
        </w:r>
      </w:hyperlink>
    </w:p>
    <w:p w14:paraId="1EF65520" w14:textId="65F602C7" w:rsidR="003B19DD" w:rsidRDefault="00F379C0">
      <w:pPr>
        <w:pStyle w:val="TOC3"/>
        <w:rPr>
          <w:rFonts w:asciiTheme="minorHAnsi" w:eastAsiaTheme="minorEastAsia" w:hAnsiTheme="minorHAnsi" w:cstheme="minorBidi"/>
          <w:b w:val="0"/>
          <w:noProof/>
          <w:szCs w:val="22"/>
          <w:lang w:val="en-US" w:eastAsia="en-US"/>
        </w:rPr>
      </w:pPr>
      <w:hyperlink w:anchor="_Toc83996380" w:history="1">
        <w:r w:rsidR="003B19DD" w:rsidRPr="008E5396">
          <w:rPr>
            <w:rStyle w:val="Hyperlink"/>
            <w:rFonts w:cs="Arial"/>
            <w:noProof/>
            <w:lang w:val="hy-AM" w:eastAsia="en-US"/>
          </w:rPr>
          <w:t>ՀՀ պաշտպանության նախարարություն</w:t>
        </w:r>
        <w:r w:rsidR="003B19DD">
          <w:rPr>
            <w:noProof/>
            <w:webHidden/>
          </w:rPr>
          <w:tab/>
        </w:r>
        <w:r w:rsidR="003B19DD">
          <w:rPr>
            <w:noProof/>
            <w:webHidden/>
          </w:rPr>
          <w:fldChar w:fldCharType="begin"/>
        </w:r>
        <w:r w:rsidR="003B19DD">
          <w:rPr>
            <w:noProof/>
            <w:webHidden/>
          </w:rPr>
          <w:instrText xml:space="preserve"> PAGEREF _Toc83996380 \h </w:instrText>
        </w:r>
        <w:r w:rsidR="003B19DD">
          <w:rPr>
            <w:noProof/>
            <w:webHidden/>
          </w:rPr>
        </w:r>
        <w:r w:rsidR="003B19DD">
          <w:rPr>
            <w:noProof/>
            <w:webHidden/>
          </w:rPr>
          <w:fldChar w:fldCharType="separate"/>
        </w:r>
        <w:r w:rsidR="003B19DD">
          <w:rPr>
            <w:noProof/>
            <w:webHidden/>
          </w:rPr>
          <w:t>167</w:t>
        </w:r>
        <w:r w:rsidR="003B19DD">
          <w:rPr>
            <w:noProof/>
            <w:webHidden/>
          </w:rPr>
          <w:fldChar w:fldCharType="end"/>
        </w:r>
      </w:hyperlink>
    </w:p>
    <w:p w14:paraId="6B2C7BF9" w14:textId="4A0E530B" w:rsidR="003B19DD" w:rsidRDefault="00F379C0">
      <w:pPr>
        <w:pStyle w:val="TOC3"/>
        <w:rPr>
          <w:rFonts w:asciiTheme="minorHAnsi" w:eastAsiaTheme="minorEastAsia" w:hAnsiTheme="minorHAnsi" w:cstheme="minorBidi"/>
          <w:b w:val="0"/>
          <w:noProof/>
          <w:szCs w:val="22"/>
          <w:lang w:val="en-US" w:eastAsia="en-US"/>
        </w:rPr>
      </w:pPr>
      <w:hyperlink w:anchor="_Toc83996381" w:history="1">
        <w:r w:rsidR="003B19DD" w:rsidRPr="008E5396">
          <w:rPr>
            <w:rStyle w:val="Hyperlink"/>
            <w:rFonts w:cs="Arial"/>
            <w:noProof/>
            <w:lang w:val="hy-AM" w:eastAsia="en-US"/>
          </w:rPr>
          <w:t>ՀՀ Ոստիկանություն</w:t>
        </w:r>
        <w:r w:rsidR="003B19DD">
          <w:rPr>
            <w:noProof/>
            <w:webHidden/>
          </w:rPr>
          <w:tab/>
        </w:r>
        <w:r w:rsidR="003B19DD">
          <w:rPr>
            <w:noProof/>
            <w:webHidden/>
          </w:rPr>
          <w:fldChar w:fldCharType="begin"/>
        </w:r>
        <w:r w:rsidR="003B19DD">
          <w:rPr>
            <w:noProof/>
            <w:webHidden/>
          </w:rPr>
          <w:instrText xml:space="preserve"> PAGEREF _Toc83996381 \h </w:instrText>
        </w:r>
        <w:r w:rsidR="003B19DD">
          <w:rPr>
            <w:noProof/>
            <w:webHidden/>
          </w:rPr>
        </w:r>
        <w:r w:rsidR="003B19DD">
          <w:rPr>
            <w:noProof/>
            <w:webHidden/>
          </w:rPr>
          <w:fldChar w:fldCharType="separate"/>
        </w:r>
        <w:r w:rsidR="003B19DD">
          <w:rPr>
            <w:noProof/>
            <w:webHidden/>
          </w:rPr>
          <w:t>169</w:t>
        </w:r>
        <w:r w:rsidR="003B19DD">
          <w:rPr>
            <w:noProof/>
            <w:webHidden/>
          </w:rPr>
          <w:fldChar w:fldCharType="end"/>
        </w:r>
      </w:hyperlink>
    </w:p>
    <w:p w14:paraId="249CE703" w14:textId="085FE1F8" w:rsidR="003B19DD" w:rsidRDefault="00F379C0">
      <w:pPr>
        <w:pStyle w:val="TOC3"/>
        <w:rPr>
          <w:rFonts w:asciiTheme="minorHAnsi" w:eastAsiaTheme="minorEastAsia" w:hAnsiTheme="minorHAnsi" w:cstheme="minorBidi"/>
          <w:b w:val="0"/>
          <w:noProof/>
          <w:szCs w:val="22"/>
          <w:lang w:val="en-US" w:eastAsia="en-US"/>
        </w:rPr>
      </w:pPr>
      <w:hyperlink w:anchor="_Toc83996382" w:history="1">
        <w:r w:rsidR="003B19DD" w:rsidRPr="008E5396">
          <w:rPr>
            <w:rStyle w:val="Hyperlink"/>
            <w:rFonts w:cs="Arial"/>
            <w:noProof/>
            <w:lang w:val="hy-AM" w:eastAsia="en-US"/>
          </w:rPr>
          <w:t>ՀՀ ազգային անվտանգության ծառայություն</w:t>
        </w:r>
        <w:r w:rsidR="003B19DD">
          <w:rPr>
            <w:noProof/>
            <w:webHidden/>
          </w:rPr>
          <w:tab/>
        </w:r>
        <w:r w:rsidR="003B19DD">
          <w:rPr>
            <w:noProof/>
            <w:webHidden/>
          </w:rPr>
          <w:fldChar w:fldCharType="begin"/>
        </w:r>
        <w:r w:rsidR="003B19DD">
          <w:rPr>
            <w:noProof/>
            <w:webHidden/>
          </w:rPr>
          <w:instrText xml:space="preserve"> PAGEREF _Toc83996382 \h </w:instrText>
        </w:r>
        <w:r w:rsidR="003B19DD">
          <w:rPr>
            <w:noProof/>
            <w:webHidden/>
          </w:rPr>
        </w:r>
        <w:r w:rsidR="003B19DD">
          <w:rPr>
            <w:noProof/>
            <w:webHidden/>
          </w:rPr>
          <w:fldChar w:fldCharType="separate"/>
        </w:r>
        <w:r w:rsidR="003B19DD">
          <w:rPr>
            <w:noProof/>
            <w:webHidden/>
          </w:rPr>
          <w:t>170</w:t>
        </w:r>
        <w:r w:rsidR="003B19DD">
          <w:rPr>
            <w:noProof/>
            <w:webHidden/>
          </w:rPr>
          <w:fldChar w:fldCharType="end"/>
        </w:r>
      </w:hyperlink>
    </w:p>
    <w:p w14:paraId="325712C4" w14:textId="0708AAD6" w:rsidR="003B19DD" w:rsidRDefault="00F379C0">
      <w:pPr>
        <w:pStyle w:val="TOC3"/>
        <w:rPr>
          <w:rFonts w:asciiTheme="minorHAnsi" w:eastAsiaTheme="minorEastAsia" w:hAnsiTheme="minorHAnsi" w:cstheme="minorBidi"/>
          <w:b w:val="0"/>
          <w:noProof/>
          <w:szCs w:val="22"/>
          <w:lang w:val="en-US" w:eastAsia="en-US"/>
        </w:rPr>
      </w:pPr>
      <w:hyperlink w:anchor="_Toc83996383" w:history="1">
        <w:r w:rsidR="003B19DD" w:rsidRPr="008E5396">
          <w:rPr>
            <w:rStyle w:val="Hyperlink"/>
            <w:rFonts w:cs="Arial"/>
            <w:noProof/>
            <w:lang w:val="hy-AM" w:eastAsia="en-US"/>
          </w:rPr>
          <w:t>ՀՀ վարչապետի աշխատակազմ</w:t>
        </w:r>
        <w:r w:rsidR="003B19DD">
          <w:rPr>
            <w:noProof/>
            <w:webHidden/>
          </w:rPr>
          <w:tab/>
        </w:r>
        <w:r w:rsidR="003B19DD">
          <w:rPr>
            <w:noProof/>
            <w:webHidden/>
          </w:rPr>
          <w:fldChar w:fldCharType="begin"/>
        </w:r>
        <w:r w:rsidR="003B19DD">
          <w:rPr>
            <w:noProof/>
            <w:webHidden/>
          </w:rPr>
          <w:instrText xml:space="preserve"> PAGEREF _Toc83996383 \h </w:instrText>
        </w:r>
        <w:r w:rsidR="003B19DD">
          <w:rPr>
            <w:noProof/>
            <w:webHidden/>
          </w:rPr>
        </w:r>
        <w:r w:rsidR="003B19DD">
          <w:rPr>
            <w:noProof/>
            <w:webHidden/>
          </w:rPr>
          <w:fldChar w:fldCharType="separate"/>
        </w:r>
        <w:r w:rsidR="003B19DD">
          <w:rPr>
            <w:noProof/>
            <w:webHidden/>
          </w:rPr>
          <w:t>172</w:t>
        </w:r>
        <w:r w:rsidR="003B19DD">
          <w:rPr>
            <w:noProof/>
            <w:webHidden/>
          </w:rPr>
          <w:fldChar w:fldCharType="end"/>
        </w:r>
      </w:hyperlink>
    </w:p>
    <w:p w14:paraId="5177B747" w14:textId="01F8C1E1" w:rsidR="003B19DD" w:rsidRDefault="00F379C0">
      <w:pPr>
        <w:pStyle w:val="TOC3"/>
        <w:rPr>
          <w:rFonts w:asciiTheme="minorHAnsi" w:eastAsiaTheme="minorEastAsia" w:hAnsiTheme="minorHAnsi" w:cstheme="minorBidi"/>
          <w:b w:val="0"/>
          <w:noProof/>
          <w:szCs w:val="22"/>
          <w:lang w:val="en-US" w:eastAsia="en-US"/>
        </w:rPr>
      </w:pPr>
      <w:hyperlink w:anchor="_Toc83996384" w:history="1">
        <w:r w:rsidR="003B19DD" w:rsidRPr="008E5396">
          <w:rPr>
            <w:rStyle w:val="Hyperlink"/>
            <w:rFonts w:cs="Arial"/>
            <w:noProof/>
            <w:lang w:val="hy-AM" w:eastAsia="en-US"/>
          </w:rPr>
          <w:t>ՀՀ պետական եկամուտների կոմիտե</w:t>
        </w:r>
        <w:r w:rsidR="003B19DD">
          <w:rPr>
            <w:noProof/>
            <w:webHidden/>
          </w:rPr>
          <w:tab/>
        </w:r>
        <w:r w:rsidR="003B19DD">
          <w:rPr>
            <w:noProof/>
            <w:webHidden/>
          </w:rPr>
          <w:fldChar w:fldCharType="begin"/>
        </w:r>
        <w:r w:rsidR="003B19DD">
          <w:rPr>
            <w:noProof/>
            <w:webHidden/>
          </w:rPr>
          <w:instrText xml:space="preserve"> PAGEREF _Toc83996384 \h </w:instrText>
        </w:r>
        <w:r w:rsidR="003B19DD">
          <w:rPr>
            <w:noProof/>
            <w:webHidden/>
          </w:rPr>
        </w:r>
        <w:r w:rsidR="003B19DD">
          <w:rPr>
            <w:noProof/>
            <w:webHidden/>
          </w:rPr>
          <w:fldChar w:fldCharType="separate"/>
        </w:r>
        <w:r w:rsidR="003B19DD">
          <w:rPr>
            <w:noProof/>
            <w:webHidden/>
          </w:rPr>
          <w:t>175</w:t>
        </w:r>
        <w:r w:rsidR="003B19DD">
          <w:rPr>
            <w:noProof/>
            <w:webHidden/>
          </w:rPr>
          <w:fldChar w:fldCharType="end"/>
        </w:r>
      </w:hyperlink>
    </w:p>
    <w:p w14:paraId="78BF02F8" w14:textId="0EB232DD" w:rsidR="003B19DD" w:rsidRDefault="00F379C0">
      <w:pPr>
        <w:pStyle w:val="TOC3"/>
        <w:rPr>
          <w:rFonts w:asciiTheme="minorHAnsi" w:eastAsiaTheme="minorEastAsia" w:hAnsiTheme="minorHAnsi" w:cstheme="minorBidi"/>
          <w:b w:val="0"/>
          <w:noProof/>
          <w:szCs w:val="22"/>
          <w:lang w:val="en-US" w:eastAsia="en-US"/>
        </w:rPr>
      </w:pPr>
      <w:hyperlink w:anchor="_Toc83996385" w:history="1">
        <w:r w:rsidR="003B19DD" w:rsidRPr="008E5396">
          <w:rPr>
            <w:rStyle w:val="Hyperlink"/>
            <w:rFonts w:cs="Arial"/>
            <w:noProof/>
            <w:lang w:val="hy-AM" w:eastAsia="en-US"/>
          </w:rPr>
          <w:t>ՀՀ կադաստրի կոմիտե</w:t>
        </w:r>
        <w:r w:rsidR="003B19DD">
          <w:rPr>
            <w:noProof/>
            <w:webHidden/>
          </w:rPr>
          <w:tab/>
        </w:r>
        <w:r w:rsidR="003B19DD">
          <w:rPr>
            <w:noProof/>
            <w:webHidden/>
          </w:rPr>
          <w:fldChar w:fldCharType="begin"/>
        </w:r>
        <w:r w:rsidR="003B19DD">
          <w:rPr>
            <w:noProof/>
            <w:webHidden/>
          </w:rPr>
          <w:instrText xml:space="preserve"> PAGEREF _Toc83996385 \h </w:instrText>
        </w:r>
        <w:r w:rsidR="003B19DD">
          <w:rPr>
            <w:noProof/>
            <w:webHidden/>
          </w:rPr>
        </w:r>
        <w:r w:rsidR="003B19DD">
          <w:rPr>
            <w:noProof/>
            <w:webHidden/>
          </w:rPr>
          <w:fldChar w:fldCharType="separate"/>
        </w:r>
        <w:r w:rsidR="003B19DD">
          <w:rPr>
            <w:noProof/>
            <w:webHidden/>
          </w:rPr>
          <w:t>176</w:t>
        </w:r>
        <w:r w:rsidR="003B19DD">
          <w:rPr>
            <w:noProof/>
            <w:webHidden/>
          </w:rPr>
          <w:fldChar w:fldCharType="end"/>
        </w:r>
      </w:hyperlink>
    </w:p>
    <w:p w14:paraId="52E1DEAD" w14:textId="6DA06B4C" w:rsidR="003B19DD" w:rsidRDefault="00F379C0">
      <w:pPr>
        <w:pStyle w:val="TOC3"/>
        <w:rPr>
          <w:rFonts w:asciiTheme="minorHAnsi" w:eastAsiaTheme="minorEastAsia" w:hAnsiTheme="minorHAnsi" w:cstheme="minorBidi"/>
          <w:b w:val="0"/>
          <w:noProof/>
          <w:szCs w:val="22"/>
          <w:lang w:val="en-US" w:eastAsia="en-US"/>
        </w:rPr>
      </w:pPr>
      <w:hyperlink w:anchor="_Toc83996386" w:history="1">
        <w:r w:rsidR="003B19DD" w:rsidRPr="008E5396">
          <w:rPr>
            <w:rStyle w:val="Hyperlink"/>
            <w:rFonts w:cs="Arial"/>
            <w:noProof/>
            <w:lang w:val="hy-AM" w:eastAsia="en-US"/>
          </w:rPr>
          <w:t>ՀՀ վիճակագրական կոմիտե</w:t>
        </w:r>
        <w:r w:rsidR="003B19DD">
          <w:rPr>
            <w:noProof/>
            <w:webHidden/>
          </w:rPr>
          <w:tab/>
        </w:r>
        <w:r w:rsidR="003B19DD">
          <w:rPr>
            <w:noProof/>
            <w:webHidden/>
          </w:rPr>
          <w:fldChar w:fldCharType="begin"/>
        </w:r>
        <w:r w:rsidR="003B19DD">
          <w:rPr>
            <w:noProof/>
            <w:webHidden/>
          </w:rPr>
          <w:instrText xml:space="preserve"> PAGEREF _Toc83996386 \h </w:instrText>
        </w:r>
        <w:r w:rsidR="003B19DD">
          <w:rPr>
            <w:noProof/>
            <w:webHidden/>
          </w:rPr>
        </w:r>
        <w:r w:rsidR="003B19DD">
          <w:rPr>
            <w:noProof/>
            <w:webHidden/>
          </w:rPr>
          <w:fldChar w:fldCharType="separate"/>
        </w:r>
        <w:r w:rsidR="003B19DD">
          <w:rPr>
            <w:noProof/>
            <w:webHidden/>
          </w:rPr>
          <w:t>176</w:t>
        </w:r>
        <w:r w:rsidR="003B19DD">
          <w:rPr>
            <w:noProof/>
            <w:webHidden/>
          </w:rPr>
          <w:fldChar w:fldCharType="end"/>
        </w:r>
      </w:hyperlink>
    </w:p>
    <w:p w14:paraId="3E2872FB" w14:textId="19DE0B92" w:rsidR="003B19DD" w:rsidRDefault="00F379C0">
      <w:pPr>
        <w:pStyle w:val="TOC3"/>
        <w:rPr>
          <w:rFonts w:asciiTheme="minorHAnsi" w:eastAsiaTheme="minorEastAsia" w:hAnsiTheme="minorHAnsi" w:cstheme="minorBidi"/>
          <w:b w:val="0"/>
          <w:noProof/>
          <w:szCs w:val="22"/>
          <w:lang w:val="en-US" w:eastAsia="en-US"/>
        </w:rPr>
      </w:pPr>
      <w:hyperlink w:anchor="_Toc83996387" w:history="1">
        <w:r w:rsidR="003B19DD" w:rsidRPr="008E5396">
          <w:rPr>
            <w:rStyle w:val="Hyperlink"/>
            <w:rFonts w:cs="Arial"/>
            <w:noProof/>
            <w:lang w:val="hy-AM" w:eastAsia="en-US"/>
          </w:rPr>
          <w:t>ՀՀ քաղաքաշինության կոմիտե</w:t>
        </w:r>
        <w:r w:rsidR="003B19DD">
          <w:rPr>
            <w:noProof/>
            <w:webHidden/>
          </w:rPr>
          <w:tab/>
        </w:r>
        <w:r w:rsidR="003B19DD">
          <w:rPr>
            <w:noProof/>
            <w:webHidden/>
          </w:rPr>
          <w:fldChar w:fldCharType="begin"/>
        </w:r>
        <w:r w:rsidR="003B19DD">
          <w:rPr>
            <w:noProof/>
            <w:webHidden/>
          </w:rPr>
          <w:instrText xml:space="preserve"> PAGEREF _Toc83996387 \h </w:instrText>
        </w:r>
        <w:r w:rsidR="003B19DD">
          <w:rPr>
            <w:noProof/>
            <w:webHidden/>
          </w:rPr>
        </w:r>
        <w:r w:rsidR="003B19DD">
          <w:rPr>
            <w:noProof/>
            <w:webHidden/>
          </w:rPr>
          <w:fldChar w:fldCharType="separate"/>
        </w:r>
        <w:r w:rsidR="003B19DD">
          <w:rPr>
            <w:noProof/>
            <w:webHidden/>
          </w:rPr>
          <w:t>177</w:t>
        </w:r>
        <w:r w:rsidR="003B19DD">
          <w:rPr>
            <w:noProof/>
            <w:webHidden/>
          </w:rPr>
          <w:fldChar w:fldCharType="end"/>
        </w:r>
      </w:hyperlink>
    </w:p>
    <w:p w14:paraId="30CFE2BF" w14:textId="701C593A" w:rsidR="003B19DD" w:rsidRDefault="00F379C0">
      <w:pPr>
        <w:pStyle w:val="TOC3"/>
        <w:rPr>
          <w:rFonts w:asciiTheme="minorHAnsi" w:eastAsiaTheme="minorEastAsia" w:hAnsiTheme="minorHAnsi" w:cstheme="minorBidi"/>
          <w:b w:val="0"/>
          <w:noProof/>
          <w:szCs w:val="22"/>
          <w:lang w:val="en-US" w:eastAsia="en-US"/>
        </w:rPr>
      </w:pPr>
      <w:hyperlink w:anchor="_Toc83996388" w:history="1">
        <w:r w:rsidR="003B19DD" w:rsidRPr="008E5396">
          <w:rPr>
            <w:rStyle w:val="Hyperlink"/>
            <w:rFonts w:cs="Arial"/>
            <w:noProof/>
            <w:lang w:val="hy-AM" w:eastAsia="en-US"/>
          </w:rPr>
          <w:t>Բարձրագույն դատական խորհուրդ</w:t>
        </w:r>
        <w:r w:rsidR="003B19DD">
          <w:rPr>
            <w:noProof/>
            <w:webHidden/>
          </w:rPr>
          <w:tab/>
        </w:r>
        <w:r w:rsidR="003B19DD">
          <w:rPr>
            <w:noProof/>
            <w:webHidden/>
          </w:rPr>
          <w:fldChar w:fldCharType="begin"/>
        </w:r>
        <w:r w:rsidR="003B19DD">
          <w:rPr>
            <w:noProof/>
            <w:webHidden/>
          </w:rPr>
          <w:instrText xml:space="preserve"> PAGEREF _Toc83996388 \h </w:instrText>
        </w:r>
        <w:r w:rsidR="003B19DD">
          <w:rPr>
            <w:noProof/>
            <w:webHidden/>
          </w:rPr>
        </w:r>
        <w:r w:rsidR="003B19DD">
          <w:rPr>
            <w:noProof/>
            <w:webHidden/>
          </w:rPr>
          <w:fldChar w:fldCharType="separate"/>
        </w:r>
        <w:r w:rsidR="003B19DD">
          <w:rPr>
            <w:noProof/>
            <w:webHidden/>
          </w:rPr>
          <w:t>178</w:t>
        </w:r>
        <w:r w:rsidR="003B19DD">
          <w:rPr>
            <w:noProof/>
            <w:webHidden/>
          </w:rPr>
          <w:fldChar w:fldCharType="end"/>
        </w:r>
      </w:hyperlink>
    </w:p>
    <w:p w14:paraId="323A91E1" w14:textId="2DFA8137" w:rsidR="003B19DD" w:rsidRDefault="00F379C0">
      <w:pPr>
        <w:pStyle w:val="TOC3"/>
        <w:rPr>
          <w:rFonts w:asciiTheme="minorHAnsi" w:eastAsiaTheme="minorEastAsia" w:hAnsiTheme="minorHAnsi" w:cstheme="minorBidi"/>
          <w:b w:val="0"/>
          <w:noProof/>
          <w:szCs w:val="22"/>
          <w:lang w:val="en-US" w:eastAsia="en-US"/>
        </w:rPr>
      </w:pPr>
      <w:hyperlink w:anchor="_Toc83996389" w:history="1">
        <w:r w:rsidR="003B19DD" w:rsidRPr="008E5396">
          <w:rPr>
            <w:rStyle w:val="Hyperlink"/>
            <w:rFonts w:cs="Arial"/>
            <w:noProof/>
            <w:lang w:val="hy-AM" w:eastAsia="en-US"/>
          </w:rPr>
          <w:t>ՀՀ դատախազությ</w:t>
        </w:r>
        <w:r w:rsidR="003B19DD" w:rsidRPr="008E5396">
          <w:rPr>
            <w:rStyle w:val="Hyperlink"/>
            <w:rFonts w:cs="Arial"/>
            <w:noProof/>
            <w:lang w:val="en-US" w:eastAsia="en-US"/>
          </w:rPr>
          <w:t>ուն</w:t>
        </w:r>
        <w:r w:rsidR="003B19DD">
          <w:rPr>
            <w:noProof/>
            <w:webHidden/>
          </w:rPr>
          <w:tab/>
        </w:r>
        <w:r w:rsidR="003B19DD">
          <w:rPr>
            <w:noProof/>
            <w:webHidden/>
          </w:rPr>
          <w:fldChar w:fldCharType="begin"/>
        </w:r>
        <w:r w:rsidR="003B19DD">
          <w:rPr>
            <w:noProof/>
            <w:webHidden/>
          </w:rPr>
          <w:instrText xml:space="preserve"> PAGEREF _Toc83996389 \h </w:instrText>
        </w:r>
        <w:r w:rsidR="003B19DD">
          <w:rPr>
            <w:noProof/>
            <w:webHidden/>
          </w:rPr>
        </w:r>
        <w:r w:rsidR="003B19DD">
          <w:rPr>
            <w:noProof/>
            <w:webHidden/>
          </w:rPr>
          <w:fldChar w:fldCharType="separate"/>
        </w:r>
        <w:r w:rsidR="003B19DD">
          <w:rPr>
            <w:noProof/>
            <w:webHidden/>
          </w:rPr>
          <w:t>178</w:t>
        </w:r>
        <w:r w:rsidR="003B19DD">
          <w:rPr>
            <w:noProof/>
            <w:webHidden/>
          </w:rPr>
          <w:fldChar w:fldCharType="end"/>
        </w:r>
      </w:hyperlink>
    </w:p>
    <w:p w14:paraId="0BFB2C13" w14:textId="5572D92A" w:rsidR="003B19DD" w:rsidRDefault="00F379C0">
      <w:pPr>
        <w:pStyle w:val="TOC3"/>
        <w:rPr>
          <w:rFonts w:asciiTheme="minorHAnsi" w:eastAsiaTheme="minorEastAsia" w:hAnsiTheme="minorHAnsi" w:cstheme="minorBidi"/>
          <w:b w:val="0"/>
          <w:noProof/>
          <w:szCs w:val="22"/>
          <w:lang w:val="en-US" w:eastAsia="en-US"/>
        </w:rPr>
      </w:pPr>
      <w:hyperlink w:anchor="_Toc83996390" w:history="1">
        <w:r w:rsidR="003B19DD" w:rsidRPr="008E5396">
          <w:rPr>
            <w:rStyle w:val="Hyperlink"/>
            <w:rFonts w:cs="Arial"/>
            <w:noProof/>
            <w:lang w:val="hy-AM" w:eastAsia="en-US"/>
          </w:rPr>
          <w:t>ՀՀ քննչական կոմիտե</w:t>
        </w:r>
        <w:r w:rsidR="003B19DD">
          <w:rPr>
            <w:noProof/>
            <w:webHidden/>
          </w:rPr>
          <w:tab/>
        </w:r>
        <w:r w:rsidR="003B19DD">
          <w:rPr>
            <w:noProof/>
            <w:webHidden/>
          </w:rPr>
          <w:fldChar w:fldCharType="begin"/>
        </w:r>
        <w:r w:rsidR="003B19DD">
          <w:rPr>
            <w:noProof/>
            <w:webHidden/>
          </w:rPr>
          <w:instrText xml:space="preserve"> PAGEREF _Toc83996390 \h </w:instrText>
        </w:r>
        <w:r w:rsidR="003B19DD">
          <w:rPr>
            <w:noProof/>
            <w:webHidden/>
          </w:rPr>
        </w:r>
        <w:r w:rsidR="003B19DD">
          <w:rPr>
            <w:noProof/>
            <w:webHidden/>
          </w:rPr>
          <w:fldChar w:fldCharType="separate"/>
        </w:r>
        <w:r w:rsidR="003B19DD">
          <w:rPr>
            <w:noProof/>
            <w:webHidden/>
          </w:rPr>
          <w:t>179</w:t>
        </w:r>
        <w:r w:rsidR="003B19DD">
          <w:rPr>
            <w:noProof/>
            <w:webHidden/>
          </w:rPr>
          <w:fldChar w:fldCharType="end"/>
        </w:r>
      </w:hyperlink>
    </w:p>
    <w:p w14:paraId="3DD68562" w14:textId="4B0EF60B" w:rsidR="003B19DD" w:rsidRDefault="00F379C0">
      <w:pPr>
        <w:pStyle w:val="TOC3"/>
        <w:rPr>
          <w:rFonts w:asciiTheme="minorHAnsi" w:eastAsiaTheme="minorEastAsia" w:hAnsiTheme="minorHAnsi" w:cstheme="minorBidi"/>
          <w:b w:val="0"/>
          <w:noProof/>
          <w:szCs w:val="22"/>
          <w:lang w:val="en-US" w:eastAsia="en-US"/>
        </w:rPr>
      </w:pPr>
      <w:hyperlink w:anchor="_Toc83996391" w:history="1">
        <w:r w:rsidR="003B19DD" w:rsidRPr="008E5396">
          <w:rPr>
            <w:rStyle w:val="Hyperlink"/>
            <w:rFonts w:cs="Arial"/>
            <w:noProof/>
            <w:lang w:val="hy-AM" w:eastAsia="en-US"/>
          </w:rPr>
          <w:t>ՀՀ պետական վերահսկողական ծառայություն</w:t>
        </w:r>
        <w:r w:rsidR="003B19DD">
          <w:rPr>
            <w:noProof/>
            <w:webHidden/>
          </w:rPr>
          <w:tab/>
        </w:r>
        <w:r w:rsidR="003B19DD">
          <w:rPr>
            <w:noProof/>
            <w:webHidden/>
          </w:rPr>
          <w:fldChar w:fldCharType="begin"/>
        </w:r>
        <w:r w:rsidR="003B19DD">
          <w:rPr>
            <w:noProof/>
            <w:webHidden/>
          </w:rPr>
          <w:instrText xml:space="preserve"> PAGEREF _Toc83996391 \h </w:instrText>
        </w:r>
        <w:r w:rsidR="003B19DD">
          <w:rPr>
            <w:noProof/>
            <w:webHidden/>
          </w:rPr>
        </w:r>
        <w:r w:rsidR="003B19DD">
          <w:rPr>
            <w:noProof/>
            <w:webHidden/>
          </w:rPr>
          <w:fldChar w:fldCharType="separate"/>
        </w:r>
        <w:r w:rsidR="003B19DD">
          <w:rPr>
            <w:noProof/>
            <w:webHidden/>
          </w:rPr>
          <w:t>180</w:t>
        </w:r>
        <w:r w:rsidR="003B19DD">
          <w:rPr>
            <w:noProof/>
            <w:webHidden/>
          </w:rPr>
          <w:fldChar w:fldCharType="end"/>
        </w:r>
      </w:hyperlink>
    </w:p>
    <w:p w14:paraId="69C7C815" w14:textId="62149996" w:rsidR="003B19DD" w:rsidRDefault="00F379C0">
      <w:pPr>
        <w:pStyle w:val="TOC3"/>
        <w:rPr>
          <w:rFonts w:asciiTheme="minorHAnsi" w:eastAsiaTheme="minorEastAsia" w:hAnsiTheme="minorHAnsi" w:cstheme="minorBidi"/>
          <w:b w:val="0"/>
          <w:noProof/>
          <w:szCs w:val="22"/>
          <w:lang w:val="en-US" w:eastAsia="en-US"/>
        </w:rPr>
      </w:pPr>
      <w:hyperlink w:anchor="_Toc83996392" w:history="1">
        <w:r w:rsidR="003B19DD" w:rsidRPr="008E5396">
          <w:rPr>
            <w:rStyle w:val="Hyperlink"/>
            <w:rFonts w:cs="Arial"/>
            <w:noProof/>
            <w:lang w:val="hy-AM" w:eastAsia="en-US"/>
          </w:rPr>
          <w:t>Հեռուստատեսության և ռադիոյի հանձնաժողով</w:t>
        </w:r>
        <w:r w:rsidR="003B19DD">
          <w:rPr>
            <w:noProof/>
            <w:webHidden/>
          </w:rPr>
          <w:tab/>
        </w:r>
        <w:r w:rsidR="003B19DD">
          <w:rPr>
            <w:noProof/>
            <w:webHidden/>
          </w:rPr>
          <w:fldChar w:fldCharType="begin"/>
        </w:r>
        <w:r w:rsidR="003B19DD">
          <w:rPr>
            <w:noProof/>
            <w:webHidden/>
          </w:rPr>
          <w:instrText xml:space="preserve"> PAGEREF _Toc83996392 \h </w:instrText>
        </w:r>
        <w:r w:rsidR="003B19DD">
          <w:rPr>
            <w:noProof/>
            <w:webHidden/>
          </w:rPr>
        </w:r>
        <w:r w:rsidR="003B19DD">
          <w:rPr>
            <w:noProof/>
            <w:webHidden/>
          </w:rPr>
          <w:fldChar w:fldCharType="separate"/>
        </w:r>
        <w:r w:rsidR="003B19DD">
          <w:rPr>
            <w:noProof/>
            <w:webHidden/>
          </w:rPr>
          <w:t>181</w:t>
        </w:r>
        <w:r w:rsidR="003B19DD">
          <w:rPr>
            <w:noProof/>
            <w:webHidden/>
          </w:rPr>
          <w:fldChar w:fldCharType="end"/>
        </w:r>
      </w:hyperlink>
    </w:p>
    <w:p w14:paraId="3053B269" w14:textId="68F54620" w:rsidR="003B19DD" w:rsidRDefault="00F379C0">
      <w:pPr>
        <w:pStyle w:val="TOC3"/>
        <w:rPr>
          <w:rFonts w:asciiTheme="minorHAnsi" w:eastAsiaTheme="minorEastAsia" w:hAnsiTheme="minorHAnsi" w:cstheme="minorBidi"/>
          <w:b w:val="0"/>
          <w:noProof/>
          <w:szCs w:val="22"/>
          <w:lang w:val="en-US" w:eastAsia="en-US"/>
        </w:rPr>
      </w:pPr>
      <w:hyperlink w:anchor="_Toc83996393" w:history="1">
        <w:r w:rsidR="003B19DD" w:rsidRPr="008E5396">
          <w:rPr>
            <w:rStyle w:val="Hyperlink"/>
            <w:rFonts w:cs="Arial"/>
            <w:noProof/>
            <w:lang w:val="hy-AM" w:eastAsia="en-US"/>
          </w:rPr>
          <w:t>Հանրային հեռարձակողի խորհուրդ</w:t>
        </w:r>
        <w:r w:rsidR="003B19DD">
          <w:rPr>
            <w:noProof/>
            <w:webHidden/>
          </w:rPr>
          <w:tab/>
        </w:r>
        <w:r w:rsidR="003B19DD">
          <w:rPr>
            <w:noProof/>
            <w:webHidden/>
          </w:rPr>
          <w:fldChar w:fldCharType="begin"/>
        </w:r>
        <w:r w:rsidR="003B19DD">
          <w:rPr>
            <w:noProof/>
            <w:webHidden/>
          </w:rPr>
          <w:instrText xml:space="preserve"> PAGEREF _Toc83996393 \h </w:instrText>
        </w:r>
        <w:r w:rsidR="003B19DD">
          <w:rPr>
            <w:noProof/>
            <w:webHidden/>
          </w:rPr>
        </w:r>
        <w:r w:rsidR="003B19DD">
          <w:rPr>
            <w:noProof/>
            <w:webHidden/>
          </w:rPr>
          <w:fldChar w:fldCharType="separate"/>
        </w:r>
        <w:r w:rsidR="003B19DD">
          <w:rPr>
            <w:noProof/>
            <w:webHidden/>
          </w:rPr>
          <w:t>181</w:t>
        </w:r>
        <w:r w:rsidR="003B19DD">
          <w:rPr>
            <w:noProof/>
            <w:webHidden/>
          </w:rPr>
          <w:fldChar w:fldCharType="end"/>
        </w:r>
      </w:hyperlink>
    </w:p>
    <w:p w14:paraId="15F02563" w14:textId="02049F2F" w:rsidR="003B19DD" w:rsidRDefault="00F379C0">
      <w:pPr>
        <w:pStyle w:val="TOC3"/>
        <w:rPr>
          <w:rFonts w:asciiTheme="minorHAnsi" w:eastAsiaTheme="minorEastAsia" w:hAnsiTheme="minorHAnsi" w:cstheme="minorBidi"/>
          <w:b w:val="0"/>
          <w:noProof/>
          <w:szCs w:val="22"/>
          <w:lang w:val="en-US" w:eastAsia="en-US"/>
        </w:rPr>
      </w:pPr>
      <w:hyperlink w:anchor="_Toc83996394" w:history="1">
        <w:r w:rsidR="003B19DD" w:rsidRPr="008E5396">
          <w:rPr>
            <w:rStyle w:val="Hyperlink"/>
            <w:rFonts w:cs="Arial"/>
            <w:noProof/>
            <w:lang w:val="hy-AM" w:eastAsia="en-US"/>
          </w:rPr>
          <w:t>ՀՀ մրցակցության պաշտպանության հանձնաժողով</w:t>
        </w:r>
        <w:r w:rsidR="003B19DD">
          <w:rPr>
            <w:noProof/>
            <w:webHidden/>
          </w:rPr>
          <w:tab/>
        </w:r>
        <w:r w:rsidR="003B19DD">
          <w:rPr>
            <w:noProof/>
            <w:webHidden/>
          </w:rPr>
          <w:fldChar w:fldCharType="begin"/>
        </w:r>
        <w:r w:rsidR="003B19DD">
          <w:rPr>
            <w:noProof/>
            <w:webHidden/>
          </w:rPr>
          <w:instrText xml:space="preserve"> PAGEREF _Toc83996394 \h </w:instrText>
        </w:r>
        <w:r w:rsidR="003B19DD">
          <w:rPr>
            <w:noProof/>
            <w:webHidden/>
          </w:rPr>
        </w:r>
        <w:r w:rsidR="003B19DD">
          <w:rPr>
            <w:noProof/>
            <w:webHidden/>
          </w:rPr>
          <w:fldChar w:fldCharType="separate"/>
        </w:r>
        <w:r w:rsidR="003B19DD">
          <w:rPr>
            <w:noProof/>
            <w:webHidden/>
          </w:rPr>
          <w:t>182</w:t>
        </w:r>
        <w:r w:rsidR="003B19DD">
          <w:rPr>
            <w:noProof/>
            <w:webHidden/>
          </w:rPr>
          <w:fldChar w:fldCharType="end"/>
        </w:r>
      </w:hyperlink>
    </w:p>
    <w:p w14:paraId="38D70621" w14:textId="14C82AEB" w:rsidR="003B19DD" w:rsidRDefault="00F379C0">
      <w:pPr>
        <w:pStyle w:val="TOC3"/>
        <w:rPr>
          <w:rFonts w:asciiTheme="minorHAnsi" w:eastAsiaTheme="minorEastAsia" w:hAnsiTheme="minorHAnsi" w:cstheme="minorBidi"/>
          <w:b w:val="0"/>
          <w:noProof/>
          <w:szCs w:val="22"/>
          <w:lang w:val="en-US" w:eastAsia="en-US"/>
        </w:rPr>
      </w:pPr>
      <w:hyperlink w:anchor="_Toc83996395" w:history="1">
        <w:r w:rsidR="003B19DD" w:rsidRPr="008E5396">
          <w:rPr>
            <w:rStyle w:val="Hyperlink"/>
            <w:rFonts w:cs="Arial"/>
            <w:noProof/>
            <w:lang w:val="hy-AM" w:eastAsia="en-US"/>
          </w:rPr>
          <w:t>ՀՀ կոռուպցիայի կանխարգելման հանձնաժողով</w:t>
        </w:r>
        <w:r w:rsidR="003B19DD">
          <w:rPr>
            <w:noProof/>
            <w:webHidden/>
          </w:rPr>
          <w:tab/>
        </w:r>
        <w:r w:rsidR="003B19DD">
          <w:rPr>
            <w:noProof/>
            <w:webHidden/>
          </w:rPr>
          <w:fldChar w:fldCharType="begin"/>
        </w:r>
        <w:r w:rsidR="003B19DD">
          <w:rPr>
            <w:noProof/>
            <w:webHidden/>
          </w:rPr>
          <w:instrText xml:space="preserve"> PAGEREF _Toc83996395 \h </w:instrText>
        </w:r>
        <w:r w:rsidR="003B19DD">
          <w:rPr>
            <w:noProof/>
            <w:webHidden/>
          </w:rPr>
        </w:r>
        <w:r w:rsidR="003B19DD">
          <w:rPr>
            <w:noProof/>
            <w:webHidden/>
          </w:rPr>
          <w:fldChar w:fldCharType="separate"/>
        </w:r>
        <w:r w:rsidR="003B19DD">
          <w:rPr>
            <w:noProof/>
            <w:webHidden/>
          </w:rPr>
          <w:t>182</w:t>
        </w:r>
        <w:r w:rsidR="003B19DD">
          <w:rPr>
            <w:noProof/>
            <w:webHidden/>
          </w:rPr>
          <w:fldChar w:fldCharType="end"/>
        </w:r>
      </w:hyperlink>
    </w:p>
    <w:p w14:paraId="2C12FE8D" w14:textId="64D70329" w:rsidR="003B19DD" w:rsidRDefault="00F379C0">
      <w:pPr>
        <w:pStyle w:val="TOC3"/>
        <w:rPr>
          <w:rFonts w:asciiTheme="minorHAnsi" w:eastAsiaTheme="minorEastAsia" w:hAnsiTheme="minorHAnsi" w:cstheme="minorBidi"/>
          <w:b w:val="0"/>
          <w:noProof/>
          <w:szCs w:val="22"/>
          <w:lang w:val="en-US" w:eastAsia="en-US"/>
        </w:rPr>
      </w:pPr>
      <w:hyperlink w:anchor="_Toc83996396" w:history="1">
        <w:r w:rsidR="003B19DD" w:rsidRPr="008E5396">
          <w:rPr>
            <w:rStyle w:val="Hyperlink"/>
            <w:rFonts w:cs="Arial"/>
            <w:noProof/>
            <w:lang w:val="hy-AM" w:eastAsia="en-US"/>
          </w:rPr>
          <w:t>ՀՀ մարդու իրավունքների պաշտպանի աշխատակազմ</w:t>
        </w:r>
        <w:r w:rsidR="003B19DD">
          <w:rPr>
            <w:noProof/>
            <w:webHidden/>
          </w:rPr>
          <w:tab/>
        </w:r>
        <w:r w:rsidR="003B19DD">
          <w:rPr>
            <w:noProof/>
            <w:webHidden/>
          </w:rPr>
          <w:fldChar w:fldCharType="begin"/>
        </w:r>
        <w:r w:rsidR="003B19DD">
          <w:rPr>
            <w:noProof/>
            <w:webHidden/>
          </w:rPr>
          <w:instrText xml:space="preserve"> PAGEREF _Toc83996396 \h </w:instrText>
        </w:r>
        <w:r w:rsidR="003B19DD">
          <w:rPr>
            <w:noProof/>
            <w:webHidden/>
          </w:rPr>
        </w:r>
        <w:r w:rsidR="003B19DD">
          <w:rPr>
            <w:noProof/>
            <w:webHidden/>
          </w:rPr>
          <w:fldChar w:fldCharType="separate"/>
        </w:r>
        <w:r w:rsidR="003B19DD">
          <w:rPr>
            <w:noProof/>
            <w:webHidden/>
          </w:rPr>
          <w:t>184</w:t>
        </w:r>
        <w:r w:rsidR="003B19DD">
          <w:rPr>
            <w:noProof/>
            <w:webHidden/>
          </w:rPr>
          <w:fldChar w:fldCharType="end"/>
        </w:r>
      </w:hyperlink>
    </w:p>
    <w:p w14:paraId="6FBC238A" w14:textId="3C2E0EE8" w:rsidR="003B19DD" w:rsidRDefault="00F379C0">
      <w:pPr>
        <w:pStyle w:val="TOC3"/>
        <w:rPr>
          <w:rFonts w:asciiTheme="minorHAnsi" w:eastAsiaTheme="minorEastAsia" w:hAnsiTheme="minorHAnsi" w:cstheme="minorBidi"/>
          <w:b w:val="0"/>
          <w:noProof/>
          <w:szCs w:val="22"/>
          <w:lang w:val="en-US" w:eastAsia="en-US"/>
        </w:rPr>
      </w:pPr>
      <w:hyperlink w:anchor="_Toc83996397" w:history="1">
        <w:r w:rsidR="003B19DD" w:rsidRPr="008E5396">
          <w:rPr>
            <w:rStyle w:val="Hyperlink"/>
            <w:rFonts w:cs="Arial"/>
            <w:noProof/>
            <w:lang w:val="hy-AM" w:eastAsia="en-US"/>
          </w:rPr>
          <w:t>ՀՀ հաշվեքննիչ պալատ</w:t>
        </w:r>
        <w:r w:rsidR="003B19DD">
          <w:rPr>
            <w:noProof/>
            <w:webHidden/>
          </w:rPr>
          <w:tab/>
        </w:r>
        <w:r w:rsidR="003B19DD">
          <w:rPr>
            <w:noProof/>
            <w:webHidden/>
          </w:rPr>
          <w:fldChar w:fldCharType="begin"/>
        </w:r>
        <w:r w:rsidR="003B19DD">
          <w:rPr>
            <w:noProof/>
            <w:webHidden/>
          </w:rPr>
          <w:instrText xml:space="preserve"> PAGEREF _Toc83996397 \h </w:instrText>
        </w:r>
        <w:r w:rsidR="003B19DD">
          <w:rPr>
            <w:noProof/>
            <w:webHidden/>
          </w:rPr>
        </w:r>
        <w:r w:rsidR="003B19DD">
          <w:rPr>
            <w:noProof/>
            <w:webHidden/>
          </w:rPr>
          <w:fldChar w:fldCharType="separate"/>
        </w:r>
        <w:r w:rsidR="003B19DD">
          <w:rPr>
            <w:noProof/>
            <w:webHidden/>
          </w:rPr>
          <w:t>186</w:t>
        </w:r>
        <w:r w:rsidR="003B19DD">
          <w:rPr>
            <w:noProof/>
            <w:webHidden/>
          </w:rPr>
          <w:fldChar w:fldCharType="end"/>
        </w:r>
      </w:hyperlink>
    </w:p>
    <w:p w14:paraId="1FAC4771" w14:textId="2748157A" w:rsidR="003B19DD" w:rsidRDefault="00F379C0">
      <w:pPr>
        <w:pStyle w:val="TOC3"/>
        <w:rPr>
          <w:rFonts w:asciiTheme="minorHAnsi" w:eastAsiaTheme="minorEastAsia" w:hAnsiTheme="minorHAnsi" w:cstheme="minorBidi"/>
          <w:b w:val="0"/>
          <w:noProof/>
          <w:szCs w:val="22"/>
          <w:lang w:val="en-US" w:eastAsia="en-US"/>
        </w:rPr>
      </w:pPr>
      <w:hyperlink w:anchor="_Toc83996398" w:history="1">
        <w:r w:rsidR="003B19DD" w:rsidRPr="008E5396">
          <w:rPr>
            <w:rStyle w:val="Hyperlink"/>
            <w:rFonts w:cs="Arial"/>
            <w:noProof/>
            <w:lang w:val="hy-AM" w:eastAsia="en-US"/>
          </w:rPr>
          <w:t>ՀՀ կենտրոնական ընտրական հանձնաժողով</w:t>
        </w:r>
        <w:r w:rsidR="003B19DD">
          <w:rPr>
            <w:noProof/>
            <w:webHidden/>
          </w:rPr>
          <w:tab/>
        </w:r>
        <w:r w:rsidR="003B19DD">
          <w:rPr>
            <w:noProof/>
            <w:webHidden/>
          </w:rPr>
          <w:fldChar w:fldCharType="begin"/>
        </w:r>
        <w:r w:rsidR="003B19DD">
          <w:rPr>
            <w:noProof/>
            <w:webHidden/>
          </w:rPr>
          <w:instrText xml:space="preserve"> PAGEREF _Toc83996398 \h </w:instrText>
        </w:r>
        <w:r w:rsidR="003B19DD">
          <w:rPr>
            <w:noProof/>
            <w:webHidden/>
          </w:rPr>
        </w:r>
        <w:r w:rsidR="003B19DD">
          <w:rPr>
            <w:noProof/>
            <w:webHidden/>
          </w:rPr>
          <w:fldChar w:fldCharType="separate"/>
        </w:r>
        <w:r w:rsidR="003B19DD">
          <w:rPr>
            <w:noProof/>
            <w:webHidden/>
          </w:rPr>
          <w:t>186</w:t>
        </w:r>
        <w:r w:rsidR="003B19DD">
          <w:rPr>
            <w:noProof/>
            <w:webHidden/>
          </w:rPr>
          <w:fldChar w:fldCharType="end"/>
        </w:r>
      </w:hyperlink>
    </w:p>
    <w:p w14:paraId="2F3D7984" w14:textId="629CE05F" w:rsidR="003B19DD" w:rsidRDefault="00F379C0">
      <w:pPr>
        <w:pStyle w:val="TOC1"/>
        <w:rPr>
          <w:rFonts w:asciiTheme="minorHAnsi" w:eastAsiaTheme="minorEastAsia" w:hAnsiTheme="minorHAnsi" w:cstheme="minorBidi"/>
          <w:b w:val="0"/>
          <w:noProof/>
          <w:szCs w:val="22"/>
          <w:lang w:val="en-US" w:eastAsia="en-US"/>
        </w:rPr>
      </w:pPr>
      <w:hyperlink w:anchor="_Toc83996399" w:history="1">
        <w:r w:rsidR="003B19DD" w:rsidRPr="008E5396">
          <w:rPr>
            <w:rStyle w:val="Hyperlink"/>
            <w:noProof/>
            <w:lang w:val="hy-AM"/>
          </w:rPr>
          <w:t>ՎԵՐԼՈՒԾՈՒԹՅՈՒՆՆԵՐ</w:t>
        </w:r>
        <w:r w:rsidR="003B19DD">
          <w:rPr>
            <w:noProof/>
            <w:webHidden/>
          </w:rPr>
          <w:tab/>
        </w:r>
        <w:r w:rsidR="003B19DD">
          <w:rPr>
            <w:noProof/>
            <w:webHidden/>
          </w:rPr>
          <w:fldChar w:fldCharType="begin"/>
        </w:r>
        <w:r w:rsidR="003B19DD">
          <w:rPr>
            <w:noProof/>
            <w:webHidden/>
          </w:rPr>
          <w:instrText xml:space="preserve"> PAGEREF _Toc83996399 \h </w:instrText>
        </w:r>
        <w:r w:rsidR="003B19DD">
          <w:rPr>
            <w:noProof/>
            <w:webHidden/>
          </w:rPr>
        </w:r>
        <w:r w:rsidR="003B19DD">
          <w:rPr>
            <w:noProof/>
            <w:webHidden/>
          </w:rPr>
          <w:fldChar w:fldCharType="separate"/>
        </w:r>
        <w:r w:rsidR="003B19DD">
          <w:rPr>
            <w:noProof/>
            <w:webHidden/>
          </w:rPr>
          <w:t>188</w:t>
        </w:r>
        <w:r w:rsidR="003B19DD">
          <w:rPr>
            <w:noProof/>
            <w:webHidden/>
          </w:rPr>
          <w:fldChar w:fldCharType="end"/>
        </w:r>
      </w:hyperlink>
    </w:p>
    <w:p w14:paraId="646B9105" w14:textId="1CE5389E" w:rsidR="003B19DD" w:rsidRDefault="00F379C0">
      <w:pPr>
        <w:pStyle w:val="TOC3"/>
        <w:rPr>
          <w:rFonts w:asciiTheme="minorHAnsi" w:eastAsiaTheme="minorEastAsia" w:hAnsiTheme="minorHAnsi" w:cstheme="minorBidi"/>
          <w:b w:val="0"/>
          <w:noProof/>
          <w:szCs w:val="22"/>
          <w:lang w:val="en-US" w:eastAsia="en-US"/>
        </w:rPr>
      </w:pPr>
      <w:hyperlink w:anchor="_Toc83996400" w:history="1">
        <w:r w:rsidR="003B19DD" w:rsidRPr="008E5396">
          <w:rPr>
            <w:rStyle w:val="Hyperlink"/>
            <w:noProof/>
          </w:rPr>
          <w:t>1. ՀԱՅԱՍՏԱՆԻ ՀԱՆՐԱՊԵՏՈՒԹՅԱՆ ՊԵՏԱԿԱՆ ՊԱՐՏՔԸ</w:t>
        </w:r>
        <w:r w:rsidR="003B19DD">
          <w:rPr>
            <w:noProof/>
            <w:webHidden/>
          </w:rPr>
          <w:tab/>
        </w:r>
        <w:r w:rsidR="003B19DD">
          <w:rPr>
            <w:noProof/>
            <w:webHidden/>
          </w:rPr>
          <w:fldChar w:fldCharType="begin"/>
        </w:r>
        <w:r w:rsidR="003B19DD">
          <w:rPr>
            <w:noProof/>
            <w:webHidden/>
          </w:rPr>
          <w:instrText xml:space="preserve"> PAGEREF _Toc83996400 \h </w:instrText>
        </w:r>
        <w:r w:rsidR="003B19DD">
          <w:rPr>
            <w:noProof/>
            <w:webHidden/>
          </w:rPr>
        </w:r>
        <w:r w:rsidR="003B19DD">
          <w:rPr>
            <w:noProof/>
            <w:webHidden/>
          </w:rPr>
          <w:fldChar w:fldCharType="separate"/>
        </w:r>
        <w:r w:rsidR="003B19DD">
          <w:rPr>
            <w:noProof/>
            <w:webHidden/>
          </w:rPr>
          <w:t>188</w:t>
        </w:r>
        <w:r w:rsidR="003B19DD">
          <w:rPr>
            <w:noProof/>
            <w:webHidden/>
          </w:rPr>
          <w:fldChar w:fldCharType="end"/>
        </w:r>
      </w:hyperlink>
    </w:p>
    <w:p w14:paraId="0DA76561" w14:textId="7591515B" w:rsidR="003B19DD" w:rsidRDefault="00F379C0">
      <w:pPr>
        <w:pStyle w:val="TOC3"/>
        <w:rPr>
          <w:rFonts w:asciiTheme="minorHAnsi" w:eastAsiaTheme="minorEastAsia" w:hAnsiTheme="minorHAnsi" w:cstheme="minorBidi"/>
          <w:b w:val="0"/>
          <w:noProof/>
          <w:szCs w:val="22"/>
          <w:lang w:val="en-US" w:eastAsia="en-US"/>
        </w:rPr>
      </w:pPr>
      <w:hyperlink w:anchor="_Toc83996401" w:history="1">
        <w:r w:rsidR="003B19DD" w:rsidRPr="008E5396">
          <w:rPr>
            <w:rStyle w:val="Hyperlink"/>
            <w:noProof/>
          </w:rPr>
          <w:t>ՀԱՅԱՍՏԱՆԻ ՀԱՆՐԱՊԵՏՈՒԹՅԱՆ ԿԱՌԱՎԱՐՈՒԹՅԱՆ ՊԱՐՏՔԸ</w:t>
        </w:r>
        <w:r w:rsidR="003B19DD">
          <w:rPr>
            <w:noProof/>
            <w:webHidden/>
          </w:rPr>
          <w:tab/>
        </w:r>
        <w:r w:rsidR="003B19DD">
          <w:rPr>
            <w:noProof/>
            <w:webHidden/>
          </w:rPr>
          <w:fldChar w:fldCharType="begin"/>
        </w:r>
        <w:r w:rsidR="003B19DD">
          <w:rPr>
            <w:noProof/>
            <w:webHidden/>
          </w:rPr>
          <w:instrText xml:space="preserve"> PAGEREF _Toc83996401 \h </w:instrText>
        </w:r>
        <w:r w:rsidR="003B19DD">
          <w:rPr>
            <w:noProof/>
            <w:webHidden/>
          </w:rPr>
        </w:r>
        <w:r w:rsidR="003B19DD">
          <w:rPr>
            <w:noProof/>
            <w:webHidden/>
          </w:rPr>
          <w:fldChar w:fldCharType="separate"/>
        </w:r>
        <w:r w:rsidR="003B19DD">
          <w:rPr>
            <w:noProof/>
            <w:webHidden/>
          </w:rPr>
          <w:t>188</w:t>
        </w:r>
        <w:r w:rsidR="003B19DD">
          <w:rPr>
            <w:noProof/>
            <w:webHidden/>
          </w:rPr>
          <w:fldChar w:fldCharType="end"/>
        </w:r>
      </w:hyperlink>
    </w:p>
    <w:p w14:paraId="69E8F7AD" w14:textId="11118EF1" w:rsidR="003B19DD" w:rsidRDefault="00F379C0">
      <w:pPr>
        <w:pStyle w:val="TOC3"/>
        <w:rPr>
          <w:rFonts w:asciiTheme="minorHAnsi" w:eastAsiaTheme="minorEastAsia" w:hAnsiTheme="minorHAnsi" w:cstheme="minorBidi"/>
          <w:b w:val="0"/>
          <w:noProof/>
          <w:szCs w:val="22"/>
          <w:lang w:val="en-US" w:eastAsia="en-US"/>
        </w:rPr>
      </w:pPr>
      <w:hyperlink w:anchor="_Toc83996402" w:history="1">
        <w:r w:rsidR="003B19DD" w:rsidRPr="008E5396">
          <w:rPr>
            <w:rStyle w:val="Hyperlink"/>
            <w:noProof/>
            <w:lang w:val="en-US" w:eastAsia="en-US"/>
          </w:rPr>
          <w:t>2</w:t>
        </w:r>
        <w:r w:rsidR="003B19DD" w:rsidRPr="008E5396">
          <w:rPr>
            <w:rStyle w:val="Hyperlink"/>
            <w:noProof/>
            <w:lang w:val="hy-AM" w:eastAsia="en-US"/>
          </w:rPr>
          <w:t>. ՊԵՏԱԿԱՆ ԲՅՈՒՋԵԻ ՎՐԱ ՄԱԿՐՈՏՆՏԵՍԱԿԱՆ ԿԱՆԽԱՏԵՍՎԱԾ ՑՈՒՑԱՆԻՇՆԵՐԻՑ ՇԵՂՄԱՆ ՌԻՍԿԵՐԻ ԱԶԴԵՑՈՒԹՅԱՆ ՔԱՆԱԿԱԿԱՆ ԳՆԱՀԱՏՈՒՄ</w:t>
        </w:r>
        <w:r w:rsidR="003B19DD">
          <w:rPr>
            <w:noProof/>
            <w:webHidden/>
          </w:rPr>
          <w:tab/>
        </w:r>
        <w:r w:rsidR="003B19DD">
          <w:rPr>
            <w:noProof/>
            <w:webHidden/>
          </w:rPr>
          <w:fldChar w:fldCharType="begin"/>
        </w:r>
        <w:r w:rsidR="003B19DD">
          <w:rPr>
            <w:noProof/>
            <w:webHidden/>
          </w:rPr>
          <w:instrText xml:space="preserve"> PAGEREF _Toc83996402 \h </w:instrText>
        </w:r>
        <w:r w:rsidR="003B19DD">
          <w:rPr>
            <w:noProof/>
            <w:webHidden/>
          </w:rPr>
        </w:r>
        <w:r w:rsidR="003B19DD">
          <w:rPr>
            <w:noProof/>
            <w:webHidden/>
          </w:rPr>
          <w:fldChar w:fldCharType="separate"/>
        </w:r>
        <w:r w:rsidR="003B19DD">
          <w:rPr>
            <w:noProof/>
            <w:webHidden/>
          </w:rPr>
          <w:t>197</w:t>
        </w:r>
        <w:r w:rsidR="003B19DD">
          <w:rPr>
            <w:noProof/>
            <w:webHidden/>
          </w:rPr>
          <w:fldChar w:fldCharType="end"/>
        </w:r>
      </w:hyperlink>
    </w:p>
    <w:p w14:paraId="2972A5F4" w14:textId="60E1D7F2" w:rsidR="003B19DD" w:rsidRDefault="00F379C0">
      <w:pPr>
        <w:pStyle w:val="TOC3"/>
        <w:rPr>
          <w:rFonts w:asciiTheme="minorHAnsi" w:eastAsiaTheme="minorEastAsia" w:hAnsiTheme="minorHAnsi" w:cstheme="minorBidi"/>
          <w:b w:val="0"/>
          <w:noProof/>
          <w:szCs w:val="22"/>
          <w:lang w:val="en-US" w:eastAsia="en-US"/>
        </w:rPr>
      </w:pPr>
      <w:hyperlink w:anchor="_Toc83996403" w:history="1">
        <w:r w:rsidR="003B19DD" w:rsidRPr="008E5396">
          <w:rPr>
            <w:rStyle w:val="Hyperlink"/>
            <w:noProof/>
            <w:lang w:val="hy-AM" w:eastAsia="en-US"/>
          </w:rPr>
          <w:t>3. ԱՅԼ ԿԱՌՈՒՅՑՆԵՐԻ ԿՈՂՄԻՑ ՀՀ ՏՆՏԵՍԱԿԱՆ ԱՃԻ ԿԱՆԽԱՏԵՍՈՒՄՆԵՐԻ ՀԵՏ ՀԱՄԵՄԱՏԱԿԱՆ</w:t>
        </w:r>
        <w:r w:rsidR="003B19DD">
          <w:rPr>
            <w:noProof/>
            <w:webHidden/>
          </w:rPr>
          <w:tab/>
        </w:r>
        <w:r w:rsidR="003B19DD">
          <w:rPr>
            <w:noProof/>
            <w:webHidden/>
          </w:rPr>
          <w:fldChar w:fldCharType="begin"/>
        </w:r>
        <w:r w:rsidR="003B19DD">
          <w:rPr>
            <w:noProof/>
            <w:webHidden/>
          </w:rPr>
          <w:instrText xml:space="preserve"> PAGEREF _Toc83996403 \h </w:instrText>
        </w:r>
        <w:r w:rsidR="003B19DD">
          <w:rPr>
            <w:noProof/>
            <w:webHidden/>
          </w:rPr>
        </w:r>
        <w:r w:rsidR="003B19DD">
          <w:rPr>
            <w:noProof/>
            <w:webHidden/>
          </w:rPr>
          <w:fldChar w:fldCharType="separate"/>
        </w:r>
        <w:r w:rsidR="003B19DD">
          <w:rPr>
            <w:noProof/>
            <w:webHidden/>
          </w:rPr>
          <w:t>204</w:t>
        </w:r>
        <w:r w:rsidR="003B19DD">
          <w:rPr>
            <w:noProof/>
            <w:webHidden/>
          </w:rPr>
          <w:fldChar w:fldCharType="end"/>
        </w:r>
      </w:hyperlink>
    </w:p>
    <w:p w14:paraId="2E555004" w14:textId="4A2EFACD" w:rsidR="003B19DD" w:rsidRDefault="00F379C0">
      <w:pPr>
        <w:pStyle w:val="TOC3"/>
        <w:rPr>
          <w:rFonts w:asciiTheme="minorHAnsi" w:eastAsiaTheme="minorEastAsia" w:hAnsiTheme="minorHAnsi" w:cstheme="minorBidi"/>
          <w:b w:val="0"/>
          <w:noProof/>
          <w:szCs w:val="22"/>
          <w:lang w:val="en-US" w:eastAsia="en-US"/>
        </w:rPr>
      </w:pPr>
      <w:hyperlink w:anchor="_Toc83996404" w:history="1">
        <w:r w:rsidR="003B19DD" w:rsidRPr="008E5396">
          <w:rPr>
            <w:rStyle w:val="Hyperlink"/>
            <w:noProof/>
            <w:lang w:val="hy-AM" w:eastAsia="en-US"/>
          </w:rPr>
          <w:t>4. ԵՆԹԱԿԱՌՈՒՑՎԱԾՔԱՅԻՆ ԵՎ ԱՅԼ ՈԼՈՐՏՆԵՐՈՒՄ ԳՈՐԾՈՂ ԿԱԶՄԱԿԵՐՊՈՒԹՅՈՒՆՆԵՐԻ ԳՈՐԾՈՒՆԵՈՒԹՅԱՆՆ ԱՌՆՉՎՈՂ ՀԱՐԿԱԲՅՈՒՋԵՏԱՅԻՆ ՌԻՍԿԵՐԻ ԳՆԱՀԱՏԱԿԱՆԸ</w:t>
        </w:r>
        <w:r w:rsidR="003B19DD">
          <w:rPr>
            <w:noProof/>
            <w:webHidden/>
          </w:rPr>
          <w:tab/>
        </w:r>
        <w:r w:rsidR="003B19DD">
          <w:rPr>
            <w:noProof/>
            <w:webHidden/>
          </w:rPr>
          <w:fldChar w:fldCharType="begin"/>
        </w:r>
        <w:r w:rsidR="003B19DD">
          <w:rPr>
            <w:noProof/>
            <w:webHidden/>
          </w:rPr>
          <w:instrText xml:space="preserve"> PAGEREF _Toc83996404 \h </w:instrText>
        </w:r>
        <w:r w:rsidR="003B19DD">
          <w:rPr>
            <w:noProof/>
            <w:webHidden/>
          </w:rPr>
        </w:r>
        <w:r w:rsidR="003B19DD">
          <w:rPr>
            <w:noProof/>
            <w:webHidden/>
          </w:rPr>
          <w:fldChar w:fldCharType="separate"/>
        </w:r>
        <w:r w:rsidR="003B19DD">
          <w:rPr>
            <w:noProof/>
            <w:webHidden/>
          </w:rPr>
          <w:t>205</w:t>
        </w:r>
        <w:r w:rsidR="003B19DD">
          <w:rPr>
            <w:noProof/>
            <w:webHidden/>
          </w:rPr>
          <w:fldChar w:fldCharType="end"/>
        </w:r>
      </w:hyperlink>
    </w:p>
    <w:p w14:paraId="19EB8325" w14:textId="3BD88567" w:rsidR="003B19DD" w:rsidRDefault="00F379C0">
      <w:pPr>
        <w:pStyle w:val="TOC3"/>
        <w:rPr>
          <w:rFonts w:asciiTheme="minorHAnsi" w:eastAsiaTheme="minorEastAsia" w:hAnsiTheme="minorHAnsi" w:cstheme="minorBidi"/>
          <w:b w:val="0"/>
          <w:noProof/>
          <w:szCs w:val="22"/>
          <w:lang w:val="en-US" w:eastAsia="en-US"/>
        </w:rPr>
      </w:pPr>
      <w:hyperlink w:anchor="_Toc83996405" w:history="1">
        <w:r w:rsidR="003B19DD" w:rsidRPr="008E5396">
          <w:rPr>
            <w:rStyle w:val="Hyperlink"/>
            <w:noProof/>
            <w:lang w:val="hy-AM" w:eastAsia="en-US"/>
          </w:rPr>
          <w:t>5.  2022 ԹՎԱԿԱՆԻ ՀԱՐԿԱՅԻՆ ԾԱԽՍԵՐԻ ԳՆԱՀԱՏԱԿԱՆԻ ՎԵՐԼՈՒԾՈՒԹՅՈՒՆ</w:t>
        </w:r>
        <w:r w:rsidR="003B19DD">
          <w:rPr>
            <w:noProof/>
            <w:webHidden/>
          </w:rPr>
          <w:tab/>
        </w:r>
        <w:r w:rsidR="003B19DD">
          <w:rPr>
            <w:noProof/>
            <w:webHidden/>
          </w:rPr>
          <w:fldChar w:fldCharType="begin"/>
        </w:r>
        <w:r w:rsidR="003B19DD">
          <w:rPr>
            <w:noProof/>
            <w:webHidden/>
          </w:rPr>
          <w:instrText xml:space="preserve"> PAGEREF _Toc83996405 \h </w:instrText>
        </w:r>
        <w:r w:rsidR="003B19DD">
          <w:rPr>
            <w:noProof/>
            <w:webHidden/>
          </w:rPr>
        </w:r>
        <w:r w:rsidR="003B19DD">
          <w:rPr>
            <w:noProof/>
            <w:webHidden/>
          </w:rPr>
          <w:fldChar w:fldCharType="separate"/>
        </w:r>
        <w:r w:rsidR="003B19DD">
          <w:rPr>
            <w:noProof/>
            <w:webHidden/>
          </w:rPr>
          <w:t>227</w:t>
        </w:r>
        <w:r w:rsidR="003B19DD">
          <w:rPr>
            <w:noProof/>
            <w:webHidden/>
          </w:rPr>
          <w:fldChar w:fldCharType="end"/>
        </w:r>
      </w:hyperlink>
    </w:p>
    <w:p w14:paraId="7B12E62C" w14:textId="3197BD39" w:rsidR="003B19DD" w:rsidRDefault="00F379C0">
      <w:pPr>
        <w:pStyle w:val="TOC1"/>
        <w:rPr>
          <w:rFonts w:asciiTheme="minorHAnsi" w:eastAsiaTheme="minorEastAsia" w:hAnsiTheme="minorHAnsi" w:cstheme="minorBidi"/>
          <w:b w:val="0"/>
          <w:noProof/>
          <w:szCs w:val="22"/>
          <w:lang w:val="en-US" w:eastAsia="en-US"/>
        </w:rPr>
      </w:pPr>
      <w:hyperlink w:anchor="_Toc83996406" w:history="1">
        <w:r w:rsidR="003B19DD" w:rsidRPr="008E5396">
          <w:rPr>
            <w:rStyle w:val="Hyperlink"/>
            <w:bCs/>
            <w:noProof/>
            <w:kern w:val="28"/>
          </w:rPr>
          <w:t>ԱՂՅՈՒՍԱԿՆԵՐ</w:t>
        </w:r>
        <w:r w:rsidR="003B19DD">
          <w:rPr>
            <w:noProof/>
            <w:webHidden/>
          </w:rPr>
          <w:tab/>
        </w:r>
        <w:r w:rsidR="003B19DD">
          <w:rPr>
            <w:noProof/>
            <w:webHidden/>
          </w:rPr>
          <w:fldChar w:fldCharType="begin"/>
        </w:r>
        <w:r w:rsidR="003B19DD">
          <w:rPr>
            <w:noProof/>
            <w:webHidden/>
          </w:rPr>
          <w:instrText xml:space="preserve"> PAGEREF _Toc83996406 \h </w:instrText>
        </w:r>
        <w:r w:rsidR="003B19DD">
          <w:rPr>
            <w:noProof/>
            <w:webHidden/>
          </w:rPr>
        </w:r>
        <w:r w:rsidR="003B19DD">
          <w:rPr>
            <w:noProof/>
            <w:webHidden/>
          </w:rPr>
          <w:fldChar w:fldCharType="separate"/>
        </w:r>
        <w:r w:rsidR="003B19DD">
          <w:rPr>
            <w:noProof/>
            <w:webHidden/>
          </w:rPr>
          <w:t>238</w:t>
        </w:r>
        <w:r w:rsidR="003B19DD">
          <w:rPr>
            <w:noProof/>
            <w:webHidden/>
          </w:rPr>
          <w:fldChar w:fldCharType="end"/>
        </w:r>
      </w:hyperlink>
    </w:p>
    <w:p w14:paraId="1F152DFB" w14:textId="776F12F7" w:rsidR="003B19DD" w:rsidRDefault="00F379C0">
      <w:pPr>
        <w:pStyle w:val="TOC1"/>
        <w:rPr>
          <w:rFonts w:asciiTheme="minorHAnsi" w:eastAsiaTheme="minorEastAsia" w:hAnsiTheme="minorHAnsi" w:cstheme="minorBidi"/>
          <w:b w:val="0"/>
          <w:noProof/>
          <w:szCs w:val="22"/>
          <w:lang w:val="en-US" w:eastAsia="en-US"/>
        </w:rPr>
      </w:pPr>
      <w:hyperlink w:anchor="_Toc83996407" w:history="1">
        <w:r w:rsidR="003B19DD" w:rsidRPr="008E5396">
          <w:rPr>
            <w:rStyle w:val="Hyperlink"/>
            <w:bCs/>
            <w:noProof/>
            <w:kern w:val="28"/>
          </w:rPr>
          <w:t>ԳԾԱՊԱՏԿԵՐՆԵՐ</w:t>
        </w:r>
        <w:r w:rsidR="003B19DD">
          <w:rPr>
            <w:noProof/>
            <w:webHidden/>
          </w:rPr>
          <w:tab/>
        </w:r>
        <w:r w:rsidR="003B19DD">
          <w:rPr>
            <w:noProof/>
            <w:webHidden/>
          </w:rPr>
          <w:fldChar w:fldCharType="begin"/>
        </w:r>
        <w:r w:rsidR="003B19DD">
          <w:rPr>
            <w:noProof/>
            <w:webHidden/>
          </w:rPr>
          <w:instrText xml:space="preserve"> PAGEREF _Toc83996407 \h </w:instrText>
        </w:r>
        <w:r w:rsidR="003B19DD">
          <w:rPr>
            <w:noProof/>
            <w:webHidden/>
          </w:rPr>
        </w:r>
        <w:r w:rsidR="003B19DD">
          <w:rPr>
            <w:noProof/>
            <w:webHidden/>
          </w:rPr>
          <w:fldChar w:fldCharType="separate"/>
        </w:r>
        <w:r w:rsidR="003B19DD">
          <w:rPr>
            <w:noProof/>
            <w:webHidden/>
          </w:rPr>
          <w:t>240</w:t>
        </w:r>
        <w:r w:rsidR="003B19DD">
          <w:rPr>
            <w:noProof/>
            <w:webHidden/>
          </w:rPr>
          <w:fldChar w:fldCharType="end"/>
        </w:r>
      </w:hyperlink>
    </w:p>
    <w:p w14:paraId="3A4F5973" w14:textId="708F0199" w:rsidR="00EA08C6" w:rsidRPr="00A83C94" w:rsidRDefault="003C3925" w:rsidP="007730AA">
      <w:pPr>
        <w:pStyle w:val="TOC1"/>
        <w:spacing w:before="0" w:after="0" w:line="276" w:lineRule="auto"/>
        <w:rPr>
          <w:rFonts w:asciiTheme="minorHAnsi" w:eastAsiaTheme="minorEastAsia" w:hAnsiTheme="minorHAnsi" w:cstheme="minorBidi"/>
          <w:b w:val="0"/>
          <w:noProof/>
          <w:szCs w:val="22"/>
          <w:lang w:val="en-US" w:eastAsia="en-US"/>
        </w:rPr>
      </w:pPr>
      <w:r w:rsidRPr="00A83C94">
        <w:rPr>
          <w:rFonts w:cs="Sylfaen"/>
          <w:szCs w:val="22"/>
        </w:rPr>
        <w:fldChar w:fldCharType="end"/>
      </w:r>
      <w:r w:rsidR="001B485B" w:rsidRPr="00A83C94">
        <w:rPr>
          <w:rFonts w:asciiTheme="minorHAnsi" w:eastAsiaTheme="minorEastAsia" w:hAnsiTheme="minorHAnsi" w:cstheme="minorBidi"/>
          <w:b w:val="0"/>
          <w:noProof/>
          <w:szCs w:val="22"/>
          <w:lang w:val="en-US" w:eastAsia="en-US"/>
        </w:rPr>
        <w:t xml:space="preserve"> </w:t>
      </w:r>
    </w:p>
    <w:p w14:paraId="112752F1" w14:textId="77777777" w:rsidR="00AB23B9" w:rsidRPr="00A83C94" w:rsidRDefault="00CE662E" w:rsidP="007730AA">
      <w:pPr>
        <w:spacing w:before="0" w:line="276" w:lineRule="auto"/>
        <w:ind w:firstLine="0"/>
        <w:contextualSpacing w:val="0"/>
        <w:jc w:val="left"/>
        <w:rPr>
          <w:rFonts w:cs="Sylfaen"/>
          <w:b w:val="0"/>
          <w:bCs/>
          <w:kern w:val="28"/>
          <w:szCs w:val="22"/>
          <w:lang w:val="en-US"/>
        </w:rPr>
      </w:pPr>
      <w:r w:rsidRPr="00A83C94">
        <w:rPr>
          <w:rFonts w:cs="Sylfaen"/>
          <w:b w:val="0"/>
          <w:bCs/>
          <w:kern w:val="28"/>
          <w:szCs w:val="22"/>
          <w:lang w:val="en-US"/>
        </w:rPr>
        <w:br w:type="page"/>
      </w:r>
    </w:p>
    <w:p w14:paraId="2F7B3600" w14:textId="77777777" w:rsidR="008B1D49" w:rsidRPr="006B44AD" w:rsidRDefault="008B1D49" w:rsidP="008B1D49">
      <w:pPr>
        <w:keepNext/>
        <w:spacing w:before="0" w:line="276" w:lineRule="auto"/>
        <w:ind w:firstLine="450"/>
        <w:contextualSpacing w:val="0"/>
        <w:jc w:val="center"/>
        <w:outlineLvl w:val="2"/>
        <w:rPr>
          <w:szCs w:val="22"/>
          <w:lang w:val="hy-AM"/>
        </w:rPr>
      </w:pPr>
      <w:bookmarkStart w:id="0" w:name="_Toc83996304"/>
      <w:r>
        <w:rPr>
          <w:szCs w:val="22"/>
          <w:lang w:val="hy-AM"/>
        </w:rPr>
        <w:lastRenderedPageBreak/>
        <w:t>ՎԱՐՉԱՊԵՏ ՆԻԿՈԼ ՓԱՇԻՆՅԱՆԻ ՈՒ</w:t>
      </w:r>
      <w:r w:rsidRPr="006B44AD">
        <w:rPr>
          <w:szCs w:val="22"/>
          <w:lang w:val="hy-AM"/>
        </w:rPr>
        <w:t>ՂԵՐՁԸ 2022 ԹՎԱԿԱՆԻ ՀԱՅԱՍՏԱՆԻ ՀԱՆՐԱՊԵՏՈՒԹՅԱՆ ՊԵՏԱԿԱՆ ԲՅՈՒՋԵԻ ԸՆԴՈՒՆՄԱՆ ԱՌԻԹՈՎ</w:t>
      </w:r>
      <w:bookmarkEnd w:id="0"/>
    </w:p>
    <w:p w14:paraId="24D359DF" w14:textId="77777777" w:rsidR="008B1D49" w:rsidRDefault="008B1D49" w:rsidP="008B1D49">
      <w:pPr>
        <w:keepNext/>
        <w:spacing w:before="0" w:line="276" w:lineRule="auto"/>
        <w:ind w:firstLine="450"/>
        <w:contextualSpacing w:val="0"/>
        <w:jc w:val="center"/>
        <w:outlineLvl w:val="2"/>
        <w:rPr>
          <w:szCs w:val="22"/>
          <w:lang w:val="hy-AM"/>
        </w:rPr>
      </w:pPr>
    </w:p>
    <w:p w14:paraId="5B2B7882" w14:textId="77777777" w:rsidR="008B1D49" w:rsidRDefault="008B1D49" w:rsidP="008B1D49">
      <w:pPr>
        <w:keepNext/>
        <w:spacing w:before="0" w:line="276" w:lineRule="auto"/>
        <w:ind w:firstLine="450"/>
        <w:contextualSpacing w:val="0"/>
        <w:jc w:val="center"/>
        <w:outlineLvl w:val="2"/>
        <w:rPr>
          <w:szCs w:val="22"/>
          <w:lang w:val="hy-AM"/>
        </w:rPr>
      </w:pPr>
      <w:bookmarkStart w:id="1" w:name="_Toc83972795"/>
      <w:bookmarkStart w:id="2" w:name="_Toc83996305"/>
      <w:r>
        <w:rPr>
          <w:noProof/>
          <w:lang w:val="en-US" w:eastAsia="en-US"/>
        </w:rPr>
        <w:drawing>
          <wp:anchor distT="0" distB="0" distL="114300" distR="114300" simplePos="0" relativeHeight="251882496" behindDoc="0" locked="0" layoutInCell="1" allowOverlap="1" wp14:anchorId="37AC1B8E" wp14:editId="60A9E974">
            <wp:simplePos x="0" y="0"/>
            <wp:positionH relativeFrom="column">
              <wp:posOffset>0</wp:posOffset>
            </wp:positionH>
            <wp:positionV relativeFrom="paragraph">
              <wp:posOffset>144145</wp:posOffset>
            </wp:positionV>
            <wp:extent cx="3257550" cy="2171700"/>
            <wp:effectExtent l="0" t="0" r="0" b="0"/>
            <wp:wrapSquare wrapText="bothSides"/>
            <wp:docPr id="36" name="Picture 36" descr="Նիկոլ Փաշինյ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Նիկոլ Փաշինյան"/>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p>
    <w:p w14:paraId="2DBAEB6B" w14:textId="77777777" w:rsidR="008B1D49" w:rsidRPr="00E3576C" w:rsidRDefault="008B1D49" w:rsidP="008B1D49">
      <w:pPr>
        <w:spacing w:line="276" w:lineRule="auto"/>
        <w:ind w:firstLine="0"/>
        <w:rPr>
          <w:b w:val="0"/>
          <w:szCs w:val="22"/>
          <w:lang w:val="hy-AM"/>
        </w:rPr>
      </w:pPr>
      <w:r w:rsidRPr="00E3576C">
        <w:rPr>
          <w:b w:val="0"/>
          <w:szCs w:val="22"/>
          <w:lang w:val="hy-AM"/>
        </w:rPr>
        <w:t xml:space="preserve">Այսօր Հայաստանը կանգնած է դժվարին մարտահրավերների առջև: Դեռևս հաղթահարված չեն համավարակի և արցախյան </w:t>
      </w:r>
      <w:r w:rsidRPr="006E0AE4">
        <w:rPr>
          <w:b w:val="0"/>
          <w:szCs w:val="22"/>
          <w:lang w:val="hy-AM"/>
        </w:rPr>
        <w:t>44 օրյա</w:t>
      </w:r>
      <w:r w:rsidRPr="00E3576C">
        <w:rPr>
          <w:b w:val="0"/>
          <w:szCs w:val="22"/>
          <w:lang w:val="hy-AM"/>
        </w:rPr>
        <w:t xml:space="preserve"> պատերազմի տնտեսական, սոցիալական և անվտանգային աղետալի հետևանքները և մարտահրավերները: 2021 թվականին տեղի ունեցած ԱԺ ընտրություններով հաղթահարվեց քաղաքական ճգնաժամը և ամուր հիմքեր ստեղծվեցին համախմբման և դեպի ապագա նայելու հայ ժողովրդի ձգտման համար:</w:t>
      </w:r>
    </w:p>
    <w:p w14:paraId="76E639B1" w14:textId="77777777" w:rsidR="008B1D49" w:rsidRPr="00E3576C" w:rsidRDefault="008B1D49" w:rsidP="008B1D49">
      <w:pPr>
        <w:spacing w:line="276" w:lineRule="auto"/>
        <w:rPr>
          <w:b w:val="0"/>
          <w:szCs w:val="22"/>
          <w:lang w:val="hy-AM"/>
        </w:rPr>
      </w:pPr>
      <w:r w:rsidRPr="00E3576C">
        <w:rPr>
          <w:b w:val="0"/>
          <w:szCs w:val="22"/>
          <w:lang w:val="hy-AM"/>
        </w:rPr>
        <w:t>Օգոստոսին մենք ներկայացրեցինք կառավարության 2021-2026թթ. գործունեության ծրագիրը, որը պետք է հիմքեր ստեղծի միջանժամկետ հատվածում Հայաստանի Հանրապետության խաղաղ, կայուն և ներառական զարգացման համար: Մեր նպատակադրումները հավակնոտ են և իրատեսական: Մենք գիտակցում ենք, որ</w:t>
      </w:r>
      <w:r>
        <w:rPr>
          <w:b w:val="0"/>
          <w:szCs w:val="22"/>
          <w:lang w:val="hy-AM"/>
        </w:rPr>
        <w:t xml:space="preserve"> դրանք կյանքի կոչելու համար անհ</w:t>
      </w:r>
      <w:r w:rsidRPr="00E3576C">
        <w:rPr>
          <w:b w:val="0"/>
          <w:szCs w:val="22"/>
          <w:lang w:val="hy-AM"/>
        </w:rPr>
        <w:t>ր</w:t>
      </w:r>
      <w:r w:rsidRPr="005B2800">
        <w:rPr>
          <w:b w:val="0"/>
          <w:szCs w:val="22"/>
          <w:lang w:val="hy-AM"/>
        </w:rPr>
        <w:t>ա</w:t>
      </w:r>
      <w:r w:rsidRPr="00E3576C">
        <w:rPr>
          <w:b w:val="0"/>
          <w:szCs w:val="22"/>
          <w:lang w:val="hy-AM"/>
        </w:rPr>
        <w:t xml:space="preserve">ժեշտ են ոչ միայն տնտեսական միջամտություններ կառավարության կողմից, այլև հասարակական և մշակութային վերափոխումներ: </w:t>
      </w:r>
    </w:p>
    <w:p w14:paraId="794022A0" w14:textId="77777777" w:rsidR="008B1D49" w:rsidRPr="00B45B70" w:rsidRDefault="008B1D49" w:rsidP="008B1D49">
      <w:pPr>
        <w:spacing w:line="276" w:lineRule="auto"/>
        <w:rPr>
          <w:b w:val="0"/>
          <w:szCs w:val="22"/>
          <w:lang w:val="hy-AM"/>
        </w:rPr>
      </w:pPr>
      <w:r w:rsidRPr="00E3576C">
        <w:rPr>
          <w:b w:val="0"/>
          <w:szCs w:val="22"/>
          <w:lang w:val="hy-AM"/>
        </w:rPr>
        <w:t>Առաջին հերթին կարևորում ենք պետական կառավարման համակարգի արդյունավետության բարձրացումը և աշխատանքային մշակույթի վերափոխումը: Ամենակարևորը, թերևս, պլանավորման և իրագործման մշակույթն է, ծրագրերի իրագործման գործընթացները, որոնց անկատարությունը բերում է կապիտալ ծախսերի թերակատարումների և հետևաբար կառավա</w:t>
      </w:r>
      <w:r>
        <w:rPr>
          <w:b w:val="0"/>
          <w:szCs w:val="22"/>
          <w:lang w:val="hy-AM"/>
        </w:rPr>
        <w:t>րության կողմից սահմանված նպատակ</w:t>
      </w:r>
      <w:r w:rsidRPr="00E3576C">
        <w:rPr>
          <w:b w:val="0"/>
          <w:szCs w:val="22"/>
          <w:lang w:val="hy-AM"/>
        </w:rPr>
        <w:t xml:space="preserve">ների իրագործման դանդաղման: Այս առումով էական դեր ունի նաև մասնավոր հատվածի կարողությունների զարգացումը և դրան ուղղված կառավարության ջանքերը սկսել են արդյունքներ տալ ի դեմս այն ընկերությունների, որոնք պետական կապիտալ շինարարության ոլորտում մրցունակ լինելու համար ներդրումներ են անում՝ այսպիսով ձգտելով ծրագրերն իրականացնել որակով և ժամանակին: Կառավարությունը մտադիր է շարունակել այս ոլորտում ներդրումները խթանող քաղաքականությունը դրա համար </w:t>
      </w:r>
      <w:r w:rsidRPr="00B45B70">
        <w:rPr>
          <w:b w:val="0"/>
          <w:szCs w:val="22"/>
          <w:lang w:val="hy-AM"/>
        </w:rPr>
        <w:t xml:space="preserve">կիրառելով երեք հիմնական գործիք՝ պետական գնումների համակարգի թափանցիկություն, մրցույթի դրվող լոտերի ծավալների մեծացում, հուսալի ընկերությունների հետ հարաբերությունների պարզեցմանն ուղղված օրենսդրական նորամուծություններ: </w:t>
      </w:r>
    </w:p>
    <w:p w14:paraId="2C7D408C" w14:textId="77777777" w:rsidR="008B1D49" w:rsidRPr="00E3576C" w:rsidRDefault="008B1D49" w:rsidP="008B1D49">
      <w:pPr>
        <w:spacing w:line="276" w:lineRule="auto"/>
        <w:rPr>
          <w:b w:val="0"/>
          <w:szCs w:val="22"/>
          <w:lang w:val="hy-AM"/>
        </w:rPr>
      </w:pPr>
      <w:r w:rsidRPr="00B45B70">
        <w:rPr>
          <w:b w:val="0"/>
          <w:szCs w:val="22"/>
          <w:lang w:val="hy-AM"/>
        </w:rPr>
        <w:t>Հաջորդ կարևորագույն խնդիրը վերլուծական կարողությունների զարգացումն է, ինչը թույլ կտա բարձրացնել ծախսերի, ներդրումների արդյունավետությունը, սոցիալական ծրագրերի հասցեականությունը: Արդյունքում</w:t>
      </w:r>
      <w:r w:rsidRPr="00E3576C">
        <w:rPr>
          <w:b w:val="0"/>
          <w:szCs w:val="22"/>
          <w:lang w:val="hy-AM"/>
        </w:rPr>
        <w:t>՝ կբարձրանա նաև Հայաստանի Հանրապետության քաղաքացիների վստահությունը, որ իրենց հարկերը ծախսվում են առավել արդյունավետ և թիրախային: Հայաստանի քաղաքացիները ամեն օր պետք է զգան կառավարության կողմից իրականացվող միջոցառումների ազդեցությունը իրենց կյանքի վրա: Սրա կարևոր բաղադրիչ է հանդիսանում հասարակության լայն շերտերի ներգրավվածությունը բյուջեի կազմման և իրականացման տարբեր փուլերում, ինչի ուղղությամբ արդեն իսկ բավականին քայլեր են արվել նախորդ 3 տարիների ընթացքում և մեծ ուշադրություն է դարձվելու առաջիկայում:</w:t>
      </w:r>
    </w:p>
    <w:p w14:paraId="5C220E67" w14:textId="77777777" w:rsidR="008B1D49" w:rsidRPr="00E3576C" w:rsidRDefault="008B1D49" w:rsidP="008B1D49">
      <w:pPr>
        <w:spacing w:line="276" w:lineRule="auto"/>
        <w:rPr>
          <w:b w:val="0"/>
          <w:szCs w:val="22"/>
          <w:lang w:val="hy-AM"/>
        </w:rPr>
      </w:pPr>
      <w:r w:rsidRPr="00E3576C">
        <w:rPr>
          <w:b w:val="0"/>
          <w:szCs w:val="22"/>
          <w:lang w:val="hy-AM"/>
        </w:rPr>
        <w:t xml:space="preserve">2022 թվականի բյուջեն հենվում է 3 հիմնական առաջնահերթությունների վրա՝ </w:t>
      </w:r>
    </w:p>
    <w:p w14:paraId="218F7391" w14:textId="77777777" w:rsidR="008B1D49" w:rsidRPr="00E3576C" w:rsidRDefault="008B1D49" w:rsidP="008B1D49">
      <w:pPr>
        <w:spacing w:line="276" w:lineRule="auto"/>
        <w:rPr>
          <w:b w:val="0"/>
          <w:szCs w:val="22"/>
          <w:lang w:val="hy-AM"/>
        </w:rPr>
      </w:pPr>
      <w:r w:rsidRPr="00E3576C">
        <w:rPr>
          <w:b w:val="0"/>
          <w:szCs w:val="22"/>
          <w:lang w:val="hy-AM"/>
        </w:rPr>
        <w:t>1.Անվտանգության համակարգի բարեփոխում,</w:t>
      </w:r>
    </w:p>
    <w:p w14:paraId="1751359B" w14:textId="77777777" w:rsidR="008B1D49" w:rsidRPr="00925694" w:rsidRDefault="008B1D49" w:rsidP="008B1D49">
      <w:pPr>
        <w:spacing w:line="276" w:lineRule="auto"/>
        <w:rPr>
          <w:b w:val="0"/>
          <w:szCs w:val="22"/>
          <w:lang w:val="hy-AM"/>
        </w:rPr>
      </w:pPr>
      <w:r w:rsidRPr="00E3576C">
        <w:rPr>
          <w:b w:val="0"/>
          <w:szCs w:val="22"/>
          <w:lang w:val="hy-AM"/>
        </w:rPr>
        <w:t>2.</w:t>
      </w:r>
      <w:r w:rsidRPr="00925694">
        <w:rPr>
          <w:b w:val="0"/>
          <w:szCs w:val="22"/>
          <w:lang w:val="hy-AM"/>
        </w:rPr>
        <w:t>Ենթակառուցվածքների զարգացում,</w:t>
      </w:r>
    </w:p>
    <w:p w14:paraId="21822A11" w14:textId="77777777" w:rsidR="008B1D49" w:rsidRPr="00E3576C" w:rsidRDefault="008B1D49" w:rsidP="008B1D49">
      <w:pPr>
        <w:spacing w:after="160" w:line="276" w:lineRule="auto"/>
        <w:rPr>
          <w:b w:val="0"/>
          <w:szCs w:val="22"/>
          <w:lang w:val="hy-AM"/>
        </w:rPr>
      </w:pPr>
      <w:r w:rsidRPr="00925694">
        <w:rPr>
          <w:b w:val="0"/>
          <w:szCs w:val="22"/>
          <w:lang w:val="hy-AM"/>
        </w:rPr>
        <w:t>3. Կրթության և գիտության արդիականացում:</w:t>
      </w:r>
    </w:p>
    <w:p w14:paraId="19948ED7" w14:textId="77777777" w:rsidR="008B1D49" w:rsidRPr="00E3576C" w:rsidRDefault="008B1D49" w:rsidP="008B1D49">
      <w:pPr>
        <w:spacing w:line="276" w:lineRule="auto"/>
        <w:rPr>
          <w:b w:val="0"/>
          <w:szCs w:val="22"/>
          <w:lang w:val="hy-AM"/>
        </w:rPr>
      </w:pPr>
      <w:r w:rsidRPr="00E3576C">
        <w:rPr>
          <w:b w:val="0"/>
          <w:szCs w:val="22"/>
          <w:lang w:val="hy-AM"/>
        </w:rPr>
        <w:t xml:space="preserve">Մեծ ուշադրություն ենք դարձնելու անվտանգության ապահովմանը, առանց որի հնարավոր չի լինի իրագործել երակարժամկետ զարգացման նպատակները: Այս իմաստով կարևոր է ոչ միայն բանակի պաշտպանական կարողությունների արդիականացումը այլև Հայաստանի Հանրապետության շուրջ բարենպաստ արտաքին միջավայրի ձևավորումը, Հայաստանի, Արցախի և տարածաշրջանի համար խաղաղ զարգացման դարաշրջան բացելու օրակարգի հետևողական իրագործումը: </w:t>
      </w:r>
    </w:p>
    <w:p w14:paraId="73389E93" w14:textId="77777777" w:rsidR="008B1D49" w:rsidRPr="00925694" w:rsidRDefault="008B1D49" w:rsidP="008B1D49">
      <w:pPr>
        <w:spacing w:line="276" w:lineRule="auto"/>
        <w:rPr>
          <w:b w:val="0"/>
          <w:szCs w:val="22"/>
          <w:lang w:val="hy-AM"/>
        </w:rPr>
      </w:pPr>
      <w:r w:rsidRPr="00E3576C">
        <w:rPr>
          <w:b w:val="0"/>
          <w:szCs w:val="22"/>
          <w:lang w:val="hy-AM"/>
        </w:rPr>
        <w:t xml:space="preserve">Այս իմաստով կարևոր է նաև տարածաշրջանային տնտեսական և տրանսպորտային ենթակառուցվածքների վերաբացումը և զարգացումը, որը կարող է որակապես փոխել Հայաստանի Հանրապետության տնտեսության բովանդակությունը և կառուցվածքը, լրացուցիչ խթան դառնալ ներհայաստանյան </w:t>
      </w:r>
      <w:r w:rsidRPr="00925694">
        <w:rPr>
          <w:b w:val="0"/>
          <w:szCs w:val="22"/>
          <w:lang w:val="hy-AM"/>
        </w:rPr>
        <w:t xml:space="preserve">ենթակառուցվածքների զարգացման համար, ապահովել երակարաժամկետ ներառական տնտեսական աճ՝ Հայաստանի քաղաքացիների համար ստեղծելով հավասար պայմաններ տնտեսական գործունեության մեջ ներգրավվելու համար, էականորեն բարձրացնել մեր երկրի գրավչությունը օտարերկրյա ուղղակի ներդրումների համար:  </w:t>
      </w:r>
    </w:p>
    <w:p w14:paraId="5E2870C0" w14:textId="77777777" w:rsidR="008B1D49" w:rsidRPr="00E3576C" w:rsidRDefault="008B1D49" w:rsidP="008B1D49">
      <w:pPr>
        <w:spacing w:line="276" w:lineRule="auto"/>
        <w:rPr>
          <w:b w:val="0"/>
          <w:szCs w:val="22"/>
          <w:lang w:val="hy-AM"/>
        </w:rPr>
      </w:pPr>
      <w:r w:rsidRPr="00925694">
        <w:rPr>
          <w:b w:val="0"/>
          <w:szCs w:val="22"/>
          <w:lang w:val="hy-AM"/>
        </w:rPr>
        <w:t>Նաև այս համատեքստում կրթության զարգացումը առանցքային նշանակություն ունի</w:t>
      </w:r>
      <w:r w:rsidRPr="00E3576C">
        <w:rPr>
          <w:b w:val="0"/>
          <w:szCs w:val="22"/>
          <w:lang w:val="hy-AM"/>
        </w:rPr>
        <w:t xml:space="preserve"> Հայաստանի համար, ուստի կրթության հասենելիությունը, ներառական զարգացումը և բովանդակային բարեփոխումը մեր երկարաժամկետ առաջնահերթությունն է: Մեր նպատակն է՝ անձի կրթությունը և շարունակական զարգացումը դարձնել կենսակերպ՝ սա է ժամանակակից աշխարհում մրցունակ ազգ լինելու միակ ճանապարհը: Գիտության և տեխնոլոգիական ոլորտի զարգացումը այս պրոցեսի տրամաբանական շարունակությունն է և այստեղ էլ կառավարությունը արդեն իսկ ներդնում է ֆինանսավորման նոր բանաձևեր:  </w:t>
      </w:r>
    </w:p>
    <w:p w14:paraId="507A5F9F" w14:textId="77777777" w:rsidR="008B1D49" w:rsidRPr="00E3576C" w:rsidRDefault="008B1D49" w:rsidP="008B1D49">
      <w:pPr>
        <w:spacing w:line="276" w:lineRule="auto"/>
        <w:rPr>
          <w:b w:val="0"/>
          <w:szCs w:val="22"/>
          <w:lang w:val="hy-AM"/>
        </w:rPr>
      </w:pPr>
      <w:r w:rsidRPr="00E3576C">
        <w:rPr>
          <w:b w:val="0"/>
          <w:szCs w:val="22"/>
          <w:lang w:val="hy-AM"/>
        </w:rPr>
        <w:t xml:space="preserve">Իհարկե, հնարավոր չէ մեկ բյուջեով լուծել պետության առջև ծառացած բոլոր հարցերը, մենք պետք է դուրս գանք ամեն ինչ անելու և ըստ էության ոչինչ չանելու իներցիոն տեղապտույտից: 2022 թվականի բյուջեում մենք ձգտել ենք զգուշորեն բալանսավորել կառավարության առաջնահերթությունները և միաժամանակ ապահովել տարատեսակ ֆիսկալ ռիսկերի կառավարելիությունը: Մենք սահմանում ենք մեր ռազմավարական նպատակները և նրանց իրականացման առաջնահերթությունները այնպես, որ նրանցից յուրաքանչյուրի իրականացումը հիմքեր ստեղծի մյուսների արդյունավետ իրագործման համար: </w:t>
      </w:r>
    </w:p>
    <w:p w14:paraId="01B349DB" w14:textId="77777777" w:rsidR="008B1D49" w:rsidRPr="00E3576C" w:rsidRDefault="008B1D49" w:rsidP="008B1D49">
      <w:pPr>
        <w:spacing w:line="276" w:lineRule="auto"/>
        <w:rPr>
          <w:b w:val="0"/>
          <w:szCs w:val="22"/>
          <w:lang w:val="hy-AM"/>
        </w:rPr>
      </w:pPr>
      <w:r w:rsidRPr="00E3576C">
        <w:rPr>
          <w:b w:val="0"/>
          <w:szCs w:val="22"/>
          <w:lang w:val="hy-AM"/>
        </w:rPr>
        <w:t>Մենք վստահ ենք, որ կառավարության ծրագիրը ունենալու է հաջող իրագործում՝ ապահովելու Հայաստանի քաղաքացիների անվտանգությունը, բարեկեցությունը և արժանապատիվ կյանքը:</w:t>
      </w:r>
    </w:p>
    <w:p w14:paraId="56250A09" w14:textId="77777777" w:rsidR="008B1D49" w:rsidRDefault="008B1D49" w:rsidP="008B1D49">
      <w:pPr>
        <w:spacing w:line="276" w:lineRule="auto"/>
        <w:rPr>
          <w:sz w:val="24"/>
          <w:lang w:val="hy-AM"/>
        </w:rPr>
      </w:pPr>
    </w:p>
    <w:p w14:paraId="65FECCF1" w14:textId="77777777" w:rsidR="008B1D49" w:rsidRDefault="008B1D49" w:rsidP="008B1D49">
      <w:pPr>
        <w:spacing w:line="276" w:lineRule="auto"/>
        <w:rPr>
          <w:sz w:val="24"/>
          <w:lang w:val="hy-AM"/>
        </w:rPr>
      </w:pPr>
    </w:p>
    <w:p w14:paraId="7B0929F1" w14:textId="77777777" w:rsidR="008B1D49" w:rsidRDefault="008B1D49" w:rsidP="008B1D49">
      <w:pPr>
        <w:spacing w:line="276" w:lineRule="auto"/>
        <w:rPr>
          <w:sz w:val="24"/>
          <w:lang w:val="hy-AM"/>
        </w:rPr>
      </w:pPr>
    </w:p>
    <w:p w14:paraId="299AEE13" w14:textId="77777777" w:rsidR="008B1D49" w:rsidRDefault="008B1D49" w:rsidP="008B1D49">
      <w:pPr>
        <w:spacing w:line="276" w:lineRule="auto"/>
        <w:rPr>
          <w:sz w:val="24"/>
          <w:lang w:val="hy-AM"/>
        </w:rPr>
      </w:pPr>
    </w:p>
    <w:p w14:paraId="2CA5A9F0" w14:textId="6C96E154" w:rsidR="002E585F" w:rsidRPr="00603B06" w:rsidRDefault="002E585F" w:rsidP="007730AA">
      <w:pPr>
        <w:spacing w:before="0" w:line="276" w:lineRule="auto"/>
        <w:jc w:val="center"/>
        <w:rPr>
          <w:b w:val="0"/>
          <w:sz w:val="32"/>
          <w:szCs w:val="32"/>
          <w:lang w:val="hy-AM"/>
        </w:rPr>
      </w:pPr>
      <w:r w:rsidRPr="00603B06">
        <w:rPr>
          <w:sz w:val="32"/>
          <w:szCs w:val="32"/>
          <w:lang w:val="hy-AM"/>
        </w:rPr>
        <w:t>ՀԱՅԱՍՏԱՆԻ</w:t>
      </w:r>
      <w:r w:rsidR="00454241" w:rsidRPr="00603B06">
        <w:rPr>
          <w:sz w:val="32"/>
          <w:szCs w:val="32"/>
          <w:lang w:val="hy-AM"/>
        </w:rPr>
        <w:t xml:space="preserve"> </w:t>
      </w:r>
      <w:r w:rsidRPr="00603B06">
        <w:rPr>
          <w:sz w:val="32"/>
          <w:szCs w:val="32"/>
          <w:lang w:val="hy-AM"/>
        </w:rPr>
        <w:t>ՀԱՆՐԱՊԵՏՈՒԹՅԱՆ</w:t>
      </w:r>
      <w:r w:rsidR="00DD1B33" w:rsidRPr="00603B06">
        <w:rPr>
          <w:sz w:val="32"/>
          <w:szCs w:val="32"/>
          <w:lang w:val="hy-AM"/>
        </w:rPr>
        <w:t xml:space="preserve"> </w:t>
      </w:r>
      <w:r w:rsidRPr="00603B06">
        <w:rPr>
          <w:sz w:val="32"/>
          <w:szCs w:val="32"/>
          <w:lang w:val="hy-AM"/>
        </w:rPr>
        <w:t>ԿԱՌԱՎԱՐՈՒԹՅԱՆ</w:t>
      </w:r>
      <w:r w:rsidR="00DD1B33" w:rsidRPr="00603B06">
        <w:rPr>
          <w:sz w:val="32"/>
          <w:szCs w:val="32"/>
          <w:lang w:val="hy-AM"/>
        </w:rPr>
        <w:t xml:space="preserve"> ԶԵԿՈՒՅՑԸ</w:t>
      </w:r>
    </w:p>
    <w:p w14:paraId="6A75337A" w14:textId="77777777" w:rsidR="00922CF5" w:rsidRPr="00603B06" w:rsidRDefault="00922CF5" w:rsidP="007730AA">
      <w:pPr>
        <w:widowControl w:val="0"/>
        <w:tabs>
          <w:tab w:val="left" w:pos="851"/>
          <w:tab w:val="left" w:pos="993"/>
        </w:tabs>
        <w:spacing w:before="0" w:line="276" w:lineRule="auto"/>
        <w:ind w:firstLine="450"/>
        <w:contextualSpacing w:val="0"/>
        <w:rPr>
          <w:b w:val="0"/>
          <w:szCs w:val="22"/>
          <w:lang w:val="hy-AM"/>
        </w:rPr>
      </w:pPr>
    </w:p>
    <w:p w14:paraId="2D44C09D" w14:textId="77777777" w:rsidR="00922CF5" w:rsidRPr="00603B06" w:rsidRDefault="00922CF5" w:rsidP="007730AA">
      <w:pPr>
        <w:keepNext/>
        <w:spacing w:before="0" w:line="276" w:lineRule="auto"/>
        <w:ind w:firstLine="450"/>
        <w:contextualSpacing w:val="0"/>
        <w:jc w:val="left"/>
        <w:outlineLvl w:val="2"/>
        <w:rPr>
          <w:szCs w:val="22"/>
          <w:lang w:val="hy-AM"/>
        </w:rPr>
      </w:pPr>
      <w:bookmarkStart w:id="3" w:name="_Toc83996306"/>
      <w:r w:rsidRPr="00603B06">
        <w:rPr>
          <w:szCs w:val="22"/>
          <w:lang w:val="hy-AM"/>
        </w:rPr>
        <w:t>ՆԵՐԱԾՈՒԹՅՈՒՆ</w:t>
      </w:r>
      <w:bookmarkEnd w:id="3"/>
    </w:p>
    <w:p w14:paraId="419E1316" w14:textId="77777777" w:rsidR="00922CF5" w:rsidRPr="00603B06" w:rsidRDefault="00922CF5" w:rsidP="007730AA">
      <w:pPr>
        <w:widowControl w:val="0"/>
        <w:tabs>
          <w:tab w:val="left" w:pos="851"/>
          <w:tab w:val="left" w:pos="993"/>
        </w:tabs>
        <w:spacing w:before="0" w:line="276" w:lineRule="auto"/>
        <w:ind w:firstLine="450"/>
        <w:contextualSpacing w:val="0"/>
        <w:rPr>
          <w:b w:val="0"/>
          <w:szCs w:val="22"/>
          <w:lang w:val="hy-AM"/>
        </w:rPr>
      </w:pPr>
    </w:p>
    <w:p w14:paraId="318F0E39" w14:textId="77777777" w:rsidR="00982E78" w:rsidRPr="00A83C94" w:rsidRDefault="00982E78" w:rsidP="00982E78">
      <w:pPr>
        <w:pStyle w:val="BodyText2"/>
      </w:pPr>
      <w:r w:rsidRPr="00A83C94">
        <w:t>2022 թվականի բյուջետավորման քաղաքականությունը իրականացվել է ՀՀ կառավարության 2021-2026թթ. ծրագրի առաջնահերթությունների շուրջ:</w:t>
      </w:r>
    </w:p>
    <w:p w14:paraId="58217899" w14:textId="14165EC5" w:rsidR="00982E78" w:rsidRPr="00A83C94" w:rsidRDefault="00982E78" w:rsidP="00982E78">
      <w:pPr>
        <w:pStyle w:val="BodyText2"/>
      </w:pPr>
      <w:r w:rsidRPr="00A83C94">
        <w:t xml:space="preserve">Իրականացվելիք միջոցառումների հիմնական նպատակը լինելու է տնտեսության մրցունակության և արտադրողականության աճը: Կառավարությունը թիրախավորում է երկարատև բարձր տնտեսական աճի </w:t>
      </w:r>
      <w:r w:rsidR="00AF0CBF" w:rsidRPr="00A83C94">
        <w:t>ապահով</w:t>
      </w:r>
      <w:r w:rsidR="00EC6F75" w:rsidRPr="00A83C94">
        <w:t>ումը</w:t>
      </w:r>
      <w:r w:rsidRPr="00A83C94">
        <w:t>՝ առնվազն տարեկան 7%, իսկ բարենպաստ արտաքին միջավայրի դեպքում 9%։</w:t>
      </w:r>
      <w:r w:rsidR="00EC6F75" w:rsidRPr="00A83C94">
        <w:t xml:space="preserve"> 2022թ. բյուջեն այդ նոր ժամանակաշրջանի առաջին տարվա ֆինանսական պլանն է և արտացոլում է դրան ուղղված տնտեսական և սոցիալական քաղաքականությնների բովանդակությունը: </w:t>
      </w:r>
    </w:p>
    <w:p w14:paraId="171C61E6" w14:textId="77777777" w:rsidR="00982E78" w:rsidRPr="00A83C94" w:rsidRDefault="00982E78" w:rsidP="00982E78">
      <w:pPr>
        <w:spacing w:before="0" w:line="276" w:lineRule="auto"/>
        <w:rPr>
          <w:rFonts w:eastAsia="Calibri"/>
          <w:b w:val="0"/>
          <w:szCs w:val="22"/>
          <w:lang w:val="hy-AM" w:eastAsia="en-US"/>
        </w:rPr>
      </w:pPr>
      <w:r w:rsidRPr="00A83C94">
        <w:rPr>
          <w:rFonts w:eastAsia="Calibri"/>
          <w:b w:val="0"/>
          <w:szCs w:val="22"/>
          <w:lang w:val="hy-AM" w:eastAsia="en-US"/>
        </w:rPr>
        <w:t xml:space="preserve">Կառավարության տնտեսական քաղաքականության նպատակներն են. </w:t>
      </w:r>
    </w:p>
    <w:p w14:paraId="36E45FA4" w14:textId="77777777" w:rsidR="00982E78" w:rsidRPr="00A83C94" w:rsidRDefault="00982E78" w:rsidP="00982E78">
      <w:pPr>
        <w:pStyle w:val="ListParagraph"/>
        <w:numPr>
          <w:ilvl w:val="0"/>
          <w:numId w:val="41"/>
        </w:numPr>
        <w:spacing w:before="0" w:line="276" w:lineRule="auto"/>
        <w:rPr>
          <w:rFonts w:eastAsia="Calibri"/>
          <w:b w:val="0"/>
          <w:szCs w:val="22"/>
          <w:lang w:val="hy-AM" w:eastAsia="en-US"/>
        </w:rPr>
      </w:pPr>
      <w:r w:rsidRPr="00A83C94">
        <w:rPr>
          <w:rFonts w:eastAsia="Calibri"/>
          <w:b w:val="0"/>
          <w:szCs w:val="22"/>
          <w:lang w:val="hy-AM" w:eastAsia="en-US"/>
        </w:rPr>
        <w:t xml:space="preserve">տնտեսական հնարավորությունների ընդլայնումը և դրանց հավասար հասանելիության ապահովումը, </w:t>
      </w:r>
    </w:p>
    <w:p w14:paraId="7235DB0F" w14:textId="24AECF15" w:rsidR="00982E78" w:rsidRPr="00A83C94" w:rsidRDefault="00982E78" w:rsidP="00982E78">
      <w:pPr>
        <w:pStyle w:val="ListParagraph"/>
        <w:numPr>
          <w:ilvl w:val="0"/>
          <w:numId w:val="41"/>
        </w:numPr>
        <w:spacing w:before="0" w:line="276" w:lineRule="auto"/>
        <w:rPr>
          <w:rFonts w:eastAsia="Calibri"/>
          <w:b w:val="0"/>
          <w:szCs w:val="22"/>
          <w:lang w:val="hy-AM" w:eastAsia="en-US"/>
        </w:rPr>
      </w:pPr>
      <w:r w:rsidRPr="00A83C94">
        <w:rPr>
          <w:rFonts w:eastAsia="Calibri"/>
          <w:b w:val="0"/>
          <w:szCs w:val="22"/>
          <w:lang w:val="hy-AM" w:eastAsia="en-US"/>
        </w:rPr>
        <w:t>մարդու ներքին կարողությունների զարգացման և իրացման միջոցով</w:t>
      </w:r>
      <w:r w:rsidR="00DB0F78" w:rsidRPr="00A83C94">
        <w:rPr>
          <w:rFonts w:eastAsia="Calibri"/>
          <w:b w:val="0"/>
          <w:szCs w:val="22"/>
          <w:lang w:val="hy-AM" w:eastAsia="en-US"/>
        </w:rPr>
        <w:t>՝</w:t>
      </w:r>
      <w:r w:rsidRPr="00A83C94">
        <w:rPr>
          <w:rFonts w:eastAsia="Calibri"/>
          <w:b w:val="0"/>
          <w:szCs w:val="22"/>
          <w:lang w:val="hy-AM" w:eastAsia="en-US"/>
        </w:rPr>
        <w:t xml:space="preserve"> միջին խավի բարեկեցության աճն ու աղքատության կրճատումը։ </w:t>
      </w:r>
    </w:p>
    <w:p w14:paraId="1721CF67" w14:textId="473E70A5" w:rsidR="00982E78" w:rsidRPr="00A83C94" w:rsidRDefault="00DB0F78" w:rsidP="00982E78">
      <w:pPr>
        <w:pStyle w:val="BodyText2"/>
      </w:pPr>
      <w:r w:rsidRPr="00A83C94">
        <w:t xml:space="preserve">Ուղղորդվելով </w:t>
      </w:r>
      <w:r w:rsidR="00982E78" w:rsidRPr="00A83C94">
        <w:t>ՀՀ կառավարության 2021-2026թթ. ծրագրի առաջնահերթություններ</w:t>
      </w:r>
      <w:r w:rsidRPr="00A83C94">
        <w:t>ով՝</w:t>
      </w:r>
      <w:r w:rsidR="00982E78" w:rsidRPr="00A83C94">
        <w:t xml:space="preserve"> 2022 թվականին նախատեսվ</w:t>
      </w:r>
      <w:r w:rsidR="006B55A7" w:rsidRPr="00A83C94">
        <w:t>ում է</w:t>
      </w:r>
      <w:r w:rsidR="00982E78" w:rsidRPr="00A83C94">
        <w:t xml:space="preserve"> իրականացնել սոցիալական, կրթական, ենթակառուցվածքային բնույթի մի շարք առաջնահերթ միջոցառումներ, </w:t>
      </w:r>
      <w:r w:rsidR="006B55A7" w:rsidRPr="00A83C94">
        <w:t>որոնցից առավել հատկանշական են՝</w:t>
      </w:r>
      <w:r w:rsidR="00982E78" w:rsidRPr="00A83C94">
        <w:t xml:space="preserve"> </w:t>
      </w:r>
    </w:p>
    <w:p w14:paraId="071E6D20" w14:textId="38FE7D94" w:rsidR="00982E78" w:rsidRPr="00A83C94" w:rsidRDefault="00982E78" w:rsidP="00982E78">
      <w:pPr>
        <w:pStyle w:val="BodyText2"/>
        <w:numPr>
          <w:ilvl w:val="0"/>
          <w:numId w:val="48"/>
        </w:numPr>
        <w:ind w:left="0" w:firstLine="426"/>
      </w:pPr>
      <w:r w:rsidRPr="00A83C94">
        <w:t xml:space="preserve">  ջրամբարաշինության </w:t>
      </w:r>
      <w:r w:rsidR="006B55A7" w:rsidRPr="00A83C94">
        <w:t xml:space="preserve">նոր </w:t>
      </w:r>
      <w:r w:rsidRPr="00A83C94">
        <w:t>ծրագրեր</w:t>
      </w:r>
      <w:r w:rsidR="006B55A7" w:rsidRPr="00A83C94">
        <w:t>ի իրականացումը</w:t>
      </w:r>
      <w:r w:rsidRPr="00A83C94">
        <w:t xml:space="preserve">: </w:t>
      </w:r>
      <w:r w:rsidR="00DB0F78" w:rsidRPr="00A83C94">
        <w:t>Արդյունքում՝</w:t>
      </w:r>
      <w:r w:rsidRPr="00A83C94">
        <w:t xml:space="preserve"> ունենալու ենք ջրային ռեսուրսների լրացուցիչ պաշար և  ջրային հոսքերի կառավարման արդյունավետ համակարգ։ </w:t>
      </w:r>
      <w:r w:rsidR="006B55A7" w:rsidRPr="00A83C94">
        <w:t>Տարվա ընթացքում ն</w:t>
      </w:r>
      <w:r w:rsidRPr="00A83C94">
        <w:t xml:space="preserve">ախագծվելու է 15 </w:t>
      </w:r>
      <w:r w:rsidR="006B55A7" w:rsidRPr="00A83C94">
        <w:t xml:space="preserve">նոր </w:t>
      </w:r>
      <w:r w:rsidRPr="00A83C94">
        <w:t>ջրամբար և սկսվելու է դրանց կառուցումը,</w:t>
      </w:r>
    </w:p>
    <w:p w14:paraId="354D1BC6" w14:textId="2F6F7B31" w:rsidR="00982E78" w:rsidRPr="00A83C94" w:rsidRDefault="00982E78" w:rsidP="00982E78">
      <w:pPr>
        <w:pStyle w:val="BodyText2"/>
        <w:numPr>
          <w:ilvl w:val="0"/>
          <w:numId w:val="48"/>
        </w:numPr>
        <w:ind w:left="0" w:firstLine="426"/>
      </w:pPr>
      <w:r w:rsidRPr="00A83C94">
        <w:t xml:space="preserve"> միջպետական, հանրապետական և տեղական նշանակության ավտոմոբիլային ճանապարհների ցանցի նորոգ</w:t>
      </w:r>
      <w:r w:rsidR="006B55A7" w:rsidRPr="00A83C94">
        <w:t>ման</w:t>
      </w:r>
      <w:r w:rsidRPr="00A83C94">
        <w:t>, հիմնանորոգ</w:t>
      </w:r>
      <w:r w:rsidR="006B55A7" w:rsidRPr="00A83C94">
        <w:t>ման</w:t>
      </w:r>
      <w:r w:rsidRPr="00A83C94">
        <w:t xml:space="preserve"> և  որակի շարունակական բարձրաց</w:t>
      </w:r>
      <w:r w:rsidR="006B55A7" w:rsidRPr="00A83C94">
        <w:t>ման</w:t>
      </w:r>
      <w:r w:rsidR="003D0DE4" w:rsidRPr="00A83C94">
        <w:t xml:space="preserve"> աշխատանքները, որոնց արդյունքում</w:t>
      </w:r>
      <w:r w:rsidRPr="00A83C94">
        <w:t xml:space="preserve"> կունենանք շուրջ 500 կմ վերանորոգված ճանապարհ, որից </w:t>
      </w:r>
      <w:r w:rsidR="006B55A7" w:rsidRPr="00A83C94">
        <w:t>420</w:t>
      </w:r>
      <w:r w:rsidRPr="00A83C94">
        <w:t xml:space="preserve"> կմ հիմնանորոգում և 80 կմ միջին նորոգում,</w:t>
      </w:r>
    </w:p>
    <w:p w14:paraId="6A2F48C7" w14:textId="3E346266" w:rsidR="00982E78" w:rsidRPr="00A83C94" w:rsidRDefault="00982E78" w:rsidP="00982E78">
      <w:pPr>
        <w:pStyle w:val="BodyText2"/>
        <w:numPr>
          <w:ilvl w:val="0"/>
          <w:numId w:val="48"/>
        </w:numPr>
        <w:ind w:left="0" w:firstLine="426"/>
      </w:pPr>
      <w:r w:rsidRPr="00A83C94">
        <w:t xml:space="preserve"> ծնելիությունը խթանելու նպատակով  </w:t>
      </w:r>
      <w:r w:rsidR="003D0DE4" w:rsidRPr="00A83C94">
        <w:t>ամսական 50 հազ</w:t>
      </w:r>
      <w:r w:rsidR="003D0DE4" w:rsidRPr="00A83C94">
        <w:rPr>
          <w:rFonts w:ascii="Cambria Math" w:hAnsi="Cambria Math" w:cs="Cambria Math"/>
        </w:rPr>
        <w:t>․</w:t>
      </w:r>
      <w:r w:rsidR="003D0DE4" w:rsidRPr="00A83C94">
        <w:t xml:space="preserve"> դրամի չափով դրամական աջակցության սահմանումը, որը </w:t>
      </w:r>
      <w:r w:rsidRPr="00A83C94">
        <w:t xml:space="preserve">2022 թվականի հունվարի 1-ից հետո </w:t>
      </w:r>
      <w:r w:rsidR="003D0DE4" w:rsidRPr="00A83C94">
        <w:t xml:space="preserve">կնշանակվի </w:t>
      </w:r>
      <w:r w:rsidRPr="00A83C94">
        <w:t xml:space="preserve">ընտանիքում 3-րդ և յուրաքանչյուր հաջորդ երեխայի ծնվելու կապակցությամբ և </w:t>
      </w:r>
      <w:r w:rsidR="003D0DE4" w:rsidRPr="00A83C94">
        <w:t xml:space="preserve">կշարունակվի վճարվել </w:t>
      </w:r>
      <w:r w:rsidRPr="00A83C94">
        <w:t>մինչև երեխայի 6 տարեկանը լրանալը,</w:t>
      </w:r>
    </w:p>
    <w:p w14:paraId="3307EFEE" w14:textId="4A3DAEC6" w:rsidR="00982E78" w:rsidRPr="00A83C94" w:rsidRDefault="00982E78" w:rsidP="00982E78">
      <w:pPr>
        <w:pStyle w:val="BodyText2"/>
        <w:numPr>
          <w:ilvl w:val="0"/>
          <w:numId w:val="48"/>
        </w:numPr>
        <w:ind w:left="0" w:firstLine="426"/>
      </w:pPr>
      <w:r w:rsidRPr="00A83C94">
        <w:t xml:space="preserve"> նվազագույն կենսաթոշակի</w:t>
      </w:r>
      <w:r w:rsidR="006B55A7" w:rsidRPr="00A83C94">
        <w:t xml:space="preserve"> և</w:t>
      </w:r>
      <w:r w:rsidRPr="00A83C94">
        <w:t xml:space="preserve"> սոցիալական նպաստների ավելացումներ</w:t>
      </w:r>
      <w:r w:rsidR="003D0DE4" w:rsidRPr="00A83C94">
        <w:t>ը, որոնց</w:t>
      </w:r>
      <w:r w:rsidR="008E2D57" w:rsidRPr="008E2D57">
        <w:t xml:space="preserve"> </w:t>
      </w:r>
      <w:r w:rsidR="003D0DE4" w:rsidRPr="00A83C94">
        <w:t>արդյունքում</w:t>
      </w:r>
      <w:r w:rsidRPr="00A83C94">
        <w:t xml:space="preserve"> նախատեսվում է բարձրացնել ավելի քան 12200 աշխատանքային կենսաթոշակառուների, շուրջ 5200 զինվորական կենսաթոշակառուների կենսաթոշակների և 74720 նպաստառուների նպաստների չափերը՝ ապահովելով ծայրահեղ աղքատության գծից բարձր մակարդակ, իսկ շուրջ 8000 հաշմանդամ երեխաների դեպքում՝ էականորեն կբարձրանա նրանց ընտանիքներին տրամադրվող պետական աջակցության չափը,</w:t>
      </w:r>
    </w:p>
    <w:p w14:paraId="528C5E0B" w14:textId="3BCCE3BD" w:rsidR="00982E78" w:rsidRPr="00A83C94" w:rsidRDefault="00982E78" w:rsidP="00982E78">
      <w:pPr>
        <w:pStyle w:val="BodyText2"/>
        <w:numPr>
          <w:ilvl w:val="0"/>
          <w:numId w:val="48"/>
        </w:numPr>
        <w:ind w:left="0" w:firstLine="426"/>
      </w:pPr>
      <w:r w:rsidRPr="00A83C94">
        <w:t xml:space="preserve"> գիտության </w:t>
      </w:r>
      <w:r w:rsidR="003D0DE4" w:rsidRPr="00A83C94">
        <w:t>պետական ֆինանսավորման զգալի ավելացումը</w:t>
      </w:r>
      <w:r w:rsidRPr="00A83C94">
        <w:t>, որ</w:t>
      </w:r>
      <w:r w:rsidR="003D0DE4" w:rsidRPr="00A83C94">
        <w:t>ն</w:t>
      </w:r>
      <w:r w:rsidRPr="00A83C94">
        <w:t xml:space="preserve"> ուղղվելու </w:t>
      </w:r>
      <w:r w:rsidR="003D0DE4" w:rsidRPr="00A83C94">
        <w:t>է</w:t>
      </w:r>
      <w:r w:rsidRPr="00A83C94">
        <w:t xml:space="preserve"> ինչպես գիտաշխատողների աշխատավարձերի բարձրացմանը, այնպես էլ գիտական ենթակառուցվածքների զարգացմանը,</w:t>
      </w:r>
    </w:p>
    <w:p w14:paraId="6E00AB01" w14:textId="5A58F668" w:rsidR="00982E78" w:rsidRPr="00A83C94" w:rsidRDefault="00982E78" w:rsidP="00982E78">
      <w:pPr>
        <w:pStyle w:val="BodyText2"/>
        <w:numPr>
          <w:ilvl w:val="0"/>
          <w:numId w:val="48"/>
        </w:numPr>
        <w:ind w:left="0" w:firstLine="426"/>
      </w:pPr>
      <w:r w:rsidRPr="00A83C94">
        <w:t xml:space="preserve"> </w:t>
      </w:r>
      <w:r w:rsidR="009E5E16" w:rsidRPr="00A83C94">
        <w:t xml:space="preserve"> </w:t>
      </w:r>
      <w:r w:rsidR="00E62A8D">
        <w:t>դ</w:t>
      </w:r>
      <w:r w:rsidR="009E5E16" w:rsidRPr="00A83C94">
        <w:t>պրոցներում</w:t>
      </w:r>
      <w:r w:rsidR="00E62A8D">
        <w:t xml:space="preserve"> և</w:t>
      </w:r>
      <w:r w:rsidR="00E62A8D" w:rsidRPr="00E62A8D">
        <w:t xml:space="preserve"> </w:t>
      </w:r>
      <w:r w:rsidR="00E62A8D">
        <w:t>մարզադպր</w:t>
      </w:r>
      <w:r w:rsidR="00E62A8D" w:rsidRPr="00E62A8D">
        <w:t>ոցներում</w:t>
      </w:r>
      <w:r w:rsidR="00E62A8D">
        <w:t xml:space="preserve"> </w:t>
      </w:r>
      <w:r w:rsidRPr="00A83C94">
        <w:rPr>
          <w:rFonts w:cs="GHEA Grapalat"/>
        </w:rPr>
        <w:t xml:space="preserve">նախագծման </w:t>
      </w:r>
      <w:r w:rsidR="00E62A8D" w:rsidRPr="00A83C94">
        <w:rPr>
          <w:rFonts w:cs="GHEA Grapalat"/>
        </w:rPr>
        <w:t>և</w:t>
      </w:r>
      <w:r w:rsidR="00E62A8D" w:rsidRPr="00A83C94">
        <w:t xml:space="preserve"> շինարարական </w:t>
      </w:r>
      <w:r w:rsidRPr="00A83C94">
        <w:t>աշխատանքներ</w:t>
      </w:r>
      <w:r w:rsidR="009E5E16" w:rsidRPr="00A83C94">
        <w:t>ի իրականացումը</w:t>
      </w:r>
      <w:r w:rsidRPr="00A83C94">
        <w:t xml:space="preserve">, </w:t>
      </w:r>
      <w:r w:rsidR="00225E3A" w:rsidRPr="00225E3A">
        <w:t>այդ թվում</w:t>
      </w:r>
      <w:r w:rsidRPr="00A83C94">
        <w:t xml:space="preserve"> փոքրաքանակ երեխաներով համալրված հանրակրթական դպրոցների մոդուլային շենքերի կառուց</w:t>
      </w:r>
      <w:r w:rsidR="0077355D" w:rsidRPr="0077355D">
        <w:t>ումը</w:t>
      </w:r>
      <w:r w:rsidRPr="00A83C94">
        <w:t>,</w:t>
      </w:r>
    </w:p>
    <w:p w14:paraId="2AAD2B7E" w14:textId="17D79E71" w:rsidR="00982E78" w:rsidRPr="00A83C94" w:rsidRDefault="00982E78" w:rsidP="00982E78">
      <w:pPr>
        <w:pStyle w:val="BodyText2"/>
        <w:numPr>
          <w:ilvl w:val="0"/>
          <w:numId w:val="48"/>
        </w:numPr>
        <w:ind w:left="0" w:firstLine="426"/>
      </w:pPr>
      <w:r w:rsidRPr="00A83C94">
        <w:t xml:space="preserve"> ն</w:t>
      </w:r>
      <w:r w:rsidRPr="00A83C94">
        <w:rPr>
          <w:rFonts w:cs="GHEA Grapalat"/>
        </w:rPr>
        <w:t>ախնական մասնագիտական (արհեստագործական) և միջին մասնագիտական ուսումնական հաստատություններում</w:t>
      </w:r>
      <w:r w:rsidRPr="00A83C94">
        <w:t xml:space="preserve"> </w:t>
      </w:r>
      <w:r w:rsidR="00E62A8D" w:rsidRPr="00A83C94">
        <w:rPr>
          <w:rFonts w:cs="GHEA Grapalat"/>
        </w:rPr>
        <w:t>նախագծման</w:t>
      </w:r>
      <w:r w:rsidR="00E62A8D" w:rsidRPr="00A83C94">
        <w:t xml:space="preserve"> </w:t>
      </w:r>
      <w:r w:rsidR="00E62A8D" w:rsidRPr="00A83C94">
        <w:rPr>
          <w:rFonts w:cs="GHEA Grapalat"/>
        </w:rPr>
        <w:t>և</w:t>
      </w:r>
      <w:r w:rsidR="00E62A8D" w:rsidRPr="00A83C94">
        <w:t xml:space="preserve"> </w:t>
      </w:r>
      <w:r w:rsidRPr="00A83C94">
        <w:t xml:space="preserve">շինարարական </w:t>
      </w:r>
      <w:r w:rsidRPr="00A83C94">
        <w:rPr>
          <w:rFonts w:cs="GHEA Grapalat"/>
        </w:rPr>
        <w:t>աշխատանքներ</w:t>
      </w:r>
      <w:r w:rsidR="00200AA8" w:rsidRPr="00A83C94">
        <w:rPr>
          <w:rFonts w:cs="GHEA Grapalat"/>
        </w:rPr>
        <w:t>ի իրականացումը</w:t>
      </w:r>
      <w:r w:rsidRPr="00A83C94">
        <w:rPr>
          <w:rFonts w:cs="GHEA Grapalat"/>
        </w:rPr>
        <w:t>,</w:t>
      </w:r>
    </w:p>
    <w:p w14:paraId="506A4A6D" w14:textId="75B28D21" w:rsidR="00982E78" w:rsidRPr="00A83C94" w:rsidRDefault="00982E78" w:rsidP="00982E78">
      <w:pPr>
        <w:pStyle w:val="BodyText2"/>
        <w:numPr>
          <w:ilvl w:val="0"/>
          <w:numId w:val="48"/>
        </w:numPr>
        <w:ind w:left="0" w:firstLine="426"/>
      </w:pPr>
      <w:r w:rsidRPr="00A83C94">
        <w:t xml:space="preserve"> մանկապարտեզներում</w:t>
      </w:r>
      <w:r w:rsidR="00200AA8" w:rsidRPr="00A83C94">
        <w:t xml:space="preserve"> շինարարական աշխատանքների իրականացումը</w:t>
      </w:r>
      <w:r w:rsidRPr="00A83C94">
        <w:t xml:space="preserve">, </w:t>
      </w:r>
      <w:r w:rsidR="00225E3A" w:rsidRPr="00225E3A">
        <w:t>այդ թվում</w:t>
      </w:r>
      <w:r w:rsidRPr="00A83C94">
        <w:t xml:space="preserve"> </w:t>
      </w:r>
      <w:r w:rsidR="003D0DE4" w:rsidRPr="00A83C94">
        <w:t>մ</w:t>
      </w:r>
      <w:r w:rsidRPr="00A83C94">
        <w:t>ոդուլային տիպի մանկապարտեզների</w:t>
      </w:r>
      <w:r w:rsidR="00200AA8" w:rsidRPr="00A83C94">
        <w:t xml:space="preserve"> </w:t>
      </w:r>
      <w:r w:rsidR="0077355D" w:rsidRPr="00DB7001">
        <w:t>կառուցումը</w:t>
      </w:r>
      <w:r w:rsidRPr="00A83C94">
        <w:t>,</w:t>
      </w:r>
    </w:p>
    <w:p w14:paraId="18B626A5" w14:textId="320944D1" w:rsidR="00982E78" w:rsidRPr="00A83C94" w:rsidRDefault="00982E78" w:rsidP="00982E78">
      <w:pPr>
        <w:pStyle w:val="BodyText2"/>
        <w:numPr>
          <w:ilvl w:val="0"/>
          <w:numId w:val="48"/>
        </w:numPr>
        <w:ind w:left="0" w:firstLine="426"/>
      </w:pPr>
      <w:r w:rsidRPr="00A83C94">
        <w:t xml:space="preserve"> մարզային առողջապահական կազմակերպությունների շենքային և նյութատեխնիկական պայմանների բարելավման</w:t>
      </w:r>
      <w:r w:rsidR="00200AA8" w:rsidRPr="00A83C94">
        <w:t xml:space="preserve"> աշխատանքները</w:t>
      </w:r>
      <w:r w:rsidRPr="00A83C94">
        <w:t xml:space="preserve">, </w:t>
      </w:r>
    </w:p>
    <w:p w14:paraId="420EFCDF" w14:textId="6A7727F5" w:rsidR="00982E78" w:rsidRPr="00A83C94" w:rsidRDefault="00E62A8D" w:rsidP="00982E78">
      <w:pPr>
        <w:pStyle w:val="BodyText2"/>
        <w:numPr>
          <w:ilvl w:val="0"/>
          <w:numId w:val="48"/>
        </w:numPr>
        <w:ind w:left="0" w:firstLine="426"/>
        <w:rPr>
          <w:rFonts w:cs="Sylfaen"/>
          <w:spacing w:val="4"/>
        </w:rPr>
      </w:pPr>
      <w:r w:rsidRPr="00E62A8D">
        <w:rPr>
          <w:rFonts w:cs="Sylfaen"/>
          <w:spacing w:val="4"/>
        </w:rPr>
        <w:t xml:space="preserve"> </w:t>
      </w:r>
      <w:r w:rsidR="00982E78" w:rsidRPr="00A83C94">
        <w:rPr>
          <w:rFonts w:cs="Sylfaen"/>
          <w:spacing w:val="4"/>
        </w:rPr>
        <w:t>հակակոռուպցիոն ռազմավարության միջոցառումների շրջանակներում</w:t>
      </w:r>
      <w:r w:rsidR="00200AA8" w:rsidRPr="00A83C94">
        <w:rPr>
          <w:rFonts w:cs="Sylfaen"/>
          <w:spacing w:val="4"/>
        </w:rPr>
        <w:t>՝</w:t>
      </w:r>
      <w:r w:rsidR="00982E78" w:rsidRPr="00A83C94">
        <w:rPr>
          <w:rFonts w:cs="Sylfaen"/>
          <w:spacing w:val="4"/>
        </w:rPr>
        <w:t xml:space="preserve"> </w:t>
      </w:r>
      <w:r w:rsidR="00982E78" w:rsidRPr="00A83C94">
        <w:t>Հակակոռուպցիոն կոմիտեի և դատարանների շենքերի կառուցման</w:t>
      </w:r>
      <w:r w:rsidR="00200AA8" w:rsidRPr="00A83C94">
        <w:t xml:space="preserve"> աշխատանքները</w:t>
      </w:r>
      <w:r w:rsidR="00982E78" w:rsidRPr="00A83C94">
        <w:t>, ինչպես նաև քրեակատարողական հիմնարկների շենքերի կապիտալ վերանորոգման աշխատանքներ</w:t>
      </w:r>
      <w:r w:rsidR="00200AA8" w:rsidRPr="00A83C94">
        <w:t>ը</w:t>
      </w:r>
      <w:r w:rsidR="00211965" w:rsidRPr="00211965">
        <w:t>,</w:t>
      </w:r>
    </w:p>
    <w:p w14:paraId="5407BC2B" w14:textId="0DC8DD9D" w:rsidR="00982E78" w:rsidRPr="00A83C94" w:rsidRDefault="00982E78" w:rsidP="00982E78">
      <w:pPr>
        <w:pStyle w:val="BodyText2"/>
        <w:numPr>
          <w:ilvl w:val="0"/>
          <w:numId w:val="48"/>
        </w:numPr>
        <w:ind w:left="0" w:firstLine="426"/>
        <w:rPr>
          <w:rFonts w:cs="Sylfaen"/>
          <w:spacing w:val="4"/>
        </w:rPr>
      </w:pPr>
      <w:r w:rsidRPr="00A83C94">
        <w:rPr>
          <w:rFonts w:cs="Sylfaen"/>
          <w:spacing w:val="4"/>
        </w:rPr>
        <w:t xml:space="preserve"> պարեկային ծառայության հաջորդիվ ներդրումը ՀՀ ամբողջ տարածքում</w:t>
      </w:r>
      <w:r w:rsidR="00200AA8" w:rsidRPr="00A83C94">
        <w:rPr>
          <w:rFonts w:cs="Sylfaen"/>
          <w:spacing w:val="4"/>
        </w:rPr>
        <w:t>՝ պ</w:t>
      </w:r>
      <w:r w:rsidRPr="00A83C94">
        <w:rPr>
          <w:rFonts w:cs="Sylfaen"/>
          <w:spacing w:val="4"/>
        </w:rPr>
        <w:t>ահպանելով կադրերի ընտրության ու կրթության բարեփոխված կարգն ու մոտեցումները:</w:t>
      </w:r>
    </w:p>
    <w:p w14:paraId="690097F2" w14:textId="77777777" w:rsidR="00BA2D53" w:rsidRPr="00A83C94" w:rsidRDefault="00BA2D53" w:rsidP="00A963B7">
      <w:pPr>
        <w:pStyle w:val="BodyText2"/>
      </w:pPr>
    </w:p>
    <w:p w14:paraId="56D20C29" w14:textId="77777777" w:rsidR="00922CF5" w:rsidRPr="00A83C94" w:rsidRDefault="00922CF5" w:rsidP="007730AA">
      <w:pPr>
        <w:spacing w:before="0" w:line="276" w:lineRule="auto"/>
        <w:ind w:firstLine="0"/>
        <w:contextualSpacing w:val="0"/>
        <w:jc w:val="left"/>
        <w:rPr>
          <w:sz w:val="28"/>
          <w:szCs w:val="20"/>
          <w:lang w:val="hy-AM"/>
        </w:rPr>
      </w:pPr>
      <w:r w:rsidRPr="00A83C94">
        <w:rPr>
          <w:lang w:val="hy-AM"/>
        </w:rPr>
        <w:br w:type="page"/>
      </w:r>
    </w:p>
    <w:p w14:paraId="73202606" w14:textId="77777777" w:rsidR="005F226A" w:rsidRPr="00EB774C" w:rsidRDefault="005F226A" w:rsidP="00A30EDC">
      <w:pPr>
        <w:pStyle w:val="Heading1"/>
        <w:rPr>
          <w:lang w:val="hy-AM"/>
        </w:rPr>
      </w:pPr>
      <w:bookmarkStart w:id="4" w:name="_Toc26174882"/>
      <w:bookmarkStart w:id="5" w:name="_Toc83567430"/>
      <w:bookmarkStart w:id="6" w:name="_Toc83996307"/>
      <w:r w:rsidRPr="00EB774C">
        <w:rPr>
          <w:lang w:val="hy-AM"/>
        </w:rPr>
        <w:t>ՄԱՍ I–Ա. ՍՈՑԻԱԼ-ՏՆՏԵՍԱԿԱՆ ԶԱՐԳԱՑՄԱՆ ԵՎ ՀԱՐԿԱԲՅՈՒՋԵՏԱՅԻՆ ՔԱՂԱՔԱԿԱՆՈՒԹՅԱՆ ՀԻՄՆԱԿԱՆ ՈՒՂՂՈՒԹՅՈՒՆՆԵՐԻ ՄԱՍԻՆ</w:t>
      </w:r>
      <w:bookmarkEnd w:id="4"/>
      <w:bookmarkEnd w:id="5"/>
      <w:bookmarkEnd w:id="6"/>
    </w:p>
    <w:p w14:paraId="335FA89F" w14:textId="77777777" w:rsidR="005F226A" w:rsidRPr="00A83C94" w:rsidRDefault="005F226A" w:rsidP="005F226A">
      <w:pPr>
        <w:keepNext/>
        <w:tabs>
          <w:tab w:val="left" w:pos="567"/>
          <w:tab w:val="left" w:pos="851"/>
          <w:tab w:val="left" w:pos="993"/>
        </w:tabs>
        <w:spacing w:before="0" w:line="276" w:lineRule="auto"/>
        <w:ind w:firstLine="426"/>
        <w:contextualSpacing w:val="0"/>
        <w:jc w:val="center"/>
        <w:outlineLvl w:val="0"/>
        <w:rPr>
          <w:rFonts w:cs="Times LatArm"/>
          <w:szCs w:val="22"/>
          <w:lang w:val="hy-AM"/>
        </w:rPr>
      </w:pPr>
      <w:bookmarkStart w:id="7" w:name="_Toc26174883"/>
    </w:p>
    <w:p w14:paraId="77D499B9" w14:textId="77777777" w:rsidR="005F226A" w:rsidRPr="00A83C94" w:rsidRDefault="005F226A" w:rsidP="005F226A">
      <w:pPr>
        <w:keepNext/>
        <w:tabs>
          <w:tab w:val="left" w:pos="567"/>
          <w:tab w:val="left" w:pos="851"/>
          <w:tab w:val="left" w:pos="993"/>
        </w:tabs>
        <w:spacing w:before="0" w:line="276" w:lineRule="auto"/>
        <w:ind w:firstLine="426"/>
        <w:contextualSpacing w:val="0"/>
        <w:jc w:val="center"/>
        <w:outlineLvl w:val="0"/>
        <w:rPr>
          <w:rFonts w:cs="Sylfaen"/>
          <w:sz w:val="24"/>
          <w:lang w:val="hy-AM"/>
        </w:rPr>
      </w:pPr>
      <w:bookmarkStart w:id="8" w:name="_Toc83567431"/>
      <w:bookmarkStart w:id="9" w:name="_Toc83996308"/>
      <w:r w:rsidRPr="00A83C94">
        <w:rPr>
          <w:rFonts w:cs="Times LatArm"/>
          <w:sz w:val="24"/>
          <w:lang w:val="hy-AM"/>
        </w:rPr>
        <w:t xml:space="preserve">2022 </w:t>
      </w:r>
      <w:r w:rsidRPr="00A83C94">
        <w:rPr>
          <w:rFonts w:cs="Sylfaen"/>
          <w:sz w:val="24"/>
          <w:lang w:val="hy-AM"/>
        </w:rPr>
        <w:t>թվականի</w:t>
      </w:r>
      <w:r w:rsidRPr="00A83C94">
        <w:rPr>
          <w:rFonts w:cs="Times LatArm"/>
          <w:sz w:val="24"/>
          <w:lang w:val="hy-AM"/>
        </w:rPr>
        <w:t xml:space="preserve"> </w:t>
      </w:r>
      <w:r w:rsidRPr="00A83C94">
        <w:rPr>
          <w:rFonts w:cs="Sylfaen"/>
          <w:sz w:val="24"/>
          <w:lang w:val="hy-AM"/>
        </w:rPr>
        <w:t>սոցիալ</w:t>
      </w:r>
      <w:r w:rsidRPr="00A83C94">
        <w:rPr>
          <w:rFonts w:cs="Times LatArm"/>
          <w:sz w:val="24"/>
          <w:lang w:val="hy-AM"/>
        </w:rPr>
        <w:t>-</w:t>
      </w:r>
      <w:r w:rsidRPr="00A83C94">
        <w:rPr>
          <w:rFonts w:cs="Sylfaen"/>
          <w:sz w:val="24"/>
          <w:lang w:val="hy-AM"/>
        </w:rPr>
        <w:t>տնտեսական</w:t>
      </w:r>
      <w:r w:rsidRPr="00A83C94">
        <w:rPr>
          <w:rFonts w:cs="Times LatArm"/>
          <w:sz w:val="24"/>
          <w:lang w:val="hy-AM"/>
        </w:rPr>
        <w:t xml:space="preserve"> </w:t>
      </w:r>
      <w:r w:rsidRPr="00A83C94">
        <w:rPr>
          <w:rFonts w:cs="Sylfaen"/>
          <w:sz w:val="24"/>
          <w:lang w:val="hy-AM"/>
        </w:rPr>
        <w:t>զարգացման</w:t>
      </w:r>
      <w:r w:rsidRPr="00A83C94">
        <w:rPr>
          <w:rFonts w:cs="Times LatArm"/>
          <w:sz w:val="24"/>
          <w:lang w:val="hy-AM"/>
        </w:rPr>
        <w:t xml:space="preserve"> </w:t>
      </w:r>
      <w:r w:rsidRPr="00A83C94">
        <w:rPr>
          <w:rFonts w:cs="Sylfaen"/>
          <w:sz w:val="24"/>
          <w:lang w:val="hy-AM"/>
        </w:rPr>
        <w:t>և հարկաբյուջետային քաղաքականության հիմնական</w:t>
      </w:r>
      <w:r w:rsidRPr="00A83C94">
        <w:rPr>
          <w:rFonts w:cs="Times LatArm"/>
          <w:sz w:val="24"/>
          <w:lang w:val="hy-AM"/>
        </w:rPr>
        <w:t xml:space="preserve"> </w:t>
      </w:r>
      <w:r w:rsidRPr="00A83C94">
        <w:rPr>
          <w:rFonts w:cs="Sylfaen"/>
          <w:sz w:val="24"/>
          <w:lang w:val="hy-AM"/>
        </w:rPr>
        <w:t>ուղղությունները</w:t>
      </w:r>
      <w:bookmarkEnd w:id="7"/>
      <w:bookmarkEnd w:id="8"/>
      <w:bookmarkEnd w:id="9"/>
    </w:p>
    <w:p w14:paraId="321A56BA" w14:textId="77777777" w:rsidR="005F226A" w:rsidRPr="00A83C94" w:rsidRDefault="005F226A" w:rsidP="005F226A">
      <w:pPr>
        <w:widowControl w:val="0"/>
        <w:tabs>
          <w:tab w:val="left" w:pos="567"/>
          <w:tab w:val="left" w:pos="851"/>
          <w:tab w:val="left" w:pos="993"/>
        </w:tabs>
        <w:spacing w:before="0" w:line="276" w:lineRule="auto"/>
        <w:ind w:firstLine="426"/>
        <w:contextualSpacing w:val="0"/>
        <w:rPr>
          <w:b w:val="0"/>
          <w:szCs w:val="22"/>
          <w:lang w:val="hy-AM"/>
        </w:rPr>
      </w:pPr>
    </w:p>
    <w:p w14:paraId="377DF59D"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0" w:name="_Toc83567432"/>
      <w:bookmarkStart w:id="11" w:name="_Toc83996309"/>
      <w:r w:rsidRPr="00A83C94">
        <w:rPr>
          <w:rFonts w:cs="Arial"/>
          <w:szCs w:val="22"/>
          <w:lang w:val="hy-AM" w:eastAsia="en-US"/>
        </w:rPr>
        <w:t>Տնտեսական զարգացում</w:t>
      </w:r>
      <w:bookmarkEnd w:id="10"/>
      <w:bookmarkEnd w:id="11"/>
    </w:p>
    <w:p w14:paraId="76444BEB" w14:textId="02F41E25" w:rsidR="005F226A" w:rsidRPr="00A83C94" w:rsidRDefault="005F226A" w:rsidP="005F226A">
      <w:pPr>
        <w:pStyle w:val="BodyText2"/>
      </w:pPr>
      <w:r w:rsidRPr="00A83C94">
        <w:t xml:space="preserve">2022 թվականին տնտեսական զարգացման քաղաքականության շրջանակը կառուցվում է ՀՀ կառավարության` 2021 թվականի օգոստոսի 18-ի թիվ 1363-Ա որոշմամբ հաստատված ՀՀ կառավարության 2021-2026թթ. ծրագրի առաջնահերթությունների շուրջ: Իրականացվելիք միջոցառումների հիմնական նպատակը լինելու է տնտեսության մրցունակության և արտադրողականության աճը: Կառավարությունը թիրախավորում է երկարատև բարձր տնտեսական աճի </w:t>
      </w:r>
      <w:r w:rsidR="00AF0CBF" w:rsidRPr="00A83C94">
        <w:t>ապահովումը</w:t>
      </w:r>
      <w:r w:rsidRPr="00A83C94">
        <w:t>՝ առնվազն տարեկան 7%, իսկ բարենպաստ արտաքին միջավայրի դեպքում 9%։</w:t>
      </w:r>
    </w:p>
    <w:p w14:paraId="352165F1" w14:textId="1AE4A0A6" w:rsidR="005F226A" w:rsidRPr="00A83C94" w:rsidRDefault="005F226A" w:rsidP="005F226A">
      <w:pPr>
        <w:pStyle w:val="BodyText2"/>
        <w:rPr>
          <w:rFonts w:cs="Arial"/>
        </w:rPr>
      </w:pPr>
      <w:r w:rsidRPr="00A83C94">
        <w:t xml:space="preserve">Տնտեսական քաղաքականությունը </w:t>
      </w:r>
      <w:r w:rsidR="00E939F5" w:rsidRPr="00A83C94">
        <w:t xml:space="preserve">թիրախավորելու է </w:t>
      </w:r>
      <w:r w:rsidRPr="00A83C94">
        <w:t xml:space="preserve">ներդրումների խրախուսումը, ձեռներեցության զարգացումը, գործարար և ներդրումային միջավայրի բարելավումը, զբոսաշրջության, արդյունաբերության և գյուղատնտեսության մրցունակության աճը, հանրային ներդրումների արդյունավետության բարձրացումը։ </w:t>
      </w:r>
    </w:p>
    <w:p w14:paraId="5D5093DC" w14:textId="3138B2D2" w:rsidR="005F226A" w:rsidRPr="00A83C94" w:rsidRDefault="005F226A" w:rsidP="005F226A">
      <w:pPr>
        <w:pStyle w:val="BodyText2"/>
        <w:rPr>
          <w:rFonts w:cs="Arial"/>
        </w:rPr>
      </w:pPr>
      <w:r w:rsidRPr="00A83C94">
        <w:t>Տնտեսական զարգացման քաղաքականությ</w:t>
      </w:r>
      <w:r w:rsidR="00E939F5" w:rsidRPr="00A83C94">
        <w:t>ան շրջանակում կարևորվելու է</w:t>
      </w:r>
      <w:r w:rsidRPr="00A83C94">
        <w:t xml:space="preserve"> մրցունակ՝ առավել արտադրողական և տեխնոլոգիատար արդյունաբերության զարգացումը։ ՓՄՁ ոլորտի ակտիվության բարձրաց</w:t>
      </w:r>
      <w:r w:rsidR="00E939F5" w:rsidRPr="00A83C94">
        <w:t>ման</w:t>
      </w:r>
      <w:r w:rsidRPr="00A83C94">
        <w:t xml:space="preserve"> շնորհիվ հնարավոր կլինի ապահովել ներառական տնտեսական աճ։ </w:t>
      </w:r>
      <w:r w:rsidR="00E939F5" w:rsidRPr="00A83C94">
        <w:t>Գ</w:t>
      </w:r>
      <w:r w:rsidRPr="00A83C94">
        <w:t>ործարար միջավայրի շարունակական բարելավ</w:t>
      </w:r>
      <w:r w:rsidR="00E939F5" w:rsidRPr="00A83C94">
        <w:t xml:space="preserve">ումը </w:t>
      </w:r>
      <w:r w:rsidRPr="00A83C94">
        <w:t xml:space="preserve"> </w:t>
      </w:r>
      <w:r w:rsidR="00E939F5" w:rsidRPr="00A83C94">
        <w:t xml:space="preserve">լինելու է </w:t>
      </w:r>
      <w:r w:rsidRPr="00A83C94">
        <w:t>ՀՀ քաղաքացիների ստեղծարար ներուժի իրացման առաջնային նախապայման</w:t>
      </w:r>
      <w:r w:rsidR="00E939F5" w:rsidRPr="00A83C94">
        <w:t>ը</w:t>
      </w:r>
      <w:r w:rsidRPr="00A83C94">
        <w:t>։ Չնայած առկա մարտահրավերներին՝ զբոսաշրջությ</w:t>
      </w:r>
      <w:r w:rsidR="00E939F5" w:rsidRPr="00A83C94">
        <w:t>ան զարգացման քաղաքականությունը միտված է լինելու</w:t>
      </w:r>
      <w:r w:rsidRPr="00A83C94">
        <w:t xml:space="preserve"> </w:t>
      </w:r>
      <w:r w:rsidR="00E939F5" w:rsidRPr="00A83C94">
        <w:t xml:space="preserve">ոլորտի </w:t>
      </w:r>
      <w:r w:rsidRPr="00A83C94">
        <w:t>երկարաժամկետ մրցունակությ</w:t>
      </w:r>
      <w:r w:rsidR="00E939F5" w:rsidRPr="00A83C94">
        <w:t xml:space="preserve">ան </w:t>
      </w:r>
      <w:r w:rsidR="00705192" w:rsidRPr="00A83C94">
        <w:t>պահպանմանը</w:t>
      </w:r>
      <w:r w:rsidRPr="00A83C94">
        <w:t xml:space="preserve"> և աճի ներուժ</w:t>
      </w:r>
      <w:r w:rsidR="00705192" w:rsidRPr="00A83C94">
        <w:t>ի ավելացման</w:t>
      </w:r>
      <w:r w:rsidRPr="00A83C94">
        <w:t xml:space="preserve">ը։ </w:t>
      </w:r>
      <w:r w:rsidR="00705192" w:rsidRPr="00A83C94">
        <w:t>Գ</w:t>
      </w:r>
      <w:r w:rsidRPr="00A83C94">
        <w:t>յուղատնտեսության արդյունավետության բարձրացում</w:t>
      </w:r>
      <w:r w:rsidR="00705192" w:rsidRPr="00A83C94">
        <w:t>ը</w:t>
      </w:r>
      <w:r w:rsidRPr="00A83C94">
        <w:t xml:space="preserve"> և </w:t>
      </w:r>
      <w:r w:rsidR="00705192" w:rsidRPr="00A83C94">
        <w:t xml:space="preserve">դրա շնորհիվ՝ </w:t>
      </w:r>
      <w:r w:rsidRPr="00A83C94">
        <w:t xml:space="preserve">գյուղատնտեսական ամբողջ արժեշղթայում ընդգրկված </w:t>
      </w:r>
      <w:r w:rsidR="00705192" w:rsidRPr="00A83C94">
        <w:t xml:space="preserve">բոլոր </w:t>
      </w:r>
      <w:r w:rsidRPr="00A83C94">
        <w:t>սուբյեկտների եկամուտների ավելացումը</w:t>
      </w:r>
      <w:r w:rsidR="00705192" w:rsidRPr="00A83C94">
        <w:t xml:space="preserve"> լինելու է այս ոլորտում վարվող քաղաքականության հիմնական արդյունքը</w:t>
      </w:r>
      <w:r w:rsidRPr="00A83C94">
        <w:t xml:space="preserve">։ Առանձնահատուկ թիրախ է հանդիսանալու պարենային և սննդամթերքի անվտանգության մակարդակի բարձրացումը։ </w:t>
      </w:r>
    </w:p>
    <w:p w14:paraId="7745396F" w14:textId="0BD9FF24" w:rsidR="005F226A" w:rsidRPr="00A83C94" w:rsidRDefault="005F226A" w:rsidP="005F226A">
      <w:pPr>
        <w:pStyle w:val="BodyText2"/>
      </w:pPr>
      <w:r w:rsidRPr="00A83C94">
        <w:rPr>
          <w:b/>
          <w:bCs/>
        </w:rPr>
        <w:t>Արդյունաբերության մրցունակության աճի</w:t>
      </w:r>
      <w:r w:rsidRPr="00A83C94">
        <w:t xml:space="preserve"> առաջնային աղբյուր է դիտարկվում</w:t>
      </w:r>
      <w:r w:rsidRPr="00A83C94">
        <w:rPr>
          <w:rFonts w:ascii="Calibri" w:hAnsi="Calibri" w:cs="Calibri"/>
        </w:rPr>
        <w:t>  </w:t>
      </w:r>
      <w:r w:rsidRPr="00A83C94">
        <w:t xml:space="preserve"> արտադրողականության աճը և միջազգային մրցունակության բարձրացումը՝ արտահանման կարողությունների զարգացման, լոգիստիկ խնդիրների մեղմման</w:t>
      </w:r>
      <w:r w:rsidR="00705192" w:rsidRPr="00A83C94">
        <w:t>,</w:t>
      </w:r>
      <w:r w:rsidRPr="00A83C94">
        <w:t xml:space="preserve"> ներքին և միջազգային թիրախային շուկաների մուտքի, </w:t>
      </w:r>
      <w:r w:rsidR="00705192" w:rsidRPr="00A83C94">
        <w:t>ինչպես նա</w:t>
      </w:r>
      <w:r w:rsidRPr="00A83C94">
        <w:t>և</w:t>
      </w:r>
      <w:r w:rsidR="00705192" w:rsidRPr="00A83C94">
        <w:t>՝</w:t>
      </w:r>
      <w:r w:rsidRPr="00A83C94">
        <w:t xml:space="preserve"> տեղեկատվության հասանելիության ապահովման միջոցով</w:t>
      </w:r>
    </w:p>
    <w:p w14:paraId="35B94159" w14:textId="29713447" w:rsidR="005F226A" w:rsidRPr="00A83C94" w:rsidRDefault="005F226A" w:rsidP="005F226A">
      <w:pPr>
        <w:pStyle w:val="BodyText2"/>
      </w:pPr>
      <w:r w:rsidRPr="00A83C94">
        <w:rPr>
          <w:b/>
        </w:rPr>
        <w:t>Փոքր և միջին ձեռնարկատիրության (ՓՄՁ) զարգացումը</w:t>
      </w:r>
      <w:r w:rsidRPr="00A83C94">
        <w:t xml:space="preserve"> Հայաստանի Հանրապետության քաղաքացիների ստեղծարար ներուժի իրացման անկյունաքարն է լինելու՝ աշխատատեղերի ստեղծման ու կայուն զարգացումը խթանման նկատառումներով։  </w:t>
      </w:r>
      <w:r w:rsidR="00705192" w:rsidRPr="00A83C94">
        <w:t xml:space="preserve">Իրականացվելու են միջոցառումներ միջազգային շուկաներում տեղական ՓՄՁ–երի ներկայացվածության և ճանաչելիության աստիճանի բարձրացման ուղղությամբ: </w:t>
      </w:r>
      <w:r w:rsidRPr="00A83C94">
        <w:t xml:space="preserve">ՓՄՁ զարգացման համար հիմնական քայլերն ուղղվելու են </w:t>
      </w:r>
      <w:r w:rsidR="00705192" w:rsidRPr="00A83C94">
        <w:t xml:space="preserve">ներառական տնտեսական, ինչպես նաև՝ </w:t>
      </w:r>
      <w:r w:rsidRPr="00A83C94">
        <w:t>համաչափ տարածքային զարգացմանը։</w:t>
      </w:r>
    </w:p>
    <w:p w14:paraId="494A611B" w14:textId="77777777" w:rsidR="005F226A" w:rsidRPr="00A83C94" w:rsidRDefault="005F226A" w:rsidP="005F226A">
      <w:pPr>
        <w:pStyle w:val="BodyText2"/>
        <w:rPr>
          <w:rFonts w:cs="Arial"/>
        </w:rPr>
      </w:pPr>
      <w:r w:rsidRPr="00A83C94">
        <w:rPr>
          <w:b/>
        </w:rPr>
        <w:t>Զբոսաշրջության ոլորտի զարգացման քաղաքականությունն</w:t>
      </w:r>
      <w:r w:rsidRPr="00A83C94">
        <w:t xml:space="preserve"> ուղղված է լինելու Հայաստանի ճանաչելիության և հայկական զբոսաշրջային արդյունքի մրցունակության բարձրացմանը, ինստիտուցիոնալ բարեփոխումների իրականացմանը։   </w:t>
      </w:r>
    </w:p>
    <w:p w14:paraId="448F5FE5" w14:textId="18690C54" w:rsidR="005F226A" w:rsidRPr="00A83C94" w:rsidRDefault="005F226A" w:rsidP="00D776CA">
      <w:pPr>
        <w:pStyle w:val="NormalWeb"/>
        <w:spacing w:before="0" w:beforeAutospacing="0" w:after="0" w:afterAutospacing="0" w:line="276" w:lineRule="auto"/>
        <w:ind w:firstLine="708"/>
        <w:rPr>
          <w:rFonts w:cs="Sylfaen"/>
          <w:b w:val="0"/>
          <w:bCs/>
          <w:szCs w:val="22"/>
          <w:lang w:val="hy-AM"/>
        </w:rPr>
      </w:pPr>
      <w:r w:rsidRPr="00A83C94">
        <w:rPr>
          <w:rFonts w:cs="Sylfaen"/>
          <w:szCs w:val="22"/>
          <w:lang w:val="hy-AM"/>
        </w:rPr>
        <w:t>Գյուղատնտեսությ</w:t>
      </w:r>
      <w:r w:rsidRPr="00A83C94">
        <w:rPr>
          <w:rFonts w:cs="Sylfaen"/>
          <w:bCs/>
          <w:szCs w:val="22"/>
          <w:lang w:val="hy-AM"/>
        </w:rPr>
        <w:t>ան</w:t>
      </w:r>
      <w:r w:rsidRPr="00A83C94">
        <w:rPr>
          <w:rFonts w:cs="Sylfaen"/>
          <w:b w:val="0"/>
          <w:bCs/>
          <w:szCs w:val="22"/>
          <w:lang w:val="hy-AM"/>
        </w:rPr>
        <w:t xml:space="preserve"> ոլորտում Կառավարության կողմից իրականացվող քաղաքականությունն  ուղղված է լինելու գյուղատնտեսության ինտենսիվացմանը, արտադրողականության բարձրացմանը, հողային ռեսուրսների նպատակային և ջրային ռեսուրսների խնայողաբար ու արդյունավետ օգտագործմանը, պարե</w:t>
      </w:r>
      <w:r w:rsidRPr="00A83C94">
        <w:rPr>
          <w:rFonts w:cs="Sylfaen"/>
          <w:b w:val="0"/>
          <w:bCs/>
          <w:szCs w:val="22"/>
          <w:lang w:val="hy-AM"/>
        </w:rPr>
        <w:softHyphen/>
        <w:t>նային անվտան</w:t>
      </w:r>
      <w:r w:rsidRPr="00A83C94">
        <w:rPr>
          <w:rFonts w:cs="Sylfaen"/>
          <w:b w:val="0"/>
          <w:bCs/>
          <w:szCs w:val="22"/>
          <w:lang w:val="hy-AM"/>
        </w:rPr>
        <w:softHyphen/>
        <w:t>գու</w:t>
      </w:r>
      <w:r w:rsidRPr="00A83C94">
        <w:rPr>
          <w:rFonts w:cs="Sylfaen"/>
          <w:b w:val="0"/>
          <w:bCs/>
          <w:szCs w:val="22"/>
          <w:lang w:val="hy-AM"/>
        </w:rPr>
        <w:softHyphen/>
      </w:r>
      <w:r w:rsidRPr="00A83C94">
        <w:rPr>
          <w:rFonts w:cs="Sylfaen"/>
          <w:b w:val="0"/>
          <w:bCs/>
          <w:szCs w:val="22"/>
          <w:lang w:val="hy-AM"/>
        </w:rPr>
        <w:softHyphen/>
        <w:t>թյան ապահովման մակարդակի բարձրացմանը, անաս</w:t>
      </w:r>
      <w:r w:rsidRPr="00A83C94">
        <w:rPr>
          <w:rFonts w:cs="Sylfaen"/>
          <w:b w:val="0"/>
          <w:bCs/>
          <w:szCs w:val="22"/>
          <w:lang w:val="hy-AM"/>
        </w:rPr>
        <w:softHyphen/>
        <w:t>նա</w:t>
      </w:r>
      <w:r w:rsidRPr="00A83C94">
        <w:rPr>
          <w:rFonts w:cs="Sylfaen"/>
          <w:b w:val="0"/>
          <w:bCs/>
          <w:szCs w:val="22"/>
          <w:lang w:val="hy-AM"/>
        </w:rPr>
        <w:softHyphen/>
        <w:t>բուծու</w:t>
      </w:r>
      <w:r w:rsidRPr="00A83C94">
        <w:rPr>
          <w:rFonts w:cs="Sylfaen"/>
          <w:b w:val="0"/>
          <w:bCs/>
          <w:szCs w:val="22"/>
          <w:lang w:val="hy-AM"/>
        </w:rPr>
        <w:softHyphen/>
        <w:t>թյան և բուսաբուծության զարգացմանը, արդիական տեխնոլոգիաների ներդրմանը, արտադրված արտա</w:t>
      </w:r>
      <w:r w:rsidRPr="00A83C94">
        <w:rPr>
          <w:rFonts w:cs="Sylfaen"/>
          <w:b w:val="0"/>
          <w:bCs/>
          <w:szCs w:val="22"/>
          <w:lang w:val="hy-AM"/>
        </w:rPr>
        <w:softHyphen/>
        <w:t>դրան</w:t>
      </w:r>
      <w:r w:rsidRPr="00A83C94">
        <w:rPr>
          <w:rFonts w:cs="Sylfaen"/>
          <w:b w:val="0"/>
          <w:bCs/>
          <w:szCs w:val="22"/>
          <w:lang w:val="hy-AM"/>
        </w:rPr>
        <w:softHyphen/>
        <w:t>քի իրաց</w:t>
      </w:r>
      <w:r w:rsidRPr="00A83C94">
        <w:rPr>
          <w:rFonts w:cs="Sylfaen"/>
          <w:b w:val="0"/>
          <w:bCs/>
          <w:szCs w:val="22"/>
          <w:lang w:val="hy-AM"/>
        </w:rPr>
        <w:softHyphen/>
        <w:t>մանն ու արտահանման խթանմանը, գյուղատնտեսական ամբողջ արժեշղթայում ընդգրկված սուբյեկտների՝ գյուղացիական տնտեսությունների, կոոպերատիվների, գյուղատնտեսական մթերք վերամշակող</w:t>
      </w:r>
      <w:r w:rsidRPr="00A83C94">
        <w:rPr>
          <w:rFonts w:cs="Sylfaen"/>
          <w:b w:val="0"/>
          <w:bCs/>
          <w:szCs w:val="22"/>
          <w:lang w:val="hy-AM"/>
        </w:rPr>
        <w:softHyphen/>
        <w:t>ների եկամուտների ավելացմանը։</w:t>
      </w:r>
    </w:p>
    <w:p w14:paraId="4B5E9C0C" w14:textId="72EC52F5" w:rsidR="005F226A" w:rsidRPr="00A83C94" w:rsidRDefault="005F226A" w:rsidP="005F226A">
      <w:pPr>
        <w:spacing w:line="276" w:lineRule="auto"/>
        <w:ind w:firstLine="708"/>
        <w:rPr>
          <w:rFonts w:cs="Times LatArm"/>
          <w:b w:val="0"/>
          <w:bCs/>
          <w:szCs w:val="22"/>
          <w:lang w:val="hy-AM"/>
        </w:rPr>
      </w:pPr>
      <w:r w:rsidRPr="00A83C94">
        <w:rPr>
          <w:rFonts w:cs="Sylfaen"/>
          <w:b w:val="0"/>
          <w:bCs/>
          <w:szCs w:val="22"/>
          <w:lang w:val="hy-AM"/>
        </w:rPr>
        <w:t>Ագրոպարենային</w:t>
      </w:r>
      <w:r w:rsidRPr="00A83C94">
        <w:rPr>
          <w:rFonts w:cs="Times LatArm"/>
          <w:b w:val="0"/>
          <w:bCs/>
          <w:szCs w:val="22"/>
          <w:lang w:val="hy-AM"/>
        </w:rPr>
        <w:t xml:space="preserve"> </w:t>
      </w:r>
      <w:r w:rsidRPr="00A83C94">
        <w:rPr>
          <w:rFonts w:cs="Sylfaen"/>
          <w:b w:val="0"/>
          <w:bCs/>
          <w:szCs w:val="22"/>
          <w:lang w:val="hy-AM"/>
        </w:rPr>
        <w:t>համակարգի</w:t>
      </w:r>
      <w:r w:rsidRPr="00A83C94">
        <w:rPr>
          <w:rFonts w:cs="Times LatArm"/>
          <w:b w:val="0"/>
          <w:bCs/>
          <w:szCs w:val="22"/>
          <w:lang w:val="hy-AM"/>
        </w:rPr>
        <w:t xml:space="preserve"> </w:t>
      </w:r>
      <w:r w:rsidRPr="00A83C94">
        <w:rPr>
          <w:rFonts w:cs="Sylfaen"/>
          <w:b w:val="0"/>
          <w:bCs/>
          <w:szCs w:val="22"/>
          <w:lang w:val="hy-AM"/>
        </w:rPr>
        <w:t>զարգացման</w:t>
      </w:r>
      <w:r w:rsidRPr="00A83C94">
        <w:rPr>
          <w:rFonts w:cs="Times LatArm"/>
          <w:b w:val="0"/>
          <w:bCs/>
          <w:szCs w:val="22"/>
          <w:lang w:val="hy-AM"/>
        </w:rPr>
        <w:t xml:space="preserve"> </w:t>
      </w:r>
      <w:r w:rsidRPr="00A83C94">
        <w:rPr>
          <w:rFonts w:cs="Sylfaen"/>
          <w:b w:val="0"/>
          <w:bCs/>
          <w:szCs w:val="22"/>
          <w:lang w:val="hy-AM"/>
        </w:rPr>
        <w:t>քաղաքա</w:t>
      </w:r>
      <w:r w:rsidRPr="00A83C94">
        <w:rPr>
          <w:rFonts w:cs="Sylfaen"/>
          <w:b w:val="0"/>
          <w:bCs/>
          <w:szCs w:val="22"/>
          <w:lang w:val="hy-AM"/>
        </w:rPr>
        <w:softHyphen/>
        <w:t>կանության</w:t>
      </w:r>
      <w:r w:rsidRPr="00A83C94">
        <w:rPr>
          <w:rFonts w:cs="Times LatArm"/>
          <w:b w:val="0"/>
          <w:bCs/>
          <w:szCs w:val="22"/>
          <w:lang w:val="hy-AM"/>
        </w:rPr>
        <w:t xml:space="preserve"> </w:t>
      </w:r>
      <w:r w:rsidRPr="00A83C94">
        <w:rPr>
          <w:rFonts w:cs="Sylfaen"/>
          <w:b w:val="0"/>
          <w:bCs/>
          <w:szCs w:val="22"/>
          <w:lang w:val="hy-AM"/>
        </w:rPr>
        <w:t>մեջ</w:t>
      </w:r>
      <w:r w:rsidRPr="00A83C94">
        <w:rPr>
          <w:rFonts w:cs="Times LatArm"/>
          <w:b w:val="0"/>
          <w:bCs/>
          <w:szCs w:val="22"/>
          <w:lang w:val="hy-AM"/>
        </w:rPr>
        <w:t xml:space="preserve">, </w:t>
      </w:r>
      <w:r w:rsidRPr="00A83C94">
        <w:rPr>
          <w:rFonts w:cs="Sylfaen"/>
          <w:b w:val="0"/>
          <w:bCs/>
          <w:szCs w:val="22"/>
          <w:lang w:val="hy-AM"/>
        </w:rPr>
        <w:t>որպես</w:t>
      </w:r>
      <w:r w:rsidRPr="00A83C94">
        <w:rPr>
          <w:rFonts w:cs="Times LatArm"/>
          <w:b w:val="0"/>
          <w:bCs/>
          <w:szCs w:val="22"/>
          <w:lang w:val="hy-AM"/>
        </w:rPr>
        <w:t xml:space="preserve"> հիմնական գերակայություններ են դրված՝ </w:t>
      </w:r>
      <w:r w:rsidRPr="00A83C94">
        <w:rPr>
          <w:rFonts w:cs="Sylfaen"/>
          <w:b w:val="0"/>
          <w:bCs/>
          <w:szCs w:val="22"/>
          <w:lang w:val="hy-AM"/>
        </w:rPr>
        <w:t>գյուղատնտեսության</w:t>
      </w:r>
      <w:r w:rsidRPr="00A83C94">
        <w:rPr>
          <w:rFonts w:cs="Times LatArm"/>
          <w:b w:val="0"/>
          <w:bCs/>
          <w:szCs w:val="22"/>
          <w:lang w:val="hy-AM"/>
        </w:rPr>
        <w:t xml:space="preserve"> ռեսուրսային ներուժի արդյունավետ օգտագործումը, </w:t>
      </w:r>
      <w:r w:rsidRPr="00A83C94">
        <w:rPr>
          <w:rFonts w:cs="Sylfaen"/>
          <w:b w:val="0"/>
          <w:bCs/>
          <w:szCs w:val="22"/>
          <w:lang w:val="hy-AM"/>
        </w:rPr>
        <w:t>պարենային</w:t>
      </w:r>
      <w:r w:rsidRPr="00A83C94">
        <w:rPr>
          <w:rFonts w:cs="Times LatArm"/>
          <w:b w:val="0"/>
          <w:bCs/>
          <w:szCs w:val="22"/>
          <w:lang w:val="hy-AM"/>
        </w:rPr>
        <w:t xml:space="preserve"> անվտանգության </w:t>
      </w:r>
      <w:r w:rsidRPr="00A83C94">
        <w:rPr>
          <w:rFonts w:cs="Sylfaen"/>
          <w:b w:val="0"/>
          <w:bCs/>
          <w:szCs w:val="22"/>
          <w:lang w:val="hy-AM"/>
        </w:rPr>
        <w:t>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w:t>
      </w:r>
      <w:r w:rsidRPr="00A83C94">
        <w:rPr>
          <w:rFonts w:cs="Times LatArm"/>
          <w:b w:val="0"/>
          <w:bCs/>
          <w:szCs w:val="22"/>
          <w:lang w:val="hy-AM"/>
        </w:rPr>
        <w:t xml:space="preserve">:: </w:t>
      </w:r>
    </w:p>
    <w:p w14:paraId="079BD366" w14:textId="5FD69009" w:rsidR="005F226A" w:rsidRPr="00A83C94" w:rsidRDefault="005F226A" w:rsidP="005F226A">
      <w:pPr>
        <w:pStyle w:val="BodyText2"/>
      </w:pPr>
      <w:r w:rsidRPr="00A83C94">
        <w:rPr>
          <w:b/>
        </w:rPr>
        <w:t>Գործարար և ներդրումային միջավայրի միջավայրի բարելավման</w:t>
      </w:r>
      <w:r w:rsidRPr="00A83C94">
        <w:rPr>
          <w:bCs/>
        </w:rPr>
        <w:t xml:space="preserve"> </w:t>
      </w:r>
      <w:r w:rsidRPr="00A83C94">
        <w:t xml:space="preserve">տեսանկյունից նախատեսվում է մի շարք շրջանակային բարեփոխումներ՝ ուղղված տնտեսության ներուժի վերականգնմանը։ </w:t>
      </w:r>
      <w:r w:rsidR="00EC0544" w:rsidRPr="00A83C94">
        <w:t>Ի</w:t>
      </w:r>
      <w:r w:rsidRPr="00A83C94">
        <w:t xml:space="preserve">րականացվելու են </w:t>
      </w:r>
      <w:r w:rsidR="00EC0544" w:rsidRPr="00A83C94">
        <w:t>այնպիսի</w:t>
      </w:r>
      <w:r w:rsidRPr="00A83C94">
        <w:t xml:space="preserve"> բարեփոխումներ, որոնք նպատակ են ունենալու ընդլայնել ՀՀ քաղաքացիներին հասանելի տնտեսական հնարավորությունների դաշտը և առավելագույնս խրախուսել գիտելիք ձևավորող ներքին և օտարերկրյա մասնավոր ներդրումները, </w:t>
      </w:r>
      <w:r w:rsidR="00EC0544" w:rsidRPr="00A83C94">
        <w:t xml:space="preserve">ինչպես նաև՝ </w:t>
      </w:r>
      <w:r w:rsidRPr="00A83C94">
        <w:t>բարձրացնել վերջիններիս շահութաբերությունը:</w:t>
      </w:r>
    </w:p>
    <w:p w14:paraId="0009B119" w14:textId="2166C5E8" w:rsidR="005F226A" w:rsidRPr="00A83C94" w:rsidRDefault="005F226A" w:rsidP="005F226A">
      <w:pPr>
        <w:pStyle w:val="BodyText2"/>
      </w:pPr>
      <w:r w:rsidRPr="00A83C94">
        <w:t xml:space="preserve">Ներդրումային քաղաքականության առաջնահերթ թիրախ </w:t>
      </w:r>
      <w:r w:rsidR="00EC0544" w:rsidRPr="00A83C94">
        <w:t xml:space="preserve">է </w:t>
      </w:r>
      <w:r w:rsidRPr="00A83C94">
        <w:t>հանդիսան</w:t>
      </w:r>
      <w:r w:rsidR="00EC0544" w:rsidRPr="00A83C94">
        <w:t>ալու</w:t>
      </w:r>
      <w:r w:rsidRPr="00A83C94">
        <w:t xml:space="preserve">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 Հիմնականում կարևորվում են կապիտալի և ֆինանսական միջոցների հասանելիության բարձրացումը, գործարար և  աշխատանքային հարաբերությունների ճկունության բարձրացումը, ենթակառուցվածքների ու ռեսուրսների հասնելիության բարձրացումը, տնտեսության թվայնացման և  տեղեկատվության հասանելիության մակարդակի բարձրացումը։</w:t>
      </w:r>
    </w:p>
    <w:p w14:paraId="0EDBB2AC" w14:textId="77777777" w:rsidR="005F226A" w:rsidRPr="00A83C94" w:rsidRDefault="005F226A" w:rsidP="005F226A">
      <w:pPr>
        <w:pStyle w:val="BodyText2"/>
        <w:rPr>
          <w:b/>
        </w:rPr>
      </w:pPr>
      <w:r w:rsidRPr="00A83C94">
        <w:rPr>
          <w:b/>
        </w:rPr>
        <w:t>Հանրային ներդրումներ</w:t>
      </w:r>
    </w:p>
    <w:p w14:paraId="1D6238DE" w14:textId="30CE6126" w:rsidR="005F226A" w:rsidRPr="00A83C94" w:rsidRDefault="005F226A" w:rsidP="005F226A">
      <w:pPr>
        <w:pStyle w:val="BodyText2"/>
      </w:pPr>
      <w:r w:rsidRPr="00A83C94">
        <w:t xml:space="preserve">Կառավարության կողմից կարևորվում է հանրային ռեսուրսների արդյունավետ տնօրինումը և հանրային կապիտալ ներդրումների արդյունավետության բարձրացումը, ինչի արդյունքում առաջնահերթ են լինելու որակյալ ենթակառուցվածքների ստեղծմանն ու զարգացմանն ուղղված հանրային ներդրումային միջոցների առավել նպատակային օգտագործումը և հանրային ներդրումային ծրագրերի արդյունավետ կառավարումը։ Հանրային ներդրումների կառավարման համակարգի զարգացումը կնպաստի միջոլորտային ծրագրերում մրցակցության բարձրացմանը, ինչի արդյունքում ծրագրերի ընտրությունը իրականացավելու է սոցիալական, տնտեսական և ֆինանսական բարձր ցուցանիշների առկայության դեպքում։ Բարելավվելու է հանրային ներդրումային ծրագրերի մշտադիտարկման և գնահատման համակարգը։ </w:t>
      </w:r>
    </w:p>
    <w:p w14:paraId="5C2C6F9D" w14:textId="77777777" w:rsidR="005F226A" w:rsidRPr="00A83C94" w:rsidRDefault="005F226A" w:rsidP="005F226A">
      <w:pPr>
        <w:pStyle w:val="BodyText2"/>
      </w:pPr>
      <w:r w:rsidRPr="00A83C94">
        <w:rPr>
          <w:b/>
        </w:rPr>
        <w:t>Եվրասիական տնտեսական միության հետ համագործակցության</w:t>
      </w:r>
      <w:r w:rsidRPr="00A83C94">
        <w:rPr>
          <w:rFonts w:ascii="Calibri" w:hAnsi="Calibri" w:cs="Calibri"/>
          <w:b/>
        </w:rPr>
        <w:t> </w:t>
      </w:r>
      <w:r w:rsidRPr="00A83C94">
        <w:rPr>
          <w:b/>
        </w:rPr>
        <w:t xml:space="preserve"> շրջանակներում</w:t>
      </w:r>
      <w:r w:rsidRPr="00A83C94">
        <w:rPr>
          <w:bCs/>
        </w:rPr>
        <w:t xml:space="preserve"> կշարունակվեն երրորդ երկրների հետ ազատ առևտրի գոտու ստեղծման և առևտրատնտեսական համագործակցության մասին համաձայնագրերի և հուշագրերի մշակման աշխատանքները և դրանցից բխող միջոցառումների իրականացումը, ներքին շուկայի գործառնության շրջանակներում Եվրասիական տնտեսական միության խոչընդոտների, սահմանափակումների</w:t>
      </w:r>
      <w:r w:rsidRPr="00A83C94">
        <w:rPr>
          <w:rFonts w:ascii="Calibri" w:hAnsi="Calibri" w:cs="Calibri"/>
          <w:bCs/>
        </w:rPr>
        <w:t> </w:t>
      </w:r>
      <w:r w:rsidRPr="00A83C94">
        <w:rPr>
          <w:bCs/>
        </w:rPr>
        <w:t xml:space="preserve"> </w:t>
      </w:r>
      <w:r w:rsidRPr="00A83C94">
        <w:rPr>
          <w:rFonts w:cs="GHEA Grapalat"/>
          <w:bCs/>
        </w:rPr>
        <w:t>և</w:t>
      </w:r>
      <w:r w:rsidRPr="00A83C94">
        <w:rPr>
          <w:bCs/>
        </w:rPr>
        <w:t xml:space="preserve"> </w:t>
      </w:r>
      <w:r w:rsidRPr="00A83C94">
        <w:rPr>
          <w:rFonts w:cs="GHEA Grapalat"/>
          <w:bCs/>
        </w:rPr>
        <w:t>արգելքների</w:t>
      </w:r>
      <w:r w:rsidRPr="00A83C94">
        <w:rPr>
          <w:bCs/>
        </w:rPr>
        <w:t xml:space="preserve"> </w:t>
      </w:r>
      <w:r w:rsidRPr="00A83C94">
        <w:rPr>
          <w:rFonts w:cs="GHEA Grapalat"/>
          <w:bCs/>
        </w:rPr>
        <w:t>բացահայտմանը</w:t>
      </w:r>
      <w:r w:rsidRPr="00A83C94">
        <w:rPr>
          <w:bCs/>
        </w:rPr>
        <w:t xml:space="preserve"> </w:t>
      </w:r>
      <w:r w:rsidRPr="00A83C94">
        <w:rPr>
          <w:rFonts w:cs="GHEA Grapalat"/>
          <w:bCs/>
        </w:rPr>
        <w:t>և</w:t>
      </w:r>
      <w:r w:rsidRPr="00A83C94">
        <w:rPr>
          <w:bCs/>
        </w:rPr>
        <w:t xml:space="preserve"> </w:t>
      </w:r>
      <w:r w:rsidRPr="00A83C94">
        <w:rPr>
          <w:rFonts w:cs="GHEA Grapalat"/>
          <w:bCs/>
        </w:rPr>
        <w:t>վերացմանն</w:t>
      </w:r>
      <w:r w:rsidRPr="00A83C94">
        <w:rPr>
          <w:bCs/>
        </w:rPr>
        <w:t xml:space="preserve"> </w:t>
      </w:r>
      <w:r w:rsidRPr="00A83C94">
        <w:rPr>
          <w:rFonts w:cs="GHEA Grapalat"/>
          <w:bCs/>
        </w:rPr>
        <w:t>ուղղված</w:t>
      </w:r>
      <w:r w:rsidRPr="00A83C94">
        <w:rPr>
          <w:bCs/>
        </w:rPr>
        <w:t xml:space="preserve"> </w:t>
      </w:r>
      <w:r w:rsidRPr="00A83C94">
        <w:rPr>
          <w:rFonts w:cs="GHEA Grapalat"/>
          <w:bCs/>
        </w:rPr>
        <w:t>միջոցառումները</w:t>
      </w:r>
      <w:r w:rsidRPr="00A83C94">
        <w:rPr>
          <w:bCs/>
        </w:rPr>
        <w:t xml:space="preserve">, </w:t>
      </w:r>
      <w:r w:rsidRPr="00A83C94">
        <w:rPr>
          <w:rFonts w:cs="GHEA Grapalat"/>
          <w:bCs/>
        </w:rPr>
        <w:t>ինչպես</w:t>
      </w:r>
      <w:r w:rsidRPr="00A83C94">
        <w:rPr>
          <w:bCs/>
        </w:rPr>
        <w:t xml:space="preserve"> </w:t>
      </w:r>
      <w:r w:rsidRPr="00A83C94">
        <w:rPr>
          <w:rFonts w:cs="GHEA Grapalat"/>
          <w:bCs/>
        </w:rPr>
        <w:t>նաև</w:t>
      </w:r>
      <w:r w:rsidRPr="00A83C94">
        <w:rPr>
          <w:bCs/>
        </w:rPr>
        <w:t xml:space="preserve"> </w:t>
      </w:r>
      <w:r w:rsidRPr="00A83C94">
        <w:rPr>
          <w:rFonts w:cs="GHEA Grapalat"/>
          <w:bCs/>
        </w:rPr>
        <w:t>նավթի</w:t>
      </w:r>
      <w:r w:rsidRPr="00A83C94">
        <w:rPr>
          <w:bCs/>
        </w:rPr>
        <w:t xml:space="preserve"> </w:t>
      </w:r>
      <w:r w:rsidRPr="00A83C94">
        <w:rPr>
          <w:rFonts w:cs="GHEA Grapalat"/>
          <w:bCs/>
        </w:rPr>
        <w:t>և</w:t>
      </w:r>
      <w:r w:rsidRPr="00A83C94">
        <w:rPr>
          <w:bCs/>
        </w:rPr>
        <w:t xml:space="preserve"> </w:t>
      </w:r>
      <w:r w:rsidRPr="00A83C94">
        <w:rPr>
          <w:rFonts w:cs="GHEA Grapalat"/>
          <w:bCs/>
        </w:rPr>
        <w:t>նավթամթերքի</w:t>
      </w:r>
      <w:r w:rsidRPr="00A83C94">
        <w:rPr>
          <w:bCs/>
        </w:rPr>
        <w:t xml:space="preserve"> </w:t>
      </w:r>
      <w:r w:rsidRPr="00A83C94">
        <w:rPr>
          <w:rFonts w:cs="GHEA Grapalat"/>
          <w:bCs/>
        </w:rPr>
        <w:t>միասնական</w:t>
      </w:r>
      <w:r w:rsidRPr="00A83C94">
        <w:rPr>
          <w:bCs/>
        </w:rPr>
        <w:t xml:space="preserve"> </w:t>
      </w:r>
      <w:r w:rsidRPr="00A83C94">
        <w:rPr>
          <w:rFonts w:cs="GHEA Grapalat"/>
          <w:bCs/>
        </w:rPr>
        <w:t>շուկայի</w:t>
      </w:r>
      <w:r w:rsidRPr="00A83C94">
        <w:rPr>
          <w:bCs/>
        </w:rPr>
        <w:t xml:space="preserve"> </w:t>
      </w:r>
      <w:r w:rsidRPr="00A83C94">
        <w:rPr>
          <w:rFonts w:cs="GHEA Grapalat"/>
          <w:bCs/>
        </w:rPr>
        <w:t>և</w:t>
      </w:r>
      <w:r w:rsidRPr="00A83C94">
        <w:rPr>
          <w:bCs/>
        </w:rPr>
        <w:t xml:space="preserve"> </w:t>
      </w:r>
      <w:r w:rsidRPr="00A83C94">
        <w:rPr>
          <w:rFonts w:cs="GHEA Grapalat"/>
          <w:bCs/>
        </w:rPr>
        <w:t>ալկոհոլային</w:t>
      </w:r>
      <w:r w:rsidRPr="00A83C94">
        <w:rPr>
          <w:bCs/>
        </w:rPr>
        <w:t xml:space="preserve"> </w:t>
      </w:r>
      <w:r w:rsidRPr="00A83C94">
        <w:rPr>
          <w:rFonts w:cs="GHEA Grapalat"/>
          <w:bCs/>
        </w:rPr>
        <w:t>միասնական</w:t>
      </w:r>
      <w:r w:rsidRPr="00A83C94">
        <w:rPr>
          <w:bCs/>
        </w:rPr>
        <w:t xml:space="preserve"> </w:t>
      </w:r>
      <w:r w:rsidRPr="00A83C94">
        <w:rPr>
          <w:rFonts w:cs="GHEA Grapalat"/>
          <w:bCs/>
        </w:rPr>
        <w:t>շուկայի</w:t>
      </w:r>
      <w:r w:rsidRPr="00A83C94">
        <w:rPr>
          <w:bCs/>
        </w:rPr>
        <w:t xml:space="preserve"> </w:t>
      </w:r>
      <w:r w:rsidRPr="00A83C94">
        <w:rPr>
          <w:rFonts w:cs="GHEA Grapalat"/>
          <w:bCs/>
        </w:rPr>
        <w:t>ձևավորման</w:t>
      </w:r>
      <w:r w:rsidRPr="00A83C94">
        <w:rPr>
          <w:bCs/>
        </w:rPr>
        <w:t xml:space="preserve"> </w:t>
      </w:r>
      <w:r w:rsidRPr="00A83C94">
        <w:rPr>
          <w:rFonts w:cs="GHEA Grapalat"/>
          <w:bCs/>
        </w:rPr>
        <w:t>աշխատանքների</w:t>
      </w:r>
      <w:r w:rsidRPr="00A83C94">
        <w:rPr>
          <w:bCs/>
        </w:rPr>
        <w:t xml:space="preserve"> </w:t>
      </w:r>
      <w:r w:rsidRPr="00A83C94">
        <w:t xml:space="preserve">իրականացումը և համակարգումը: </w:t>
      </w:r>
    </w:p>
    <w:p w14:paraId="2FC2AEEE" w14:textId="3591CC3F" w:rsidR="005F226A" w:rsidRPr="00A83C94" w:rsidRDefault="005F226A" w:rsidP="005F226A">
      <w:pPr>
        <w:pStyle w:val="BodyText2"/>
        <w:rPr>
          <w:bCs/>
        </w:rPr>
      </w:pPr>
    </w:p>
    <w:p w14:paraId="3A78DAF7"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r w:rsidRPr="00A83C94">
        <w:rPr>
          <w:rFonts w:cs="Arial"/>
          <w:bCs/>
          <w:szCs w:val="22"/>
          <w:lang w:val="hy-AM" w:eastAsia="en-US"/>
        </w:rPr>
        <w:tab/>
      </w:r>
      <w:bookmarkStart w:id="12" w:name="_Toc26174885"/>
      <w:bookmarkStart w:id="13" w:name="_Toc83567433"/>
      <w:bookmarkStart w:id="14" w:name="_Toc83996310"/>
      <w:r w:rsidRPr="00A83C94">
        <w:rPr>
          <w:rFonts w:cs="Arial"/>
          <w:szCs w:val="22"/>
          <w:lang w:val="hy-AM" w:eastAsia="en-US"/>
        </w:rPr>
        <w:t>Տարածքային կառավարում և տեղական ինքնակառավարում</w:t>
      </w:r>
      <w:bookmarkEnd w:id="12"/>
      <w:bookmarkEnd w:id="13"/>
      <w:bookmarkEnd w:id="14"/>
    </w:p>
    <w:p w14:paraId="49751198" w14:textId="77777777" w:rsidR="005F226A" w:rsidRPr="00A83C94" w:rsidRDefault="005F226A" w:rsidP="005F226A">
      <w:pPr>
        <w:tabs>
          <w:tab w:val="left" w:pos="284"/>
          <w:tab w:val="left" w:pos="993"/>
        </w:tabs>
        <w:spacing w:before="0" w:line="276" w:lineRule="auto"/>
        <w:ind w:firstLine="709"/>
        <w:contextualSpacing w:val="0"/>
        <w:rPr>
          <w:rFonts w:cs="Sylfaen"/>
          <w:i/>
          <w:szCs w:val="22"/>
          <w:lang w:val="hy-AM" w:eastAsia="en-US"/>
        </w:rPr>
      </w:pPr>
      <w:r w:rsidRPr="00A83C94">
        <w:rPr>
          <w:rFonts w:cs="Sylfaen"/>
          <w:i/>
          <w:szCs w:val="22"/>
          <w:lang w:val="hy-AM" w:eastAsia="en-US"/>
        </w:rPr>
        <w:t>Տեղական ինքնակառավարման համակարգում նախատեսվում է՝</w:t>
      </w:r>
    </w:p>
    <w:p w14:paraId="2B30C238" w14:textId="4EB6B28A" w:rsidR="005F226A" w:rsidRPr="00A83C94" w:rsidRDefault="005F226A" w:rsidP="00786462">
      <w:pPr>
        <w:numPr>
          <w:ilvl w:val="0"/>
          <w:numId w:val="40"/>
        </w:numPr>
        <w:tabs>
          <w:tab w:val="left" w:pos="284"/>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տեղական ինքնակառավարման համակարգի զարգացման և լիազորությունների ապակենտրոնացման քաղաքականության առկա խնդիրների լուծում՝ վարչական (համայնքների միավորման գործընթացի ավարտից հետո՝ համայքների ղեկավարներին նոր լիազորությունների փոխանցում) և ֆիսկալ ապակենտրոնացում, տեղական ինքնակառավարման մարմինների հզորացում ու տեղական ժողովրդավարության զարգացում, </w:t>
      </w:r>
    </w:p>
    <w:p w14:paraId="0897BB8F" w14:textId="3BB09B61" w:rsidR="005F226A" w:rsidRPr="00A83C94" w:rsidRDefault="005F226A" w:rsidP="00786462">
      <w:pPr>
        <w:numPr>
          <w:ilvl w:val="0"/>
          <w:numId w:val="40"/>
        </w:numPr>
        <w:tabs>
          <w:tab w:val="left" w:pos="284"/>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ՏԻՄ-երի կողմից համայնքի հնգամյա զարգացման ծրագրի և համայնքի տարեկան աշխատանքային պլան</w:t>
      </w:r>
      <w:r w:rsidR="00795737" w:rsidRPr="00A83C94">
        <w:rPr>
          <w:rFonts w:cs="Sylfaen"/>
          <w:b w:val="0"/>
          <w:szCs w:val="22"/>
          <w:lang w:val="hy-AM" w:eastAsia="en-US"/>
        </w:rPr>
        <w:t>ը</w:t>
      </w:r>
      <w:r w:rsidRPr="00A83C94">
        <w:rPr>
          <w:rFonts w:cs="Sylfaen"/>
          <w:b w:val="0"/>
          <w:szCs w:val="22"/>
          <w:lang w:val="hy-AM" w:eastAsia="en-US"/>
        </w:rPr>
        <w:t xml:space="preserve"> մշակելու, հաստատելու, դրանց  կատարման վերաբերյալ համայնքի ղեկավարի հաշվետվություն ներկայացնելու և հրապարակելու վերաբերյալ օրենսդրական պարտադիր պահանջների կատարմանն ուղղված գործընթացների կազմակերպում,</w:t>
      </w:r>
    </w:p>
    <w:p w14:paraId="40030EED" w14:textId="75F6299B" w:rsidR="005F226A" w:rsidRPr="00A83C94" w:rsidRDefault="005F226A" w:rsidP="00786462">
      <w:pPr>
        <w:numPr>
          <w:ilvl w:val="0"/>
          <w:numId w:val="40"/>
        </w:numPr>
        <w:tabs>
          <w:tab w:val="left" w:pos="284"/>
          <w:tab w:val="left" w:pos="993"/>
        </w:tabs>
        <w:spacing w:before="0" w:line="276" w:lineRule="auto"/>
        <w:ind w:left="0" w:firstLine="709"/>
        <w:contextualSpacing w:val="0"/>
        <w:rPr>
          <w:szCs w:val="22"/>
          <w:lang w:val="hy-AM"/>
        </w:rPr>
      </w:pPr>
      <w:r w:rsidRPr="00A83C94">
        <w:rPr>
          <w:rFonts w:cs="Sylfaen"/>
          <w:b w:val="0"/>
          <w:szCs w:val="22"/>
          <w:lang w:val="hy-AM" w:eastAsia="en-US"/>
        </w:rPr>
        <w:t>տեղեկատվական տեխնոլոգիաների կիրառության առումով ՏԻՄ-երի կարողությունների զարգացմանը միտված ծրագրերի իրականացում, տեղեկատվական համակարգերի կիրառության ընդլայնման միջոցով ՏԻՄ-երի գործունեության թափանցիկության և հաշվետվողականության ապահովում, ՏԻՄ-երում կիրառվող կառավարման տեղեկատվական համակարգերի և պետական մարմինների էլեկտրոնային համակարգերի փոխգործելիության հաստատում և ընդլայնում</w:t>
      </w:r>
      <w:r w:rsidRPr="00A83C94">
        <w:rPr>
          <w:szCs w:val="22"/>
          <w:lang w:val="hy-AM"/>
        </w:rPr>
        <w:t>:</w:t>
      </w:r>
    </w:p>
    <w:p w14:paraId="506079DB" w14:textId="77777777" w:rsidR="005F226A" w:rsidRPr="00A83C94" w:rsidRDefault="005F226A" w:rsidP="005F226A">
      <w:pPr>
        <w:pStyle w:val="BodyText2"/>
        <w:tabs>
          <w:tab w:val="left" w:pos="284"/>
          <w:tab w:val="left" w:pos="993"/>
        </w:tabs>
        <w:ind w:firstLine="709"/>
        <w:rPr>
          <w:rFonts w:eastAsia="Times New Roman" w:cs="Sylfaen"/>
          <w:b/>
          <w:i/>
        </w:rPr>
      </w:pPr>
      <w:r w:rsidRPr="00A83C94">
        <w:rPr>
          <w:rFonts w:eastAsia="Times New Roman" w:cs="Sylfaen"/>
          <w:b/>
          <w:i/>
        </w:rPr>
        <w:t xml:space="preserve">Տարածքային զարգացման նպատակով նախատեսվում է` </w:t>
      </w:r>
    </w:p>
    <w:p w14:paraId="202FA5A5" w14:textId="77777777" w:rsidR="005F226A" w:rsidRPr="00A83C94" w:rsidRDefault="005F226A" w:rsidP="00786462">
      <w:pPr>
        <w:pStyle w:val="ListParagraph"/>
        <w:numPr>
          <w:ilvl w:val="0"/>
          <w:numId w:val="25"/>
        </w:numPr>
        <w:tabs>
          <w:tab w:val="left" w:pos="284"/>
          <w:tab w:val="left" w:pos="540"/>
          <w:tab w:val="left" w:pos="567"/>
          <w:tab w:val="left" w:pos="993"/>
        </w:tabs>
        <w:spacing w:before="0" w:line="276" w:lineRule="auto"/>
        <w:ind w:left="0" w:firstLine="709"/>
        <w:rPr>
          <w:rFonts w:cs="Sylfaen"/>
          <w:b w:val="0"/>
          <w:bCs/>
          <w:iCs/>
          <w:szCs w:val="22"/>
          <w:lang w:val="hy-AM" w:eastAsia="en-US"/>
        </w:rPr>
      </w:pPr>
      <w:r w:rsidRPr="00A83C94">
        <w:rPr>
          <w:rFonts w:cs="Sylfaen"/>
          <w:b w:val="0"/>
          <w:bCs/>
          <w:iCs/>
          <w:szCs w:val="22"/>
          <w:lang w:val="hy-AM" w:eastAsia="en-US"/>
        </w:rPr>
        <w:t>մարզերի տնտեսական զարգացման անհամամասնությունների մեղմում,</w:t>
      </w:r>
    </w:p>
    <w:p w14:paraId="15FFBF4F" w14:textId="3D867D79" w:rsidR="005F226A" w:rsidRPr="00A83C94" w:rsidRDefault="005F226A">
      <w:pPr>
        <w:pStyle w:val="ListParagraph"/>
        <w:numPr>
          <w:ilvl w:val="0"/>
          <w:numId w:val="25"/>
        </w:numPr>
        <w:tabs>
          <w:tab w:val="left" w:pos="284"/>
          <w:tab w:val="left" w:pos="540"/>
          <w:tab w:val="left" w:pos="567"/>
          <w:tab w:val="left" w:pos="993"/>
        </w:tabs>
        <w:spacing w:before="0" w:line="276" w:lineRule="auto"/>
        <w:ind w:left="0" w:firstLine="709"/>
        <w:rPr>
          <w:rFonts w:cs="Sylfaen"/>
          <w:b w:val="0"/>
          <w:bCs/>
          <w:iCs/>
          <w:szCs w:val="22"/>
          <w:lang w:val="hy-AM" w:eastAsia="en-US"/>
        </w:rPr>
      </w:pPr>
      <w:r w:rsidRPr="00A83C94">
        <w:rPr>
          <w:rFonts w:cs="Sylfaen"/>
          <w:b w:val="0"/>
          <w:bCs/>
          <w:iCs/>
          <w:szCs w:val="22"/>
          <w:lang w:val="hy-AM" w:eastAsia="en-US"/>
        </w:rPr>
        <w:t>hանրապետական գործադիր մարմինների կողմից ՀՀ մարզերում իրականացվող ծրագրերի մշտադիտարկման համակարգի կատարելագործում:</w:t>
      </w:r>
    </w:p>
    <w:p w14:paraId="0F5AFBCA"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bCs/>
          <w:iCs/>
          <w:szCs w:val="22"/>
          <w:lang w:val="hy-AM" w:eastAsia="en-US"/>
        </w:rPr>
      </w:pPr>
      <w:r w:rsidRPr="00A83C94">
        <w:rPr>
          <w:rFonts w:cs="Sylfaen"/>
          <w:iCs/>
          <w:szCs w:val="22"/>
          <w:lang w:val="hy-AM" w:eastAsia="en-US"/>
        </w:rPr>
        <w:t>Տեղական ինքնակառավարման համակարգի, տարածքային, տնտեսական, ֆինասական և քաղաքական դերի բարձրացման նպատակով</w:t>
      </w:r>
      <w:r w:rsidRPr="00A83C94">
        <w:rPr>
          <w:rFonts w:cs="Sylfaen"/>
          <w:b w:val="0"/>
          <w:bCs/>
          <w:iCs/>
          <w:szCs w:val="22"/>
          <w:lang w:val="hy-AM" w:eastAsia="en-US"/>
        </w:rPr>
        <w:t xml:space="preserve"> նախատեսվում է՝</w:t>
      </w:r>
    </w:p>
    <w:p w14:paraId="307A2FCD" w14:textId="77777777" w:rsidR="005F226A" w:rsidRPr="00A83C94" w:rsidRDefault="005F226A" w:rsidP="00786462">
      <w:pPr>
        <w:pStyle w:val="ListParagraph"/>
        <w:numPr>
          <w:ilvl w:val="0"/>
          <w:numId w:val="26"/>
        </w:numPr>
        <w:tabs>
          <w:tab w:val="left" w:pos="284"/>
          <w:tab w:val="left" w:pos="567"/>
          <w:tab w:val="left" w:pos="993"/>
        </w:tabs>
        <w:spacing w:before="0" w:line="276" w:lineRule="auto"/>
        <w:ind w:left="0" w:firstLine="709"/>
        <w:contextualSpacing w:val="0"/>
        <w:rPr>
          <w:rFonts w:cs="Sylfaen"/>
          <w:b w:val="0"/>
          <w:bCs/>
          <w:iCs/>
          <w:szCs w:val="22"/>
          <w:lang w:val="hy-AM" w:eastAsia="en-US"/>
        </w:rPr>
      </w:pPr>
      <w:r w:rsidRPr="00A83C94">
        <w:rPr>
          <w:rFonts w:cs="Sylfaen"/>
          <w:b w:val="0"/>
          <w:bCs/>
          <w:iCs/>
          <w:szCs w:val="22"/>
          <w:lang w:val="hy-AM" w:eastAsia="en-US"/>
        </w:rPr>
        <w:t xml:space="preserve"> համայնքային ծառայողների կարողությունների կատարելագործում,</w:t>
      </w:r>
    </w:p>
    <w:p w14:paraId="47771D05" w14:textId="252E3AB9" w:rsidR="005F226A" w:rsidRPr="00A83C94" w:rsidRDefault="005F226A">
      <w:pPr>
        <w:pStyle w:val="ListParagraph"/>
        <w:numPr>
          <w:ilvl w:val="0"/>
          <w:numId w:val="26"/>
        </w:numPr>
        <w:tabs>
          <w:tab w:val="left" w:pos="284"/>
          <w:tab w:val="left" w:pos="567"/>
          <w:tab w:val="left" w:pos="993"/>
        </w:tabs>
        <w:spacing w:before="0" w:line="276" w:lineRule="auto"/>
        <w:ind w:left="0" w:firstLine="709"/>
        <w:contextualSpacing w:val="0"/>
        <w:rPr>
          <w:rFonts w:cs="Sylfaen"/>
          <w:b w:val="0"/>
          <w:bCs/>
          <w:iCs/>
          <w:szCs w:val="22"/>
          <w:lang w:val="hy-AM" w:eastAsia="en-US"/>
        </w:rPr>
      </w:pPr>
      <w:r w:rsidRPr="00A83C94">
        <w:rPr>
          <w:rFonts w:cs="Sylfaen"/>
          <w:b w:val="0"/>
          <w:bCs/>
          <w:iCs/>
          <w:szCs w:val="22"/>
          <w:lang w:val="hy-AM" w:eastAsia="en-US"/>
        </w:rPr>
        <w:t xml:space="preserve"> համայնքների միավորման արդյունքում համայնքային ծառայության ոլորտում առաջացած նոր պահանջների գույքագրում և մասնագիտական կարողությունների և հմտությունների զարգացում:</w:t>
      </w:r>
    </w:p>
    <w:p w14:paraId="3FA11864" w14:textId="21016414" w:rsidR="005F226A" w:rsidRPr="00A83C94" w:rsidRDefault="005F226A" w:rsidP="005F226A">
      <w:pPr>
        <w:tabs>
          <w:tab w:val="left" w:pos="284"/>
          <w:tab w:val="left" w:pos="567"/>
          <w:tab w:val="left" w:pos="993"/>
        </w:tabs>
        <w:spacing w:before="0" w:line="276" w:lineRule="auto"/>
        <w:ind w:firstLine="709"/>
        <w:contextualSpacing w:val="0"/>
        <w:rPr>
          <w:rFonts w:cs="Sylfaen"/>
          <w:bCs/>
          <w:iCs/>
          <w:szCs w:val="22"/>
          <w:lang w:val="hy-AM" w:eastAsia="en-US"/>
        </w:rPr>
      </w:pPr>
      <w:r w:rsidRPr="00A83C94">
        <w:rPr>
          <w:rFonts w:cs="Sylfaen"/>
          <w:iCs/>
          <w:szCs w:val="22"/>
          <w:lang w:val="hy-AM" w:eastAsia="en-US"/>
        </w:rPr>
        <w:t>Դպրոցների սեյսմիկ անվտանգության բարելավում ծրագիր</w:t>
      </w:r>
      <w:r w:rsidRPr="00A83C94">
        <w:rPr>
          <w:rFonts w:cs="Sylfaen"/>
          <w:b w:val="0"/>
          <w:iCs/>
          <w:szCs w:val="22"/>
          <w:lang w:val="hy-AM" w:eastAsia="en-US"/>
        </w:rPr>
        <w:t>:</w:t>
      </w:r>
      <w:r w:rsidRPr="00A83C94">
        <w:rPr>
          <w:rFonts w:cs="Sylfaen"/>
          <w:b w:val="0"/>
          <w:bCs/>
          <w:iCs/>
          <w:szCs w:val="22"/>
          <w:lang w:val="hy-AM" w:eastAsia="en-US"/>
        </w:rPr>
        <w:t xml:space="preserve"> Առավելագույն սեյսմիկ խոցելիություն ունեցող 46 դպրոցների</w:t>
      </w:r>
      <w:r w:rsidR="00795737" w:rsidRPr="00A83C94">
        <w:rPr>
          <w:rFonts w:cs="Sylfaen"/>
          <w:b w:val="0"/>
          <w:bCs/>
          <w:iCs/>
          <w:szCs w:val="22"/>
          <w:lang w:val="hy-AM" w:eastAsia="en-US"/>
        </w:rPr>
        <w:t>ց</w:t>
      </w:r>
      <w:r w:rsidRPr="00A83C94">
        <w:rPr>
          <w:rFonts w:cs="Sylfaen"/>
          <w:b w:val="0"/>
          <w:bCs/>
          <w:iCs/>
          <w:szCs w:val="22"/>
          <w:lang w:val="hy-AM" w:eastAsia="en-US"/>
        </w:rPr>
        <w:t xml:space="preserve"> 2021 թվականին ավարտվել են թվով 7 դպրոցների շինարարական աշխատանքները: Միաժամանակ շինարարություն է ընթանում թվով 14 դպրոցներում, թվով 2 դպրոցների համար հայտարարված են շինարարության մրցույթներ, մինչև տարեվերջ կհայտարարվեն ևս 3 դպրոցի համար շինարարության մրցույթներ, 3 դպրոցների համար հայտարարված մրցույթները գտնվում են ամփոփման և պայմանագրերի կնքման փուլում, 5 դպրոցների համար ընթանում են նախագծային աշխատանքներ։ 2022 թվականին նախատեսվում է սկսել 4 դպրոցների շինարարական աշխատանքներ:</w:t>
      </w:r>
    </w:p>
    <w:p w14:paraId="22318A6C"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bCs/>
          <w:iCs/>
          <w:szCs w:val="22"/>
          <w:lang w:val="hy-AM" w:eastAsia="en-US"/>
        </w:rPr>
      </w:pPr>
      <w:r w:rsidRPr="00A83C94">
        <w:rPr>
          <w:rFonts w:cs="Sylfaen"/>
          <w:iCs/>
          <w:szCs w:val="22"/>
          <w:lang w:val="hy-AM" w:eastAsia="en-US"/>
        </w:rPr>
        <w:t>Կոշտ կենցաղային թափոնների կառավարման (ԿԿԹԿ) ծրագրի</w:t>
      </w:r>
      <w:r w:rsidRPr="00A83C94">
        <w:rPr>
          <w:rFonts w:cs="Sylfaen"/>
          <w:bCs/>
          <w:iCs/>
          <w:szCs w:val="22"/>
          <w:lang w:val="hy-AM" w:eastAsia="en-US"/>
        </w:rPr>
        <w:t xml:space="preserve"> շրջանակներում նախատեսվում է</w:t>
      </w:r>
      <w:r w:rsidRPr="00A83C94">
        <w:rPr>
          <w:rFonts w:cs="Sylfaen"/>
          <w:b w:val="0"/>
          <w:bCs/>
          <w:iCs/>
          <w:szCs w:val="22"/>
          <w:lang w:val="hy-AM" w:eastAsia="en-US"/>
        </w:rPr>
        <w:t xml:space="preserve">՝ </w:t>
      </w:r>
    </w:p>
    <w:p w14:paraId="61981FC2"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szCs w:val="22"/>
          <w:lang w:val="hy-AM"/>
        </w:rPr>
      </w:pPr>
      <w:r w:rsidRPr="00A83C94">
        <w:rPr>
          <w:rFonts w:cs="Sylfaen"/>
          <w:b w:val="0"/>
          <w:bCs/>
          <w:iCs/>
          <w:szCs w:val="22"/>
          <w:lang w:val="hy-AM" w:eastAsia="en-US"/>
        </w:rPr>
        <w:t xml:space="preserve">- </w:t>
      </w:r>
      <w:r w:rsidRPr="00A83C94">
        <w:rPr>
          <w:rFonts w:cs="Sylfaen"/>
          <w:b w:val="0"/>
          <w:szCs w:val="22"/>
          <w:lang w:val="hy-AM"/>
        </w:rPr>
        <w:t xml:space="preserve">«ՀՀ Կոտայքի և Գեղարքունիքի մարզերի կոշտ կենցաղային թափոնների կառավարում» ծրագրի շրջանակներում ընթանում է ՀՀ-ում առաջին սանիտարական աղբավայրի կառուցման աշխատանքները, որը նախատեսվում է ավարտել մինչև 2022 թվականի հուլիս-օգոստոս ամիսները, </w:t>
      </w:r>
    </w:p>
    <w:p w14:paraId="24073D1B" w14:textId="6FCB3695" w:rsidR="005F226A" w:rsidRPr="00A83C94" w:rsidRDefault="005F226A" w:rsidP="005F226A">
      <w:pPr>
        <w:tabs>
          <w:tab w:val="left" w:pos="284"/>
          <w:tab w:val="left" w:pos="567"/>
          <w:tab w:val="left" w:pos="993"/>
        </w:tabs>
        <w:spacing w:before="0" w:line="276" w:lineRule="auto"/>
        <w:ind w:firstLine="709"/>
        <w:contextualSpacing w:val="0"/>
        <w:rPr>
          <w:rFonts w:cs="Sylfaen"/>
          <w:b w:val="0"/>
          <w:szCs w:val="22"/>
          <w:lang w:val="hy-AM"/>
        </w:rPr>
      </w:pPr>
      <w:r w:rsidRPr="00A83C94">
        <w:rPr>
          <w:rFonts w:cs="Sylfaen"/>
          <w:b w:val="0"/>
          <w:szCs w:val="22"/>
          <w:lang w:val="hy-AM"/>
        </w:rPr>
        <w:t>- 2021 թվականի</w:t>
      </w:r>
      <w:r w:rsidR="00795737" w:rsidRPr="00A83C94">
        <w:rPr>
          <w:rFonts w:cs="Sylfaen"/>
          <w:b w:val="0"/>
          <w:szCs w:val="22"/>
          <w:lang w:val="hy-AM"/>
        </w:rPr>
        <w:t>ն</w:t>
      </w:r>
      <w:r w:rsidRPr="00A83C94">
        <w:rPr>
          <w:rFonts w:cs="Sylfaen"/>
          <w:b w:val="0"/>
          <w:szCs w:val="22"/>
          <w:lang w:val="hy-AM"/>
        </w:rPr>
        <w:t xml:space="preserve"> հաստատվել է ՀՀ աղբահանության համակարգի ռազմավարությունը և ռազմավարության կիրարկումն ապահովող 2021-2023 թվականների միջոցառումների ծրագիրը: Աշխատանքներ են տարվում աղբահանության տեղական պլանների կազմման մեթոդաբանության մշակման և աղբահանության սխեմաների մշակման մեթոդաբանության և կիրառելի համակարգչային մոդելի (GIS համակարգի կիրառմամբ) ներդրման ուղղությամբ:</w:t>
      </w:r>
    </w:p>
    <w:p w14:paraId="44BFF04D" w14:textId="52D18151" w:rsidR="005F226A" w:rsidRPr="00A83C94" w:rsidRDefault="005F226A" w:rsidP="00786462">
      <w:pPr>
        <w:numPr>
          <w:ilvl w:val="0"/>
          <w:numId w:val="27"/>
        </w:numPr>
        <w:tabs>
          <w:tab w:val="left" w:pos="284"/>
          <w:tab w:val="left" w:pos="567"/>
          <w:tab w:val="left" w:pos="993"/>
        </w:tabs>
        <w:spacing w:before="0" w:line="276" w:lineRule="auto"/>
        <w:ind w:left="0" w:firstLine="709"/>
        <w:contextualSpacing w:val="0"/>
        <w:rPr>
          <w:rFonts w:cs="Sylfaen"/>
          <w:b w:val="0"/>
          <w:szCs w:val="22"/>
          <w:lang w:val="hy-AM"/>
        </w:rPr>
      </w:pPr>
      <w:r w:rsidRPr="00A83C94">
        <w:rPr>
          <w:rFonts w:cs="Sylfaen"/>
          <w:b w:val="0"/>
          <w:bCs/>
          <w:iCs/>
          <w:szCs w:val="22"/>
          <w:lang w:val="hy-AM" w:eastAsia="en-US"/>
        </w:rPr>
        <w:t xml:space="preserve"> </w:t>
      </w:r>
      <w:r w:rsidRPr="00A83C94">
        <w:rPr>
          <w:rFonts w:cs="Sylfaen"/>
          <w:b w:val="0"/>
          <w:szCs w:val="22"/>
          <w:lang w:val="hy-AM"/>
        </w:rPr>
        <w:t>Նախատեսվում է փակման ենթակա աղբավայրերի փակման և շահագործվող աղբավայրերի բարեկարգման աշխատանքների իրականացում:</w:t>
      </w:r>
    </w:p>
    <w:p w14:paraId="336462DB" w14:textId="77777777" w:rsidR="002F5005" w:rsidRPr="00A83C94" w:rsidRDefault="002F5005" w:rsidP="00D776CA">
      <w:pPr>
        <w:tabs>
          <w:tab w:val="left" w:pos="284"/>
          <w:tab w:val="left" w:pos="567"/>
          <w:tab w:val="left" w:pos="993"/>
        </w:tabs>
        <w:spacing w:before="0" w:line="276" w:lineRule="auto"/>
        <w:ind w:left="709" w:firstLine="0"/>
        <w:contextualSpacing w:val="0"/>
        <w:rPr>
          <w:rFonts w:cs="Sylfaen"/>
          <w:b w:val="0"/>
          <w:szCs w:val="22"/>
          <w:lang w:val="hy-AM"/>
        </w:rPr>
      </w:pPr>
    </w:p>
    <w:p w14:paraId="51E5157E" w14:textId="5EDA8CF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5" w:name="_Toc83567434"/>
      <w:bookmarkStart w:id="16" w:name="_Toc83996311"/>
      <w:r w:rsidRPr="00A83C94">
        <w:rPr>
          <w:rFonts w:cs="Arial"/>
          <w:szCs w:val="22"/>
          <w:lang w:val="hy-AM" w:eastAsia="en-US"/>
        </w:rPr>
        <w:t>Ճանապարհային տնտեսություն</w:t>
      </w:r>
      <w:bookmarkEnd w:id="15"/>
      <w:bookmarkEnd w:id="16"/>
    </w:p>
    <w:p w14:paraId="5C7652B8" w14:textId="77777777" w:rsidR="005F226A" w:rsidRPr="00A83C94" w:rsidRDefault="005F226A" w:rsidP="005F226A">
      <w:pPr>
        <w:tabs>
          <w:tab w:val="left" w:pos="284"/>
          <w:tab w:val="left" w:pos="993"/>
        </w:tabs>
        <w:spacing w:before="0" w:line="276" w:lineRule="auto"/>
        <w:ind w:firstLine="709"/>
        <w:rPr>
          <w:b w:val="0"/>
          <w:bCs/>
          <w:szCs w:val="22"/>
          <w:lang w:val="hy-AM"/>
        </w:rPr>
      </w:pPr>
      <w:r w:rsidRPr="00A83C94">
        <w:rPr>
          <w:b w:val="0"/>
          <w:bCs/>
          <w:szCs w:val="22"/>
          <w:lang w:val="hy-AM"/>
        </w:rPr>
        <w:t>ՀՀ տրանսպորտային համակարգի կարևորագույն խնդիրներից է երկրի ճանապարհատրանսպորտային ենթակառուցվածքների գործունեության արդյունավետության բարձրացումը, ինչպես նաև տնտեսության և ազգաբնակչության պահանջների բավարարման որակի բարձրացման միջոցով՝ անվտանգ և արդյունավետ տրանսպորտային ծառայությունների ապահովումը։</w:t>
      </w:r>
    </w:p>
    <w:p w14:paraId="425055C7" w14:textId="5EE62757" w:rsidR="005F226A" w:rsidRPr="00A83C94" w:rsidRDefault="005F226A" w:rsidP="005F226A">
      <w:pPr>
        <w:tabs>
          <w:tab w:val="left" w:pos="284"/>
          <w:tab w:val="left" w:pos="993"/>
        </w:tabs>
        <w:autoSpaceDE w:val="0"/>
        <w:autoSpaceDN w:val="0"/>
        <w:adjustRightInd w:val="0"/>
        <w:spacing w:before="0" w:line="276" w:lineRule="auto"/>
        <w:ind w:firstLine="709"/>
        <w:rPr>
          <w:b w:val="0"/>
          <w:szCs w:val="22"/>
          <w:lang w:val="hy-AM"/>
        </w:rPr>
      </w:pPr>
      <w:r w:rsidRPr="00A83C94">
        <w:rPr>
          <w:b w:val="0"/>
          <w:szCs w:val="22"/>
          <w:lang w:val="hy-AM"/>
        </w:rPr>
        <w:t xml:space="preserve"> </w:t>
      </w:r>
      <w:r w:rsidRPr="00A83C94">
        <w:rPr>
          <w:rFonts w:cs="Sylfaen"/>
          <w:b w:val="0"/>
          <w:szCs w:val="22"/>
          <w:lang w:val="hy-AM"/>
        </w:rPr>
        <w:t>Երթևեկության</w:t>
      </w:r>
      <w:r w:rsidRPr="00A83C94">
        <w:rPr>
          <w:b w:val="0"/>
          <w:szCs w:val="22"/>
          <w:lang w:val="hy-AM"/>
        </w:rPr>
        <w:t xml:space="preserve"> </w:t>
      </w:r>
      <w:r w:rsidRPr="00A83C94">
        <w:rPr>
          <w:rFonts w:cs="Sylfaen"/>
          <w:b w:val="0"/>
          <w:szCs w:val="22"/>
          <w:lang w:val="hy-AM"/>
        </w:rPr>
        <w:t>ինտենսիվության</w:t>
      </w:r>
      <w:r w:rsidRPr="00A83C94">
        <w:rPr>
          <w:b w:val="0"/>
          <w:szCs w:val="22"/>
          <w:lang w:val="hy-AM"/>
        </w:rPr>
        <w:t xml:space="preserve"> </w:t>
      </w:r>
      <w:r w:rsidRPr="00A83C94">
        <w:rPr>
          <w:rFonts w:cs="Sylfaen"/>
          <w:b w:val="0"/>
          <w:szCs w:val="22"/>
          <w:lang w:val="hy-AM"/>
        </w:rPr>
        <w:t>աճի</w:t>
      </w:r>
      <w:r w:rsidRPr="00A83C94">
        <w:rPr>
          <w:b w:val="0"/>
          <w:szCs w:val="22"/>
          <w:lang w:val="hy-AM"/>
        </w:rPr>
        <w:t xml:space="preserve">, </w:t>
      </w:r>
      <w:r w:rsidRPr="00A83C94">
        <w:rPr>
          <w:rFonts w:cs="Sylfaen"/>
          <w:b w:val="0"/>
          <w:szCs w:val="22"/>
          <w:lang w:val="hy-AM"/>
        </w:rPr>
        <w:t>ուղևորա</w:t>
      </w:r>
      <w:r w:rsidRPr="00A83C94">
        <w:rPr>
          <w:b w:val="0"/>
          <w:szCs w:val="22"/>
          <w:lang w:val="hy-AM"/>
        </w:rPr>
        <w:softHyphen/>
      </w:r>
      <w:r w:rsidRPr="00A83C94">
        <w:rPr>
          <w:rFonts w:cs="Sylfaen"/>
          <w:b w:val="0"/>
          <w:szCs w:val="22"/>
          <w:lang w:val="hy-AM"/>
        </w:rPr>
        <w:t>փո</w:t>
      </w:r>
      <w:r w:rsidRPr="00A83C94">
        <w:rPr>
          <w:b w:val="0"/>
          <w:szCs w:val="22"/>
          <w:lang w:val="hy-AM"/>
        </w:rPr>
        <w:softHyphen/>
      </w:r>
      <w:r w:rsidRPr="00A83C94">
        <w:rPr>
          <w:rFonts w:cs="Sylfaen"/>
          <w:b w:val="0"/>
          <w:szCs w:val="22"/>
          <w:lang w:val="hy-AM"/>
        </w:rPr>
        <w:t>խադրում</w:t>
      </w:r>
      <w:r w:rsidRPr="00A83C94">
        <w:rPr>
          <w:b w:val="0"/>
          <w:szCs w:val="22"/>
          <w:lang w:val="hy-AM"/>
        </w:rPr>
        <w:softHyphen/>
      </w:r>
      <w:r w:rsidRPr="00A83C94">
        <w:rPr>
          <w:rFonts w:cs="Sylfaen"/>
          <w:b w:val="0"/>
          <w:szCs w:val="22"/>
          <w:lang w:val="hy-AM"/>
        </w:rPr>
        <w:t>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բեռնափոխադրումների</w:t>
      </w:r>
      <w:r w:rsidRPr="00A83C94">
        <w:rPr>
          <w:b w:val="0"/>
          <w:szCs w:val="22"/>
          <w:lang w:val="hy-AM"/>
        </w:rPr>
        <w:t xml:space="preserve"> </w:t>
      </w:r>
      <w:r w:rsidRPr="00A83C94">
        <w:rPr>
          <w:rFonts w:cs="Sylfaen"/>
          <w:b w:val="0"/>
          <w:szCs w:val="22"/>
          <w:lang w:val="hy-AM"/>
        </w:rPr>
        <w:t>անվտանգության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արդյունավետության</w:t>
      </w:r>
      <w:r w:rsidRPr="00A83C94">
        <w:rPr>
          <w:b w:val="0"/>
          <w:szCs w:val="22"/>
          <w:lang w:val="hy-AM"/>
        </w:rPr>
        <w:t xml:space="preserve"> </w:t>
      </w:r>
      <w:r w:rsidRPr="00A83C94">
        <w:rPr>
          <w:rFonts w:cs="Sylfaen"/>
          <w:b w:val="0"/>
          <w:szCs w:val="22"/>
          <w:lang w:val="hy-AM"/>
        </w:rPr>
        <w:t>ապահովման</w:t>
      </w:r>
      <w:r w:rsidRPr="00A83C94">
        <w:rPr>
          <w:b w:val="0"/>
          <w:szCs w:val="22"/>
          <w:lang w:val="hy-AM"/>
        </w:rPr>
        <w:t xml:space="preserve"> </w:t>
      </w:r>
      <w:r w:rsidRPr="00A83C94">
        <w:rPr>
          <w:rFonts w:cs="Sylfaen"/>
          <w:b w:val="0"/>
          <w:szCs w:val="22"/>
          <w:lang w:val="hy-AM"/>
        </w:rPr>
        <w:t>նպատա</w:t>
      </w:r>
      <w:r w:rsidRPr="00A83C94">
        <w:rPr>
          <w:b w:val="0"/>
          <w:szCs w:val="22"/>
          <w:lang w:val="hy-AM"/>
        </w:rPr>
        <w:softHyphen/>
      </w:r>
      <w:r w:rsidRPr="00A83C94">
        <w:rPr>
          <w:rFonts w:cs="Sylfaen"/>
          <w:b w:val="0"/>
          <w:szCs w:val="22"/>
          <w:lang w:val="hy-AM"/>
        </w:rPr>
        <w:t>կով</w:t>
      </w:r>
      <w:r w:rsidRPr="00A83C94">
        <w:rPr>
          <w:b w:val="0"/>
          <w:szCs w:val="22"/>
          <w:lang w:val="hy-AM"/>
        </w:rPr>
        <w:t xml:space="preserve"> 2022</w:t>
      </w:r>
      <w:r w:rsidRPr="00A83C94">
        <w:rPr>
          <w:rFonts w:cs="Sylfaen"/>
          <w:b w:val="0"/>
          <w:szCs w:val="22"/>
          <w:lang w:val="hy-AM"/>
        </w:rPr>
        <w:t>թ.-ին</w:t>
      </w:r>
      <w:r w:rsidRPr="00A83C94">
        <w:rPr>
          <w:b w:val="0"/>
          <w:szCs w:val="22"/>
          <w:lang w:val="hy-AM"/>
        </w:rPr>
        <w:t xml:space="preserve"> </w:t>
      </w:r>
      <w:r w:rsidRPr="00A83C94">
        <w:rPr>
          <w:rFonts w:cs="Sylfaen"/>
          <w:b w:val="0"/>
          <w:szCs w:val="22"/>
          <w:lang w:val="hy-AM"/>
        </w:rPr>
        <w:t>նախատեսվում</w:t>
      </w:r>
      <w:r w:rsidRPr="00A83C94">
        <w:rPr>
          <w:b w:val="0"/>
          <w:szCs w:val="22"/>
          <w:lang w:val="hy-AM"/>
        </w:rPr>
        <w:t xml:space="preserve"> </w:t>
      </w:r>
      <w:r w:rsidRPr="00A83C94">
        <w:rPr>
          <w:rFonts w:cs="Sylfaen"/>
          <w:b w:val="0"/>
          <w:szCs w:val="22"/>
          <w:lang w:val="hy-AM"/>
        </w:rPr>
        <w:t>է</w:t>
      </w:r>
      <w:r w:rsidRPr="00A83C94">
        <w:rPr>
          <w:b w:val="0"/>
          <w:szCs w:val="22"/>
          <w:lang w:val="hy-AM"/>
        </w:rPr>
        <w:t xml:space="preserve"> </w:t>
      </w:r>
      <w:r w:rsidRPr="00A83C94">
        <w:rPr>
          <w:rFonts w:cs="Sylfaen"/>
          <w:b w:val="0"/>
          <w:szCs w:val="22"/>
          <w:lang w:val="hy-AM"/>
        </w:rPr>
        <w:t>իրականացնել</w:t>
      </w:r>
      <w:r w:rsidRPr="00A83C94">
        <w:rPr>
          <w:b w:val="0"/>
          <w:szCs w:val="22"/>
          <w:lang w:val="hy-AM"/>
        </w:rPr>
        <w:t xml:space="preserve"> </w:t>
      </w:r>
      <w:r w:rsidRPr="00A83C94">
        <w:rPr>
          <w:rFonts w:cs="Sylfaen"/>
          <w:b w:val="0"/>
          <w:szCs w:val="22"/>
          <w:lang w:val="hy-AM"/>
        </w:rPr>
        <w:t>միջպետական</w:t>
      </w:r>
      <w:r w:rsidRPr="00A83C94">
        <w:rPr>
          <w:b w:val="0"/>
          <w:szCs w:val="22"/>
          <w:lang w:val="hy-AM"/>
        </w:rPr>
        <w:t xml:space="preserve">¸ </w:t>
      </w:r>
      <w:r w:rsidRPr="00A83C94">
        <w:rPr>
          <w:rFonts w:cs="Sylfaen"/>
          <w:b w:val="0"/>
          <w:szCs w:val="22"/>
          <w:lang w:val="hy-AM"/>
        </w:rPr>
        <w:t>հանրապետական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մարզային</w:t>
      </w:r>
      <w:r w:rsidRPr="00A83C94">
        <w:rPr>
          <w:b w:val="0"/>
          <w:szCs w:val="22"/>
          <w:lang w:val="hy-AM"/>
        </w:rPr>
        <w:t xml:space="preserve"> </w:t>
      </w:r>
      <w:r w:rsidRPr="00A83C94">
        <w:rPr>
          <w:rFonts w:cs="Sylfaen"/>
          <w:b w:val="0"/>
          <w:szCs w:val="22"/>
          <w:lang w:val="hy-AM"/>
        </w:rPr>
        <w:t>նշանակության</w:t>
      </w:r>
      <w:r w:rsidRPr="00A83C94">
        <w:rPr>
          <w:b w:val="0"/>
          <w:szCs w:val="22"/>
          <w:lang w:val="hy-AM"/>
        </w:rPr>
        <w:t xml:space="preserve"> </w:t>
      </w:r>
      <w:r w:rsidRPr="00A83C94">
        <w:rPr>
          <w:rFonts w:cs="Sylfaen"/>
          <w:b w:val="0"/>
          <w:szCs w:val="22"/>
          <w:lang w:val="hy-AM"/>
        </w:rPr>
        <w:t>ավտոմոբիլային</w:t>
      </w:r>
      <w:r w:rsidRPr="00A83C94">
        <w:rPr>
          <w:b w:val="0"/>
          <w:szCs w:val="22"/>
          <w:lang w:val="hy-AM"/>
        </w:rPr>
        <w:t xml:space="preserve"> </w:t>
      </w:r>
      <w:r w:rsidRPr="00A83C94">
        <w:rPr>
          <w:rFonts w:cs="Sylfaen"/>
          <w:b w:val="0"/>
          <w:szCs w:val="22"/>
          <w:lang w:val="hy-AM"/>
        </w:rPr>
        <w:t>ճանապարհների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տրանսպորտային</w:t>
      </w:r>
      <w:r w:rsidRPr="00A83C94">
        <w:rPr>
          <w:b w:val="0"/>
          <w:szCs w:val="22"/>
          <w:lang w:val="hy-AM"/>
        </w:rPr>
        <w:t xml:space="preserve"> </w:t>
      </w:r>
      <w:r w:rsidRPr="00A83C94">
        <w:rPr>
          <w:rFonts w:cs="Sylfaen"/>
          <w:b w:val="0"/>
          <w:szCs w:val="22"/>
          <w:lang w:val="hy-AM"/>
        </w:rPr>
        <w:t>օբյեկտների</w:t>
      </w:r>
      <w:r w:rsidRPr="00A83C94">
        <w:rPr>
          <w:b w:val="0"/>
          <w:szCs w:val="22"/>
          <w:lang w:val="hy-AM"/>
        </w:rPr>
        <w:t xml:space="preserve"> </w:t>
      </w:r>
      <w:r w:rsidRPr="00A83C94">
        <w:rPr>
          <w:rFonts w:cs="Sylfaen"/>
          <w:b w:val="0"/>
          <w:szCs w:val="22"/>
          <w:lang w:val="hy-AM"/>
        </w:rPr>
        <w:t>հիմնանորոգում</w:t>
      </w:r>
      <w:r w:rsidRPr="00A83C94">
        <w:rPr>
          <w:b w:val="0"/>
          <w:szCs w:val="22"/>
          <w:lang w:val="hy-AM"/>
        </w:rPr>
        <w:t xml:space="preserve">, </w:t>
      </w:r>
      <w:r w:rsidRPr="00A83C94">
        <w:rPr>
          <w:rFonts w:cs="Sylfaen"/>
          <w:b w:val="0"/>
          <w:szCs w:val="22"/>
          <w:lang w:val="hy-AM"/>
        </w:rPr>
        <w:t>միջին</w:t>
      </w:r>
      <w:r w:rsidRPr="00A83C94">
        <w:rPr>
          <w:b w:val="0"/>
          <w:szCs w:val="22"/>
          <w:lang w:val="hy-AM"/>
        </w:rPr>
        <w:t xml:space="preserve"> </w:t>
      </w:r>
      <w:r w:rsidRPr="00A83C94">
        <w:rPr>
          <w:rFonts w:cs="Sylfaen"/>
          <w:b w:val="0"/>
          <w:szCs w:val="22"/>
          <w:lang w:val="hy-AM"/>
        </w:rPr>
        <w:t>նորոգում</w:t>
      </w:r>
      <w:r w:rsidRPr="00A83C94">
        <w:rPr>
          <w:b w:val="0"/>
          <w:szCs w:val="22"/>
          <w:lang w:val="hy-AM"/>
        </w:rPr>
        <w:t xml:space="preserve">¸ </w:t>
      </w:r>
      <w:r w:rsidRPr="00A83C94">
        <w:rPr>
          <w:rFonts w:cs="Sylfaen"/>
          <w:b w:val="0"/>
          <w:szCs w:val="22"/>
          <w:lang w:val="hy-AM"/>
        </w:rPr>
        <w:t>ձմեռային</w:t>
      </w:r>
      <w:r w:rsidRPr="00A83C94">
        <w:rPr>
          <w:b w:val="0"/>
          <w:szCs w:val="22"/>
          <w:lang w:val="hy-AM"/>
        </w:rPr>
        <w:t xml:space="preserve"> </w:t>
      </w:r>
      <w:r w:rsidRPr="00A83C94">
        <w:rPr>
          <w:rFonts w:cs="Sylfaen"/>
          <w:b w:val="0"/>
          <w:szCs w:val="22"/>
          <w:lang w:val="hy-AM"/>
        </w:rPr>
        <w:t>պահ</w:t>
      </w:r>
      <w:r w:rsidRPr="00A83C94">
        <w:rPr>
          <w:b w:val="0"/>
          <w:szCs w:val="22"/>
          <w:lang w:val="hy-AM"/>
        </w:rPr>
        <w:softHyphen/>
      </w:r>
      <w:r w:rsidRPr="00A83C94">
        <w:rPr>
          <w:rFonts w:cs="Sylfaen"/>
          <w:b w:val="0"/>
          <w:szCs w:val="22"/>
          <w:lang w:val="hy-AM"/>
        </w:rPr>
        <w:t>պանում</w:t>
      </w:r>
      <w:r w:rsidRPr="00A83C94">
        <w:rPr>
          <w:b w:val="0"/>
          <w:szCs w:val="22"/>
          <w:lang w:val="hy-AM"/>
        </w:rPr>
        <w:t xml:space="preserve">, </w:t>
      </w:r>
      <w:r w:rsidRPr="00A83C94">
        <w:rPr>
          <w:rFonts w:cs="Sylfaen"/>
          <w:b w:val="0"/>
          <w:szCs w:val="22"/>
          <w:lang w:val="hy-AM"/>
        </w:rPr>
        <w:t>ընթացիկ</w:t>
      </w:r>
      <w:r w:rsidRPr="00A83C94">
        <w:rPr>
          <w:b w:val="0"/>
          <w:szCs w:val="22"/>
          <w:lang w:val="hy-AM"/>
        </w:rPr>
        <w:t xml:space="preserve"> </w:t>
      </w:r>
      <w:r w:rsidRPr="00A83C94">
        <w:rPr>
          <w:rFonts w:cs="Sylfaen"/>
          <w:b w:val="0"/>
          <w:szCs w:val="22"/>
          <w:lang w:val="hy-AM"/>
        </w:rPr>
        <w:t>պահպանում</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շահագործում</w:t>
      </w:r>
      <w:r w:rsidRPr="00A83C94">
        <w:rPr>
          <w:b w:val="0"/>
          <w:szCs w:val="22"/>
          <w:lang w:val="hy-AM"/>
        </w:rPr>
        <w:t xml:space="preserve">` </w:t>
      </w:r>
      <w:r w:rsidRPr="00A83C94">
        <w:rPr>
          <w:rFonts w:cs="Sylfaen"/>
          <w:b w:val="0"/>
          <w:szCs w:val="22"/>
          <w:lang w:val="hy-AM"/>
        </w:rPr>
        <w:t>ինչը</w:t>
      </w:r>
      <w:r w:rsidRPr="00A83C94">
        <w:rPr>
          <w:b w:val="0"/>
          <w:szCs w:val="22"/>
          <w:lang w:val="hy-AM"/>
        </w:rPr>
        <w:t xml:space="preserve"> </w:t>
      </w:r>
      <w:r w:rsidRPr="00A83C94">
        <w:rPr>
          <w:rFonts w:cs="Sylfaen"/>
          <w:b w:val="0"/>
          <w:szCs w:val="22"/>
          <w:lang w:val="hy-AM"/>
        </w:rPr>
        <w:t>կապահովի</w:t>
      </w:r>
      <w:r w:rsidRPr="00A83C94">
        <w:rPr>
          <w:b w:val="0"/>
          <w:szCs w:val="22"/>
          <w:lang w:val="hy-AM"/>
        </w:rPr>
        <w:t xml:space="preserve"> </w:t>
      </w:r>
      <w:r w:rsidRPr="00A83C94">
        <w:rPr>
          <w:rFonts w:cs="Sylfaen"/>
          <w:b w:val="0"/>
          <w:szCs w:val="22"/>
          <w:lang w:val="hy-AM"/>
        </w:rPr>
        <w:t>ճանապարհների</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կառույցների</w:t>
      </w:r>
      <w:r w:rsidRPr="00A83C94">
        <w:rPr>
          <w:b w:val="0"/>
          <w:szCs w:val="22"/>
          <w:lang w:val="hy-AM"/>
        </w:rPr>
        <w:t xml:space="preserve"> </w:t>
      </w:r>
      <w:r w:rsidRPr="00A83C94">
        <w:rPr>
          <w:rFonts w:cs="Sylfaen"/>
          <w:b w:val="0"/>
          <w:szCs w:val="22"/>
          <w:lang w:val="hy-AM"/>
        </w:rPr>
        <w:t>պահպանվածությունն</w:t>
      </w:r>
      <w:r w:rsidRPr="00A83C94">
        <w:rPr>
          <w:b w:val="0"/>
          <w:szCs w:val="22"/>
          <w:lang w:val="hy-AM"/>
        </w:rPr>
        <w:t xml:space="preserve"> </w:t>
      </w:r>
      <w:r w:rsidRPr="00A83C94">
        <w:rPr>
          <w:rFonts w:cs="Sylfaen"/>
          <w:b w:val="0"/>
          <w:szCs w:val="22"/>
          <w:lang w:val="hy-AM"/>
        </w:rPr>
        <w:t>այնպիսի</w:t>
      </w:r>
      <w:r w:rsidRPr="00A83C94">
        <w:rPr>
          <w:b w:val="0"/>
          <w:szCs w:val="22"/>
          <w:lang w:val="hy-AM"/>
        </w:rPr>
        <w:t xml:space="preserve"> </w:t>
      </w:r>
      <w:r w:rsidRPr="00A83C94">
        <w:rPr>
          <w:rFonts w:cs="Sylfaen"/>
          <w:b w:val="0"/>
          <w:szCs w:val="22"/>
          <w:lang w:val="hy-AM"/>
        </w:rPr>
        <w:t>վիճակում</w:t>
      </w:r>
      <w:r w:rsidRPr="00A83C94">
        <w:rPr>
          <w:b w:val="0"/>
          <w:szCs w:val="22"/>
          <w:lang w:val="hy-AM"/>
        </w:rPr>
        <w:t xml:space="preserve">, </w:t>
      </w:r>
      <w:r w:rsidRPr="00A83C94">
        <w:rPr>
          <w:rFonts w:cs="Sylfaen"/>
          <w:b w:val="0"/>
          <w:szCs w:val="22"/>
          <w:lang w:val="hy-AM"/>
        </w:rPr>
        <w:t>որը</w:t>
      </w:r>
      <w:r w:rsidRPr="00A83C94">
        <w:rPr>
          <w:b w:val="0"/>
          <w:szCs w:val="22"/>
          <w:lang w:val="hy-AM"/>
        </w:rPr>
        <w:t xml:space="preserve"> </w:t>
      </w:r>
      <w:r w:rsidRPr="00A83C94">
        <w:rPr>
          <w:rFonts w:cs="Sylfaen"/>
          <w:b w:val="0"/>
          <w:szCs w:val="22"/>
          <w:lang w:val="hy-AM"/>
        </w:rPr>
        <w:t>համապատասխանում</w:t>
      </w:r>
      <w:r w:rsidRPr="00A83C94">
        <w:rPr>
          <w:b w:val="0"/>
          <w:szCs w:val="22"/>
          <w:lang w:val="hy-AM"/>
        </w:rPr>
        <w:t xml:space="preserve"> </w:t>
      </w:r>
      <w:r w:rsidRPr="00A83C94">
        <w:rPr>
          <w:rFonts w:cs="Sylfaen"/>
          <w:b w:val="0"/>
          <w:szCs w:val="22"/>
          <w:lang w:val="hy-AM"/>
        </w:rPr>
        <w:t>է</w:t>
      </w:r>
      <w:r w:rsidRPr="00A83C94">
        <w:rPr>
          <w:b w:val="0"/>
          <w:szCs w:val="22"/>
          <w:lang w:val="hy-AM"/>
        </w:rPr>
        <w:t xml:space="preserve"> </w:t>
      </w:r>
      <w:r w:rsidRPr="00A83C94">
        <w:rPr>
          <w:rFonts w:cs="Sylfaen"/>
          <w:b w:val="0"/>
          <w:szCs w:val="22"/>
          <w:lang w:val="hy-AM"/>
        </w:rPr>
        <w:t>անվտանգ</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անխափան</w:t>
      </w:r>
      <w:r w:rsidRPr="00A83C94">
        <w:rPr>
          <w:b w:val="0"/>
          <w:szCs w:val="22"/>
          <w:lang w:val="hy-AM"/>
        </w:rPr>
        <w:t xml:space="preserve"> </w:t>
      </w:r>
      <w:r w:rsidRPr="00A83C94">
        <w:rPr>
          <w:rFonts w:cs="Sylfaen"/>
          <w:b w:val="0"/>
          <w:szCs w:val="22"/>
          <w:lang w:val="hy-AM"/>
        </w:rPr>
        <w:t>երթևեկության</w:t>
      </w:r>
      <w:r w:rsidRPr="00A83C94">
        <w:rPr>
          <w:b w:val="0"/>
          <w:szCs w:val="22"/>
          <w:lang w:val="hy-AM"/>
        </w:rPr>
        <w:t xml:space="preserve"> </w:t>
      </w:r>
      <w:r w:rsidRPr="00A83C94">
        <w:rPr>
          <w:rFonts w:cs="Sylfaen"/>
          <w:b w:val="0"/>
          <w:szCs w:val="22"/>
          <w:lang w:val="hy-AM"/>
        </w:rPr>
        <w:t>ապահովման</w:t>
      </w:r>
      <w:r w:rsidRPr="00A83C94">
        <w:rPr>
          <w:b w:val="0"/>
          <w:szCs w:val="22"/>
          <w:lang w:val="hy-AM"/>
        </w:rPr>
        <w:t xml:space="preserve"> </w:t>
      </w:r>
      <w:r w:rsidRPr="00A83C94">
        <w:rPr>
          <w:rFonts w:cs="Sylfaen"/>
          <w:b w:val="0"/>
          <w:szCs w:val="22"/>
          <w:lang w:val="hy-AM"/>
        </w:rPr>
        <w:t>պահանջներին</w:t>
      </w:r>
      <w:r w:rsidRPr="00A83C94">
        <w:rPr>
          <w:b w:val="0"/>
          <w:szCs w:val="22"/>
          <w:lang w:val="hy-AM"/>
        </w:rPr>
        <w:t xml:space="preserve">: </w:t>
      </w:r>
    </w:p>
    <w:p w14:paraId="1EF79394" w14:textId="77777777" w:rsidR="005F226A" w:rsidRPr="00A83C94" w:rsidRDefault="005F226A" w:rsidP="005F226A">
      <w:pPr>
        <w:tabs>
          <w:tab w:val="left" w:pos="284"/>
          <w:tab w:val="left" w:pos="993"/>
        </w:tabs>
        <w:spacing w:before="0" w:line="276" w:lineRule="auto"/>
        <w:ind w:firstLine="709"/>
        <w:contextualSpacing w:val="0"/>
        <w:rPr>
          <w:b w:val="0"/>
          <w:szCs w:val="22"/>
          <w:lang w:val="hy-AM"/>
        </w:rPr>
      </w:pPr>
      <w:r w:rsidRPr="00A83C94">
        <w:rPr>
          <w:b w:val="0"/>
          <w:szCs w:val="22"/>
          <w:lang w:val="hy-AM"/>
        </w:rPr>
        <w:t>2022թ.-ին վարկային և դրամաշնորհային միջոցների հաշվին կշարունակվի Հյուսիս-հարավ ճանապար</w:t>
      </w:r>
      <w:r w:rsidRPr="00A83C94">
        <w:rPr>
          <w:b w:val="0"/>
          <w:szCs w:val="22"/>
          <w:lang w:val="hy-AM"/>
        </w:rPr>
        <w:softHyphen/>
        <w:t>հային միջանցքի վերակառուցման և կենսական նշանակության ճանապարհացանցի բարելավման ծրագրերը: Ավարտին կհասցվի Մ-6, Վանաձոր-Ալավերդի-Վրաստանի սահման միջպետական նշանակության ճանապարհի վերականգնման և բարելավման աշխատանքները։</w:t>
      </w:r>
    </w:p>
    <w:p w14:paraId="1AE557E7" w14:textId="77777777" w:rsidR="005F226A" w:rsidRPr="00A83C94" w:rsidRDefault="005F226A" w:rsidP="005F226A">
      <w:pPr>
        <w:tabs>
          <w:tab w:val="left" w:pos="284"/>
          <w:tab w:val="left" w:pos="993"/>
        </w:tabs>
        <w:spacing w:before="0" w:line="276" w:lineRule="auto"/>
        <w:ind w:firstLine="709"/>
        <w:rPr>
          <w:rFonts w:cs="Arial"/>
          <w:szCs w:val="22"/>
          <w:lang w:val="hy-AM" w:eastAsia="en-US"/>
        </w:rPr>
      </w:pPr>
    </w:p>
    <w:p w14:paraId="6B6A092A"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7" w:name="_Toc83567435"/>
      <w:bookmarkStart w:id="18" w:name="_Toc83996312"/>
      <w:r w:rsidRPr="00A83C94">
        <w:rPr>
          <w:rFonts w:cs="Arial"/>
          <w:szCs w:val="22"/>
          <w:lang w:val="hy-AM" w:eastAsia="en-US"/>
        </w:rPr>
        <w:t>Էներգետիկա</w:t>
      </w:r>
      <w:bookmarkEnd w:id="17"/>
      <w:bookmarkEnd w:id="18"/>
    </w:p>
    <w:p w14:paraId="5DEE7EB3" w14:textId="77777777" w:rsidR="005F226A" w:rsidRPr="00A83C94" w:rsidRDefault="005F226A" w:rsidP="005F226A">
      <w:pPr>
        <w:pStyle w:val="BodyText2"/>
        <w:tabs>
          <w:tab w:val="left" w:pos="284"/>
          <w:tab w:val="left" w:pos="567"/>
          <w:tab w:val="left" w:pos="993"/>
        </w:tabs>
        <w:ind w:firstLine="709"/>
      </w:pPr>
      <w:r w:rsidRPr="00A83C94">
        <w:t xml:space="preserve">Էներգետիկայի բնագավառում իրականացվող պետական քաղաքականությունն ուղղված է լինելու էներգետիկ անկախության ու անվտանգության մակարդակի բարձրացմանը, սպառողներին էլեկտրաէներգիայի և գազի հուսալի ու որակյալ մատակարարման ապահովմանը։ </w:t>
      </w:r>
    </w:p>
    <w:p w14:paraId="217F8F57" w14:textId="77777777" w:rsidR="005F226A" w:rsidRPr="00A83C94" w:rsidRDefault="005F226A" w:rsidP="005F226A">
      <w:pPr>
        <w:pStyle w:val="BodyText2"/>
        <w:tabs>
          <w:tab w:val="left" w:pos="284"/>
          <w:tab w:val="left" w:pos="567"/>
          <w:tab w:val="left" w:pos="993"/>
        </w:tabs>
        <w:ind w:firstLine="709"/>
        <w:rPr>
          <w:lang w:val="ro-RO"/>
        </w:rPr>
      </w:pPr>
      <w:r w:rsidRPr="00A83C94">
        <w:t>Է</w:t>
      </w:r>
      <w:r w:rsidRPr="00A83C94">
        <w:rPr>
          <w:lang w:val="ro-RO"/>
        </w:rPr>
        <w:t xml:space="preserve">ներգետիկայի </w:t>
      </w:r>
      <w:r w:rsidRPr="00A83C94">
        <w:t xml:space="preserve">բնագավառի </w:t>
      </w:r>
      <w:r w:rsidRPr="00A83C94">
        <w:rPr>
          <w:lang w:val="ro-RO"/>
        </w:rPr>
        <w:t xml:space="preserve">կայուն </w:t>
      </w:r>
      <w:r w:rsidRPr="00A83C94">
        <w:t>զարգացման հիմնարար ուղղություններն են լինելու` վերականգնվող էներգետիկ ներուժի տնտեսապես հիմնավորված, արդյունավետ</w:t>
      </w:r>
      <w:r w:rsidRPr="00A83C94">
        <w:rPr>
          <w:lang w:val="ro-RO"/>
        </w:rPr>
        <w:t xml:space="preserve"> և պատասխանատու օգտագործումը, ատոմային էներգետիկայի </w:t>
      </w:r>
      <w:r w:rsidRPr="00A83C94">
        <w:t xml:space="preserve">խաղաղ նպատակներով </w:t>
      </w:r>
      <w:r w:rsidRPr="00A83C94">
        <w:rPr>
          <w:lang w:val="ro-RO"/>
        </w:rPr>
        <w:t>զարգացումը</w:t>
      </w:r>
      <w:r w:rsidRPr="00A83C94">
        <w:t xml:space="preserve">, արտահանման կողմնորոշում ունեցող կայուն ու հուսալի էներգահամակարգի կառուցումը, ժամանակակից տեխնոլոգիաներով հագեցած նոր արտադրող հզորությունների ստեղծումը, </w:t>
      </w:r>
      <w:r w:rsidRPr="00A83C94">
        <w:rPr>
          <w:lang w:val="ro-RO"/>
        </w:rPr>
        <w:t>էլեկտրաէներգետիկական համակարգի տարածաշրջանային ինտեգրումը, էներգակիրների մատակարարման ուղիների և ձևերի տարատեսակեցումը, էներգաարդյունավետության և էներգախնայողության միջոցառումների ներդնումը, թվային էներգետիկայի վերափոխումը։</w:t>
      </w:r>
    </w:p>
    <w:p w14:paraId="35AACF2D" w14:textId="77777777" w:rsidR="005F226A" w:rsidRPr="00A83C94" w:rsidRDefault="005F226A" w:rsidP="005F226A">
      <w:pPr>
        <w:tabs>
          <w:tab w:val="left" w:pos="284"/>
          <w:tab w:val="left" w:pos="567"/>
          <w:tab w:val="left" w:pos="993"/>
        </w:tabs>
        <w:spacing w:before="0" w:line="276" w:lineRule="auto"/>
        <w:ind w:firstLine="709"/>
        <w:rPr>
          <w:b w:val="0"/>
          <w:szCs w:val="22"/>
          <w:lang w:val="hy-AM"/>
        </w:rPr>
      </w:pPr>
      <w:r w:rsidRPr="00A83C94">
        <w:rPr>
          <w:b w:val="0"/>
          <w:szCs w:val="22"/>
          <w:lang w:val="ro-RO"/>
        </w:rPr>
        <w:t xml:space="preserve">2022 </w:t>
      </w:r>
      <w:r w:rsidRPr="00A83C94">
        <w:rPr>
          <w:b w:val="0"/>
          <w:szCs w:val="22"/>
        </w:rPr>
        <w:t>թվականին</w:t>
      </w:r>
      <w:r w:rsidRPr="00A83C94">
        <w:rPr>
          <w:b w:val="0"/>
          <w:szCs w:val="22"/>
          <w:lang w:val="ro-RO"/>
        </w:rPr>
        <w:t xml:space="preserve"> գործնական</w:t>
      </w:r>
      <w:r w:rsidRPr="00A83C94">
        <w:rPr>
          <w:szCs w:val="22"/>
          <w:lang w:val="ro-RO"/>
        </w:rPr>
        <w:t xml:space="preserve"> </w:t>
      </w:r>
      <w:r w:rsidRPr="00A83C94">
        <w:rPr>
          <w:rFonts w:eastAsia="Calibri"/>
          <w:b w:val="0"/>
          <w:szCs w:val="22"/>
          <w:lang w:val="ro-RO" w:eastAsia="en-US"/>
        </w:rPr>
        <w:t>կիրառության կդրվի աստիճանական ազատականացվող էլեկտրաէներգետիկական շուկայի նոր մոդելը</w:t>
      </w:r>
      <w:r w:rsidRPr="00A83C94">
        <w:rPr>
          <w:b w:val="0"/>
          <w:szCs w:val="22"/>
          <w:lang w:val="ro-RO"/>
        </w:rPr>
        <w:t>, որը կբարձրացնի մրցակցությունը, կխթանի ներդրումների ներգրավումը և միջպետական առևտրի զարգացումը:</w:t>
      </w:r>
      <w:r w:rsidRPr="00A83C94">
        <w:rPr>
          <w:b w:val="0"/>
          <w:szCs w:val="22"/>
          <w:lang w:val="hy-AM"/>
        </w:rPr>
        <w:t xml:space="preserve"> Կշարունակվեն աշխատանքները Եվրասիական տնտեսական միության էլեկտրաէներգետիկական ընդհանուր շուկայի և գազի ընդհանուր շուկայի ձևավորմանն ուղղված աշխատանքները։</w:t>
      </w:r>
    </w:p>
    <w:p w14:paraId="74DAD1A1" w14:textId="77777777" w:rsidR="005F226A" w:rsidRPr="00A83C94" w:rsidRDefault="005F226A" w:rsidP="005F226A">
      <w:pPr>
        <w:tabs>
          <w:tab w:val="left" w:pos="284"/>
          <w:tab w:val="left" w:pos="567"/>
          <w:tab w:val="left" w:pos="993"/>
        </w:tabs>
        <w:spacing w:before="0" w:line="276" w:lineRule="auto"/>
        <w:ind w:firstLine="709"/>
        <w:rPr>
          <w:b w:val="0"/>
          <w:szCs w:val="22"/>
          <w:lang w:val="ro-RO"/>
        </w:rPr>
      </w:pPr>
      <w:r w:rsidRPr="00A83C94">
        <w:rPr>
          <w:b w:val="0"/>
          <w:szCs w:val="22"/>
          <w:lang w:val="hy-AM"/>
        </w:rPr>
        <w:t xml:space="preserve">Շահագործման կհանձնվի  </w:t>
      </w:r>
      <w:r w:rsidRPr="00A83C94">
        <w:rPr>
          <w:b w:val="0"/>
          <w:szCs w:val="22"/>
          <w:lang w:val="ro-RO"/>
        </w:rPr>
        <w:t>250 ՄՎտ հզորությամբ գազային վառելիքով կոմբինացված ցիկլով էլեկտրակայանը։</w:t>
      </w:r>
    </w:p>
    <w:p w14:paraId="09A8F6FE" w14:textId="77777777" w:rsidR="005F226A" w:rsidRPr="00A83C94" w:rsidRDefault="005F226A" w:rsidP="005F226A">
      <w:pPr>
        <w:tabs>
          <w:tab w:val="left" w:pos="284"/>
          <w:tab w:val="left" w:pos="567"/>
          <w:tab w:val="left" w:pos="993"/>
        </w:tabs>
        <w:spacing w:before="0" w:line="276" w:lineRule="auto"/>
        <w:ind w:firstLine="709"/>
        <w:rPr>
          <w:b w:val="0"/>
          <w:szCs w:val="22"/>
          <w:lang w:val="ro-RO"/>
        </w:rPr>
      </w:pPr>
      <w:r w:rsidRPr="00A83C94">
        <w:rPr>
          <w:b w:val="0"/>
          <w:szCs w:val="22"/>
          <w:lang w:val="ro-RO"/>
        </w:rPr>
        <w:t xml:space="preserve">Կշարունակվեն Մասրիկ-1 55 ՄՎտ հզորությամբ արդյունաբերական մասշտաբի արևային ֆոտովոլտային կայանի կառուցման աշխատանքները: Կիրականացվեն գումարային մոտ 120 ՄՎտ հզորությամբ ևս 7 արևային ֆոտովոլտային կայանների կառուցման աշխատանքները, որոնց  մրցութային փաթեթները նախապատրաստման փուլում են: «Մասդար Արմենիա ծրագիր» ներդրումային ծրագրի շրջանակներում կմեկնարկեն «Այգ-1» 200 ՄՎտ արևային ֆոտովոլտային կայանի կառուցման աշխատանքները:  </w:t>
      </w:r>
    </w:p>
    <w:p w14:paraId="32181829" w14:textId="77777777" w:rsidR="005F226A" w:rsidRPr="00A83C94" w:rsidRDefault="005F226A" w:rsidP="005F226A">
      <w:pPr>
        <w:tabs>
          <w:tab w:val="left" w:pos="284"/>
          <w:tab w:val="left" w:pos="567"/>
          <w:tab w:val="left" w:pos="993"/>
        </w:tabs>
        <w:spacing w:before="0" w:line="276" w:lineRule="auto"/>
        <w:ind w:firstLine="709"/>
        <w:rPr>
          <w:rFonts w:eastAsia="Calibri"/>
          <w:b w:val="0"/>
          <w:szCs w:val="22"/>
          <w:lang w:val="hy-AM" w:eastAsia="en-US"/>
        </w:rPr>
      </w:pPr>
      <w:r w:rsidRPr="00A83C94">
        <w:rPr>
          <w:b w:val="0"/>
          <w:szCs w:val="22"/>
          <w:lang w:val="ro-RO"/>
        </w:rPr>
        <w:t>Կավարտվեն Հայկական ԱԷԿ-ի երկրորդ էներգաբլոկի շահագործման նախագծային ժամկետի երկարաձգման նպատակով արդիականացման աշխատանքները` ապահովելու Հայկական ԱԷԿ-ի անվտանգ</w:t>
      </w:r>
      <w:r w:rsidRPr="00A83C94">
        <w:rPr>
          <w:rFonts w:eastAsia="Calibri"/>
          <w:b w:val="0"/>
          <w:szCs w:val="22"/>
          <w:lang w:val="hy-AM" w:eastAsia="en-US"/>
        </w:rPr>
        <w:t xml:space="preserve"> աշխատանքը մինչև 2026 թվականը, որից հետո լրացուցիչ ներդրումներ կարվեն ատոմային էլեկտրակայանի երկրորդ էներգաբլոկի շահագործման ժամկետը ևս 10 տարով երկարաձգելու նպատակով։ Միջուկային նոր էներգաբլոկի կառուցման իրականացման ուղղությամբ կմշակվի համապատասխան ծրագիր:</w:t>
      </w:r>
    </w:p>
    <w:p w14:paraId="6163A4F9" w14:textId="77777777" w:rsidR="005F226A" w:rsidRPr="00A83C94" w:rsidRDefault="005F226A" w:rsidP="005F226A">
      <w:pPr>
        <w:tabs>
          <w:tab w:val="left" w:pos="284"/>
          <w:tab w:val="left" w:pos="567"/>
          <w:tab w:val="left" w:pos="993"/>
        </w:tabs>
        <w:spacing w:before="0" w:line="276" w:lineRule="auto"/>
        <w:ind w:firstLine="709"/>
        <w:rPr>
          <w:b w:val="0"/>
          <w:szCs w:val="22"/>
          <w:lang w:val="hy-AM"/>
        </w:rPr>
      </w:pPr>
      <w:r w:rsidRPr="00A83C94">
        <w:rPr>
          <w:rFonts w:eastAsia="Calibri"/>
          <w:b w:val="0"/>
          <w:szCs w:val="22"/>
          <w:lang w:val="hy-AM" w:eastAsia="en-US"/>
        </w:rPr>
        <w:t>Կշարունակվեն էներգետիկ ենթակառուցվածքների արտադրող կայանների, հաղորդման և բաշխիչ ցանցերի, ենթակայանների, օդային գծերի և այլն վերազինման, արդիականացման, առաջատար տեխնոլոգիաներով հագեցման աշխատանքները։  Կշարունակվեն Հայաստան-Իրան 400 կՎ լարման էլեկտրահաղորդման օդային</w:t>
      </w:r>
      <w:r w:rsidRPr="00A83C94">
        <w:rPr>
          <w:b w:val="0"/>
          <w:szCs w:val="22"/>
          <w:lang w:val="ro-RO"/>
        </w:rPr>
        <w:t xml:space="preserve"> գծի</w:t>
      </w:r>
      <w:r w:rsidRPr="00A83C94">
        <w:rPr>
          <w:b w:val="0"/>
          <w:szCs w:val="22"/>
          <w:lang w:val="hy-AM"/>
        </w:rPr>
        <w:t xml:space="preserve"> և Նորավան ենթակայանի</w:t>
      </w:r>
      <w:r w:rsidRPr="00A83C94">
        <w:rPr>
          <w:b w:val="0"/>
          <w:szCs w:val="22"/>
          <w:lang w:val="ro-RO"/>
        </w:rPr>
        <w:t xml:space="preserve"> </w:t>
      </w:r>
      <w:r w:rsidRPr="00A83C94">
        <w:rPr>
          <w:b w:val="0"/>
          <w:szCs w:val="22"/>
          <w:lang w:val="hy-AM"/>
        </w:rPr>
        <w:t>կառուցման աշխատանքները։</w:t>
      </w:r>
      <w:r w:rsidRPr="00A83C94">
        <w:rPr>
          <w:rFonts w:eastAsia="Calibri"/>
          <w:b w:val="0"/>
          <w:szCs w:val="22"/>
          <w:lang w:val="hy-AM" w:eastAsia="en-US"/>
        </w:rPr>
        <w:t xml:space="preserve"> Կմեկնարկեն Հայաստան-Վրաստան 400 կՎ լարման էլեկտրահաղորդման օդային</w:t>
      </w:r>
      <w:r w:rsidRPr="00A83C94">
        <w:rPr>
          <w:b w:val="0"/>
          <w:szCs w:val="22"/>
          <w:lang w:val="ro-RO"/>
        </w:rPr>
        <w:t xml:space="preserve"> գծի</w:t>
      </w:r>
      <w:r w:rsidRPr="00A83C94">
        <w:rPr>
          <w:b w:val="0"/>
          <w:szCs w:val="22"/>
          <w:lang w:val="hy-AM"/>
        </w:rPr>
        <w:t xml:space="preserve"> կառուցման աշխատանքները։</w:t>
      </w:r>
      <w:r w:rsidRPr="00A83C94">
        <w:rPr>
          <w:b w:val="0"/>
          <w:szCs w:val="22"/>
          <w:lang w:val="hy-AM"/>
        </w:rPr>
        <w:tab/>
      </w:r>
    </w:p>
    <w:p w14:paraId="46BCDA9E" w14:textId="41D37A38" w:rsidR="005F226A" w:rsidRPr="00A83C94" w:rsidRDefault="005F226A" w:rsidP="005F226A">
      <w:pPr>
        <w:tabs>
          <w:tab w:val="left" w:pos="567"/>
        </w:tabs>
        <w:spacing w:before="0" w:line="276" w:lineRule="auto"/>
        <w:ind w:firstLine="0"/>
        <w:contextualSpacing w:val="0"/>
        <w:rPr>
          <w:rFonts w:cs="Sylfaen"/>
          <w:b w:val="0"/>
          <w:iCs/>
          <w:szCs w:val="22"/>
          <w:lang w:val="hy-AM"/>
        </w:rPr>
      </w:pPr>
      <w:r w:rsidRPr="00A83C94">
        <w:rPr>
          <w:rFonts w:cs="Sylfaen"/>
          <w:b w:val="0"/>
          <w:iCs/>
          <w:szCs w:val="22"/>
          <w:lang w:val="hy-AM"/>
        </w:rPr>
        <w:tab/>
        <w:t>Կշարունակվեն նաև ՀՀ միջուկային օրենսդրության համապատասխանեցումը Ատոմային էներգիայի միջազգային գործակալության (ԱԷՄԳ) անվտանգության ստանդարտներին,  Եվրոպական միության անվտանգության դիրեկտիվների՝ այդ թվում  Արևմտաեվրոպական երկրների կարգավորող մարմինների ասոցիացիայի (WENRA) անվտանգության պահանջներին, ինչպես նաև, հաշվի առնելով Ֆուկուշիմայի ԱԷԿ-ի վթարի և «սթրես-թեստի»  ուսումնասիրության արդյունքները, զարգացած երկրների փորձը, Հայկական ԱԷԿ-ի 2-րդ էներգաբլոկի շահագործման նախագծային ժամկետի երկարացման լիցենզավորումը</w:t>
      </w:r>
      <w:r w:rsidR="00DA250D" w:rsidRPr="00A83C94">
        <w:rPr>
          <w:rFonts w:cs="Sylfaen"/>
          <w:b w:val="0"/>
          <w:iCs/>
          <w:szCs w:val="22"/>
          <w:lang w:val="hy-AM"/>
        </w:rPr>
        <w:t>:</w:t>
      </w:r>
    </w:p>
    <w:p w14:paraId="4C26AF3B" w14:textId="77777777" w:rsidR="000825DA" w:rsidRPr="00A83C94" w:rsidRDefault="000825DA" w:rsidP="005F226A">
      <w:pPr>
        <w:tabs>
          <w:tab w:val="left" w:pos="567"/>
        </w:tabs>
        <w:spacing w:before="0" w:line="276" w:lineRule="auto"/>
        <w:ind w:firstLine="0"/>
        <w:contextualSpacing w:val="0"/>
        <w:rPr>
          <w:rFonts w:cs="Sylfaen"/>
          <w:b w:val="0"/>
          <w:iCs/>
          <w:szCs w:val="22"/>
          <w:lang w:val="hy-AM"/>
        </w:rPr>
      </w:pPr>
    </w:p>
    <w:p w14:paraId="03306D38"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9" w:name="_Toc57655418"/>
      <w:bookmarkStart w:id="20" w:name="_Toc83567436"/>
      <w:bookmarkStart w:id="21" w:name="_Toc83996313"/>
      <w:r w:rsidRPr="00A83C94">
        <w:rPr>
          <w:rFonts w:cs="Arial"/>
          <w:szCs w:val="22"/>
          <w:lang w:val="hy-AM" w:eastAsia="en-US"/>
        </w:rPr>
        <w:t>Ջրային տնտեսություն</w:t>
      </w:r>
      <w:bookmarkEnd w:id="19"/>
      <w:bookmarkEnd w:id="20"/>
      <w:bookmarkEnd w:id="21"/>
    </w:p>
    <w:p w14:paraId="73DABFBA" w14:textId="4E3840AA"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Ջրային տնտեսության ոլորտում էապես կարևորվում է բարեփոխումների շարունակման գործընթացի ապահովումը, նոր գաղափարների իրացումն ու ոլորտի զարգացման քաղաքականությունից բխող հիմնախնդիրների լուծումը՝ մասնավորապես, ջրամատակարարման որակի բարձրացումը, յուրաքանչյուր սոցիալական խմբի և շահառուի համար ծառայությունների հասանելության ապահովումը, ոռոգվող հողատարածքների ընդլայնումը:</w:t>
      </w:r>
    </w:p>
    <w:p w14:paraId="29FA403B" w14:textId="77777777"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ՀՀ 2022 թվականի պետական բյուջեում նախատեսվում է ապահովել խմելու և ոռոգման ջրի համակարգերի բարեփոխումների երկարաժամկետ ծրագրերի իրականացումը՝ հիմնականում նպատակ դնելով բարձրացնել համակարգերի շահագործման հուսալիությունը և արդյունավետությունը: Առաջնահերթ խնդիր է համակարգերի կազմակերպությունների գործունեության արդյունավետության բարձրացումը՝ ներառելով մասնավոր կառավարման բաղադրիչը, ինչպես նաև կրճատել ջրի կորուստները և բարելավել ջրամատակարարման ու ջրահեռացման ծառայությունների որակը:</w:t>
      </w:r>
    </w:p>
    <w:p w14:paraId="007ED301" w14:textId="38169FE7"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Միաժամանակ, շարունակ</w:t>
      </w:r>
      <w:r w:rsidR="009A7816" w:rsidRPr="00A83C94">
        <w:rPr>
          <w:b w:val="0"/>
          <w:szCs w:val="22"/>
          <w:lang w:val="hy-AM"/>
        </w:rPr>
        <w:t>վ</w:t>
      </w:r>
      <w:r w:rsidRPr="00A83C94">
        <w:rPr>
          <w:b w:val="0"/>
          <w:szCs w:val="22"/>
          <w:lang w:val="hy-AM"/>
        </w:rPr>
        <w:t>ել</w:t>
      </w:r>
      <w:r w:rsidR="009A7816" w:rsidRPr="00A83C94">
        <w:rPr>
          <w:b w:val="0"/>
          <w:szCs w:val="22"/>
          <w:lang w:val="hy-AM"/>
        </w:rPr>
        <w:t>ու են</w:t>
      </w:r>
      <w:r w:rsidRPr="00A83C94">
        <w:rPr>
          <w:b w:val="0"/>
          <w:szCs w:val="22"/>
          <w:lang w:val="hy-AM"/>
        </w:rPr>
        <w:t xml:space="preserve"> կարևորագույն հիդրոտեխնիկական կառուցվածքների, այդ թվում` ջրամբարների պատվարների ամրապնդման ու նորոգման աշխատանքները՝ երաշխավորելով դրանց անվտանգ ու անխափան շահագործումը:</w:t>
      </w:r>
    </w:p>
    <w:p w14:paraId="1C71905A" w14:textId="4F274D88"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Հասանելի և որակյալ ծառայությունների մատուցման ապահովման նպատակով 2022թ.-ին շարունակ</w:t>
      </w:r>
      <w:r w:rsidR="009A7816" w:rsidRPr="00A83C94">
        <w:rPr>
          <w:b w:val="0"/>
          <w:szCs w:val="22"/>
          <w:lang w:val="hy-AM"/>
        </w:rPr>
        <w:t>վ</w:t>
      </w:r>
      <w:r w:rsidRPr="00A83C94">
        <w:rPr>
          <w:b w:val="0"/>
          <w:szCs w:val="22"/>
          <w:lang w:val="hy-AM"/>
        </w:rPr>
        <w:t>ել</w:t>
      </w:r>
      <w:r w:rsidR="009A7816" w:rsidRPr="00A83C94">
        <w:rPr>
          <w:b w:val="0"/>
          <w:szCs w:val="22"/>
          <w:lang w:val="hy-AM"/>
        </w:rPr>
        <w:t>ու է</w:t>
      </w:r>
      <w:r w:rsidRPr="00A83C94">
        <w:rPr>
          <w:b w:val="0"/>
          <w:szCs w:val="22"/>
          <w:lang w:val="hy-AM"/>
        </w:rPr>
        <w:t xml:space="preserve">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արդիականացման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14:paraId="4BBB8F02" w14:textId="77777777"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ՀՀ ջրային տնտեսության ոլորտում նախատեսվում է իրականացնել հետևյալ հիմնական աշխատանքները՝</w:t>
      </w:r>
    </w:p>
    <w:p w14:paraId="756A1B8C"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ջրային պաշարների մակերևութային հոսքի կառավարման նպատակով նախագծվելու է 15 ջրամբար և սկսվելու է դրանց կառուցումը,</w:t>
      </w:r>
    </w:p>
    <w:p w14:paraId="02AFCDE3"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«Արփա-Սևան» թունելի վթարային առանձին հատվածների հիմնանորոգման աշխատանքներ, որոնց շնորհիվ ապահովվելու է թունելի հուսալի և անխափան շահագործումը,</w:t>
      </w:r>
    </w:p>
    <w:p w14:paraId="2D7A330A"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խթանվելու է նոր տեխնոլոգիաների ներդրմամբ ջրի խնայողական ռեժիմով օգտագործման, այդ թվում՝ կաթիլային և անձրևացման եղանակով ոռոգման համակարգերի ներդրումը, ինչպես նաև ոռոգման ջրի վարձավճարների փոխհատուցման մեխանիզմների կիրառումը,</w:t>
      </w:r>
    </w:p>
    <w:p w14:paraId="4404DB9B"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 xml:space="preserve">շարունակվելու է ոռոգման համակարգերում կառավարման ավտոմատացված ու տվյալների հավաքման (SCADA) համակարգով հագեցած ջրաչափական սարքավորումների տեղադրման և շահագործման միջոցառումների գործընթացը, </w:t>
      </w:r>
    </w:p>
    <w:p w14:paraId="0969930B"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ցերեկային ժամերին առաջացած պոտենցիալ ջրերը, ինչպես նաև գիշերային ժամերին չօգտագործելու հետևանքով առաջացած ջրի ծավալները կուտակելու նպատակով նախագծվելու են օրվա կարգավորիչ ջրավազաններ,</w:t>
      </w:r>
    </w:p>
    <w:p w14:paraId="07EDBFC0" w14:textId="5F64DA31" w:rsidR="005F226A" w:rsidRPr="00A83C94" w:rsidRDefault="009A7816">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 xml:space="preserve">իրականացվելու է </w:t>
      </w:r>
      <w:r w:rsidR="005F226A" w:rsidRPr="00A83C94">
        <w:rPr>
          <w:b w:val="0"/>
          <w:szCs w:val="22"/>
          <w:lang w:val="hy-AM"/>
        </w:rPr>
        <w:t>հակահեղեղային առաջնահերթ միջոցառումների 10 ծրագիր՝ մաքրելով գետերի և հեղեղատարների հուները, ինչպես նաև իրականացվելու են ափերի ամրացման աշխատանքներ,</w:t>
      </w:r>
    </w:p>
    <w:p w14:paraId="63E9B64C" w14:textId="060A6DBD" w:rsidR="005F226A" w:rsidRPr="00A83C94" w:rsidRDefault="009A7816" w:rsidP="005C5FAF">
      <w:pPr>
        <w:pStyle w:val="ListParagraph"/>
        <w:numPr>
          <w:ilvl w:val="0"/>
          <w:numId w:val="19"/>
        </w:numPr>
        <w:tabs>
          <w:tab w:val="left" w:pos="284"/>
          <w:tab w:val="left" w:pos="567"/>
          <w:tab w:val="left" w:pos="993"/>
        </w:tabs>
        <w:spacing w:before="0" w:line="276" w:lineRule="auto"/>
        <w:ind w:left="0" w:firstLine="709"/>
        <w:contextualSpacing w:val="0"/>
        <w:rPr>
          <w:b w:val="0"/>
          <w:szCs w:val="22"/>
          <w:lang w:val="hy-AM"/>
        </w:rPr>
      </w:pPr>
      <w:r w:rsidRPr="00A83C94">
        <w:rPr>
          <w:b w:val="0"/>
          <w:szCs w:val="22"/>
          <w:lang w:val="hy-AM"/>
        </w:rPr>
        <w:t>իրականացվելու են</w:t>
      </w:r>
      <w:r w:rsidR="005F226A" w:rsidRPr="00A83C94">
        <w:rPr>
          <w:b w:val="0"/>
          <w:szCs w:val="22"/>
          <w:lang w:val="hy-AM"/>
        </w:rPr>
        <w:t xml:space="preserve"> ոռոգման ջրանցքների, ջրատարների և պոմպակայանների վերականգնման և նորոգման, ինչպես նաև ինքնահոս համակարգերի կառուցման աշխատանքներ,</w:t>
      </w:r>
    </w:p>
    <w:p w14:paraId="180375C0" w14:textId="1C260788" w:rsidR="005F226A" w:rsidRPr="00A83C94" w:rsidRDefault="009A7816" w:rsidP="00786462">
      <w:pPr>
        <w:pStyle w:val="ListParagraph"/>
        <w:numPr>
          <w:ilvl w:val="0"/>
          <w:numId w:val="19"/>
        </w:numPr>
        <w:tabs>
          <w:tab w:val="left" w:pos="284"/>
          <w:tab w:val="left" w:pos="567"/>
          <w:tab w:val="left" w:pos="993"/>
        </w:tabs>
        <w:spacing w:before="0" w:line="276" w:lineRule="auto"/>
        <w:ind w:left="0" w:firstLine="709"/>
        <w:contextualSpacing w:val="0"/>
        <w:rPr>
          <w:rFonts w:cs="AK Courier"/>
          <w:b w:val="0"/>
          <w:szCs w:val="22"/>
          <w:lang w:val="hy-AM"/>
        </w:rPr>
      </w:pPr>
      <w:r w:rsidRPr="00A83C94">
        <w:rPr>
          <w:rFonts w:cs="AK Courier"/>
          <w:b w:val="0"/>
          <w:szCs w:val="22"/>
          <w:lang w:val="hy-AM"/>
        </w:rPr>
        <w:t>շարունակվելու են</w:t>
      </w:r>
      <w:r w:rsidR="005F226A" w:rsidRPr="00A83C94">
        <w:rPr>
          <w:rFonts w:cs="AK Courier"/>
          <w:b w:val="0"/>
          <w:szCs w:val="22"/>
          <w:lang w:val="hy-AM"/>
        </w:rPr>
        <w:t xml:space="preserve"> ջրի և էլեկտրաէներգիայի խնայողության խրախուսման, ջրամատակարարման տևողության ավելացման և ջրի որակի բարելավման, ինչպես նաև հաշվառման համակարգի շարունակա</w:t>
      </w:r>
      <w:r w:rsidR="00DA250D" w:rsidRPr="00A83C94">
        <w:rPr>
          <w:rFonts w:cs="AK Courier"/>
          <w:b w:val="0"/>
          <w:szCs w:val="22"/>
          <w:lang w:val="hy-AM"/>
        </w:rPr>
        <w:t>կան կատարելագործման աշխատանքներ</w:t>
      </w:r>
      <w:r w:rsidRPr="00A83C94">
        <w:rPr>
          <w:rFonts w:cs="AK Courier"/>
          <w:b w:val="0"/>
          <w:szCs w:val="22"/>
          <w:lang w:val="hy-AM"/>
        </w:rPr>
        <w:t>ը</w:t>
      </w:r>
      <w:r w:rsidR="00DA250D" w:rsidRPr="00A83C94">
        <w:rPr>
          <w:rFonts w:cs="AK Courier"/>
          <w:b w:val="0"/>
          <w:szCs w:val="22"/>
          <w:lang w:val="hy-AM"/>
        </w:rPr>
        <w:t>:</w:t>
      </w:r>
    </w:p>
    <w:p w14:paraId="7C788AE9" w14:textId="77777777" w:rsidR="00BA5EC2" w:rsidRPr="00A83C94" w:rsidRDefault="00BA5EC2" w:rsidP="00BA5EC2">
      <w:pPr>
        <w:tabs>
          <w:tab w:val="left" w:pos="284"/>
          <w:tab w:val="left" w:pos="567"/>
          <w:tab w:val="left" w:pos="993"/>
        </w:tabs>
        <w:spacing w:before="0" w:line="276" w:lineRule="auto"/>
        <w:contextualSpacing w:val="0"/>
        <w:rPr>
          <w:rFonts w:cs="AK Courier"/>
          <w:b w:val="0"/>
          <w:szCs w:val="22"/>
          <w:lang w:val="hy-AM"/>
        </w:rPr>
      </w:pPr>
    </w:p>
    <w:p w14:paraId="3C644416" w14:textId="45D03E26" w:rsidR="00BA5EC2" w:rsidRPr="00A83C94" w:rsidRDefault="00BA5EC2" w:rsidP="00BA5EC2">
      <w:pPr>
        <w:keepNext/>
        <w:tabs>
          <w:tab w:val="left" w:pos="360"/>
        </w:tabs>
        <w:spacing w:before="0" w:line="276" w:lineRule="auto"/>
        <w:ind w:firstLine="426"/>
        <w:contextualSpacing w:val="0"/>
        <w:outlineLvl w:val="2"/>
        <w:rPr>
          <w:rFonts w:cs="Arial"/>
          <w:szCs w:val="22"/>
          <w:lang w:val="hy-AM" w:eastAsia="en-US"/>
        </w:rPr>
      </w:pPr>
      <w:bookmarkStart w:id="22" w:name="_Toc83996314"/>
      <w:r w:rsidRPr="00A83C94">
        <w:rPr>
          <w:rFonts w:cs="Arial"/>
          <w:szCs w:val="22"/>
          <w:lang w:val="hy-AM" w:eastAsia="en-US"/>
        </w:rPr>
        <w:t>Հանրային ծառայությունների կարգավորում</w:t>
      </w:r>
      <w:bookmarkEnd w:id="22"/>
      <w:r w:rsidRPr="00A83C94">
        <w:rPr>
          <w:rFonts w:cs="Arial"/>
          <w:szCs w:val="22"/>
          <w:lang w:val="hy-AM" w:eastAsia="en-US"/>
        </w:rPr>
        <w:t xml:space="preserve"> </w:t>
      </w:r>
    </w:p>
    <w:p w14:paraId="5BBF7371" w14:textId="78B88727" w:rsidR="00BA5EC2" w:rsidRPr="00A83C94" w:rsidRDefault="00BA5EC2" w:rsidP="00BA5EC2">
      <w:pPr>
        <w:tabs>
          <w:tab w:val="left" w:pos="284"/>
          <w:tab w:val="left" w:pos="567"/>
          <w:tab w:val="left" w:pos="993"/>
        </w:tabs>
        <w:spacing w:before="0" w:line="276" w:lineRule="auto"/>
        <w:contextualSpacing w:val="0"/>
        <w:rPr>
          <w:rFonts w:cs="AK Courier"/>
          <w:b w:val="0"/>
          <w:szCs w:val="22"/>
          <w:lang w:val="hy-AM"/>
        </w:rPr>
      </w:pPr>
      <w:r w:rsidRPr="00A83C94">
        <w:rPr>
          <w:rFonts w:cs="AK Courier"/>
          <w:b w:val="0"/>
          <w:szCs w:val="22"/>
          <w:lang w:val="hy-AM"/>
        </w:rPr>
        <w:t xml:space="preserve">2022 թվականի փետրվարի 1-ից էլեկտրաէներգետիկական ազատականացված շուկային անցմամբ պայմանավորված՝ նախատեսվում է սակագների որոշման cost based մեխանիզմներից անցում market based մեխանիզմների, երբ մեծածախ շուկայի առանձին սեգմենտներում առևտրի կազմակերպման և պատասխանատվության սահմանման մեխանիզմների կիրառմամբ հնարավորություն կընձեռվի մրցակցային հարաբերությունների պայմաններում որոշելու էլեկտրական էներգիայի գինը։ 2022 թվականի ընթացքում </w:t>
      </w:r>
      <w:r w:rsidR="003F0255" w:rsidRPr="00A83C94">
        <w:rPr>
          <w:rFonts w:cs="AK Courier"/>
          <w:b w:val="0"/>
          <w:szCs w:val="22"/>
          <w:lang w:val="hy-AM"/>
        </w:rPr>
        <w:t>կշարունակեն իրականացվել</w:t>
      </w:r>
      <w:r w:rsidRPr="00A83C94">
        <w:rPr>
          <w:rFonts w:cs="AK Courier"/>
          <w:b w:val="0"/>
          <w:szCs w:val="22"/>
          <w:lang w:val="hy-AM"/>
        </w:rPr>
        <w:t xml:space="preserve"> էներգետիկայի բնագավառում էներգետիկ հաշվեկշիռների, կարգավորվող ընկերությունների կողմից ծախսերի ու պարտավորությունների, սակագների վրա ազդող մի շարք այլ գործոնների վերլուծություններ և, ըստ անհրաժեշտության, սակագների վերանայման աշխատանքներ, կճշգրտվեն գնման երաշխիք ունեցող վերականգնվող էներգետիկ ռեսուրսների օգտագործմամբ կայաններից առաքվող էլեկտրական էներգիայի վաճառքի սակագները: </w:t>
      </w:r>
    </w:p>
    <w:p w14:paraId="0A33AF71" w14:textId="0FC9256A" w:rsidR="00BA5EC2" w:rsidRPr="00A83C94" w:rsidRDefault="00BA5EC2" w:rsidP="00BA5EC2">
      <w:pPr>
        <w:tabs>
          <w:tab w:val="left" w:pos="284"/>
          <w:tab w:val="left" w:pos="567"/>
          <w:tab w:val="left" w:pos="993"/>
        </w:tabs>
        <w:spacing w:before="0" w:line="276" w:lineRule="auto"/>
        <w:contextualSpacing w:val="0"/>
        <w:rPr>
          <w:rFonts w:cs="AK Courier"/>
          <w:b w:val="0"/>
          <w:szCs w:val="22"/>
          <w:lang w:val="hy-AM"/>
        </w:rPr>
      </w:pPr>
      <w:r w:rsidRPr="00A83C94">
        <w:rPr>
          <w:rFonts w:cs="AK Courier"/>
          <w:b w:val="0"/>
          <w:szCs w:val="22"/>
          <w:lang w:val="hy-AM"/>
        </w:rPr>
        <w:t>2022 թվականի ընթացքում կշարունակվեն աշխատանքները ենթակառուցվածքների զարգացման (այդ թվում՝ լիցենզիաների և ռադիոհաճախականությունների օգտագործման թույլտվությունների տրամադրմամբ) և ՀՀ բնակավայրերում ամրակցված (լարային և անլար տեխնոլոգիաների) լայնաշերտ ինտերնետ հասանելիության ծառայությունների զարգացման ուղղությամբ:</w:t>
      </w:r>
    </w:p>
    <w:p w14:paraId="2EAD5F1D" w14:textId="77777777" w:rsidR="000825DA" w:rsidRPr="00A83C94" w:rsidRDefault="000825DA" w:rsidP="00BA5EC2">
      <w:pPr>
        <w:tabs>
          <w:tab w:val="left" w:pos="284"/>
          <w:tab w:val="left" w:pos="567"/>
          <w:tab w:val="left" w:pos="993"/>
        </w:tabs>
        <w:spacing w:before="0" w:line="276" w:lineRule="auto"/>
        <w:contextualSpacing w:val="0"/>
        <w:rPr>
          <w:rFonts w:cs="AK Courier"/>
          <w:b w:val="0"/>
          <w:szCs w:val="22"/>
          <w:lang w:val="hy-AM"/>
        </w:rPr>
      </w:pPr>
    </w:p>
    <w:p w14:paraId="575370CA"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3" w:name="_Toc26174890"/>
      <w:bookmarkStart w:id="24" w:name="_Toc57655420"/>
      <w:bookmarkStart w:id="25" w:name="_Toc83567437"/>
      <w:bookmarkStart w:id="26" w:name="_Toc83996315"/>
      <w:r w:rsidRPr="00A83C94">
        <w:rPr>
          <w:rFonts w:cs="Arial"/>
          <w:szCs w:val="22"/>
          <w:lang w:val="hy-AM" w:eastAsia="en-US"/>
        </w:rPr>
        <w:t>Քաղաքացիական ավիացիա</w:t>
      </w:r>
      <w:bookmarkEnd w:id="23"/>
      <w:bookmarkEnd w:id="24"/>
      <w:bookmarkEnd w:id="25"/>
      <w:bookmarkEnd w:id="26"/>
      <w:r w:rsidRPr="00A83C94">
        <w:rPr>
          <w:rFonts w:cs="Arial"/>
          <w:szCs w:val="22"/>
          <w:lang w:val="hy-AM" w:eastAsia="en-US"/>
        </w:rPr>
        <w:t xml:space="preserve"> </w:t>
      </w:r>
    </w:p>
    <w:p w14:paraId="371AD405" w14:textId="45DEF689" w:rsidR="005F226A" w:rsidRPr="00A83C94" w:rsidRDefault="005F226A" w:rsidP="005F226A">
      <w:pPr>
        <w:shd w:val="clear" w:color="auto" w:fill="FFFFFF"/>
        <w:tabs>
          <w:tab w:val="left" w:pos="284"/>
          <w:tab w:val="left" w:pos="426"/>
          <w:tab w:val="left" w:pos="567"/>
          <w:tab w:val="left" w:pos="993"/>
        </w:tabs>
        <w:spacing w:before="0" w:line="276" w:lineRule="auto"/>
        <w:ind w:firstLine="709"/>
        <w:contextualSpacing w:val="0"/>
        <w:rPr>
          <w:rFonts w:cs="AK Courier"/>
          <w:b w:val="0"/>
          <w:szCs w:val="22"/>
          <w:lang w:val="hy-AM"/>
        </w:rPr>
      </w:pPr>
      <w:r w:rsidRPr="00A83C94">
        <w:rPr>
          <w:rFonts w:cs="AK Courier"/>
          <w:b w:val="0"/>
          <w:szCs w:val="22"/>
          <w:lang w:val="hy-AM"/>
        </w:rPr>
        <w:t xml:space="preserve">Քաղաքացիական ավիացիայի ոլորտի կառավարման արդյունավետության բարձրացման նպատակով </w:t>
      </w:r>
      <w:r w:rsidR="003F0255" w:rsidRPr="00A83C94">
        <w:rPr>
          <w:rFonts w:cs="AK Courier"/>
          <w:b w:val="0"/>
          <w:szCs w:val="22"/>
          <w:lang w:val="hy-AM"/>
        </w:rPr>
        <w:t xml:space="preserve">կշարունակվի </w:t>
      </w:r>
      <w:r w:rsidRPr="00A83C94">
        <w:rPr>
          <w:rFonts w:cs="AK Courier"/>
          <w:b w:val="0"/>
          <w:szCs w:val="22"/>
          <w:lang w:val="hy-AM"/>
        </w:rPr>
        <w:t>թռիչքային և ավիացիոն անվտանգության մակարդակների համապատասխանեցում</w:t>
      </w:r>
      <w:r w:rsidR="003F0255" w:rsidRPr="00A83C94">
        <w:rPr>
          <w:rFonts w:cs="AK Courier"/>
          <w:b w:val="0"/>
          <w:szCs w:val="22"/>
          <w:lang w:val="hy-AM"/>
        </w:rPr>
        <w:t>ը</w:t>
      </w:r>
      <w:r w:rsidRPr="00A83C94">
        <w:rPr>
          <w:rFonts w:cs="AK Courier"/>
          <w:b w:val="0"/>
          <w:szCs w:val="22"/>
          <w:lang w:val="hy-AM"/>
        </w:rPr>
        <w:t xml:space="preserve"> եվրոպական և միջազգային ստանդարտներին: </w:t>
      </w:r>
    </w:p>
    <w:p w14:paraId="1B44871B" w14:textId="77777777" w:rsidR="005F226A" w:rsidRPr="00A83C94" w:rsidRDefault="005F226A" w:rsidP="005F226A">
      <w:pPr>
        <w:tabs>
          <w:tab w:val="left" w:pos="284"/>
          <w:tab w:val="left" w:pos="993"/>
        </w:tabs>
        <w:spacing w:before="0" w:line="276" w:lineRule="auto"/>
        <w:ind w:firstLine="709"/>
        <w:rPr>
          <w:rFonts w:cs="Arial"/>
          <w:szCs w:val="22"/>
          <w:lang w:val="hy-AM" w:eastAsia="en-US"/>
        </w:rPr>
      </w:pPr>
    </w:p>
    <w:p w14:paraId="2EFFCEA2"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r w:rsidRPr="00A83C94">
        <w:rPr>
          <w:rFonts w:cs="Arial"/>
          <w:szCs w:val="22"/>
          <w:lang w:val="hy-AM" w:eastAsia="en-US"/>
        </w:rPr>
        <w:tab/>
      </w:r>
      <w:r w:rsidRPr="00A83C94">
        <w:rPr>
          <w:rFonts w:cs="Arial"/>
          <w:szCs w:val="22"/>
          <w:lang w:val="hy-AM" w:eastAsia="en-US"/>
        </w:rPr>
        <w:tab/>
      </w:r>
      <w:bookmarkStart w:id="27" w:name="_Toc82989526"/>
      <w:bookmarkStart w:id="28" w:name="_Toc83567438"/>
      <w:bookmarkStart w:id="29" w:name="_Toc83996316"/>
      <w:r w:rsidRPr="00A83C94">
        <w:rPr>
          <w:rFonts w:cs="Arial"/>
          <w:szCs w:val="22"/>
          <w:lang w:val="hy-AM" w:eastAsia="en-US"/>
        </w:rPr>
        <w:t>Պետական գույքի կառավարման ոլորտ</w:t>
      </w:r>
      <w:bookmarkEnd w:id="27"/>
      <w:bookmarkEnd w:id="28"/>
      <w:bookmarkEnd w:id="29"/>
    </w:p>
    <w:p w14:paraId="26A6DCB1" w14:textId="6C7E1FFC" w:rsidR="005F226A" w:rsidRPr="00A83C94" w:rsidRDefault="0069756F" w:rsidP="005F226A">
      <w:pPr>
        <w:pStyle w:val="BodyText2"/>
        <w:tabs>
          <w:tab w:val="left" w:pos="284"/>
          <w:tab w:val="left" w:pos="993"/>
        </w:tabs>
        <w:ind w:firstLine="709"/>
      </w:pPr>
      <w:r w:rsidRPr="00A83C94">
        <w:t>Պ</w:t>
      </w:r>
      <w:r w:rsidR="005F226A" w:rsidRPr="00A83C94">
        <w:t xml:space="preserve">ետական գույքի կառավարման արդյունավետության բարձրացման շնորհիվ </w:t>
      </w:r>
      <w:r w:rsidRPr="00A83C94">
        <w:t xml:space="preserve">կբարձրացվեն </w:t>
      </w:r>
      <w:r w:rsidR="005F226A" w:rsidRPr="00A83C94">
        <w:t>պետական գույքի մասնավորեցումից, օտարումից</w:t>
      </w:r>
      <w:r w:rsidRPr="00A83C94">
        <w:t xml:space="preserve"> և</w:t>
      </w:r>
      <w:r w:rsidR="005F226A" w:rsidRPr="00A83C94">
        <w:t xml:space="preserve"> օգտագործումից </w:t>
      </w:r>
      <w:r w:rsidRPr="00A83C94">
        <w:t>եկամուտները, ինչպես նաև՝</w:t>
      </w:r>
      <w:r w:rsidR="005F226A" w:rsidRPr="00A83C94">
        <w:t xml:space="preserve"> տնտեսական շրջանառության մեջ </w:t>
      </w:r>
      <w:r w:rsidRPr="00A83C94">
        <w:t xml:space="preserve">ներկայումս պետական սեփականություն հանդիսացող գույքի </w:t>
      </w:r>
      <w:r w:rsidR="005F226A" w:rsidRPr="00A83C94">
        <w:t>ներգրավվածությ</w:t>
      </w:r>
      <w:r w:rsidRPr="00A83C94">
        <w:t>ունը</w:t>
      </w:r>
      <w:r w:rsidRPr="00A83C94" w:rsidDel="0069756F">
        <w:t xml:space="preserve"> </w:t>
      </w:r>
      <w:r w:rsidR="005F226A" w:rsidRPr="00A83C94">
        <w:t>։</w:t>
      </w:r>
    </w:p>
    <w:p w14:paraId="6A6D42D9" w14:textId="306425B2" w:rsidR="005F226A" w:rsidRPr="00A83C94" w:rsidRDefault="0069756F" w:rsidP="005F226A">
      <w:pPr>
        <w:pStyle w:val="BodyText2"/>
        <w:tabs>
          <w:tab w:val="left" w:pos="284"/>
          <w:tab w:val="left" w:pos="993"/>
        </w:tabs>
        <w:ind w:firstLine="709"/>
      </w:pPr>
      <w:r w:rsidRPr="00A83C94">
        <w:t>Պ</w:t>
      </w:r>
      <w:r w:rsidR="005F226A" w:rsidRPr="00A83C94">
        <w:t xml:space="preserve">ետական համակարգի մարմինների և պետական կազմակերպությունների կողմից </w:t>
      </w:r>
      <w:r w:rsidRPr="00A83C94">
        <w:t xml:space="preserve">վարձակալված՝ </w:t>
      </w:r>
      <w:r w:rsidR="005F226A" w:rsidRPr="00A83C94">
        <w:t>ոչ պետական սեփականություն համարվող տարածքները կփոխարինվեն պետության սեփականությունը համարվող համապատասխան տարածքներով։</w:t>
      </w:r>
    </w:p>
    <w:p w14:paraId="2D3146D3" w14:textId="77777777" w:rsidR="002F5005" w:rsidRPr="00A83C94" w:rsidRDefault="002F5005" w:rsidP="005F226A">
      <w:pPr>
        <w:pStyle w:val="BodyText2"/>
        <w:tabs>
          <w:tab w:val="left" w:pos="284"/>
          <w:tab w:val="left" w:pos="993"/>
        </w:tabs>
        <w:ind w:firstLine="709"/>
      </w:pPr>
    </w:p>
    <w:p w14:paraId="2F9C9EB3" w14:textId="6FBD7A42" w:rsidR="005F226A" w:rsidRPr="00A83C94" w:rsidRDefault="005F226A" w:rsidP="005F226A">
      <w:pPr>
        <w:keepNext/>
        <w:tabs>
          <w:tab w:val="left" w:pos="567"/>
        </w:tabs>
        <w:spacing w:before="0" w:line="276" w:lineRule="auto"/>
        <w:ind w:firstLine="720"/>
        <w:contextualSpacing w:val="0"/>
        <w:outlineLvl w:val="2"/>
        <w:rPr>
          <w:rFonts w:cs="Arial"/>
          <w:szCs w:val="22"/>
          <w:lang w:val="hy-AM" w:eastAsia="en-US"/>
        </w:rPr>
      </w:pPr>
      <w:bookmarkStart w:id="30" w:name="_Toc83567439"/>
      <w:bookmarkStart w:id="31" w:name="_Toc83996317"/>
      <w:r w:rsidRPr="00A83C94">
        <w:rPr>
          <w:rFonts w:cs="Arial"/>
          <w:lang w:val="hy-AM"/>
        </w:rPr>
        <w:t>Միգրացիա</w:t>
      </w:r>
      <w:bookmarkStart w:id="32" w:name="_Toc26174887"/>
      <w:bookmarkEnd w:id="30"/>
      <w:bookmarkEnd w:id="31"/>
    </w:p>
    <w:p w14:paraId="2680FF3D"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szCs w:val="22"/>
          <w:lang w:val="hy-AM" w:eastAsia="en-US"/>
        </w:rPr>
      </w:pPr>
      <w:bookmarkStart w:id="33" w:name="_Toc26174888"/>
      <w:bookmarkEnd w:id="32"/>
      <w:r w:rsidRPr="00A83C94">
        <w:rPr>
          <w:rFonts w:cs="Sylfaen"/>
          <w:b w:val="0"/>
          <w:szCs w:val="22"/>
          <w:lang w:val="hy-AM" w:eastAsia="en-US"/>
        </w:rPr>
        <w:t xml:space="preserve">ՀՀ-ում միգրացիոն ոլորտի զարգացման նպատակով նախատեսվում է՝ </w:t>
      </w:r>
    </w:p>
    <w:p w14:paraId="3DCC8234" w14:textId="4567D57B" w:rsidR="005F226A" w:rsidRPr="00A83C94" w:rsidRDefault="005F226A" w:rsidP="005F226A">
      <w:pPr>
        <w:tabs>
          <w:tab w:val="left" w:pos="284"/>
          <w:tab w:val="left" w:pos="993"/>
        </w:tabs>
        <w:spacing w:before="0" w:line="276" w:lineRule="auto"/>
        <w:ind w:firstLine="709"/>
        <w:rPr>
          <w:rFonts w:cs="Sylfaen"/>
          <w:b w:val="0"/>
          <w:szCs w:val="22"/>
          <w:lang w:val="hy-AM" w:eastAsia="en-US"/>
        </w:rPr>
      </w:pPr>
      <w:r w:rsidRPr="00A83C94">
        <w:rPr>
          <w:rFonts w:cs="Sylfaen"/>
          <w:b w:val="0"/>
          <w:szCs w:val="22"/>
          <w:lang w:val="hy-AM" w:eastAsia="en-US"/>
        </w:rPr>
        <w:t xml:space="preserve"> -</w:t>
      </w:r>
      <w:r w:rsidR="00D108E5" w:rsidRPr="00A83C94">
        <w:rPr>
          <w:rFonts w:cs="Sylfaen"/>
          <w:b w:val="0"/>
          <w:szCs w:val="22"/>
          <w:lang w:val="hy-AM" w:eastAsia="en-US"/>
        </w:rPr>
        <w:t xml:space="preserve"> </w:t>
      </w:r>
      <w:r w:rsidRPr="00A83C94">
        <w:rPr>
          <w:rFonts w:cs="Sylfaen"/>
          <w:b w:val="0"/>
          <w:szCs w:val="22"/>
          <w:lang w:val="hy-AM" w:eastAsia="en-US"/>
        </w:rPr>
        <w:t>Միգրացիայի կառավարման համակարգի ինստիտուցիոնալ բարեփոխումների իրականացում՝ Ներքին գործերի նախարարության կազմում Միգրացիայի և քաղաքացիության ծառայության ձևավորում,</w:t>
      </w:r>
    </w:p>
    <w:p w14:paraId="69ABE3D3" w14:textId="206FFB85"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Միգրացիոն գործընթացների կառավարմանն ուղղված համակարգերի թվայնացում,</w:t>
      </w:r>
    </w:p>
    <w:p w14:paraId="024FF4D1" w14:textId="77777777"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Օտարերկրյա քաղաքացիներին ՀՀ-ում աշխատանքի թույլտվության և կացության տրամադրման համակարգի թվայնացում և պարզեցում՝ օտարերկրյա աշխատողների գրանցման միասնական էլեկտրոնային հարթակի գործարկում,</w:t>
      </w:r>
    </w:p>
    <w:p w14:paraId="506F9D43" w14:textId="663865A9"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ինտեգրման և վերաինտեգրման խնդիրների կարգավորմանը, հարկադիր միգրանտների զանգվածային ներհոսքի ճգնաժամային կառավարմանն ուղղված գործողությունների ապահովում</w:t>
      </w:r>
      <w:r w:rsidR="00AD2E53" w:rsidRPr="00A83C94">
        <w:rPr>
          <w:rFonts w:cs="Sylfaen"/>
          <w:b w:val="0"/>
          <w:szCs w:val="22"/>
          <w:lang w:val="hy-AM" w:eastAsia="en-US"/>
        </w:rPr>
        <w:t>,</w:t>
      </w:r>
    </w:p>
    <w:p w14:paraId="0BDBAE77" w14:textId="5B1FC1AE" w:rsidR="005F226A" w:rsidRPr="00A83C94" w:rsidRDefault="005F226A" w:rsidP="005C5FAF">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1988-1992 թվականներին Ադրբեջանից բռնի տեղահանված անձանց բնակարանների գնման վկայագրերի տրամադրման միջոցով բնակարանային ապահովման ծրագրի ամփոփում և ավարտ Երևանում, մեկնարկ հանրապետության մարզերում, </w:t>
      </w:r>
    </w:p>
    <w:p w14:paraId="05C0BA11" w14:textId="3D7EE709"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 ՀՀ վերադարձող քաղաքացիների վերաինտեգրմանն ուղղված ծրագրերի իրականացում,</w:t>
      </w:r>
    </w:p>
    <w:p w14:paraId="4DAEBF72" w14:textId="58D27347"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 ՀՀ-ԵՄ միջև առանց թույլտվության բնակվող անձանց հետընդունման (ռեադմիսիայի) մասին համաձայնագրի շրջանակներում ստ</w:t>
      </w:r>
      <w:r w:rsidR="00AD2E53" w:rsidRPr="00A83C94">
        <w:rPr>
          <w:rFonts w:cs="Sylfaen"/>
          <w:b w:val="0"/>
          <w:szCs w:val="22"/>
          <w:lang w:val="hy-AM" w:eastAsia="en-US"/>
        </w:rPr>
        <w:t>ացվող հայցերի ընթացքի ապահվում:</w:t>
      </w:r>
    </w:p>
    <w:p w14:paraId="302FD91F" w14:textId="77777777" w:rsidR="000825DA" w:rsidRPr="00A83C94" w:rsidRDefault="000825DA" w:rsidP="005C5FAF">
      <w:pPr>
        <w:pStyle w:val="ListParagraph"/>
        <w:tabs>
          <w:tab w:val="left" w:pos="284"/>
          <w:tab w:val="left" w:pos="567"/>
          <w:tab w:val="left" w:pos="993"/>
        </w:tabs>
        <w:spacing w:before="0" w:line="276" w:lineRule="auto"/>
        <w:ind w:left="709" w:firstLine="0"/>
        <w:contextualSpacing w:val="0"/>
        <w:rPr>
          <w:rFonts w:cs="Sylfaen"/>
          <w:b w:val="0"/>
          <w:szCs w:val="22"/>
          <w:lang w:val="hy-AM" w:eastAsia="en-US"/>
        </w:rPr>
      </w:pPr>
    </w:p>
    <w:p w14:paraId="66A1F090" w14:textId="77777777" w:rsidR="005F226A" w:rsidRPr="00A83C94" w:rsidRDefault="005F226A" w:rsidP="005D2928">
      <w:pPr>
        <w:keepNext/>
        <w:tabs>
          <w:tab w:val="left" w:pos="-2160"/>
        </w:tabs>
        <w:spacing w:before="0" w:line="276" w:lineRule="auto"/>
        <w:ind w:firstLine="720"/>
        <w:contextualSpacing w:val="0"/>
        <w:outlineLvl w:val="2"/>
        <w:rPr>
          <w:rFonts w:cs="Arial"/>
          <w:szCs w:val="22"/>
          <w:lang w:val="hy-AM" w:eastAsia="en-US"/>
        </w:rPr>
      </w:pPr>
      <w:bookmarkStart w:id="34" w:name="_Toc26174892"/>
      <w:bookmarkStart w:id="35" w:name="_Toc83567440"/>
      <w:bookmarkStart w:id="36" w:name="_Toc83996318"/>
      <w:bookmarkEnd w:id="33"/>
      <w:r w:rsidRPr="00A83C94">
        <w:rPr>
          <w:rFonts w:cs="Arial"/>
          <w:szCs w:val="22"/>
          <w:lang w:val="hy-AM" w:eastAsia="en-US"/>
        </w:rPr>
        <w:t>Բարձր տեխնոլոգիական արդյունաբերություն</w:t>
      </w:r>
      <w:bookmarkEnd w:id="34"/>
      <w:bookmarkEnd w:id="35"/>
      <w:bookmarkEnd w:id="36"/>
    </w:p>
    <w:p w14:paraId="6D96AA96" w14:textId="1800EF90" w:rsidR="005F226A" w:rsidRPr="00A83C94" w:rsidRDefault="000B15F2" w:rsidP="005D2928">
      <w:pPr>
        <w:pStyle w:val="BodyText2"/>
        <w:rPr>
          <w:noProof/>
        </w:rPr>
      </w:pPr>
      <w:r w:rsidRPr="00A83C94">
        <w:rPr>
          <w:noProof/>
        </w:rPr>
        <w:t xml:space="preserve">Ոլորտում քաղաքականության նպատակն է </w:t>
      </w:r>
      <w:r w:rsidR="005F226A" w:rsidRPr="00A83C94">
        <w:rPr>
          <w:noProof/>
        </w:rPr>
        <w:t>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14:paraId="481B3A5F" w14:textId="77777777" w:rsidR="005F226A" w:rsidRPr="00A83C94" w:rsidRDefault="005F226A" w:rsidP="005D2928">
      <w:pPr>
        <w:pStyle w:val="BodyText2"/>
        <w:rPr>
          <w:noProof/>
        </w:rPr>
      </w:pPr>
      <w:r w:rsidRPr="00A83C94">
        <w:rPr>
          <w:noProof/>
        </w:rPr>
        <w:t>2022 թվականին ոլորտի աշխատանքն ուղղված է լինելու հետևյալ երեք հիմնական նպատակների  (ուղենիշների) կատարմանը`</w:t>
      </w:r>
    </w:p>
    <w:p w14:paraId="579B2E58" w14:textId="781E3F04" w:rsidR="005F226A" w:rsidRPr="00A83C94" w:rsidRDefault="005F226A" w:rsidP="005D2928">
      <w:pPr>
        <w:pStyle w:val="BodyText2"/>
        <w:rPr>
          <w:noProof/>
        </w:rPr>
      </w:pPr>
      <w:r w:rsidRPr="00A83C94">
        <w:rPr>
          <w:noProof/>
        </w:rPr>
        <w:t>- Պաշտպանական տեխնոլոգիաների զարգացում` ռազմարդյունաբերություն, գիտահետազոտական ծրագրեր, տեխնոլոգիաների ներդրում,</w:t>
      </w:r>
    </w:p>
    <w:p w14:paraId="774DCC05" w14:textId="77777777" w:rsidR="005F226A" w:rsidRPr="00A83C94" w:rsidRDefault="005F226A" w:rsidP="005D2928">
      <w:pPr>
        <w:pStyle w:val="BodyText2"/>
        <w:rPr>
          <w:noProof/>
        </w:rPr>
      </w:pPr>
      <w:r w:rsidRPr="00A83C94">
        <w:rPr>
          <w:noProof/>
        </w:rPr>
        <w:t>- 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տարածաշրջանային կենտրոնի վերածում</w:t>
      </w:r>
    </w:p>
    <w:p w14:paraId="7E98C4CA" w14:textId="405AC591" w:rsidR="005F226A" w:rsidRPr="00A83C94" w:rsidRDefault="005F226A" w:rsidP="005D2928">
      <w:pPr>
        <w:pStyle w:val="BodyText2"/>
        <w:rPr>
          <w:noProof/>
        </w:rPr>
      </w:pPr>
      <w:r w:rsidRPr="00A83C94">
        <w:rPr>
          <w:noProof/>
        </w:rPr>
        <w:t>- արտաքին շուկաներում պրոյեկտների և արտադրանքի ներկայաց</w:t>
      </w:r>
      <w:r w:rsidR="000B15F2" w:rsidRPr="00A83C94">
        <w:rPr>
          <w:noProof/>
        </w:rPr>
        <w:t>ու</w:t>
      </w:r>
      <w:r w:rsidRPr="00A83C94">
        <w:rPr>
          <w:noProof/>
        </w:rPr>
        <w:t>մ,  տնտեսության և կառավարման համակարգի թվայնաց</w:t>
      </w:r>
      <w:r w:rsidR="000B15F2" w:rsidRPr="00A83C94">
        <w:rPr>
          <w:noProof/>
        </w:rPr>
        <w:t>ու</w:t>
      </w:r>
      <w:r w:rsidRPr="00A83C94">
        <w:rPr>
          <w:noProof/>
        </w:rPr>
        <w:t>մ</w:t>
      </w:r>
      <w:r w:rsidR="000B15F2" w:rsidRPr="00A83C94">
        <w:rPr>
          <w:noProof/>
        </w:rPr>
        <w:t xml:space="preserve"> և</w:t>
      </w:r>
      <w:r w:rsidRPr="00A83C94">
        <w:rPr>
          <w:noProof/>
        </w:rPr>
        <w:t xml:space="preserve"> արտահանման ծավալների ավելաց</w:t>
      </w:r>
      <w:r w:rsidR="000B15F2" w:rsidRPr="00A83C94">
        <w:rPr>
          <w:noProof/>
        </w:rPr>
        <w:t>ու</w:t>
      </w:r>
      <w:r w:rsidRPr="00A83C94">
        <w:rPr>
          <w:noProof/>
        </w:rPr>
        <w:t>մ:</w:t>
      </w:r>
    </w:p>
    <w:p w14:paraId="45C265A7" w14:textId="271F8D42" w:rsidR="005F226A" w:rsidRPr="00A83C94" w:rsidRDefault="005F226A" w:rsidP="005D2928">
      <w:pPr>
        <w:pStyle w:val="BodyText2"/>
        <w:rPr>
          <w:noProof/>
        </w:rPr>
      </w:pPr>
      <w:r w:rsidRPr="00A83C94">
        <w:rPr>
          <w:noProof/>
        </w:rPr>
        <w:t>2022թ. նախատես</w:t>
      </w:r>
      <w:r w:rsidR="000B15F2" w:rsidRPr="00A83C94">
        <w:rPr>
          <w:noProof/>
        </w:rPr>
        <w:t>վ</w:t>
      </w:r>
      <w:r w:rsidRPr="00A83C94">
        <w:rPr>
          <w:noProof/>
        </w:rPr>
        <w:t xml:space="preserve">ում </w:t>
      </w:r>
      <w:r w:rsidR="000B15F2" w:rsidRPr="00A83C94">
        <w:rPr>
          <w:noProof/>
        </w:rPr>
        <w:t>են</w:t>
      </w:r>
      <w:r w:rsidRPr="00A83C94">
        <w:rPr>
          <w:noProof/>
        </w:rPr>
        <w:t xml:space="preserve"> հետևյալ ծրագրերն ու միջոցառումները: </w:t>
      </w:r>
    </w:p>
    <w:p w14:paraId="00F17436" w14:textId="60B4830E" w:rsidR="005F226A" w:rsidRPr="00A83C94" w:rsidRDefault="005F226A" w:rsidP="005D2928">
      <w:pPr>
        <w:pStyle w:val="BodyText2"/>
        <w:rPr>
          <w:noProof/>
        </w:rPr>
      </w:pPr>
      <w:r w:rsidRPr="00A83C94">
        <w:rPr>
          <w:b/>
          <w:noProof/>
        </w:rPr>
        <w:t>Ռազմարդյունաբերության ոլորտում</w:t>
      </w:r>
      <w:r w:rsidRPr="00A83C94">
        <w:rPr>
          <w:noProof/>
        </w:rPr>
        <w:t xml:space="preserve"> նախատեսվում է իրականացնել «Հետազոտական և նախագծային աշխատանքներ պաշտպանության ոլորտում» ծրագրի «Գիտական և գիտատեխնիկական նպատակային ծրագրային հետազոտություններ» միջոցառումը, որի իրականացման նպատակով 2022թ</w:t>
      </w:r>
      <w:r w:rsidRPr="00A83C94">
        <w:rPr>
          <w:rFonts w:ascii="Cambria Math" w:hAnsi="Cambria Math" w:cs="Cambria Math"/>
          <w:noProof/>
        </w:rPr>
        <w:t>․</w:t>
      </w:r>
      <w:r w:rsidRPr="00A83C94">
        <w:rPr>
          <w:noProof/>
        </w:rPr>
        <w:t xml:space="preserve"> նախատեսվում է`</w:t>
      </w:r>
      <w:r w:rsidR="000B15F2" w:rsidRPr="00A83C94">
        <w:rPr>
          <w:noProof/>
        </w:rPr>
        <w:t xml:space="preserve"> ն</w:t>
      </w:r>
      <w:r w:rsidRPr="00A83C94">
        <w:rPr>
          <w:noProof/>
        </w:rPr>
        <w:t>որ նմուշների մշակում,</w:t>
      </w:r>
      <w:r w:rsidR="000B15F2" w:rsidRPr="00A83C94">
        <w:rPr>
          <w:noProof/>
        </w:rPr>
        <w:t xml:space="preserve"> ն</w:t>
      </w:r>
      <w:r w:rsidRPr="00A83C94">
        <w:rPr>
          <w:noProof/>
        </w:rPr>
        <w:t>որ և արդիականացված նմուշների փորձնական խմբաքանակների արտադրություն,</w:t>
      </w:r>
      <w:r w:rsidR="000B15F2" w:rsidRPr="00A83C94">
        <w:rPr>
          <w:noProof/>
        </w:rPr>
        <w:t xml:space="preserve"> ինչպես նաև՝ </w:t>
      </w:r>
      <w:r w:rsidRPr="00A83C94">
        <w:rPr>
          <w:noProof/>
        </w:rPr>
        <w:t>սպառազինության և ռազմական տեխնիկայի և ռազմատեխնիկական ունեցվածքի արդիականացում:</w:t>
      </w:r>
    </w:p>
    <w:p w14:paraId="4A03FF21" w14:textId="77777777" w:rsidR="005F226A" w:rsidRPr="00A83C94" w:rsidRDefault="005F226A" w:rsidP="005D2928">
      <w:pPr>
        <w:pStyle w:val="BodyText2"/>
        <w:rPr>
          <w:noProof/>
        </w:rPr>
      </w:pPr>
    </w:p>
    <w:p w14:paraId="165F61B8" w14:textId="77777777" w:rsidR="005F226A" w:rsidRPr="00A83C94" w:rsidRDefault="005F226A" w:rsidP="005D2928">
      <w:pPr>
        <w:pStyle w:val="BodyText2"/>
        <w:rPr>
          <w:b/>
          <w:noProof/>
        </w:rPr>
      </w:pPr>
      <w:r w:rsidRPr="00A83C94">
        <w:rPr>
          <w:b/>
          <w:noProof/>
        </w:rPr>
        <w:t xml:space="preserve">Բարձր տեխնոլոգիական արդյունաբերության և թվայնացման ոլորտ </w:t>
      </w:r>
    </w:p>
    <w:p w14:paraId="64348EC8" w14:textId="77777777" w:rsidR="005F226A" w:rsidRPr="00A83C94" w:rsidRDefault="005F226A" w:rsidP="005D2928">
      <w:pPr>
        <w:pStyle w:val="BodyText2"/>
        <w:rPr>
          <w:noProof/>
        </w:rPr>
      </w:pPr>
      <w:r w:rsidRPr="00A83C94">
        <w:rPr>
          <w:noProof/>
        </w:rPr>
        <w:t>2022թ նախատեսվում է իրականացնել Բարձր տեխնոլոգիական արդյունաբերության էկոհամակարգի, թվայնացման  և շուկայի զարգացման ծրագիրը, որի նպատակն է՝ կադրերի թիրախավորված պատրաստում և վերապատրաստում, բարձր տեխնոլոգիական ոլորտի համար անհրաժեշտ էկոհամակարգի զարգացում, Հայկական Սփյուռքի ներգրավվածությունն ապահովելու համար  հայկական ընկերությունների, կազմակերպությունների և անհատների հետ շարունակական համագործակցության հարթակ ստեղծում, թվային տեխնոլոգիաների զարգացում, ինչպես նաև կիբեռանվտանգության և ինտերնետ հասանելիության մակարդակի բարձրացում։</w:t>
      </w:r>
    </w:p>
    <w:p w14:paraId="4F567EAC" w14:textId="4B9D0F7D" w:rsidR="005F226A" w:rsidRPr="00A83C94" w:rsidRDefault="005F226A" w:rsidP="005D2928">
      <w:pPr>
        <w:pStyle w:val="BodyText2"/>
        <w:rPr>
          <w:noProof/>
        </w:rPr>
      </w:pPr>
    </w:p>
    <w:p w14:paraId="5EFDCB39" w14:textId="272E400E" w:rsidR="005F226A" w:rsidRPr="00A83C94" w:rsidRDefault="005F226A" w:rsidP="005D2928">
      <w:pPr>
        <w:pStyle w:val="BodyText2"/>
        <w:rPr>
          <w:b/>
          <w:noProof/>
        </w:rPr>
      </w:pPr>
      <w:r w:rsidRPr="00A83C94">
        <w:rPr>
          <w:noProof/>
        </w:rPr>
        <w:t xml:space="preserve"> </w:t>
      </w:r>
      <w:r w:rsidRPr="00A83C94">
        <w:rPr>
          <w:b/>
          <w:noProof/>
        </w:rPr>
        <w:t>Հեռահաղորդակցության ապահովում</w:t>
      </w:r>
    </w:p>
    <w:p w14:paraId="496A3A19" w14:textId="77777777" w:rsidR="005F226A" w:rsidRPr="00A83C94" w:rsidRDefault="005F226A" w:rsidP="005D2928">
      <w:pPr>
        <w:pStyle w:val="BodyText2"/>
        <w:rPr>
          <w:noProof/>
        </w:rPr>
      </w:pPr>
      <w:r w:rsidRPr="00A83C94">
        <w:rPr>
          <w:noProof/>
        </w:rPr>
        <w:t>Ծրագրի նպատակն է ապահովել Հայաստանի Հանրապե</w:t>
      </w:r>
      <w:r w:rsidRPr="00A83C94">
        <w:rPr>
          <w:noProof/>
        </w:rPr>
        <w:softHyphen/>
        <w:t>տու</w:t>
      </w:r>
      <w:r w:rsidRPr="00A83C94">
        <w:rPr>
          <w:noProof/>
        </w:rPr>
        <w:softHyphen/>
        <w:t>թյունում հեռահաղորդակցության և կապի ծառայությունների որակի կանոնակարգումն ու բարելավումը: Մասնավորապես, կապահովի հեռահաղորդակ</w:t>
      </w:r>
      <w:r w:rsidRPr="00A83C94">
        <w:rPr>
          <w:noProof/>
        </w:rPr>
        <w:softHyphen/>
        <w:t xml:space="preserve">ցության և կապի ծառայությունների որակի կանոնակարգումն ու բարելավումը (ՀՀ հաճախականությունների բաշխումների աղյուսակի կազմում, ռադիոեթերի մոնիթորինգի և ազդանշանների տեխնիկական պարամետրերի չափումների անցկացում, ռադիոէլեկտրոնային միջոցների և բարձր հաճախության սարքավորումների տեղորոշում), հանրապետական սփռման մուլտիպլեքսի արբանյակային տարածման համար արբանյակային ունակության վարձակալումը, ինչպես նաև նախատեսվում է իրականացնել ՀՀ տարածքում բազային և շարժական ռադիոմոնիտորինգի համակարգի ներդրման միջոցառումը։ </w:t>
      </w:r>
    </w:p>
    <w:p w14:paraId="0B43BC9C" w14:textId="77777777" w:rsidR="005F226A" w:rsidRPr="00A83C94" w:rsidRDefault="005F226A" w:rsidP="005D2928">
      <w:pPr>
        <w:pStyle w:val="BodyText2"/>
        <w:rPr>
          <w:noProof/>
        </w:rPr>
      </w:pPr>
    </w:p>
    <w:p w14:paraId="40A752E3"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37" w:name="_Toc26174893"/>
      <w:bookmarkStart w:id="38" w:name="_Toc83567441"/>
      <w:bookmarkStart w:id="39" w:name="_Toc83996319"/>
      <w:r w:rsidRPr="00A83C94">
        <w:rPr>
          <w:rFonts w:cs="Arial"/>
          <w:szCs w:val="22"/>
          <w:lang w:val="hy-AM" w:eastAsia="en-US"/>
        </w:rPr>
        <w:t>Քաղաքաշինություն</w:t>
      </w:r>
      <w:bookmarkEnd w:id="37"/>
      <w:bookmarkEnd w:id="38"/>
      <w:bookmarkEnd w:id="39"/>
    </w:p>
    <w:p w14:paraId="66E5E20F" w14:textId="4F714D65" w:rsidR="005F226A" w:rsidRPr="00A83C94" w:rsidRDefault="005F226A" w:rsidP="005D2928">
      <w:pPr>
        <w:pStyle w:val="BodyText2"/>
      </w:pPr>
      <w:r w:rsidRPr="00A83C94">
        <w:t xml:space="preserve">Ոլորտում իրագործվող </w:t>
      </w:r>
      <w:r w:rsidR="000B15F2" w:rsidRPr="00A83C94">
        <w:t>ծրագրերն</w:t>
      </w:r>
      <w:r w:rsidRPr="00A83C94">
        <w:t xml:space="preserve"> ուղղվելու </w:t>
      </w:r>
      <w:r w:rsidR="000B15F2" w:rsidRPr="00A83C94">
        <w:t>են</w:t>
      </w:r>
      <w:r w:rsidRPr="00A83C94">
        <w:t xml:space="preserve"> հանրապետության ողջ տարածքի համակցված տարածական պլանավորման փաստաթղթերով ապահովմանը, ինչպես նաև քաղաքաշինական նորմատիվ փաստաթղթերի միջազգային և եվրոպական նորմերին ու  ստանդարտներին համապատասխանեցմանը</w:t>
      </w:r>
      <w:r w:rsidR="000B15F2" w:rsidRPr="00A83C94">
        <w:t>:</w:t>
      </w:r>
    </w:p>
    <w:p w14:paraId="1C1E5875" w14:textId="77777777" w:rsidR="005F226A" w:rsidRPr="00A83C94" w:rsidRDefault="005F226A" w:rsidP="005D2928">
      <w:pPr>
        <w:pStyle w:val="BodyText2"/>
        <w:rPr>
          <w:bCs/>
        </w:rPr>
      </w:pPr>
    </w:p>
    <w:p w14:paraId="53342F68"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0" w:name="_Toc26174894"/>
      <w:bookmarkStart w:id="41" w:name="_Toc83567442"/>
      <w:bookmarkStart w:id="42" w:name="_Toc83996320"/>
      <w:r w:rsidRPr="00A83C94">
        <w:rPr>
          <w:rFonts w:cs="Arial"/>
          <w:szCs w:val="22"/>
          <w:lang w:val="hy-AM" w:eastAsia="en-US"/>
        </w:rPr>
        <w:t>Արտակարգ իրավիճակների բնագավառ</w:t>
      </w:r>
      <w:bookmarkEnd w:id="40"/>
      <w:bookmarkEnd w:id="41"/>
      <w:bookmarkEnd w:id="42"/>
      <w:r w:rsidRPr="00A83C94">
        <w:rPr>
          <w:rFonts w:cs="Arial"/>
          <w:szCs w:val="22"/>
          <w:lang w:val="hy-AM" w:eastAsia="en-US"/>
        </w:rPr>
        <w:t xml:space="preserve"> </w:t>
      </w:r>
    </w:p>
    <w:p w14:paraId="140B9DBF" w14:textId="4239D73B" w:rsidR="005F226A" w:rsidRPr="00A83C94" w:rsidRDefault="005F226A" w:rsidP="005D2928">
      <w:pPr>
        <w:tabs>
          <w:tab w:val="left" w:pos="567"/>
        </w:tabs>
        <w:spacing w:before="0" w:line="276" w:lineRule="auto"/>
        <w:ind w:firstLine="720"/>
        <w:contextualSpacing w:val="0"/>
        <w:rPr>
          <w:rFonts w:eastAsia="Calibri" w:cs="Sylfaen"/>
          <w:b w:val="0"/>
          <w:noProof/>
          <w:szCs w:val="22"/>
          <w:lang w:val="hy-AM"/>
        </w:rPr>
      </w:pPr>
      <w:bookmarkStart w:id="43" w:name="_Toc26174895"/>
      <w:r w:rsidRPr="00A83C94">
        <w:rPr>
          <w:rFonts w:eastAsia="Calibri" w:cs="Sylfaen"/>
          <w:b w:val="0"/>
          <w:noProof/>
          <w:szCs w:val="22"/>
          <w:lang w:val="hy-AM"/>
        </w:rPr>
        <w:t>Արտակարգ իրավիճակներում բնակչության պաշտպանության բնագավառում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w:t>
      </w:r>
    </w:p>
    <w:p w14:paraId="1CAF709F" w14:textId="77777777" w:rsidR="005F226A" w:rsidRPr="00A83C94" w:rsidRDefault="005F226A" w:rsidP="005D2928">
      <w:pPr>
        <w:tabs>
          <w:tab w:val="left" w:pos="567"/>
        </w:tabs>
        <w:spacing w:before="0" w:line="276" w:lineRule="auto"/>
        <w:ind w:firstLine="720"/>
        <w:contextualSpacing w:val="0"/>
        <w:rPr>
          <w:rFonts w:eastAsia="Calibri" w:cs="Sylfaen"/>
          <w:b w:val="0"/>
          <w:noProof/>
          <w:szCs w:val="22"/>
          <w:lang w:val="hy-AM"/>
        </w:rPr>
      </w:pPr>
      <w:r w:rsidRPr="00A83C94">
        <w:rPr>
          <w:rFonts w:eastAsia="Calibri" w:cs="Sylfaen"/>
          <w:b w:val="0"/>
          <w:noProof/>
          <w:szCs w:val="22"/>
          <w:lang w:val="hy-AM"/>
        </w:rPr>
        <w:tab/>
        <w:t>2022 թվականի հիմնական խնդիրներն են.</w:t>
      </w:r>
    </w:p>
    <w:p w14:paraId="11803B23" w14:textId="77777777" w:rsidR="005F226A" w:rsidRPr="00A83C94" w:rsidRDefault="005F226A" w:rsidP="005D2928">
      <w:pPr>
        <w:pStyle w:val="BodyText2"/>
      </w:pPr>
      <w:r w:rsidRPr="00A83C94">
        <w:t>- Փրկարար ծառայությունում փրկարարական համակարգի կատարելագործում և զարգացում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նախարարության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p>
    <w:p w14:paraId="7F696A1A" w14:textId="6603EE12" w:rsidR="005F226A" w:rsidRPr="00A83C94" w:rsidRDefault="005F226A" w:rsidP="005D2928">
      <w:pPr>
        <w:pStyle w:val="BodyText2"/>
      </w:pPr>
      <w:r w:rsidRPr="00A83C94">
        <w:t>- Ճգնաժամային կառավարման պետական ակադեմիայի հնարավորու</w:t>
      </w:r>
      <w:r w:rsidRPr="00A83C94">
        <w:softHyphen/>
        <w:t>թյուն</w:t>
      </w:r>
      <w:r w:rsidRPr="00A83C94">
        <w:softHyphen/>
        <w:t>ներ</w:t>
      </w:r>
      <w:r w:rsidR="00526461" w:rsidRPr="00A83C94">
        <w:t>ի զարգացումը</w:t>
      </w:r>
      <w:r w:rsidRPr="00A83C94">
        <w:t>` դարձնելով այն արտակարգ իրավիճակների և քաղաքացիական պաշտպանու</w:t>
      </w:r>
      <w:r w:rsidRPr="00A83C94">
        <w:softHyphen/>
        <w:t>թյան մասնագետների պատրաստման ու վերապատրաստման  կենտրոն, ինչպես նաև</w:t>
      </w:r>
      <w:r w:rsidR="00526461" w:rsidRPr="00A83C94">
        <w:t>՝</w:t>
      </w:r>
      <w:r w:rsidRPr="00A83C94">
        <w:t xml:space="preserve"> </w:t>
      </w:r>
      <w:r w:rsidR="00526461" w:rsidRPr="00A83C94">
        <w:t>բնակչության շրջանում</w:t>
      </w:r>
      <w:r w:rsidRPr="00A83C94">
        <w:t xml:space="preserve"> անվտանգության կանոնների ուսուցանում</w:t>
      </w:r>
      <w:r w:rsidR="00526461" w:rsidRPr="00A83C94">
        <w:t>ը</w:t>
      </w:r>
      <w:r w:rsidRPr="00A83C94">
        <w:t>:</w:t>
      </w:r>
      <w:r w:rsidRPr="00A83C94">
        <w:tab/>
      </w:r>
      <w:r w:rsidRPr="00A83C94">
        <w:tab/>
      </w:r>
      <w:r w:rsidRPr="00A83C94">
        <w:tab/>
      </w:r>
      <w:r w:rsidRPr="00A83C94">
        <w:tab/>
      </w:r>
      <w:r w:rsidRPr="00A83C94">
        <w:tab/>
      </w:r>
      <w:r w:rsidRPr="00A83C94">
        <w:tab/>
      </w:r>
    </w:p>
    <w:p w14:paraId="0A187716" w14:textId="77777777" w:rsidR="005F226A" w:rsidRPr="00A83C94" w:rsidRDefault="005F226A" w:rsidP="005D2928">
      <w:pPr>
        <w:pStyle w:val="BodyText2"/>
      </w:pPr>
      <w:r w:rsidRPr="00A83C94">
        <w:t xml:space="preserve">- Ճգնաժամային կառավարման ազգային կենտրոնում մարդուն հրատապ օգնության համապետական համակարգի &lt;&lt;911&gt;&gt; դիսպետչերական ծառայության զարգացում`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 </w:t>
      </w:r>
      <w:r w:rsidRPr="00A83C94">
        <w:tab/>
      </w:r>
      <w:r w:rsidRPr="00A83C94">
        <w:tab/>
      </w:r>
      <w:r w:rsidRPr="00A83C94">
        <w:tab/>
      </w:r>
      <w:r w:rsidRPr="00A83C94">
        <w:tab/>
      </w:r>
      <w:r w:rsidRPr="00A83C94">
        <w:tab/>
      </w:r>
    </w:p>
    <w:p w14:paraId="679D4269" w14:textId="77777777" w:rsidR="005F226A" w:rsidRPr="00A83C94" w:rsidRDefault="005F226A" w:rsidP="005D2928">
      <w:pPr>
        <w:pStyle w:val="BodyText2"/>
      </w:pPr>
      <w:r w:rsidRPr="00A83C94">
        <w:tab/>
        <w:t>- 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 Այս ոլորտում նոր քաղաքականության մշակում՝ ընդգրկելով մասնավոր սեկտորի հնարավորություններն ու կարողությունները:</w:t>
      </w:r>
    </w:p>
    <w:p w14:paraId="1709918F" w14:textId="77777777" w:rsidR="005F226A" w:rsidRPr="00A83C94" w:rsidRDefault="005F226A" w:rsidP="005D2928">
      <w:pPr>
        <w:pStyle w:val="BodyText2"/>
      </w:pPr>
      <w:r w:rsidRPr="00A83C94">
        <w:tab/>
      </w:r>
      <w:r w:rsidRPr="00A83C94">
        <w:tab/>
      </w:r>
      <w:r w:rsidRPr="00A83C94">
        <w:tab/>
        <w:t>- Աղետների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ներդրում:</w:t>
      </w:r>
    </w:p>
    <w:p w14:paraId="1432EA38" w14:textId="77777777" w:rsidR="000825DA" w:rsidRPr="00A83C94" w:rsidRDefault="000825DA" w:rsidP="005D2928">
      <w:pPr>
        <w:pStyle w:val="BodyText2"/>
      </w:pPr>
    </w:p>
    <w:p w14:paraId="606E556F"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4" w:name="_Toc83567443"/>
      <w:bookmarkStart w:id="45" w:name="_Toc83996321"/>
      <w:r w:rsidRPr="00A83C94">
        <w:rPr>
          <w:rFonts w:cs="Arial"/>
          <w:szCs w:val="22"/>
          <w:lang w:val="hy-AM" w:eastAsia="en-US"/>
        </w:rPr>
        <w:t>Արտաքին քաղաքականություն</w:t>
      </w:r>
      <w:bookmarkEnd w:id="43"/>
      <w:bookmarkEnd w:id="44"/>
      <w:bookmarkEnd w:id="45"/>
      <w:r w:rsidRPr="00A83C94">
        <w:rPr>
          <w:rFonts w:cs="Arial"/>
          <w:szCs w:val="22"/>
          <w:lang w:val="hy-AM" w:eastAsia="en-US"/>
        </w:rPr>
        <w:t xml:space="preserve"> </w:t>
      </w:r>
    </w:p>
    <w:p w14:paraId="03D07FC9" w14:textId="77777777" w:rsidR="005F226A" w:rsidRPr="00A83C94" w:rsidRDefault="005F226A" w:rsidP="005D2928">
      <w:pPr>
        <w:pStyle w:val="BodyText2"/>
      </w:pPr>
      <w:r w:rsidRPr="00A83C94">
        <w:t>2020 թվականի 44-օրյա պատերազմի ծանր հետևանքները Հայաստանի և Արցախի շուրջ ձևավորել են նոր մարտահրավերներով լի այն արտաքին և անվտանգային միջավայրը, որում առաջիկայում շարունակելու է գործել ՀՀ կառավարությունը: Հայաստանի անվտանգության, ինքնիշխանության, տարածքային ամբողջականության պաշտպանությունը, Լեռնային Ղարաբաղի հիմնախնդրի խաղաղ և արդարացի կարգավորումը, Հայաստանի շուրջ տարածաշրջանային և միջազգային բարենպաստ մթնոլորտի ձևավորումը առաջիկայում շարունակելու են հանդիսանալ ՀՀ դիվանագիտական ծառայության գերխնդիրները:</w:t>
      </w:r>
    </w:p>
    <w:p w14:paraId="70C2EA2E" w14:textId="77777777" w:rsidR="005F226A" w:rsidRPr="00A83C94" w:rsidRDefault="005F226A" w:rsidP="005D2928">
      <w:pPr>
        <w:pStyle w:val="BodyText2"/>
      </w:pPr>
      <w:r w:rsidRPr="00A83C94">
        <w:rPr>
          <w:b/>
        </w:rPr>
        <w:t>Նախաձեռնողական և արդյունավետ ներգրավման արտաքին քաղաքականություն.</w:t>
      </w:r>
      <w:r w:rsidRPr="00A83C94">
        <w:t xml:space="preserve"> Կառավարության արտաքին քաղաքականության կարևոր նպատակներից են բոլոր շահագրգիռ պետությունների և միջազգային կազմակերպությունների հետ Հայաստանի երկկողմ և բազմակողմ հարաբերությունների շարունակական զարգացումը և արդյունավետ համագործակցությունը։ Կառավարության արտաքին բնագավառի գործունեության առանցքային մաս է կազմում նաև օտարերկրյա պետություններում ՀՀ քաղաքացիների և իրավաբանական անձանց իրավունքների ու շահերի պաշտպանությունը:</w:t>
      </w:r>
    </w:p>
    <w:p w14:paraId="009ECE57" w14:textId="77777777" w:rsidR="005F226A" w:rsidRPr="00A83C94" w:rsidRDefault="005F226A" w:rsidP="005D2928">
      <w:pPr>
        <w:pStyle w:val="BodyText2"/>
        <w:rPr>
          <w:b/>
        </w:rPr>
      </w:pPr>
      <w:r w:rsidRPr="00A83C94">
        <w:rPr>
          <w:b/>
        </w:rPr>
        <w:t>Դիվանագիտական ծառայության թիրախները</w:t>
      </w:r>
    </w:p>
    <w:p w14:paraId="675E9B2C" w14:textId="5837061A" w:rsidR="005F226A" w:rsidRPr="00A83C94" w:rsidRDefault="005F226A" w:rsidP="005D2928">
      <w:pPr>
        <w:pStyle w:val="BodyText2"/>
      </w:pPr>
      <w:r w:rsidRPr="00A83C94">
        <w:t>Հայաստանի Հանրապետության պետական շահերի պաշտպանությունը, Արցախի ժողովրդի իրավունքների և անվտանգության ապահովումը, տարածաշրջանային խաղաղության հաստատումը, տարածաշրջանի ապաշրջափակումն ու կայունության ապահովումը, ԵԱՀԿ Մինսկի խմբի</w:t>
      </w:r>
      <w:r w:rsidR="00CC7FEE" w:rsidRPr="00CC7FEE">
        <w:t xml:space="preserve"> </w:t>
      </w:r>
      <w:r w:rsidRPr="00A83C94">
        <w:t>համանախագահության ներքո միջազգային իրավունքի սկզբունքների, այդ թվում՝ ժողովուրդների ինքնորոշման և իրավահավասարության սկզբունքի հիման վրա ղարաբաղյան հիմնախնդրի խաղաղ և համապարփակ կարգավորմը, Արցախի ժողովրդի անվտանգության ապահովումը, ինչպես նաև մշակութային ու կրոնական ժառանգության պահպանումը, հումանիտար խնդիրների հաղթահարումը ՀՀ դիվանագիտական ծառայության առաջիկա գործունեության հիմնական թիրախներն են:</w:t>
      </w:r>
      <w:r w:rsidRPr="00A83C94">
        <w:rPr>
          <w:rFonts w:ascii="Calibri" w:hAnsi="Calibri" w:cs="Calibri"/>
        </w:rPr>
        <w:t> </w:t>
      </w:r>
    </w:p>
    <w:p w14:paraId="3373D056" w14:textId="77777777" w:rsidR="005F226A" w:rsidRPr="00A83C94" w:rsidRDefault="005F226A" w:rsidP="005D2928">
      <w:pPr>
        <w:pStyle w:val="BodyText2"/>
      </w:pPr>
      <w:r w:rsidRPr="00A83C94">
        <w:t>ՀՀ և Արցախի անվտանգությունը և զարգացումը կարող են ապահովվել միայն տարածաշրջանում խաղաղության և կայունության հաստատման պայմաններում: Ուստի ՀՀ սահմանակից բարեկամ պետությունների հետ հարաբերությունների խորացումը, ինչպես նաև հարաբերությունների կարգավորումը սահմանակից մյուս երկրների հետ արտաքին քաղաքականության կարևորագույն ուղղություններ են հանդիսանալու:</w:t>
      </w:r>
    </w:p>
    <w:p w14:paraId="7D0C4104" w14:textId="77777777" w:rsidR="005F226A" w:rsidRPr="00A83C94" w:rsidRDefault="005F226A" w:rsidP="005D2928">
      <w:pPr>
        <w:pStyle w:val="BodyText2"/>
      </w:pPr>
      <w:r w:rsidRPr="00A83C94">
        <w:t>Տարածաշրջանի ապաշրջափակմանն ուղղված գործընթացում առանցքային է 2020 թվականի նոյեմբերի 9-ի և 2021 թվականի հունվարի 11-ի Հայաստանի Հանրապետության, Ռուսաստանի Դաշնության և Ադրբեջանի Հանրապետության ղեկավարների կողմից ստորագրված եռակողմ հայտարարություններով նախատեսված քայլերի ամբողջական իրագործումը:</w:t>
      </w:r>
    </w:p>
    <w:p w14:paraId="4B5A0151" w14:textId="77777777" w:rsidR="000825DA" w:rsidRPr="00A83C94" w:rsidRDefault="000825DA" w:rsidP="005D2928">
      <w:pPr>
        <w:pStyle w:val="BodyText2"/>
      </w:pPr>
    </w:p>
    <w:p w14:paraId="5A27251F" w14:textId="77777777" w:rsidR="005F226A" w:rsidRPr="00A83C94" w:rsidRDefault="005F226A" w:rsidP="005D2928">
      <w:pPr>
        <w:pStyle w:val="BodyText2"/>
        <w:rPr>
          <w:b/>
        </w:rPr>
      </w:pPr>
      <w:r w:rsidRPr="00A83C94">
        <w:rPr>
          <w:b/>
        </w:rPr>
        <w:t>Արցախյան հիմնախնդիր</w:t>
      </w:r>
      <w:r w:rsidRPr="00A83C94">
        <w:rPr>
          <w:rFonts w:ascii="Calibri" w:hAnsi="Calibri" w:cs="Calibri"/>
          <w:b/>
        </w:rPr>
        <w:t> </w:t>
      </w:r>
    </w:p>
    <w:p w14:paraId="2AC7FB0B" w14:textId="77777777" w:rsidR="005F226A" w:rsidRPr="00A83C94" w:rsidRDefault="005F226A" w:rsidP="005D2928">
      <w:pPr>
        <w:pStyle w:val="BodyText2"/>
      </w:pPr>
      <w:r w:rsidRPr="00A83C94">
        <w:t>Հայաստանը շարունակելու է հանդիսանալ Արցախի ժողովրդի անվտանգության երաշխավորը և աշխատել Արցախի ժողովրդի իրավունքների պաշտպանության, այդ թվում՝ Արցախի մշակութային և կրոնական ժառանգության պահպանման ուղղությամբ:</w:t>
      </w:r>
      <w:r w:rsidRPr="00A83C94">
        <w:rPr>
          <w:rFonts w:ascii="Calibri" w:hAnsi="Calibri" w:cs="Calibri"/>
        </w:rPr>
        <w:t> </w:t>
      </w:r>
    </w:p>
    <w:p w14:paraId="54F6943C" w14:textId="77777777" w:rsidR="005F226A" w:rsidRPr="00A83C94" w:rsidRDefault="005F226A" w:rsidP="005D2928">
      <w:pPr>
        <w:pStyle w:val="BodyText2"/>
      </w:pPr>
      <w:r w:rsidRPr="00A83C94">
        <w:t>Հիմնախնդրի կարգավորումը հնարավոր է ԵԱՀԿ ՄԽ համանախագահության ներքո Լեռնային Ղարաբաղի կարգավիճակի հստակեցմամբ՝ հայտնի սկզբունքների և տարրերի, այդ թվում՝ ինքնորոշման իրավունքի հիման վրա: Հայաստանը ձգտելու է ԵԱՀԿ Մինսկի խմբի համանախագահության ներքո բանակցային գործընթացի լիարժեք վերականգնման՝ համոզված լինելով, որ հիմնախնդրի բացառապես խաղաղ կարգավորման տեսանկյունից բովանդակային բանակցությունները չունեն այլընտրանք:</w:t>
      </w:r>
    </w:p>
    <w:p w14:paraId="2D01DD42" w14:textId="77777777" w:rsidR="00CE7C12" w:rsidRPr="00A83C94" w:rsidRDefault="00CE7C12" w:rsidP="005D2928">
      <w:pPr>
        <w:pStyle w:val="BodyText2"/>
        <w:rPr>
          <w:b/>
        </w:rPr>
      </w:pPr>
    </w:p>
    <w:p w14:paraId="12A1A754" w14:textId="43C30E21" w:rsidR="005F226A" w:rsidRPr="00A83C94" w:rsidRDefault="005F226A" w:rsidP="005D2928">
      <w:pPr>
        <w:pStyle w:val="BodyText2"/>
        <w:rPr>
          <w:b/>
        </w:rPr>
      </w:pPr>
      <w:r w:rsidRPr="00A83C94">
        <w:rPr>
          <w:b/>
        </w:rPr>
        <w:t>Նոր մոտեցումներ դիվանագիտական ծառայության ոլորտում</w:t>
      </w:r>
    </w:p>
    <w:p w14:paraId="5E9CF9B6" w14:textId="77777777" w:rsidR="005F226A" w:rsidRPr="00A83C94" w:rsidRDefault="005F226A" w:rsidP="005D2928">
      <w:pPr>
        <w:pStyle w:val="BodyText2"/>
      </w:pPr>
      <w:r w:rsidRPr="00A83C94">
        <w:t>Հայաստանի դիվանագիտական ազգային համակարգը ձևավորված և ավանդույթներ ունեցող ինստիտուտ է։ Միաժամանակ արդի միտումներին ու զարգացումներին համահունչ բարեփոխումներն արտաքին քաղաքականության ձևակերպման, կառավարման ու իրականացման գործընթացներում բխում են դիվանագիտական ծառայության արդյունավետության բարձրացման անհրաժեշտությունից: Այս առումով առաջիկայում շեշտադրվելու է հատկապես տնտեսական դիվանագիտության զարգացումը։</w:t>
      </w:r>
    </w:p>
    <w:p w14:paraId="3A8BFC9C" w14:textId="77777777" w:rsidR="000825DA" w:rsidRPr="00A83C94" w:rsidRDefault="000825DA" w:rsidP="005D2928">
      <w:pPr>
        <w:pStyle w:val="BodyText2"/>
      </w:pPr>
    </w:p>
    <w:p w14:paraId="62C67D6A" w14:textId="77777777" w:rsidR="005F226A" w:rsidRPr="00A83C94" w:rsidRDefault="005F226A" w:rsidP="005D2928">
      <w:pPr>
        <w:keepNext/>
        <w:tabs>
          <w:tab w:val="left" w:pos="567"/>
        </w:tabs>
        <w:spacing w:before="0" w:line="276" w:lineRule="auto"/>
        <w:ind w:firstLine="720"/>
        <w:contextualSpacing w:val="0"/>
        <w:outlineLvl w:val="2"/>
        <w:rPr>
          <w:rFonts w:cs="Arial"/>
          <w:b w:val="0"/>
          <w:szCs w:val="22"/>
          <w:lang w:val="hy-AM" w:eastAsia="en-US"/>
        </w:rPr>
      </w:pPr>
      <w:bookmarkStart w:id="46" w:name="_Toc83567444"/>
      <w:bookmarkStart w:id="47" w:name="_Toc83996322"/>
      <w:r w:rsidRPr="00A83C94">
        <w:rPr>
          <w:rFonts w:cs="Arial"/>
          <w:szCs w:val="22"/>
          <w:lang w:val="hy-AM" w:eastAsia="en-US"/>
        </w:rPr>
        <w:t>Սփյուռք</w:t>
      </w:r>
      <w:bookmarkEnd w:id="46"/>
      <w:bookmarkEnd w:id="47"/>
      <w:r w:rsidRPr="00A83C94">
        <w:rPr>
          <w:rFonts w:cs="Arial"/>
          <w:b w:val="0"/>
          <w:szCs w:val="22"/>
          <w:lang w:val="hy-AM" w:eastAsia="en-US"/>
        </w:rPr>
        <w:t xml:space="preserve"> </w:t>
      </w:r>
    </w:p>
    <w:p w14:paraId="73C63155"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ՀՀ կառավարությունը կարևորում է Հայաստան-սփյուռք գործակցության զարգացումը, որը նպատակաուղղված է լինելու հայ ինքնության պահպանմանը, հայրենադարձությանն ու Հայաստանում սփյուռքահայերի ինտեգրմանը, սփյուռքի մարդկային ներուժի վերհանմանն ու քարտեզագրմանը, աշխարհասփյուռ հայության մարդկային, մտավոր, տնտեսական ներուժի՝ հայրենիքի կայուն զարգացման նպատակի շուրջ համախմբմանը:</w:t>
      </w:r>
    </w:p>
    <w:p w14:paraId="155F8451"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Այսօր սփյուռքի հայության առջև ծառացած հիմնական մարտահրավերներից մեկը հայ երիտասարդների մեջ ազգային ինքնության պահպանումն է, նրանց ընդգրկմամբ համահայկական միասնական օրակարգի ձևավորումը: </w:t>
      </w:r>
    </w:p>
    <w:p w14:paraId="0C63C36A"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Հայաստան-Սփյուռք գործակցության համատեքստում անհրաժեշտ է խթանել համայնքային կառույցների գործունեությունը, դրանցում սփյուռքահայ երիտասարդների ներգրավվածությունը: </w:t>
      </w:r>
    </w:p>
    <w:p w14:paraId="6A4C5E85"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Համահայկական օրակարգերի ստեղծման հարցում կենսական է համայնքային գործիչների պատրաստումը՝ նրանցում առաջնորդի, համայնքների ղեկավարման կարողությունների և հմտությունների զարգացմումը:</w:t>
      </w:r>
    </w:p>
    <w:p w14:paraId="0ED30A2F"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Հայաստան-Սփյուռք գործակցության համատեքստում կարևորվում է սփյուռքի մասնագիտական ներուժի ներգրավումը Հայաստանի ինստիտուցիոնալ զարգացմանն ու հզորացմանը, որը կնպաստի նաև մասնագիտական հայրենադարձությանը:</w:t>
      </w:r>
    </w:p>
    <w:p w14:paraId="513A55D6"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Հայաստան-Սփյուռք գործակցության մեջ մեծ կարևորություն ունեն նաև հանրային կապերն ու աշխարհասփյուռ հայության իրազեկվածության ապահովումը: Այս համագործակցության հանրայնացումն ունի թիրախային երկու լսարան՝ ներքին կամ ներհայաստանյան և արտաքին կամ նպատակաուղղված Սփյուռքին՝ հայ համայնքներին և միջազգային հանրությանը: </w:t>
      </w:r>
    </w:p>
    <w:p w14:paraId="45FBC563"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Հայաստան-Սփյուռք գործակցության մեջ կարևոր գործոն է հանդիսանալու աջակցել սփյուռքի ներդրողներին և բարեգործներին՝ Հայաստանում իրենց ծրագրերն իրականացնելիս:</w:t>
      </w:r>
    </w:p>
    <w:p w14:paraId="66D04E37"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Հայաստանի Հանրապետության պետական քաղաքականության առաջնահերթություններից է հանդիսանում հայրենադարձության խթանումը:</w:t>
      </w:r>
    </w:p>
    <w:p w14:paraId="6055795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ՀՀ պետական քաղաքականությունը միտված է մշակել և իրականացնել միջոցառումներ, որոնք նպատակաուղղված կլինեն Հայաստանի զարգացման գործընթացում Սփյուռքի ներգրավմանը:</w:t>
      </w:r>
    </w:p>
    <w:p w14:paraId="4A1D8F0B" w14:textId="77777777" w:rsidR="005F226A" w:rsidRPr="00A83C94" w:rsidRDefault="005F226A" w:rsidP="005D2928">
      <w:pPr>
        <w:spacing w:line="276" w:lineRule="auto"/>
        <w:rPr>
          <w:szCs w:val="22"/>
          <w:lang w:val="hy-AM"/>
        </w:rPr>
      </w:pPr>
    </w:p>
    <w:p w14:paraId="6B0583EB" w14:textId="77777777" w:rsidR="005F226A" w:rsidRPr="00A83C94" w:rsidRDefault="005F226A" w:rsidP="005D2928">
      <w:pPr>
        <w:keepNext/>
        <w:tabs>
          <w:tab w:val="left" w:pos="567"/>
        </w:tabs>
        <w:spacing w:before="0" w:line="276" w:lineRule="auto"/>
        <w:ind w:firstLine="720"/>
        <w:contextualSpacing w:val="0"/>
        <w:outlineLvl w:val="2"/>
        <w:rPr>
          <w:rFonts w:cs="Arial"/>
          <w:b w:val="0"/>
          <w:szCs w:val="22"/>
          <w:lang w:val="pt-BR" w:eastAsia="en-US"/>
        </w:rPr>
      </w:pPr>
      <w:bookmarkStart w:id="48" w:name="_Toc26174896"/>
      <w:bookmarkStart w:id="49" w:name="_Toc83567445"/>
      <w:bookmarkStart w:id="50" w:name="_Toc83996323"/>
      <w:r w:rsidRPr="00A83C94">
        <w:rPr>
          <w:rFonts w:cs="Arial"/>
          <w:szCs w:val="22"/>
          <w:lang w:val="hy-AM" w:eastAsia="en-US"/>
        </w:rPr>
        <w:t>Արդարադատություն</w:t>
      </w:r>
      <w:bookmarkEnd w:id="48"/>
      <w:bookmarkEnd w:id="49"/>
      <w:bookmarkEnd w:id="50"/>
      <w:r w:rsidRPr="00A83C94">
        <w:rPr>
          <w:rFonts w:cs="Arial"/>
          <w:b w:val="0"/>
          <w:szCs w:val="22"/>
          <w:lang w:val="pt-BR" w:eastAsia="en-US"/>
        </w:rPr>
        <w:t xml:space="preserve"> </w:t>
      </w:r>
    </w:p>
    <w:p w14:paraId="4DA2AFED"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bookmarkStart w:id="51" w:name="_Toc26174897"/>
      <w:r w:rsidRPr="00A83C94">
        <w:rPr>
          <w:b w:val="0"/>
          <w:szCs w:val="22"/>
          <w:lang w:val="hy-AM"/>
        </w:rPr>
        <w:t>2022 թվականին ոլորտի առաջնային ռազմավարական նպատակներն են լինելու՝</w:t>
      </w:r>
    </w:p>
    <w:p w14:paraId="55DFD29C"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Դատական և իրավական բարեփոխումների ոլորտ</w:t>
      </w:r>
    </w:p>
    <w:p w14:paraId="7544041E" w14:textId="7C048E9B"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ՀՀ կառավարությունը 2019 թվականի հոկտեմբերի 10-ին ընդունել է ՀՀ դատական և իրավական բարեփոխումների 2019-2023 թվականների ռազմավարությունը և դրանից բխող գործողությունների ծրագրերը հաստատելու մասին N 1441-Լ որոշումը: 2022 թվականի ընթացքում նախատեսվում է իրականացնել ռազմավարությունից բխող 2021-2023 թվականների գործողությունների ծրագրով սահմանված միջոցառումները: </w:t>
      </w:r>
    </w:p>
    <w:p w14:paraId="4D5ED7C0"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Ոլորտային բարեփոխման կարևոր ուղղություններից մեկը դատարանների ծանրաբեռնվածությունը թեթևացնելու և դատարաններում գործի քննության ժամկետները կրճատելու միջոցով արդարադատության արդյունավետության բարձրացումն է: Արդարադատության արդյունավետության բարձրացմանն ուղղված մյուս կարևոր քայլը դատավարական օրենսդրության արդիականացումն է, կիրառման արդյունքում ծագած խնդիրների վերհանումը և դրանց լուծումներ տալը:</w:t>
      </w:r>
    </w:p>
    <w:p w14:paraId="4A87CD78"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Արդարադատության արդյունավետության բարձրացման համար անհրաժեշտ է նաև զարգացնել վեճերի լուծման այլընտրանքային եղանակները: Այս համատեքստում կարևորվում է հաշտարարության ոլորտի զարգացումը:</w:t>
      </w:r>
    </w:p>
    <w:p w14:paraId="56E263F0" w14:textId="568E83E3"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Արդարադատության պատշաճ իրականացնումն ապահովելու համար կարևորվում է դատարանների շենքային պայմանների և տեխնիկական հագեցվածության կատարելագործումը' պայմանավորված հատկապես դատավորների թվի ավելացմամբ: Դատաիրավական բարեփոխումների շրջանակում անհրաժեշտ է իրականացնել հարկադիր կատարման ոլորտի համընդհանուր բարեփոխումներ՝ բարձրացնելու կատարողական գործողությունների արդյունավետությունը, առավելագույնս ապահովելու կատարողական վարույթի մասնակիցների օրինական շահերի պաշտպանությունը, </w:t>
      </w:r>
      <w:r w:rsidR="00CC7FEE" w:rsidRPr="00CC7FEE">
        <w:rPr>
          <w:b w:val="0"/>
          <w:szCs w:val="22"/>
          <w:lang w:val="hy-AM"/>
        </w:rPr>
        <w:t xml:space="preserve">ներդնելու </w:t>
      </w:r>
      <w:r w:rsidRPr="00A83C94">
        <w:rPr>
          <w:b w:val="0"/>
          <w:szCs w:val="22"/>
          <w:lang w:val="hy-AM"/>
        </w:rPr>
        <w:t>նրանց խնդիրներին ու կարիքներին արագ և արդյունավետ արձագանքելու կառուցակարգեր: Նշված նպատակներին հասնելու նպատակով իրականացվելիք գործողություններն ուղղված են լինելու կատարողական վարույթի օրենսդրության համապարփակ վերանայմանը, հարկադիր կատարման վարույթի ամբողջական թվայնացմանը, ըստ այդմ' քաղաքացի-հարկադիր կատարող արդյունավետ հաղորդակցության ապահովմանը:</w:t>
      </w:r>
    </w:p>
    <w:p w14:paraId="4620C4E1"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միջոցներ ձեռնարկել փաստաբանության ոլորտի զարգացման ուղղությամբ, այդ թվում' փաստաբանական դպրոցում ուսուցման և ընդունելության կառուցակարգերի վերաիմաստավորման, Փաստաբանների պալատի կառավարման արդյունավետության և ներառականության վերափոխման շրջանակներում: Շարունակվելու են բարեփոխումները սնանկության, հարկադիր կատարման, քաղաքացիական կացության ակտերի գրանցման, նոտարիատի և անձնական տվալների պաշտպանության ոլորտներում:</w:t>
      </w:r>
    </w:p>
    <w:p w14:paraId="43F052B7"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Էլեկտրոնային արդարադատության ոլորտ</w:t>
      </w:r>
    </w:p>
    <w:p w14:paraId="74944B78" w14:textId="77777777" w:rsidR="00365395"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 Նախատեսվում է իրականացնել արդարադատության մարմինների համար կառավարության կողմից ներդրված էլեկտրոնային համակարգերի և հարթակների շարունակական զարգացում և նոր էլեկտրոնային համակարգերի ներդրում։ Նշված շրջանակներում նախատեսվում է զարգացնել դատարանների գործերի կառավարման էլեկտրոնային համակարգը՝ ավելացնելով այն գործերի քանակը, որոնք հարուցվում և քննվում են էլեկտրոնային համակարգի օգտագործմամբ։ </w:t>
      </w:r>
    </w:p>
    <w:p w14:paraId="74ADA3E1"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Հակակոռուպցիոն ոլորտ</w:t>
      </w:r>
    </w:p>
    <w:p w14:paraId="722DCBA5" w14:textId="70A7E94A"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Շարունակվելու է իրականացվել հակակոռուպցիոն քաղաքականությունը 2019 թվականի հոկտեմբերի 3-ին ընդունած Հայաստանի Հանրապետության հակակոռուպցիոն ռազմավարության և դրա իրականացման 2019-2022 թվականների միջոցառումների ծրագրի շրջանակներում: </w:t>
      </w:r>
    </w:p>
    <w:p w14:paraId="61EA65F6"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Վերոնշյալ ռազմավարության պահանջներին համապատասխան 2022 թվականի ընթացքում նախատեսվում է իրագործել հետևյալ հիմնական միջոցառումները` </w:t>
      </w:r>
    </w:p>
    <w:p w14:paraId="7856734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հակակոռուպցիոն ինստիտուցիոնալ համակարգի կայացման շրջանակներում Կոռուպցիայի կանխարգելման հանձնաժողովի և Հակակոռուպցիոն կոմիտեի բնականոն գործունեության ապահովումը և գործիքակազմի (ներառյալ մարդկային ռեսուրսների) կատարելագործումը, Հակակոռուպցիոն դատարանի ձևավորումը և վերջինիս բնականոն գործունեության ապահովումը, դատախազական համակարգում բարեվարքության ստուգման կառուցակարգերի իրագործումը.</w:t>
      </w:r>
    </w:p>
    <w:p w14:paraId="2791F7CA"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վարչական կոռուպցիայի հաղթահարումը՝ ոլորտային կոռուպցիոն ռիսկերի վերհանման և դրանց հիման վրա հակակոռուպցիոն ոլորտային միջոցառումների մշակման և իրականացման, էլեկտրոնային ժողովրդավարության գործիքների շարունակական կատարելագործման միջոցով.</w:t>
      </w:r>
    </w:p>
    <w:p w14:paraId="25DBB775"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հակակոռուպցիոն կարգավորման ազդեցության գնահատման ինստիտուտի  զարգացումը և դերի բարձրացումը.</w:t>
      </w:r>
    </w:p>
    <w:p w14:paraId="7919CA6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 ապօրինի ծագում ունեցող գույքի բռնագանձմանն ուղղված կառուցակարգերի կատարելագործում և այդ նպատակով միջազգային համագործակցության ամրապնդումը. </w:t>
      </w:r>
    </w:p>
    <w:p w14:paraId="6D760B5C"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ազդարարման համակարգի կատարելագործումը.</w:t>
      </w:r>
    </w:p>
    <w:p w14:paraId="649EA8B4" w14:textId="23EE2D5A"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հանրային պաշտոն զբաղեցնող անձանց և հանրային ծառայողների պաշտոնական պարտականությունների իրականացման հետ կապված նվերների ինստիտուտի կատարելագործում</w:t>
      </w:r>
      <w:r w:rsidR="00682233" w:rsidRPr="00682233">
        <w:rPr>
          <w:b w:val="0"/>
          <w:szCs w:val="22"/>
          <w:lang w:val="hy-AM"/>
        </w:rPr>
        <w:t>ը</w:t>
      </w:r>
      <w:r w:rsidRPr="00A83C94">
        <w:rPr>
          <w:b w:val="0"/>
          <w:szCs w:val="22"/>
          <w:lang w:val="hy-AM"/>
        </w:rPr>
        <w:t>, նվերների ռեեստրի ստեղծումը և գործարկումը.</w:t>
      </w:r>
    </w:p>
    <w:p w14:paraId="35BAEAF7"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հանրային կրթության և իրազեկման միջոցով կոռուպցիայի նկատմամբ ժխտողական վերաբերմունքի սերմանումը, ներառյալ՝ ազդարարման ինստիտուտի նկատմամբ վերաբերմունքի փոփոխման միջոցով, պահանջատեր քաղաքացու ձևավորումը.</w:t>
      </w:r>
    </w:p>
    <w:p w14:paraId="5ED4DCF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հակակոռուպցիոն միջոցառումների ծրագրի կատարման նկատմամբ մշտադիտարկում և համակարգումը, մշտադիտարկման և գնահատման գործիքակազմի կատարելագործումը, պարբերական հաշվետվությունների կազմում:</w:t>
      </w:r>
    </w:p>
    <w:p w14:paraId="6478E31D" w14:textId="217B77DD" w:rsidR="00365395" w:rsidRPr="00A83C94" w:rsidRDefault="005F226A" w:rsidP="005D2928">
      <w:pPr>
        <w:tabs>
          <w:tab w:val="left" w:pos="0"/>
          <w:tab w:val="left" w:pos="567"/>
        </w:tabs>
        <w:spacing w:before="0" w:line="276" w:lineRule="auto"/>
        <w:ind w:firstLine="720"/>
        <w:contextualSpacing w:val="0"/>
        <w:rPr>
          <w:b w:val="0"/>
          <w:szCs w:val="22"/>
          <w:lang w:val="hy-AM"/>
        </w:rPr>
      </w:pPr>
      <w:r w:rsidRPr="00A83C94">
        <w:rPr>
          <w:szCs w:val="22"/>
          <w:lang w:val="hy-AM"/>
        </w:rPr>
        <w:t>Քրեակատարողական և պրոբացիայի ոլորտ</w:t>
      </w:r>
    </w:p>
    <w:p w14:paraId="272D1A3D" w14:textId="2E77779E" w:rsidR="005F226A" w:rsidRPr="00682233"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Կառավարությունը շարունակելու է վճռական մնալ վերականգնողական արդարադատության սկզբունքների արմատավորման, ինչպես նաև քրեակատարողական համակարգի կայուն զարգացումն ապահովելու հարցում:</w:t>
      </w:r>
      <w:r w:rsidR="00682233" w:rsidRPr="00682233">
        <w:rPr>
          <w:b w:val="0"/>
          <w:szCs w:val="22"/>
          <w:lang w:val="hy-AM"/>
        </w:rPr>
        <w:t xml:space="preserve"> Այս համատեքստում հիմնական թիրախային ուղղությունները լինելու են.</w:t>
      </w:r>
    </w:p>
    <w:p w14:paraId="08546656"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խթանել պրոբացիայի համակարգում էլեկտրոնային կառավարման գործիքների կիրառումը՝ ամբողջությամբ գործարկելով E-probation էլեկտրոնային կառավարման համակարգը և դրանով իսկ ապահովելով պրոբացիայի ծառայողների աշխատանքի թվայնացումը, փաստաթղթաշրջանառության կրճատումը, հաշվետու և թափանցիկ աշխատանքը, ինչպես նաև կոռուպցիոն ռիսկերի նվազեցումը.</w:t>
      </w:r>
    </w:p>
    <w:p w14:paraId="28E6B25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ազատությունից զրկելուն այլընտրանք հանդիսացող նոր պատժատեսակների և խափանման միջոցների արդյունավետ կիրառման նպատակով Պրոբացիայի ծառայությանը զինել էլեկտրոնային հսկողության համար անհրաժեշտ միջոցներով ու ենթակառուցվածքներով և, ըստ այդմ, ապահովել իրավակիրառ պրակտիկայում էլեկտրոնային հսկողության փաստացի կիրառումը.</w:t>
      </w:r>
    </w:p>
    <w:p w14:paraId="355520F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օպտիմալացնել քրեակատարողական հիմնարկները և դրա արդյունքներով տնտեսված միջոցներն արդյունավետ բաշխել և ուղղորդել այլ քրեակատարողական հիմնարկներում ազատությունից զրկված անձանց պահման պայմանները բարելավմանը.</w:t>
      </w:r>
    </w:p>
    <w:p w14:paraId="1DDF017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ապահովել քրեակատարողական հիմնարկներում գտնվող հաշմանդամություն ունեցող անձանց համար մատչելի պայմանները.</w:t>
      </w:r>
    </w:p>
    <w:p w14:paraId="0F47381A"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վերազինել քրեակատարողական հիմնարկներն արդի ինժեներատեխնիկական և անվտանգության ապահովման միջոցներով, այդ թվում՝ օպերատիվ կառավարման կենտրոնով՝ այդպիսով ապահովելով կադրերի հաշվետու և թափանցիկ գործելաոճը, ճգնաժամային իրավիճակի կառավարումը քրեակատարողական հաստատություններում, ինչպես նաև նվազագույնի հասցնելով կոռուպցիոն ռիսկերը.</w:t>
      </w:r>
    </w:p>
    <w:p w14:paraId="3A3FEE13"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ապահովել ազատությունից զրկված անձանց, այդ թվում` անչափահասների կրթություն ստանալու իրավունքի շարունակականությունը, մասնագիտական կրթության նոր ծրագրերի ներդնումը, ինչպես նաև ազատությունից զրկված անձանց համար հանրակրթության իրականացումը՝ անկախ տարիքից.</w:t>
      </w:r>
    </w:p>
    <w:p w14:paraId="419D245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ներդնել ազատազրկված անձանց համար բժշկական տվյալների գաղտնիության ապահովմամբ բնակչության շրջանում մատուցվող բժշկական խորհրդատվությունների ծավալին և որակի համապատասխանող, միջազգայնորեն ճանաչված սկզբունքներին համապատասխան հեռաբժշկության մոդելը.</w:t>
      </w:r>
    </w:p>
    <w:p w14:paraId="44873A53"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ներդնել քրեակատարողական հիմնարկներում ինքնասպանության և ինքնավնասման ռիսկի վերհանման և գնահատման, ինչպես նաև հոգեկան առողջության զննության և ռիսկի գնահատման գործիքակազմը՝ նախականխելով ինքնասպանության և ինքնավնասման հետագա դեպքերի առաջացումը, ինչպես նաև նախապես բացահայտելով հոգեկան առողջության վիճակի հնարավոր խնդիրը.</w:t>
      </w:r>
    </w:p>
    <w:p w14:paraId="12D56882" w14:textId="40677252"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szCs w:val="22"/>
          <w:lang w:val="hy-AM"/>
        </w:rPr>
        <w:t>Մարդու ի</w:t>
      </w:r>
      <w:r w:rsidR="00365395" w:rsidRPr="00A83C94">
        <w:rPr>
          <w:szCs w:val="22"/>
          <w:lang w:val="hy-AM"/>
        </w:rPr>
        <w:t>րավունքների պաշտպանության ոլորտ</w:t>
      </w:r>
    </w:p>
    <w:p w14:paraId="2016FB5A" w14:textId="6ECFE2CE"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Արդարադատության նախարարությունը շարունակելու է իրականացնել ոլորտի բարեփոխումները Մարդու իրավունքների պաշտպանության ազգային ռազմավարությունից բխող 2020-2022թթ. </w:t>
      </w:r>
      <w:r w:rsidR="00682233" w:rsidRPr="00682233">
        <w:rPr>
          <w:b w:val="0"/>
          <w:szCs w:val="22"/>
          <w:lang w:val="hy-AM"/>
        </w:rPr>
        <w:t>գ</w:t>
      </w:r>
      <w:r w:rsidRPr="00A83C94">
        <w:rPr>
          <w:b w:val="0"/>
          <w:szCs w:val="22"/>
          <w:lang w:val="hy-AM"/>
        </w:rPr>
        <w:t xml:space="preserve">ործողությունների ծրագրին համապատասխան: </w:t>
      </w:r>
    </w:p>
    <w:p w14:paraId="2CB5610C"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Ներառական քննարկումների արդյունքում 2021թ. հունիսին իրականացված փոփոխությամբ Ծրագրում նախատեսվել են միջոցառումներ՝ միտված 44-oրյա պատերազմից հետո մարդու իրավունքների պաշտպանության ոլորտում առկա խնդիրների վերհանմանն ու ինստիտուցիոնալ կերպով դրանց հասցեագրմանը: Բացի այդ միջոցառումներից, 2022թ. ընթացքում նախատեսվում է ապահովել խոշտանգումից տուժած անձանց հոգեբանական, սոցիալական և իրավական ծառայություններից օգտվելու իրավունքի արդյունավետ իրականացման մեխանիզմները, ապահովել հոգեկան, այդ թվում` մտավոր խնդիրներով հաշմանդամություն ունեցող անձանց մասնակցությունն իրենց իսկ վերաբերող բոլոր որոշումների կայացման գործընթացներում, ստեղծել երեխաների իրավունքներին առնչվող խնդիրների հաշվառման և վարման միասնական վիճակագրական համակարգ, օրենսդրորեն ամրապնդել իրավապաշտպան գործունեություն իրականացնող անձանց քրեաիրավական պաշտպանության երաշխիքները և այլն: </w:t>
      </w:r>
    </w:p>
    <w:p w14:paraId="2E458938"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Քաղաքացիական կացության ակտերի գրանցման ոլորտ</w:t>
      </w:r>
    </w:p>
    <w:p w14:paraId="4558C96C" w14:textId="3E7C3CC2"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շարունակել նվազեցնել ոլորտում առկա վարչարարությունը՝ համակարգը վերափոխելով սպասարկման կենտրոն՝ «ֆրոնտ օֆիս» և «բեք օֆիս» ձևաչափով, որը հնարավորություն կընձեռի քաղաքացիներին դիմումները ներկայացնել հանրային ծառայությունների միասնական, ինչպես նաև քաղաքացիների սպասարկման հատուկ ստեղծված գրասենյակներ: Սույն ծրագիրը նախատեսվում է տարածել Հայաստանի Հանրապետության ամբողջ տարածքով, ընդգրկելով երկրի բոլոր բնակավայրերը, քաղաքացիների՝ գրասենյակներին հասանելիությունը ապահովելու նպատակով՝ խնայոլեվ նրանց ժամանակը և նյութական ռեսուրսները: Միաժամանակ ծրագրի իրականացումը նպատակ է հետապնդում էականորեն նվազեցնել ոլորտում առկա կոռուպցիոն ռիսկերը՝  «դիմող» և «որոշում կայացնող» կողմերի շփման նվազեցմամբ: Մինչև 2023 թվականը նախատեսվում է հիմնադրել ևս 3 միասնական գրսենյակներ Վանաձոր, Արմավիր, Աբովյան քաղաքաներում՝ հիմք ընդունելով արդեն իսկ ձևավորված փորձը և գործող միասնական գրասենյակների կողմից մատուցվող ծառայությունների կապակցությամբ հավաքագրված դրական կարծիքները:</w:t>
      </w:r>
    </w:p>
    <w:p w14:paraId="317FF7CA"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Իրավաբանական անձանց պետական գրանցման ռեգիստրի ոլորտ</w:t>
      </w:r>
    </w:p>
    <w:p w14:paraId="7A3419AF" w14:textId="0529D93F"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իրավաբանական անձանց պետական գրանցման գործընթացի արդյունավետության բարձրացմանն ուղղված շարունակական աշխատանքների իրականացում, այդ թվում՝ էլեկտրոնային եղանակով մատուցվող ծառայությունների ընդլայնում (առցանց նույնականացման նոր մոտեցումների կիրառում, փաստաթղթերի վրա արագ արձագանքման (QR) կոդերի կիրառում, ինքնաշխատ ծառայությունների իրականացում), իրավաբանական անձանց պետական ռեգիստրի գործակալության աջակցությամբ ձեռնարկատիրական գործունեություն սկսելու համար անհրաժեշտ մի շարք գործառույթների իրականացման հնարավորության ստեղծում (պետական ռեգիստրի գործակալության հետ համագործակցող կազմակերպությունների և մարմինների միջոցով՝ բանկային հաշվի բացում, անձնական գրասենյակի ակտիվացում և լիազոր անձի ընտրություն), իրական սեփականատերերի վերաբերյալ հայտարարագրերի էլեկտրոնային հարթակի գործարկում և այդ ոլորտի օրենսդրական կարգավորումների բարեփոխում, օրենսդրական բարեփոխումներ՝ ուղղված իրավաբանական անձանց պետական գրանցման ոլորտում մատուցվող ծառայությունների մատչելիության ապահովմանը։ Նախատեսվում է նաև իրավաբանական անձանց պետական ռեգիստրի գործակալության որոշ մարզային սպասարկման գրասենյակների տեղակայումը ստեղծվելիք միասնական գրասենյակներում, ինչպես նաև իրավաբանական անձանց պետական ռեգիստրի արխիվների թվայնացմանն ուղղված աշխատանքների իրականացում:</w:t>
      </w:r>
    </w:p>
    <w:p w14:paraId="7578E580"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Անձնական տվյալների պաշտպանության ոլորտ</w:t>
      </w:r>
    </w:p>
    <w:p w14:paraId="3BCA4C87" w14:textId="4F9A81F8"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ապահովել անձնական տվյալների պաշտպանության ավելի բարձր մակարդակ, մասնավորապես՝ համապատասխանեցնել անձնական տվյալների 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 ներդաշնակեցնել անձնական տվյալների մշակում նախատեսող օրենսդրական դաշտը, ավելացնել անձնական տվյալների պաշտպանության իրավունքի վերաբերյալ ինչպես անձնական տվյալներ մշակողների, այնպես էլ լայն հասարակության իրազեկվածությունը։</w:t>
      </w:r>
    </w:p>
    <w:p w14:paraId="5A85F7A1" w14:textId="77777777" w:rsidR="000825DA" w:rsidRPr="00A83C94" w:rsidRDefault="000825DA" w:rsidP="005D2928">
      <w:pPr>
        <w:tabs>
          <w:tab w:val="left" w:pos="0"/>
          <w:tab w:val="left" w:pos="567"/>
        </w:tabs>
        <w:spacing w:before="0" w:line="276" w:lineRule="auto"/>
        <w:ind w:firstLine="720"/>
        <w:contextualSpacing w:val="0"/>
        <w:rPr>
          <w:b w:val="0"/>
          <w:szCs w:val="22"/>
          <w:lang w:val="hy-AM"/>
        </w:rPr>
      </w:pPr>
    </w:p>
    <w:p w14:paraId="6110C945"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52" w:name="_Toc26174898"/>
      <w:bookmarkStart w:id="53" w:name="_Toc83567446"/>
      <w:bookmarkStart w:id="54" w:name="_Toc83996324"/>
      <w:bookmarkEnd w:id="51"/>
      <w:r w:rsidRPr="00A83C94">
        <w:rPr>
          <w:rFonts w:cs="Arial"/>
          <w:szCs w:val="22"/>
          <w:lang w:val="hy-AM" w:eastAsia="en-US"/>
        </w:rPr>
        <w:t>Կրթություն</w:t>
      </w:r>
      <w:bookmarkEnd w:id="52"/>
      <w:bookmarkEnd w:id="53"/>
      <w:bookmarkEnd w:id="54"/>
    </w:p>
    <w:p w14:paraId="5C06414B" w14:textId="77777777" w:rsidR="005F226A" w:rsidRPr="00A83C94" w:rsidRDefault="005F226A" w:rsidP="005D2928">
      <w:pPr>
        <w:pStyle w:val="BodyText2"/>
      </w:pPr>
      <w:bookmarkStart w:id="55" w:name="_Toc26174899"/>
      <w:r w:rsidRPr="00A83C94">
        <w:t>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հիմնարար գործոն:  Մարդկային կապիտալի կայուն զարգացումը հնարավոր է ապահովել կրթության որակի, արդյունավետության և մատչելիության բարձրացման միջոցով:</w:t>
      </w:r>
      <w:bookmarkStart w:id="56" w:name="_Toc57655428"/>
    </w:p>
    <w:p w14:paraId="7703C34B" w14:textId="77777777" w:rsidR="005F226A" w:rsidRPr="00A83C94" w:rsidRDefault="005F226A" w:rsidP="005D2928">
      <w:pPr>
        <w:pStyle w:val="BodyText2"/>
      </w:pPr>
      <w:r w:rsidRPr="00A83C94">
        <w:t>2021 թվականի փետրվարի 4-ին ՀՀ կառավարության N136-Ն որոշմամբ ընդունվեց հանրակրթության նոր չափորոշիչը, իսկ ապրիլ ամսին ԿԳՄՍ նախարարի հրամանով հաստատվեցին նոր չափորոշիչներից բխող առարկայական չափորոշիչներն ու ծրագրերը: Դրանք 2021-2022 ուսումնական տարում փորձարկվում են  Տավուշի մարզի բոլոր ուսումնական հաստատություններում: Արդյունքների ամփոփումից և լրամշակումից  հետո առարկայական չափորոշիչներն ու ծրագրերը աստիճանական կարգով կներդրվեն  հանրապետության բոլոր դպրոցներում: Ինչպես Տավուշի մարզի, այնպես էլ ՀՀ բոլոր դպրոցները հագեցվելու են անհրաժեշտ լաբորատոր սարքավորումներով:</w:t>
      </w:r>
    </w:p>
    <w:p w14:paraId="66680769" w14:textId="77777777" w:rsidR="005F226A" w:rsidRPr="00A83C94" w:rsidRDefault="005F226A" w:rsidP="005D2928">
      <w:pPr>
        <w:pStyle w:val="BodyText2"/>
      </w:pPr>
      <w:r w:rsidRPr="00A83C94">
        <w:t xml:space="preserve"> Հանրակրթության ոլորտի բարեփոխումների կարևորագույն մաս է կազմում նախատեսված մոդուլային տիպի 300 դպրոցների և 500 մանկապարտեզների կառուցումը, հիմնանորոգումն ու վերանորոգումը, որը Կառավարության հնգամյա ծրագրի հիմնական թիրախներից է:</w:t>
      </w:r>
    </w:p>
    <w:p w14:paraId="3FF12807" w14:textId="77777777" w:rsidR="005F226A" w:rsidRPr="00A83C94" w:rsidRDefault="005F226A" w:rsidP="005D2928">
      <w:pPr>
        <w:pStyle w:val="BodyText2"/>
      </w:pPr>
      <w:r w:rsidRPr="00A83C94">
        <w:t>Նախատեսվում է հատկապես փոքր համայնքներում և բնակավայրերում, շարունակել գործարկել այլընտրանքային նախադպրոցական ծառայություններ:</w:t>
      </w:r>
    </w:p>
    <w:p w14:paraId="21996910" w14:textId="77777777" w:rsidR="005F226A" w:rsidRPr="00A83C94" w:rsidRDefault="005F226A" w:rsidP="005D2928">
      <w:pPr>
        <w:pStyle w:val="BodyText2"/>
      </w:pPr>
      <w:r w:rsidRPr="00A83C94">
        <w:t>Քայլեր կձեռնարկվեն՝ ապահովելու նախադպրոցական ուսումնական հաստատությունների վարչական, մանկավարժական և ուսումնաօժանդակ անձնակազմի վարձատրության միասնական քաղաքականություն և շարունակական աճի հնարավորություն:</w:t>
      </w:r>
    </w:p>
    <w:p w14:paraId="15606075" w14:textId="77777777" w:rsidR="005F226A" w:rsidRPr="00A83C94" w:rsidRDefault="005F226A" w:rsidP="005D2928">
      <w:pPr>
        <w:pStyle w:val="BodyText2"/>
      </w:pPr>
      <w:r w:rsidRPr="00A83C94">
        <w:t>Նախադպրոցական կրթության մատչելիության և համընդհանուր ներառականության ապահովման նպատակով 2022 թվականին ՀՀ պետական բյուջեից ֆինանսավորում կիրականացվի կրթության և զարգացման առանձնահատուկ պայմանների կարիք ունեցող երեխաների համար:</w:t>
      </w:r>
    </w:p>
    <w:p w14:paraId="2D613395" w14:textId="77777777" w:rsidR="005F226A" w:rsidRPr="00A83C94" w:rsidRDefault="005F226A" w:rsidP="005D2928">
      <w:pPr>
        <w:pStyle w:val="BodyText2"/>
      </w:pPr>
      <w:r w:rsidRPr="00A83C94">
        <w:t>Հանրակրթության ոլորտի գերակայությունն է որակի ապահովումը</w:t>
      </w:r>
      <w:r w:rsidRPr="00A83C94">
        <w:rPr>
          <w:b/>
        </w:rPr>
        <w:t>:</w:t>
      </w:r>
    </w:p>
    <w:p w14:paraId="0504B51F" w14:textId="77777777" w:rsidR="005F226A" w:rsidRPr="00A83C94" w:rsidRDefault="005F226A" w:rsidP="005D2928">
      <w:pPr>
        <w:pStyle w:val="BodyText2"/>
        <w:rPr>
          <w:shd w:val="clear" w:color="auto" w:fill="FFFFFF"/>
        </w:rPr>
      </w:pPr>
      <w:r w:rsidRPr="00A83C94">
        <w:rPr>
          <w:rFonts w:eastAsia="GHEA Grapalat" w:cs="GHEA Grapalat"/>
        </w:rPr>
        <w:t>Մշակվել</w:t>
      </w:r>
      <w:r w:rsidRPr="00A83C94">
        <w:t xml:space="preserve"> է ուսուցիչների այլընտրանքային՝ կամավոր ատեստավորման համակարգ, որը կգործի պարտադիր ատեստավորմանը զուգահեռ և ուսուցիչների աշխատավարձի բարձրացման հնարավորություն կընձեռի: </w:t>
      </w:r>
      <w:r w:rsidRPr="00A83C94">
        <w:rPr>
          <w:rFonts w:cs="Sylfaen"/>
        </w:rPr>
        <w:t>Կանխատեսումների</w:t>
      </w:r>
      <w:r w:rsidRPr="00A83C94">
        <w:t xml:space="preserve"> </w:t>
      </w:r>
      <w:r w:rsidRPr="00A83C94">
        <w:rPr>
          <w:rFonts w:cs="Sylfaen"/>
        </w:rPr>
        <w:t>համաձայն՝</w:t>
      </w:r>
      <w:r w:rsidRPr="00A83C94">
        <w:t xml:space="preserve">  </w:t>
      </w:r>
      <w:r w:rsidRPr="00A83C94">
        <w:rPr>
          <w:shd w:val="clear" w:color="auto" w:fill="FFFFFF"/>
        </w:rPr>
        <w:t xml:space="preserve">3 </w:t>
      </w:r>
      <w:r w:rsidRPr="00A83C94">
        <w:rPr>
          <w:rFonts w:cs="Sylfaen"/>
          <w:shd w:val="clear" w:color="auto" w:fill="FFFFFF"/>
        </w:rPr>
        <w:t>տարվա</w:t>
      </w:r>
      <w:r w:rsidRPr="00A83C94">
        <w:rPr>
          <w:shd w:val="clear" w:color="auto" w:fill="FFFFFF"/>
        </w:rPr>
        <w:t xml:space="preserve"> </w:t>
      </w:r>
      <w:r w:rsidRPr="00A83C94">
        <w:rPr>
          <w:rFonts w:cs="Sylfaen"/>
          <w:shd w:val="clear" w:color="auto" w:fill="FFFFFF"/>
        </w:rPr>
        <w:t>ընթացքում</w:t>
      </w:r>
      <w:r w:rsidRPr="00A83C94">
        <w:rPr>
          <w:shd w:val="clear" w:color="auto" w:fill="FFFFFF"/>
        </w:rPr>
        <w:t xml:space="preserve"> </w:t>
      </w:r>
      <w:r w:rsidRPr="00A83C94">
        <w:rPr>
          <w:rFonts w:cs="Sylfaen"/>
          <w:shd w:val="clear" w:color="auto" w:fill="FFFFFF"/>
        </w:rPr>
        <w:t>ուսուցիչների</w:t>
      </w:r>
      <w:r w:rsidRPr="00A83C94">
        <w:rPr>
          <w:shd w:val="clear" w:color="auto" w:fill="FFFFFF"/>
        </w:rPr>
        <w:t xml:space="preserve"> </w:t>
      </w:r>
      <w:r w:rsidRPr="00A83C94">
        <w:rPr>
          <w:rFonts w:cs="Sylfaen"/>
          <w:shd w:val="clear" w:color="auto" w:fill="FFFFFF"/>
        </w:rPr>
        <w:t>ավելի</w:t>
      </w:r>
      <w:r w:rsidRPr="00A83C94">
        <w:rPr>
          <w:shd w:val="clear" w:color="auto" w:fill="FFFFFF"/>
        </w:rPr>
        <w:t xml:space="preserve"> </w:t>
      </w:r>
      <w:r w:rsidRPr="00A83C94">
        <w:rPr>
          <w:rFonts w:cs="Sylfaen"/>
          <w:shd w:val="clear" w:color="auto" w:fill="FFFFFF"/>
        </w:rPr>
        <w:t>քան</w:t>
      </w:r>
      <w:r w:rsidRPr="00A83C94">
        <w:rPr>
          <w:shd w:val="clear" w:color="auto" w:fill="FFFFFF"/>
        </w:rPr>
        <w:t xml:space="preserve"> 41 </w:t>
      </w:r>
      <w:r w:rsidRPr="00A83C94">
        <w:rPr>
          <w:rFonts w:cs="Sylfaen"/>
          <w:shd w:val="clear" w:color="auto" w:fill="FFFFFF"/>
        </w:rPr>
        <w:t>տոկոսը հավելավճար կստանա</w:t>
      </w:r>
      <w:r w:rsidRPr="00A83C94">
        <w:rPr>
          <w:shd w:val="clear" w:color="auto" w:fill="FFFFFF"/>
        </w:rPr>
        <w:t xml:space="preserve">, </w:t>
      </w:r>
      <w:r w:rsidRPr="00A83C94">
        <w:rPr>
          <w:rFonts w:cs="Sylfaen"/>
        </w:rPr>
        <w:t>որը</w:t>
      </w:r>
      <w:r w:rsidRPr="00A83C94">
        <w:t xml:space="preserve"> </w:t>
      </w:r>
      <w:r w:rsidRPr="00A83C94">
        <w:rPr>
          <w:rFonts w:cs="Sylfaen"/>
        </w:rPr>
        <w:t>հնարավորություն</w:t>
      </w:r>
      <w:r w:rsidRPr="00A83C94">
        <w:t xml:space="preserve"> </w:t>
      </w:r>
      <w:r w:rsidRPr="00A83C94">
        <w:rPr>
          <w:rFonts w:cs="Sylfaen"/>
        </w:rPr>
        <w:t>կընձեռի</w:t>
      </w:r>
      <w:r w:rsidRPr="00A83C94">
        <w:t xml:space="preserve"> </w:t>
      </w:r>
      <w:r w:rsidRPr="00A83C94">
        <w:rPr>
          <w:rFonts w:cs="Sylfaen"/>
          <w:shd w:val="clear" w:color="auto" w:fill="FFFFFF"/>
        </w:rPr>
        <w:t>ուսուցիչների</w:t>
      </w:r>
      <w:r w:rsidRPr="00A83C94">
        <w:rPr>
          <w:shd w:val="clear" w:color="auto" w:fill="FFFFFF"/>
        </w:rPr>
        <w:t xml:space="preserve"> </w:t>
      </w:r>
      <w:r w:rsidRPr="00A83C94">
        <w:rPr>
          <w:rFonts w:cs="Sylfaen"/>
          <w:shd w:val="clear" w:color="auto" w:fill="FFFFFF"/>
        </w:rPr>
        <w:t>վարձատրությունը</w:t>
      </w:r>
      <w:r w:rsidRPr="00A83C94">
        <w:rPr>
          <w:shd w:val="clear" w:color="auto" w:fill="FFFFFF"/>
        </w:rPr>
        <w:t xml:space="preserve"> </w:t>
      </w:r>
      <w:r w:rsidRPr="00A83C94">
        <w:rPr>
          <w:rFonts w:cs="Sylfaen"/>
          <w:shd w:val="clear" w:color="auto" w:fill="FFFFFF"/>
        </w:rPr>
        <w:t>մոտեցնելու</w:t>
      </w:r>
      <w:r w:rsidRPr="00A83C94">
        <w:rPr>
          <w:shd w:val="clear" w:color="auto" w:fill="FFFFFF"/>
        </w:rPr>
        <w:t xml:space="preserve"> </w:t>
      </w:r>
      <w:r w:rsidRPr="00A83C94">
        <w:rPr>
          <w:rFonts w:cs="Sylfaen"/>
          <w:shd w:val="clear" w:color="auto" w:fill="FFFFFF"/>
        </w:rPr>
        <w:t>երկրի</w:t>
      </w:r>
      <w:r w:rsidRPr="00A83C94">
        <w:rPr>
          <w:shd w:val="clear" w:color="auto" w:fill="FFFFFF"/>
        </w:rPr>
        <w:t xml:space="preserve"> </w:t>
      </w:r>
      <w:r w:rsidRPr="00A83C94">
        <w:rPr>
          <w:rFonts w:cs="Sylfaen"/>
          <w:shd w:val="clear" w:color="auto" w:fill="FFFFFF"/>
        </w:rPr>
        <w:t>միջին</w:t>
      </w:r>
      <w:r w:rsidRPr="00A83C94">
        <w:rPr>
          <w:shd w:val="clear" w:color="auto" w:fill="FFFFFF"/>
        </w:rPr>
        <w:t xml:space="preserve"> </w:t>
      </w:r>
      <w:r w:rsidRPr="00A83C94">
        <w:rPr>
          <w:rFonts w:cs="Sylfaen"/>
          <w:shd w:val="clear" w:color="auto" w:fill="FFFFFF"/>
        </w:rPr>
        <w:t>աշխատավարձին</w:t>
      </w:r>
      <w:r w:rsidRPr="00A83C94">
        <w:rPr>
          <w:shd w:val="clear" w:color="auto" w:fill="FFFFFF"/>
        </w:rPr>
        <w:t xml:space="preserve">: </w:t>
      </w:r>
    </w:p>
    <w:p w14:paraId="20A51F82" w14:textId="77777777" w:rsidR="005F226A" w:rsidRPr="00A83C94" w:rsidRDefault="005F226A" w:rsidP="005D2928">
      <w:pPr>
        <w:pStyle w:val="BodyText2"/>
      </w:pPr>
      <w:r w:rsidRPr="00A83C94">
        <w:t>«Դպրոցահասակ երեխաներին սննդով ապահովում</w:t>
      </w:r>
      <w:r w:rsidRPr="00A83C94">
        <w:rPr>
          <w:rFonts w:cs="Times Armenian"/>
        </w:rPr>
        <w:t>»</w:t>
      </w:r>
      <w:r w:rsidRPr="00A83C94">
        <w:t xml:space="preserve"> ծրագրի շրջանակում սննդով կապահովվեն ՀՀ Արարատի, Սյունիքի, Վայոց Ձորի, Տավուշի, Շիրակի, Արագածոտնի, Գեղարքունիքի</w:t>
      </w:r>
      <w:r w:rsidRPr="00A83C94">
        <w:rPr>
          <w:lang w:val="et-EE"/>
        </w:rPr>
        <w:t xml:space="preserve">, </w:t>
      </w:r>
      <w:r w:rsidRPr="00A83C94">
        <w:t>Լոռու</w:t>
      </w:r>
      <w:r w:rsidRPr="00A83C94">
        <w:rPr>
          <w:lang w:val="et-EE"/>
        </w:rPr>
        <w:t xml:space="preserve"> </w:t>
      </w:r>
      <w:r w:rsidRPr="00A83C94">
        <w:t xml:space="preserve"> մարզերի և 202</w:t>
      </w:r>
      <w:r w:rsidRPr="00A83C94">
        <w:rPr>
          <w:lang w:val="et-EE"/>
        </w:rPr>
        <w:t xml:space="preserve">2 </w:t>
      </w:r>
      <w:r w:rsidRPr="00A83C94">
        <w:t>թվականի սեպտեմբերից՝ Արմավիրի</w:t>
      </w:r>
      <w:r w:rsidRPr="00A83C94">
        <w:rPr>
          <w:lang w:val="et-EE"/>
        </w:rPr>
        <w:t xml:space="preserve"> </w:t>
      </w:r>
      <w:r w:rsidRPr="00A83C94">
        <w:t xml:space="preserve"> մարզի հանրակրթական դպրոցների տարրական դասարաններում և նախակրթարաններում ընդգրկված երեխաները:</w:t>
      </w:r>
    </w:p>
    <w:p w14:paraId="79B68F5F" w14:textId="77777777" w:rsidR="005F226A" w:rsidRPr="00A83C94" w:rsidRDefault="005F226A" w:rsidP="005D2928">
      <w:pPr>
        <w:pStyle w:val="BodyText2"/>
        <w:rPr>
          <w:rStyle w:val="hps"/>
          <w:rFonts w:cs="Sylfaen"/>
        </w:rPr>
      </w:pPr>
      <w:r w:rsidRPr="00A83C94">
        <w:rPr>
          <w:rStyle w:val="hps"/>
          <w:rFonts w:cs="Sylfaen"/>
        </w:rPr>
        <w:t>Կրթության առանձնահատուկ պայմանների կարիք ունեցող</w:t>
      </w:r>
      <w:r w:rsidRPr="00A83C94">
        <w:rPr>
          <w:rStyle w:val="hps"/>
          <w:rFonts w:cs="Sylfaen"/>
          <w:lang w:val="ro-RO"/>
        </w:rPr>
        <w:t xml:space="preserve"> երեխաներ</w:t>
      </w:r>
      <w:r w:rsidRPr="00A83C94">
        <w:rPr>
          <w:rStyle w:val="hps"/>
          <w:rFonts w:cs="Sylfaen"/>
        </w:rPr>
        <w:t>ին</w:t>
      </w:r>
      <w:r w:rsidRPr="00A83C94">
        <w:rPr>
          <w:rStyle w:val="hps"/>
          <w:rFonts w:cs="Sylfaen"/>
          <w:lang w:val="ro-RO"/>
        </w:rPr>
        <w:t xml:space="preserve"> կտրամադրվի </w:t>
      </w:r>
      <w:r w:rsidRPr="00A83C94">
        <w:rPr>
          <w:rStyle w:val="hps"/>
          <w:rFonts w:cs="Sylfaen"/>
        </w:rPr>
        <w:t>մանկավարժա</w:t>
      </w:r>
      <w:r w:rsidRPr="00A83C94">
        <w:t xml:space="preserve">հոգեբանական </w:t>
      </w:r>
      <w:r w:rsidRPr="00A83C94">
        <w:rPr>
          <w:rStyle w:val="hps"/>
          <w:rFonts w:cs="Sylfaen"/>
          <w:lang w:val="ro-RO"/>
        </w:rPr>
        <w:t>աջակցությո</w:t>
      </w:r>
      <w:r w:rsidRPr="00A83C94">
        <w:rPr>
          <w:rStyle w:val="hps"/>
          <w:rFonts w:cs="Sylfaen"/>
        </w:rPr>
        <w:t>ւ</w:t>
      </w:r>
      <w:r w:rsidRPr="00A83C94">
        <w:rPr>
          <w:rStyle w:val="hps"/>
          <w:rFonts w:cs="Sylfaen"/>
          <w:lang w:val="ro-RO"/>
        </w:rPr>
        <w:t>ն</w:t>
      </w:r>
      <w:r w:rsidRPr="00A83C94">
        <w:rPr>
          <w:rStyle w:val="hps"/>
          <w:rFonts w:cs="Sylfaen"/>
        </w:rPr>
        <w:t>։</w:t>
      </w:r>
    </w:p>
    <w:p w14:paraId="6BA724D9" w14:textId="77777777" w:rsidR="005F226A" w:rsidRPr="00A83C94" w:rsidRDefault="005F226A" w:rsidP="005D2928">
      <w:pPr>
        <w:pStyle w:val="BodyText2"/>
      </w:pPr>
      <w:r w:rsidRPr="00A83C94">
        <w:t>Կշարունակվեն կրթության ոլորտում ծառայությունների թվայնացմանն ու</w:t>
      </w:r>
      <w:r w:rsidRPr="00A83C94">
        <w:rPr>
          <w:rFonts w:ascii="Calibri" w:hAnsi="Calibri" w:cs="Calibri"/>
        </w:rPr>
        <w:t> </w:t>
      </w:r>
      <w:r w:rsidRPr="00A83C94">
        <w:t xml:space="preserve"> հեռավար կրթության լիարժեք ներդրմանն ուղղված քայլերը:</w:t>
      </w:r>
    </w:p>
    <w:p w14:paraId="063D840F" w14:textId="77777777" w:rsidR="005F226A" w:rsidRPr="00A83C94" w:rsidRDefault="005F226A" w:rsidP="005D2928">
      <w:pPr>
        <w:pStyle w:val="BodyText2"/>
      </w:pPr>
      <w:r w:rsidRPr="00A83C94">
        <w:t xml:space="preserve">Բարձրագույն մասնագիտական կրթության ոլորտում կարևորվելու են պետական ֆինանսավորման մեխանիզմների մշակումը և զուգահեռ ներդնումը` կախված բուհերի հավատարմագրման արդյունքներից, ստեղծվելու է ՀՀ պետական և ոչ պետական բուհերի գործունեության համար արդար մրցակցային դաշտ և հավասար հնարավորություններ: </w:t>
      </w:r>
    </w:p>
    <w:p w14:paraId="00FFE43B" w14:textId="77777777" w:rsidR="005F226A" w:rsidRPr="00A83C94" w:rsidRDefault="005F226A" w:rsidP="005D2928">
      <w:pPr>
        <w:pStyle w:val="BodyText2"/>
      </w:pPr>
      <w:r w:rsidRPr="00A83C94">
        <w:t>Վերանայվելու են բարձրագույն կրթության ծրագրերը, արդիականացվելու են կրթության կազմակերպման բովանդակությունը և մեթոդաբանությունը, բարելավվելու է կրթական ծրագրերում հետազոտական բաղադրիչը։</w:t>
      </w:r>
    </w:p>
    <w:p w14:paraId="73E3686C" w14:textId="77777777" w:rsidR="005F226A" w:rsidRPr="00A83C94" w:rsidRDefault="005F226A" w:rsidP="005D2928">
      <w:pPr>
        <w:pStyle w:val="BodyText2"/>
      </w:pPr>
      <w:r w:rsidRPr="00A83C94">
        <w:t>Կիրառվելու են երիտասարդ մասնագետներին բուհերում մնալու ուղղությամբ շահագրգռելու մեխանիզմներ, նորարարական միջավայրի խրախուսում։</w:t>
      </w:r>
    </w:p>
    <w:p w14:paraId="7629F1E4" w14:textId="77777777" w:rsidR="005F226A" w:rsidRPr="00A83C94" w:rsidRDefault="005F226A" w:rsidP="005D2928">
      <w:pPr>
        <w:pStyle w:val="BodyText2"/>
      </w:pPr>
      <w:r w:rsidRPr="00A83C94">
        <w:t xml:space="preserve">Կիրառական ուղղվածությամբ կրթական ծրագրերում ներգրավվելու են մասնագետներ ձեռնարկություններից, արդյունաբերական ոլորտից։ </w:t>
      </w:r>
    </w:p>
    <w:p w14:paraId="4231AA8B" w14:textId="77777777" w:rsidR="005F226A" w:rsidRPr="00A83C94" w:rsidRDefault="005F226A" w:rsidP="005D2928">
      <w:pPr>
        <w:pStyle w:val="BodyText2"/>
      </w:pPr>
      <w:r w:rsidRPr="00A83C94">
        <w:t>Ներդրվելու է բուհերի հաշվետվողականության մեխանիզմներ, կատարողականի հիմնական ցուցանիշների (KPI) մշակմամբ, ավելի լայն ակադեմիական ինքնավարություն ապահովելու նպատակով։</w:t>
      </w:r>
    </w:p>
    <w:p w14:paraId="066873EF" w14:textId="77777777" w:rsidR="005F226A" w:rsidRPr="00A83C94" w:rsidRDefault="005F226A" w:rsidP="005D2928">
      <w:pPr>
        <w:pStyle w:val="BodyText2"/>
      </w:pPr>
      <w:r w:rsidRPr="00A83C94">
        <w:t>Արդիականացվելու է բարձրագույն կրթության որակավորումների ցանկը՝ համապատասխանեցնելով լայնորեն ընդունված ձևաչափին։</w:t>
      </w:r>
    </w:p>
    <w:p w14:paraId="70345EB4"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57" w:name="_Toc83567447"/>
      <w:bookmarkStart w:id="58" w:name="_Toc83996325"/>
      <w:r w:rsidRPr="00A83C94">
        <w:rPr>
          <w:rFonts w:cs="Arial"/>
          <w:szCs w:val="22"/>
          <w:lang w:val="hy-AM" w:eastAsia="en-US"/>
        </w:rPr>
        <w:t>Գիտության ոլորտ</w:t>
      </w:r>
      <w:bookmarkEnd w:id="55"/>
      <w:bookmarkEnd w:id="56"/>
      <w:bookmarkEnd w:id="57"/>
      <w:bookmarkEnd w:id="58"/>
    </w:p>
    <w:p w14:paraId="24221927" w14:textId="77777777" w:rsidR="005F226A" w:rsidRPr="00A83C94" w:rsidRDefault="005F226A" w:rsidP="005D2928">
      <w:pPr>
        <w:tabs>
          <w:tab w:val="left" w:pos="567"/>
          <w:tab w:val="left" w:pos="1134"/>
        </w:tabs>
        <w:spacing w:before="0" w:line="276" w:lineRule="auto"/>
        <w:ind w:firstLine="720"/>
        <w:contextualSpacing w:val="0"/>
        <w:rPr>
          <w:rFonts w:cs="Sylfaen"/>
          <w:b w:val="0"/>
          <w:szCs w:val="22"/>
          <w:lang w:val="hy-AM"/>
        </w:rPr>
      </w:pPr>
      <w:bookmarkStart w:id="59" w:name="_Toc26174900"/>
      <w:bookmarkStart w:id="60" w:name="_Toc57655429"/>
      <w:r w:rsidRPr="00A83C94">
        <w:rPr>
          <w:rFonts w:cs="Sylfaen"/>
          <w:b w:val="0"/>
          <w:szCs w:val="22"/>
          <w:lang w:val="hy-AM"/>
        </w:rPr>
        <w:t>Հայաստանի Հանրապետության գիտության ոլորտը պետք է լինի  Հայաստանի Հանրապետության կայուն զարգացման անկյունաքարային ոլորտներից մեկը, որի զարգացումը հնարավորություն է ընձեռելու Հայաստանին դիմակայել ներկայիս և ապագայի մարտահրավերներին, դառնալ Հայաստանի Հանրապետության առաջընթացի կարևոր մաս, ի վիճակի լինել կլանելու և ադապտացնելու ժամանակակից մշակումներն ու զարգացած մարդկային ռեսուրսով ապահովելու ինչպես կրթական համակարգը, այնպես էլ բարձր տեխնոլոգիական և ռազմավարական նշանակության այլ ոլորտները:</w:t>
      </w:r>
    </w:p>
    <w:p w14:paraId="4B2BA716" w14:textId="77777777" w:rsidR="005F226A" w:rsidRPr="00A83C94" w:rsidRDefault="005F226A" w:rsidP="005D2928">
      <w:pPr>
        <w:tabs>
          <w:tab w:val="left" w:pos="567"/>
          <w:tab w:val="left" w:pos="1134"/>
        </w:tabs>
        <w:spacing w:before="0" w:line="276" w:lineRule="auto"/>
        <w:ind w:firstLine="720"/>
        <w:contextualSpacing w:val="0"/>
        <w:rPr>
          <w:rFonts w:cs="Sylfaen"/>
          <w:b w:val="0"/>
          <w:szCs w:val="22"/>
          <w:lang w:val="hy-AM"/>
        </w:rPr>
      </w:pPr>
      <w:r w:rsidRPr="00A83C94">
        <w:rPr>
          <w:rFonts w:cs="Sylfaen"/>
          <w:b w:val="0"/>
          <w:szCs w:val="22"/>
          <w:lang w:val="hy-AM"/>
        </w:rPr>
        <w:t>Ոլորտի առաջնահերթ գերակա խնդիրներն են.</w:t>
      </w:r>
    </w:p>
    <w:p w14:paraId="64B5E07D"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 xml:space="preserve">մրցունակ գիտական գործունեության համար նպաստավոր ենթակառուցվածքների ստեղծում, </w:t>
      </w:r>
    </w:p>
    <w:p w14:paraId="30721206"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գիտության ոլորտում աշխատողների որակավորման բարձրացում և երիտասարդ կադրերի ներգրավում,</w:t>
      </w:r>
    </w:p>
    <w:p w14:paraId="232A3843"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գիտության ոլորտում պետական ֆինանսավորման արդյունավետության բարձրացում:</w:t>
      </w:r>
    </w:p>
    <w:p w14:paraId="25BD3224" w14:textId="77777777" w:rsidR="005F226A" w:rsidRPr="00A83C94" w:rsidRDefault="005F226A" w:rsidP="005D2928">
      <w:pPr>
        <w:tabs>
          <w:tab w:val="left" w:pos="567"/>
          <w:tab w:val="left" w:pos="1134"/>
        </w:tabs>
        <w:spacing w:before="0" w:line="276" w:lineRule="auto"/>
        <w:ind w:firstLine="720"/>
        <w:contextualSpacing w:val="0"/>
        <w:rPr>
          <w:rFonts w:cs="Sylfaen"/>
          <w:b w:val="0"/>
          <w:szCs w:val="22"/>
          <w:lang w:val="hy-AM"/>
        </w:rPr>
      </w:pPr>
      <w:r w:rsidRPr="00A83C94">
        <w:rPr>
          <w:rFonts w:cs="Sylfaen"/>
          <w:b w:val="0"/>
          <w:szCs w:val="22"/>
          <w:lang w:val="hy-AM"/>
        </w:rPr>
        <w:t>Վերոնշյալ գերակա խնդիրների լուծմանն ուղղված միջոցառումներն են.</w:t>
      </w:r>
    </w:p>
    <w:p w14:paraId="663953B6"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գիտական ենթակառուցվածքների զարգացվածության ապահովում, մասնավորապես, գիտական կենտրոնների վերանորոգում և վերազինում ժամանակակից սարքավորումներով, այդ թվում՝ համատեղ օգտագործման գիտական սարքավորումների կենտրոնների ստեղծում,</w:t>
      </w:r>
    </w:p>
    <w:p w14:paraId="404D55A4"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գիտության ոլորտում աշխատողների որակավորման բարձրացում և երիտասարդ կադրերի ներգրավում, այդ թվում՝ Սփյուռքի ներուժի օգտագործմամբ,</w:t>
      </w:r>
    </w:p>
    <w:p w14:paraId="71DB5D53"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ասպիրանտական և հետդոկտորանտական ծրագրերի իրականացում՝ միջազգային հետազոտական ծրագրերում ներգրավվելու և միջազգային փորձի փոխառման նպատակով,</w:t>
      </w:r>
    </w:p>
    <w:p w14:paraId="079836D0"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օտարերկրյա հայազգի գիտնականների ներգրավում Հայաստանի Հանրապետությունում իրականացվող հետազոտություններում՝ իրենց ղեկավարությամբ գիտական խմբեր ձևավորելու միջոցով:</w:t>
      </w:r>
    </w:p>
    <w:p w14:paraId="12B8B408" w14:textId="77777777" w:rsidR="000825DA" w:rsidRPr="00A83C94" w:rsidRDefault="000825DA" w:rsidP="000825DA">
      <w:pPr>
        <w:pStyle w:val="ListParagraph"/>
        <w:tabs>
          <w:tab w:val="left" w:pos="450"/>
          <w:tab w:val="left" w:pos="567"/>
          <w:tab w:val="left" w:pos="990"/>
          <w:tab w:val="left" w:pos="1134"/>
        </w:tabs>
        <w:spacing w:before="0" w:line="276" w:lineRule="auto"/>
        <w:ind w:firstLine="0"/>
        <w:contextualSpacing w:val="0"/>
        <w:rPr>
          <w:rFonts w:cs="Sylfaen"/>
          <w:b w:val="0"/>
          <w:szCs w:val="22"/>
          <w:lang w:val="hy-AM"/>
        </w:rPr>
      </w:pPr>
    </w:p>
    <w:p w14:paraId="1B3F93EA"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1" w:name="_Toc83567448"/>
      <w:bookmarkStart w:id="62" w:name="_Toc83996326"/>
      <w:r w:rsidRPr="00A83C94">
        <w:rPr>
          <w:rFonts w:cs="Arial"/>
          <w:szCs w:val="22"/>
          <w:lang w:val="hy-AM" w:eastAsia="en-US"/>
        </w:rPr>
        <w:t>Մշակույթ</w:t>
      </w:r>
      <w:bookmarkEnd w:id="59"/>
      <w:bookmarkEnd w:id="60"/>
      <w:bookmarkEnd w:id="61"/>
      <w:bookmarkEnd w:id="62"/>
    </w:p>
    <w:p w14:paraId="711A355F" w14:textId="77777777" w:rsidR="005F226A" w:rsidRPr="00A83C94" w:rsidRDefault="005F226A" w:rsidP="005D2928">
      <w:pPr>
        <w:tabs>
          <w:tab w:val="left" w:pos="450"/>
          <w:tab w:val="left" w:pos="567"/>
          <w:tab w:val="left" w:pos="1134"/>
        </w:tabs>
        <w:spacing w:before="0" w:line="276" w:lineRule="auto"/>
        <w:ind w:firstLine="720"/>
        <w:rPr>
          <w:b w:val="0"/>
          <w:szCs w:val="22"/>
          <w:lang w:val="af-ZA"/>
        </w:rPr>
      </w:pPr>
      <w:r w:rsidRPr="00A83C94">
        <w:rPr>
          <w:b w:val="0"/>
          <w:szCs w:val="22"/>
          <w:lang w:val="hy-AM"/>
        </w:rPr>
        <w:t>Մ</w:t>
      </w:r>
      <w:r w:rsidRPr="00A83C94">
        <w:rPr>
          <w:b w:val="0"/>
          <w:szCs w:val="22"/>
          <w:lang w:val="af-ZA"/>
        </w:rPr>
        <w:t>շակութային ժառանգության ծրագրի շրջանակներում կշարունակվեն պահպանության և հանրահռչակման աշխատանքները` ուղղված ՀՀ տարածքում և արտերկրում գտնվող մշակութային արժեքների և պատմամշակութային հուշարձանների հաշվառմանն ու գիտական ուսումնասիրությունների իրականացմանը, մշակութային ժառանգության (նյութական և ոչ նյութական) անխաթար պահպանմանը,  վերականգնմանն ու սերունդներին փոխանցմանը:</w:t>
      </w:r>
    </w:p>
    <w:p w14:paraId="157E74A7" w14:textId="77777777" w:rsidR="005F226A" w:rsidRPr="00A83C94" w:rsidRDefault="005F226A" w:rsidP="005D2928">
      <w:pPr>
        <w:tabs>
          <w:tab w:val="left" w:pos="450"/>
          <w:tab w:val="left" w:pos="567"/>
          <w:tab w:val="left" w:pos="1134"/>
        </w:tabs>
        <w:spacing w:before="0" w:line="276" w:lineRule="auto"/>
        <w:ind w:firstLine="720"/>
        <w:rPr>
          <w:b w:val="0"/>
          <w:szCs w:val="22"/>
          <w:lang w:val="hy-AM"/>
        </w:rPr>
      </w:pPr>
      <w:r w:rsidRPr="00A83C94">
        <w:rPr>
          <w:b w:val="0"/>
          <w:szCs w:val="22"/>
          <w:lang w:val="af-ZA"/>
        </w:rPr>
        <w:t>Գրահրատարակչության և գրադարանների ծրագրի շրջանակում իրականացվող ծրագրերն ուղղված կլինեն գրականության զարգացմանն ու տարածմանը, տպագիր արտադրանքի միջոցով հոգևոր-մշակութային ժառանգության փոխանցմանը,</w:t>
      </w:r>
      <w:r w:rsidRPr="00A83C94">
        <w:rPr>
          <w:b w:val="0"/>
          <w:szCs w:val="22"/>
          <w:lang w:val="hy-AM"/>
        </w:rPr>
        <w:t xml:space="preserve"> ինչպես նաև արտերկրի գրադարանները հայ գրականությամբ համալրելու աշխատանքների իրականացմանը։</w:t>
      </w:r>
    </w:p>
    <w:p w14:paraId="2F4DD6F4" w14:textId="54217FB9" w:rsidR="005F226A" w:rsidRPr="00A83C94" w:rsidRDefault="005F226A" w:rsidP="005D2928">
      <w:pPr>
        <w:tabs>
          <w:tab w:val="left" w:pos="450"/>
          <w:tab w:val="left" w:pos="567"/>
          <w:tab w:val="left" w:pos="1134"/>
        </w:tabs>
        <w:spacing w:before="0" w:line="276" w:lineRule="auto"/>
        <w:ind w:firstLine="720"/>
        <w:rPr>
          <w:b w:val="0"/>
          <w:szCs w:val="22"/>
          <w:lang w:val="af-ZA"/>
        </w:rPr>
      </w:pPr>
      <w:r w:rsidRPr="00A83C94">
        <w:rPr>
          <w:b w:val="0"/>
          <w:szCs w:val="22"/>
          <w:lang w:val="hy-AM"/>
        </w:rPr>
        <w:t>Կապահովվի</w:t>
      </w:r>
      <w:r w:rsidRPr="00A83C94">
        <w:rPr>
          <w:b w:val="0"/>
          <w:szCs w:val="22"/>
          <w:lang w:val="af-ZA"/>
        </w:rPr>
        <w:t xml:space="preserve"> ՀՀ տարածքում բնակվող ազգային փոքրամասնությունների համար լույս տեսնող լրատվամիջոցների և պարբերականների գործունեության շարունակականությ</w:t>
      </w:r>
      <w:r w:rsidRPr="00A83C94">
        <w:rPr>
          <w:b w:val="0"/>
          <w:szCs w:val="22"/>
          <w:lang w:val="hy-AM"/>
        </w:rPr>
        <w:t>ու</w:t>
      </w:r>
      <w:r w:rsidRPr="00A83C94">
        <w:rPr>
          <w:b w:val="0"/>
          <w:szCs w:val="22"/>
          <w:lang w:val="af-ZA"/>
        </w:rPr>
        <w:t>նը, հանրապետական գրական ծրագրերի կազմակերպ</w:t>
      </w:r>
      <w:r w:rsidR="00ED6B3C">
        <w:rPr>
          <w:b w:val="0"/>
          <w:szCs w:val="22"/>
          <w:lang w:val="af-ZA"/>
        </w:rPr>
        <w:t>ումը</w:t>
      </w:r>
      <w:r w:rsidRPr="00A83C94">
        <w:rPr>
          <w:b w:val="0"/>
          <w:szCs w:val="22"/>
          <w:lang w:val="af-ZA"/>
        </w:rPr>
        <w:t>, գրադարանների հավաքածուների համալր</w:t>
      </w:r>
      <w:r w:rsidRPr="00A83C94">
        <w:rPr>
          <w:b w:val="0"/>
          <w:szCs w:val="22"/>
          <w:lang w:val="hy-AM"/>
        </w:rPr>
        <w:t>ումն</w:t>
      </w:r>
      <w:r w:rsidRPr="00A83C94">
        <w:rPr>
          <w:b w:val="0"/>
          <w:szCs w:val="22"/>
          <w:lang w:val="af-ZA"/>
        </w:rPr>
        <w:t xml:space="preserve"> ու պահպան</w:t>
      </w:r>
      <w:r w:rsidRPr="00A83C94">
        <w:rPr>
          <w:b w:val="0"/>
          <w:szCs w:val="22"/>
          <w:lang w:val="hy-AM"/>
        </w:rPr>
        <w:t>ում</w:t>
      </w:r>
      <w:r w:rsidRPr="00A83C94">
        <w:rPr>
          <w:b w:val="0"/>
          <w:szCs w:val="22"/>
          <w:lang w:val="af-ZA"/>
        </w:rPr>
        <w:t>ը, ժամանակակից տեղեկատվական տեխնոլոգիաների կիրառմամբ գրավոր ժառանգության (անձեռնմխելի հավաքածուներ) թվայնաց</w:t>
      </w:r>
      <w:r w:rsidRPr="00A83C94">
        <w:rPr>
          <w:b w:val="0"/>
          <w:szCs w:val="22"/>
          <w:lang w:val="hy-AM"/>
        </w:rPr>
        <w:t>ումը</w:t>
      </w:r>
      <w:r w:rsidRPr="00A83C94">
        <w:rPr>
          <w:b w:val="0"/>
          <w:szCs w:val="22"/>
          <w:lang w:val="af-ZA"/>
        </w:rPr>
        <w:t>, տեղեկատվական շտեմարանների շարունակական զարգաց</w:t>
      </w:r>
      <w:r w:rsidRPr="00A83C94">
        <w:rPr>
          <w:b w:val="0"/>
          <w:szCs w:val="22"/>
          <w:lang w:val="hy-AM"/>
        </w:rPr>
        <w:t>ումը</w:t>
      </w:r>
      <w:r w:rsidRPr="00A83C94">
        <w:rPr>
          <w:b w:val="0"/>
          <w:szCs w:val="22"/>
          <w:lang w:val="af-ZA"/>
        </w:rPr>
        <w:t>, ոլորտի մասնագետների վերապատրաստ</w:t>
      </w:r>
      <w:r w:rsidRPr="00A83C94">
        <w:rPr>
          <w:b w:val="0"/>
          <w:szCs w:val="22"/>
          <w:lang w:val="hy-AM"/>
        </w:rPr>
        <w:t>ումը</w:t>
      </w:r>
      <w:r w:rsidRPr="00A83C94">
        <w:rPr>
          <w:b w:val="0"/>
          <w:szCs w:val="22"/>
          <w:lang w:val="af-ZA"/>
        </w:rPr>
        <w:t>, միջազգային համագործակցության ընդլայն</w:t>
      </w:r>
      <w:r w:rsidRPr="00A83C94">
        <w:rPr>
          <w:b w:val="0"/>
          <w:szCs w:val="22"/>
          <w:lang w:val="hy-AM"/>
        </w:rPr>
        <w:t>ում</w:t>
      </w:r>
      <w:r w:rsidRPr="00A83C94">
        <w:rPr>
          <w:b w:val="0"/>
          <w:szCs w:val="22"/>
          <w:lang w:val="af-ZA"/>
        </w:rPr>
        <w:t>ը, մատենագիտական տվյալների կազմ</w:t>
      </w:r>
      <w:r w:rsidRPr="00A83C94">
        <w:rPr>
          <w:b w:val="0"/>
          <w:szCs w:val="22"/>
          <w:lang w:val="hy-AM"/>
        </w:rPr>
        <w:t>ում</w:t>
      </w:r>
      <w:r w:rsidRPr="00A83C94">
        <w:rPr>
          <w:b w:val="0"/>
          <w:szCs w:val="22"/>
          <w:lang w:val="af-ZA"/>
        </w:rPr>
        <w:t>ն ու հրապարակ</w:t>
      </w:r>
      <w:r w:rsidRPr="00A83C94">
        <w:rPr>
          <w:b w:val="0"/>
          <w:szCs w:val="22"/>
          <w:lang w:val="hy-AM"/>
        </w:rPr>
        <w:t>ումը</w:t>
      </w:r>
      <w:r w:rsidRPr="00A83C94">
        <w:rPr>
          <w:b w:val="0"/>
          <w:szCs w:val="22"/>
          <w:lang w:val="af-ZA"/>
        </w:rPr>
        <w:t>, հանրությանը մատուցվող ծառայությունների որակի բարձրաց</w:t>
      </w:r>
      <w:r w:rsidRPr="00A83C94">
        <w:rPr>
          <w:b w:val="0"/>
          <w:szCs w:val="22"/>
          <w:lang w:val="hy-AM"/>
        </w:rPr>
        <w:t>ումը</w:t>
      </w:r>
      <w:r w:rsidRPr="00A83C94">
        <w:rPr>
          <w:b w:val="0"/>
          <w:szCs w:val="22"/>
          <w:lang w:val="af-ZA"/>
        </w:rPr>
        <w:t>:</w:t>
      </w:r>
    </w:p>
    <w:p w14:paraId="583C0F87" w14:textId="58764581" w:rsidR="005F226A" w:rsidRPr="00A83C94" w:rsidRDefault="005F226A" w:rsidP="005D2928">
      <w:pPr>
        <w:tabs>
          <w:tab w:val="left" w:pos="450"/>
          <w:tab w:val="left" w:pos="567"/>
          <w:tab w:val="left" w:pos="1134"/>
        </w:tabs>
        <w:spacing w:before="0" w:line="276" w:lineRule="auto"/>
        <w:ind w:firstLine="720"/>
        <w:contextualSpacing w:val="0"/>
        <w:rPr>
          <w:rFonts w:cs="Sylfaen"/>
          <w:b w:val="0"/>
          <w:szCs w:val="22"/>
          <w:lang w:val="af-ZA"/>
        </w:rPr>
      </w:pPr>
      <w:r w:rsidRPr="00A83C94">
        <w:rPr>
          <w:b w:val="0"/>
          <w:szCs w:val="22"/>
          <w:lang w:val="af-ZA"/>
        </w:rPr>
        <w:t>Կինեմատոգրաֆիայի ծրագրի շրջանակներում իրականացվող գործընթացներն ուղղված կլինեն խաղարկային, մուլտիպլիկացիոն և վավերագրական կինոնկարների արտադրության աջակցմանը, կինո-ֆոտո-ֆոնո հավաքածուի պահպանմանը, վե</w:t>
      </w:r>
      <w:r w:rsidR="00ED6B3C">
        <w:rPr>
          <w:b w:val="0"/>
          <w:szCs w:val="22"/>
          <w:lang w:val="af-ZA"/>
        </w:rPr>
        <w:t>ր</w:t>
      </w:r>
      <w:r w:rsidRPr="00A83C94">
        <w:rPr>
          <w:b w:val="0"/>
          <w:szCs w:val="22"/>
          <w:lang w:val="af-ZA"/>
        </w:rPr>
        <w:t xml:space="preserve">ականգնմանն ու թվայնացմանը, </w:t>
      </w:r>
      <w:r w:rsidRPr="00A83C94">
        <w:rPr>
          <w:rFonts w:cs="Sylfaen"/>
          <w:b w:val="0"/>
          <w:szCs w:val="22"/>
          <w:lang w:val="en-US"/>
        </w:rPr>
        <w:t>միջազգային</w:t>
      </w:r>
      <w:r w:rsidRPr="00A83C94">
        <w:rPr>
          <w:rFonts w:cs="Sylfaen"/>
          <w:b w:val="0"/>
          <w:szCs w:val="22"/>
          <w:lang w:val="af-ZA"/>
        </w:rPr>
        <w:t xml:space="preserve"> </w:t>
      </w:r>
      <w:r w:rsidRPr="00A83C94">
        <w:rPr>
          <w:rFonts w:cs="Sylfaen"/>
          <w:b w:val="0"/>
          <w:szCs w:val="22"/>
          <w:lang w:val="en-US"/>
        </w:rPr>
        <w:t>համագործակցության</w:t>
      </w:r>
      <w:r w:rsidRPr="00A83C94">
        <w:rPr>
          <w:rFonts w:cs="Sylfaen"/>
          <w:b w:val="0"/>
          <w:szCs w:val="22"/>
          <w:lang w:val="af-ZA"/>
        </w:rPr>
        <w:t xml:space="preserve"> </w:t>
      </w:r>
      <w:r w:rsidRPr="00A83C94">
        <w:rPr>
          <w:rFonts w:cs="Sylfaen"/>
          <w:b w:val="0"/>
          <w:szCs w:val="22"/>
          <w:lang w:val="en-US"/>
        </w:rPr>
        <w:t>ընդլայնմանը</w:t>
      </w:r>
      <w:r w:rsidRPr="00A83C94">
        <w:rPr>
          <w:rFonts w:cs="Sylfaen"/>
          <w:b w:val="0"/>
          <w:szCs w:val="22"/>
          <w:lang w:val="af-ZA"/>
        </w:rPr>
        <w:t xml:space="preserve">, </w:t>
      </w:r>
      <w:r w:rsidRPr="00A83C94">
        <w:rPr>
          <w:rFonts w:cs="Sylfaen"/>
          <w:b w:val="0"/>
          <w:szCs w:val="22"/>
          <w:lang w:val="en-US"/>
        </w:rPr>
        <w:t>մրցունակ</w:t>
      </w:r>
      <w:r w:rsidRPr="00A83C94">
        <w:rPr>
          <w:rFonts w:cs="Sylfaen"/>
          <w:b w:val="0"/>
          <w:szCs w:val="22"/>
          <w:lang w:val="af-ZA"/>
        </w:rPr>
        <w:t xml:space="preserve"> </w:t>
      </w:r>
      <w:r w:rsidRPr="00A83C94">
        <w:rPr>
          <w:rFonts w:cs="Sylfaen"/>
          <w:b w:val="0"/>
          <w:szCs w:val="22"/>
          <w:lang w:val="en-US"/>
        </w:rPr>
        <w:t>նախագծերի</w:t>
      </w:r>
      <w:r w:rsidRPr="00A83C94">
        <w:rPr>
          <w:rFonts w:cs="Sylfaen"/>
          <w:b w:val="0"/>
          <w:szCs w:val="22"/>
          <w:lang w:val="af-ZA"/>
        </w:rPr>
        <w:t xml:space="preserve"> </w:t>
      </w:r>
      <w:r w:rsidRPr="00A83C94">
        <w:rPr>
          <w:rFonts w:cs="Sylfaen"/>
          <w:b w:val="0"/>
          <w:szCs w:val="22"/>
          <w:lang w:val="en-US"/>
        </w:rPr>
        <w:t>ստեղծմանն</w:t>
      </w:r>
      <w:r w:rsidRPr="00A83C94">
        <w:rPr>
          <w:rFonts w:cs="Sylfaen"/>
          <w:b w:val="0"/>
          <w:szCs w:val="22"/>
          <w:lang w:val="af-ZA"/>
        </w:rPr>
        <w:t xml:space="preserve"> </w:t>
      </w:r>
      <w:r w:rsidRPr="00A83C94">
        <w:rPr>
          <w:rFonts w:cs="Sylfaen"/>
          <w:b w:val="0"/>
          <w:szCs w:val="22"/>
          <w:lang w:val="en-US"/>
        </w:rPr>
        <w:t>ու</w:t>
      </w:r>
      <w:r w:rsidRPr="00A83C94">
        <w:rPr>
          <w:rFonts w:cs="Sylfaen"/>
          <w:b w:val="0"/>
          <w:szCs w:val="22"/>
          <w:lang w:val="af-ZA"/>
        </w:rPr>
        <w:t xml:space="preserve"> </w:t>
      </w:r>
      <w:r w:rsidRPr="00A83C94">
        <w:rPr>
          <w:rFonts w:cs="Sylfaen"/>
          <w:b w:val="0"/>
          <w:szCs w:val="22"/>
          <w:lang w:val="en-US"/>
        </w:rPr>
        <w:t>միջազգային</w:t>
      </w:r>
      <w:r w:rsidRPr="00A83C94">
        <w:rPr>
          <w:rFonts w:cs="Sylfaen"/>
          <w:b w:val="0"/>
          <w:szCs w:val="22"/>
          <w:lang w:val="af-ZA"/>
        </w:rPr>
        <w:t xml:space="preserve"> </w:t>
      </w:r>
      <w:r w:rsidRPr="00A83C94">
        <w:rPr>
          <w:rFonts w:cs="Sylfaen"/>
          <w:b w:val="0"/>
          <w:szCs w:val="22"/>
          <w:lang w:val="en-US"/>
        </w:rPr>
        <w:t>կինոգործընթացներին</w:t>
      </w:r>
      <w:r w:rsidRPr="00A83C94">
        <w:rPr>
          <w:rFonts w:cs="Sylfaen"/>
          <w:b w:val="0"/>
          <w:szCs w:val="22"/>
          <w:lang w:val="af-ZA"/>
        </w:rPr>
        <w:t xml:space="preserve"> </w:t>
      </w:r>
      <w:r w:rsidRPr="00A83C94">
        <w:rPr>
          <w:rFonts w:cs="Sylfaen"/>
          <w:b w:val="0"/>
          <w:szCs w:val="22"/>
          <w:lang w:val="en-US"/>
        </w:rPr>
        <w:t>ինտեգրման</w:t>
      </w:r>
      <w:r w:rsidR="00ED6B3C">
        <w:rPr>
          <w:rFonts w:cs="Sylfaen"/>
          <w:b w:val="0"/>
          <w:szCs w:val="22"/>
          <w:lang w:val="en-US"/>
        </w:rPr>
        <w:t>ն</w:t>
      </w:r>
      <w:r w:rsidRPr="00A83C94">
        <w:rPr>
          <w:rFonts w:cs="Sylfaen"/>
          <w:b w:val="0"/>
          <w:szCs w:val="22"/>
          <w:lang w:val="af-ZA"/>
        </w:rPr>
        <w:t xml:space="preserve"> </w:t>
      </w:r>
      <w:r w:rsidRPr="00A83C94">
        <w:rPr>
          <w:rFonts w:cs="Sylfaen"/>
          <w:b w:val="0"/>
          <w:szCs w:val="22"/>
          <w:lang w:val="en-US"/>
        </w:rPr>
        <w:t>աջակցմանը</w:t>
      </w:r>
      <w:r w:rsidRPr="00A83C94">
        <w:rPr>
          <w:rFonts w:cs="Sylfaen"/>
          <w:b w:val="0"/>
          <w:szCs w:val="22"/>
          <w:lang w:val="af-ZA"/>
        </w:rPr>
        <w:t xml:space="preserve">, </w:t>
      </w:r>
      <w:r w:rsidRPr="00A83C94">
        <w:rPr>
          <w:b w:val="0"/>
          <w:szCs w:val="22"/>
          <w:lang w:val="af-ZA"/>
        </w:rPr>
        <w:t>կինոարվեստի հանրահռչակմանը, տարածմանը, մատչելիության ապահովմանը, հայկական կինոյի ավանդույթների շարունակականության ապահովմանը:</w:t>
      </w:r>
    </w:p>
    <w:p w14:paraId="132C936D"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 xml:space="preserve">Արվեստների ծրագրի շրջանակներում իրականացվող ծրագրերը նպատակաուղղված կլինեն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գործընթացներին ինտեգրման աջակցմանը, ոլորտում գործող ստեղծագործական միությունների և հասարակական կազմակերպությունների հետ համագործակցության ընդլայնմանը և մրցակցային դաշտի ձևավորմանը: </w:t>
      </w:r>
    </w:p>
    <w:p w14:paraId="302066DC"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Մշակութային և գեղագիտական դաստիարակության ծրագիրը նպատակաուղղված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դաստիարակության ձևավորմանը նպաստող ծրագրերի իրականացմանը, ներառական ծրագրերի աջակցմանը, մանկապատանեկան տարիքի երեխաների, կրթության իրականացման պայմանների մատչելիության և որակի ապահովմանը</w:t>
      </w:r>
      <w:r w:rsidRPr="00A83C94">
        <w:rPr>
          <w:b w:val="0"/>
          <w:szCs w:val="22"/>
          <w:lang w:val="hy-AM"/>
        </w:rPr>
        <w:t>։</w:t>
      </w:r>
      <w:r w:rsidRPr="00A83C94">
        <w:rPr>
          <w:b w:val="0"/>
          <w:szCs w:val="22"/>
          <w:lang w:val="af-ZA"/>
        </w:rPr>
        <w:t xml:space="preserve"> </w:t>
      </w:r>
    </w:p>
    <w:p w14:paraId="6616CA7B"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Մարզերի մշակութային զարգացման ծրագրի շրջանակներում իրականացվող գործընթացներն ուղղված կլինեն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մշակույթի և ազատ ժամանցի կազմակերպմանը, համայնքային ենթակայության մշակույթի տներում և կենտրոններում  ստեղծագործական ծրագրերի և նախագծերի աջակցմանը:</w:t>
      </w:r>
    </w:p>
    <w:p w14:paraId="1362B23E"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Ազգային արխիվի ծրագրի շրջանակներում իրականացվող գործընթացները նպատակաուղղված են ՀՀ ազգային արխիվային հավաքածուի պահպանության, համալրմանը, հաշվառմանը, արխիվային փաստաթղթերի վերանորոգմանը, փաստաթղթերի գիտատեխնիկական մշակմանը, ՀՀ արխիվային հավաքածուի թվայնացման աշխատանքների իրականացմանը, հանրության կողմից արխիվային նյութերի օգտագործման ապահովմանը:</w:t>
      </w:r>
    </w:p>
    <w:p w14:paraId="610AE811" w14:textId="77777777" w:rsidR="000825DA" w:rsidRPr="00A83C94" w:rsidRDefault="000825DA" w:rsidP="005D2928">
      <w:pPr>
        <w:tabs>
          <w:tab w:val="left" w:pos="450"/>
          <w:tab w:val="left" w:pos="567"/>
          <w:tab w:val="left" w:pos="1134"/>
        </w:tabs>
        <w:spacing w:before="0" w:line="276" w:lineRule="auto"/>
        <w:ind w:firstLine="720"/>
        <w:contextualSpacing w:val="0"/>
        <w:rPr>
          <w:b w:val="0"/>
          <w:szCs w:val="22"/>
          <w:lang w:val="af-ZA"/>
        </w:rPr>
      </w:pPr>
    </w:p>
    <w:p w14:paraId="1C7FF8D3"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3" w:name="_Toc26174901"/>
      <w:bookmarkStart w:id="64" w:name="_Toc57655430"/>
      <w:bookmarkStart w:id="65" w:name="_Toc83567449"/>
      <w:bookmarkStart w:id="66" w:name="_Toc83996327"/>
      <w:r w:rsidRPr="00A83C94">
        <w:rPr>
          <w:rFonts w:cs="Arial"/>
          <w:szCs w:val="22"/>
          <w:lang w:val="hy-AM" w:eastAsia="en-US"/>
        </w:rPr>
        <w:t>Սպորտ</w:t>
      </w:r>
      <w:bookmarkEnd w:id="63"/>
      <w:bookmarkEnd w:id="64"/>
      <w:bookmarkEnd w:id="65"/>
      <w:bookmarkEnd w:id="66"/>
    </w:p>
    <w:p w14:paraId="74798519" w14:textId="310735B4" w:rsidR="005F226A" w:rsidRPr="00A83C94" w:rsidRDefault="005F226A" w:rsidP="005D2928">
      <w:pPr>
        <w:tabs>
          <w:tab w:val="left" w:pos="1134"/>
        </w:tabs>
        <w:spacing w:before="0" w:line="276" w:lineRule="auto"/>
        <w:ind w:firstLine="708"/>
        <w:rPr>
          <w:rFonts w:cs="Sylfaen"/>
          <w:b w:val="0"/>
          <w:szCs w:val="22"/>
          <w:lang w:val="hy-AM"/>
        </w:rPr>
      </w:pPr>
      <w:r w:rsidRPr="00A83C94">
        <w:rPr>
          <w:rFonts w:cs="Sylfaen"/>
          <w:b w:val="0"/>
          <w:szCs w:val="22"/>
          <w:lang w:val="hy-AM"/>
        </w:rPr>
        <w:t>Մեծ</w:t>
      </w:r>
      <w:r w:rsidRPr="00A83C94">
        <w:rPr>
          <w:rFonts w:cs="Sylfaen"/>
          <w:b w:val="0"/>
          <w:szCs w:val="22"/>
          <w:lang w:val="af-ZA"/>
        </w:rPr>
        <w:t xml:space="preserve"> </w:t>
      </w:r>
      <w:r w:rsidRPr="00A83C94">
        <w:rPr>
          <w:rFonts w:cs="Sylfaen"/>
          <w:b w:val="0"/>
          <w:szCs w:val="22"/>
          <w:lang w:val="hy-AM"/>
        </w:rPr>
        <w:t>նվաճումների</w:t>
      </w:r>
      <w:r w:rsidRPr="00A83C94">
        <w:rPr>
          <w:rFonts w:cs="Sylfaen"/>
          <w:b w:val="0"/>
          <w:szCs w:val="22"/>
          <w:lang w:val="af-ZA"/>
        </w:rPr>
        <w:t xml:space="preserve"> </w:t>
      </w:r>
      <w:r w:rsidRPr="00A83C94">
        <w:rPr>
          <w:rFonts w:cs="Sylfaen"/>
          <w:b w:val="0"/>
          <w:szCs w:val="22"/>
          <w:lang w:val="hy-AM"/>
        </w:rPr>
        <w:t>սպորտի</w:t>
      </w:r>
      <w:r w:rsidRPr="00A83C94">
        <w:rPr>
          <w:rFonts w:cs="Sylfaen"/>
          <w:b w:val="0"/>
          <w:szCs w:val="22"/>
          <w:lang w:val="af-ZA"/>
        </w:rPr>
        <w:t xml:space="preserve"> </w:t>
      </w:r>
      <w:r w:rsidRPr="00A83C94">
        <w:rPr>
          <w:rFonts w:cs="Sylfaen"/>
          <w:b w:val="0"/>
          <w:szCs w:val="22"/>
          <w:lang w:val="hy-AM"/>
        </w:rPr>
        <w:t>ծրագրի</w:t>
      </w:r>
      <w:r w:rsidRPr="00A83C94">
        <w:rPr>
          <w:rFonts w:cs="Sylfaen"/>
          <w:b w:val="0"/>
          <w:szCs w:val="22"/>
          <w:lang w:val="af-ZA"/>
        </w:rPr>
        <w:t xml:space="preserve"> </w:t>
      </w:r>
      <w:r w:rsidRPr="00A83C94">
        <w:rPr>
          <w:rFonts w:cs="Sylfaen"/>
          <w:b w:val="0"/>
          <w:szCs w:val="22"/>
          <w:lang w:val="hy-AM"/>
        </w:rPr>
        <w:t>շրջանակում</w:t>
      </w:r>
      <w:r w:rsidRPr="00A83C94">
        <w:rPr>
          <w:rFonts w:cs="Sylfaen"/>
          <w:b w:val="0"/>
          <w:szCs w:val="22"/>
          <w:lang w:val="af-ZA"/>
        </w:rPr>
        <w:t xml:space="preserve"> </w:t>
      </w:r>
      <w:r w:rsidRPr="00A83C94">
        <w:rPr>
          <w:rFonts w:cs="Sylfaen"/>
          <w:b w:val="0"/>
          <w:szCs w:val="22"/>
          <w:lang w:val="hy-AM"/>
        </w:rPr>
        <w:t>կշարունակվեն</w:t>
      </w:r>
      <w:r w:rsidRPr="00A83C94">
        <w:rPr>
          <w:rFonts w:cs="Sylfaen"/>
          <w:b w:val="0"/>
          <w:szCs w:val="22"/>
          <w:lang w:val="af-ZA"/>
        </w:rPr>
        <w:t xml:space="preserve"> </w:t>
      </w:r>
      <w:r w:rsidRPr="00A83C94">
        <w:rPr>
          <w:rFonts w:cs="Sylfaen"/>
          <w:b w:val="0"/>
          <w:szCs w:val="22"/>
          <w:lang w:val="hy-AM"/>
        </w:rPr>
        <w:t>պաշտոնական</w:t>
      </w:r>
      <w:r w:rsidRPr="00A83C94">
        <w:rPr>
          <w:rFonts w:cs="Sylfaen"/>
          <w:b w:val="0"/>
          <w:szCs w:val="22"/>
          <w:lang w:val="af-ZA"/>
        </w:rPr>
        <w:t xml:space="preserve"> </w:t>
      </w:r>
      <w:r w:rsidRPr="00A83C94">
        <w:rPr>
          <w:rFonts w:cs="Sylfaen"/>
          <w:b w:val="0"/>
          <w:szCs w:val="22"/>
          <w:lang w:val="hy-AM"/>
        </w:rPr>
        <w:t>մրցաշարերում</w:t>
      </w:r>
      <w:r w:rsidRPr="00A83C94">
        <w:rPr>
          <w:rFonts w:cs="Sylfaen"/>
          <w:b w:val="0"/>
          <w:szCs w:val="22"/>
          <w:lang w:val="af-ZA"/>
        </w:rPr>
        <w:t xml:space="preserve"> </w:t>
      </w:r>
      <w:r w:rsidRPr="00A83C94">
        <w:rPr>
          <w:rFonts w:cs="Sylfaen"/>
          <w:b w:val="0"/>
          <w:szCs w:val="22"/>
          <w:lang w:val="hy-AM"/>
        </w:rPr>
        <w:t>բարձր</w:t>
      </w:r>
      <w:r w:rsidRPr="00A83C94">
        <w:rPr>
          <w:rFonts w:cs="Sylfaen"/>
          <w:b w:val="0"/>
          <w:szCs w:val="22"/>
          <w:lang w:val="af-ZA"/>
        </w:rPr>
        <w:t xml:space="preserve"> </w:t>
      </w:r>
      <w:r w:rsidRPr="00A83C94">
        <w:rPr>
          <w:rFonts w:cs="Sylfaen"/>
          <w:b w:val="0"/>
          <w:szCs w:val="22"/>
          <w:lang w:val="hy-AM"/>
        </w:rPr>
        <w:t>նվաճումներ</w:t>
      </w:r>
      <w:r w:rsidRPr="00A83C94">
        <w:rPr>
          <w:rFonts w:cs="Sylfaen"/>
          <w:b w:val="0"/>
          <w:szCs w:val="22"/>
          <w:lang w:val="af-ZA"/>
        </w:rPr>
        <w:t xml:space="preserve"> </w:t>
      </w:r>
      <w:r w:rsidRPr="00A83C94">
        <w:rPr>
          <w:rFonts w:cs="Sylfaen"/>
          <w:b w:val="0"/>
          <w:szCs w:val="22"/>
          <w:lang w:val="hy-AM"/>
        </w:rPr>
        <w:t>ցուցաբերած</w:t>
      </w:r>
      <w:r w:rsidRPr="00A83C94">
        <w:rPr>
          <w:rFonts w:cs="Sylfaen"/>
          <w:b w:val="0"/>
          <w:szCs w:val="22"/>
          <w:lang w:val="af-ZA"/>
        </w:rPr>
        <w:t xml:space="preserve"> </w:t>
      </w:r>
      <w:r w:rsidRPr="00A83C94">
        <w:rPr>
          <w:rFonts w:cs="Sylfaen"/>
          <w:b w:val="0"/>
          <w:szCs w:val="22"/>
          <w:lang w:val="hy-AM"/>
        </w:rPr>
        <w:t>մարզիկների</w:t>
      </w:r>
      <w:r w:rsidRPr="00A83C94">
        <w:rPr>
          <w:rFonts w:cs="Sylfaen"/>
          <w:b w:val="0"/>
          <w:szCs w:val="22"/>
          <w:lang w:val="af-ZA"/>
        </w:rPr>
        <w:t xml:space="preserve">, </w:t>
      </w:r>
      <w:r w:rsidRPr="00A83C94">
        <w:rPr>
          <w:rFonts w:cs="Sylfaen"/>
          <w:b w:val="0"/>
          <w:szCs w:val="22"/>
          <w:lang w:val="hy-AM"/>
        </w:rPr>
        <w:t>մարզիչների</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բժիշկների</w:t>
      </w:r>
      <w:r w:rsidRPr="00A83C94">
        <w:rPr>
          <w:rFonts w:cs="Sylfaen"/>
          <w:b w:val="0"/>
          <w:szCs w:val="22"/>
          <w:lang w:val="af-ZA"/>
        </w:rPr>
        <w:t xml:space="preserve"> </w:t>
      </w:r>
      <w:r w:rsidRPr="00A83C94">
        <w:rPr>
          <w:rFonts w:cs="Sylfaen"/>
          <w:b w:val="0"/>
          <w:szCs w:val="22"/>
          <w:lang w:val="hy-AM"/>
        </w:rPr>
        <w:t>դրամական</w:t>
      </w:r>
      <w:r w:rsidRPr="00A83C94">
        <w:rPr>
          <w:rFonts w:cs="Sylfaen"/>
          <w:b w:val="0"/>
          <w:szCs w:val="22"/>
          <w:lang w:val="af-ZA"/>
        </w:rPr>
        <w:t xml:space="preserve"> </w:t>
      </w:r>
      <w:r w:rsidRPr="00A83C94">
        <w:rPr>
          <w:rFonts w:cs="Sylfaen"/>
          <w:b w:val="0"/>
          <w:szCs w:val="22"/>
          <w:lang w:val="hy-AM"/>
        </w:rPr>
        <w:t>խրախուսումը</w:t>
      </w:r>
      <w:r w:rsidRPr="00A83C94">
        <w:rPr>
          <w:rFonts w:cs="Sylfaen"/>
          <w:b w:val="0"/>
          <w:szCs w:val="22"/>
          <w:lang w:val="af-ZA"/>
        </w:rPr>
        <w:t xml:space="preserve">, </w:t>
      </w:r>
      <w:r w:rsidRPr="00A83C94">
        <w:rPr>
          <w:rFonts w:cs="Sylfaen"/>
          <w:b w:val="0"/>
          <w:szCs w:val="22"/>
          <w:lang w:val="hy-AM"/>
        </w:rPr>
        <w:t>հեղինակավոր</w:t>
      </w:r>
      <w:r w:rsidRPr="00A83C94">
        <w:rPr>
          <w:rFonts w:cs="Sylfaen"/>
          <w:b w:val="0"/>
          <w:szCs w:val="22"/>
          <w:lang w:val="af-ZA"/>
        </w:rPr>
        <w:t xml:space="preserve"> </w:t>
      </w:r>
      <w:r w:rsidRPr="00A83C94">
        <w:rPr>
          <w:rFonts w:cs="Sylfaen"/>
          <w:b w:val="0"/>
          <w:szCs w:val="22"/>
          <w:lang w:val="hy-AM"/>
        </w:rPr>
        <w:t>խոշոր</w:t>
      </w:r>
      <w:r w:rsidRPr="00A83C94">
        <w:rPr>
          <w:rFonts w:cs="Sylfaen"/>
          <w:b w:val="0"/>
          <w:szCs w:val="22"/>
          <w:lang w:val="af-ZA"/>
        </w:rPr>
        <w:t xml:space="preserve"> </w:t>
      </w:r>
      <w:r w:rsidRPr="00A83C94">
        <w:rPr>
          <w:rFonts w:cs="Sylfaen"/>
          <w:b w:val="0"/>
          <w:szCs w:val="22"/>
          <w:lang w:val="hy-AM"/>
        </w:rPr>
        <w:t>միջազգային</w:t>
      </w:r>
      <w:r w:rsidRPr="00A83C94">
        <w:rPr>
          <w:rFonts w:cs="Sylfaen"/>
          <w:b w:val="0"/>
          <w:szCs w:val="22"/>
          <w:lang w:val="af-ZA"/>
        </w:rPr>
        <w:t xml:space="preserve"> </w:t>
      </w:r>
      <w:r w:rsidRPr="00A83C94">
        <w:rPr>
          <w:rFonts w:cs="Sylfaen"/>
          <w:b w:val="0"/>
          <w:szCs w:val="22"/>
          <w:lang w:val="hy-AM"/>
        </w:rPr>
        <w:t>միջոցառումներին</w:t>
      </w:r>
      <w:r w:rsidRPr="00A83C94">
        <w:rPr>
          <w:rFonts w:cs="Sylfaen"/>
          <w:b w:val="0"/>
          <w:szCs w:val="22"/>
          <w:lang w:val="af-ZA"/>
        </w:rPr>
        <w:t xml:space="preserve"> </w:t>
      </w:r>
      <w:r w:rsidRPr="00A83C94">
        <w:rPr>
          <w:rFonts w:cs="Sylfaen"/>
          <w:b w:val="0"/>
          <w:szCs w:val="22"/>
          <w:lang w:val="hy-AM"/>
        </w:rPr>
        <w:t>մասնակցության</w:t>
      </w:r>
      <w:r w:rsidRPr="00A83C94">
        <w:rPr>
          <w:rFonts w:cs="Sylfaen"/>
          <w:b w:val="0"/>
          <w:szCs w:val="22"/>
          <w:lang w:val="af-ZA"/>
        </w:rPr>
        <w:t xml:space="preserve"> </w:t>
      </w:r>
      <w:r w:rsidRPr="00A83C94">
        <w:rPr>
          <w:rFonts w:cs="Sylfaen"/>
          <w:b w:val="0"/>
          <w:szCs w:val="22"/>
          <w:lang w:val="hy-AM"/>
        </w:rPr>
        <w:t>ֆինանսավորումը</w:t>
      </w:r>
      <w:r w:rsidRPr="00A83C94">
        <w:rPr>
          <w:rFonts w:cs="Sylfaen"/>
          <w:b w:val="0"/>
          <w:szCs w:val="22"/>
          <w:lang w:val="af-ZA"/>
        </w:rPr>
        <w:t xml:space="preserve">, </w:t>
      </w:r>
      <w:r w:rsidRPr="00A83C94">
        <w:rPr>
          <w:rFonts w:cs="Sylfaen"/>
          <w:b w:val="0"/>
          <w:szCs w:val="22"/>
          <w:lang w:val="hy-AM"/>
        </w:rPr>
        <w:t>հակադոպինգային</w:t>
      </w:r>
      <w:r w:rsidRPr="00A83C94">
        <w:rPr>
          <w:rFonts w:cs="Sylfaen"/>
          <w:b w:val="0"/>
          <w:szCs w:val="22"/>
          <w:lang w:val="af-ZA"/>
        </w:rPr>
        <w:t xml:space="preserve"> </w:t>
      </w:r>
      <w:r w:rsidRPr="00A83C94">
        <w:rPr>
          <w:rFonts w:cs="Sylfaen"/>
          <w:b w:val="0"/>
          <w:szCs w:val="22"/>
          <w:lang w:val="hy-AM"/>
        </w:rPr>
        <w:t>հսկողության</w:t>
      </w:r>
      <w:r w:rsidRPr="00A83C94">
        <w:rPr>
          <w:rFonts w:cs="Sylfaen"/>
          <w:b w:val="0"/>
          <w:szCs w:val="22"/>
          <w:lang w:val="af-ZA"/>
        </w:rPr>
        <w:t xml:space="preserve"> </w:t>
      </w:r>
      <w:r w:rsidRPr="00A83C94">
        <w:rPr>
          <w:rFonts w:cs="Sylfaen"/>
          <w:b w:val="0"/>
          <w:szCs w:val="22"/>
          <w:lang w:val="hy-AM"/>
        </w:rPr>
        <w:t>ծրագրերի</w:t>
      </w:r>
      <w:r w:rsidRPr="00A83C94">
        <w:rPr>
          <w:rFonts w:cs="Sylfaen"/>
          <w:b w:val="0"/>
          <w:szCs w:val="22"/>
          <w:lang w:val="af-ZA"/>
        </w:rPr>
        <w:t xml:space="preserve"> </w:t>
      </w:r>
      <w:r w:rsidRPr="00A83C94">
        <w:rPr>
          <w:rFonts w:cs="Sylfaen"/>
          <w:b w:val="0"/>
          <w:szCs w:val="22"/>
          <w:lang w:val="hy-AM"/>
        </w:rPr>
        <w:t>իրականացումը</w:t>
      </w:r>
      <w:r w:rsidRPr="00A83C94">
        <w:rPr>
          <w:rFonts w:cs="Sylfaen"/>
          <w:b w:val="0"/>
          <w:szCs w:val="22"/>
          <w:lang w:val="af-ZA"/>
        </w:rPr>
        <w:t xml:space="preserve">, </w:t>
      </w:r>
      <w:r w:rsidRPr="00A83C94">
        <w:rPr>
          <w:rFonts w:cs="Sylfaen"/>
          <w:b w:val="0"/>
          <w:szCs w:val="22"/>
          <w:lang w:val="hy-AM"/>
        </w:rPr>
        <w:t>ադապտիվ</w:t>
      </w:r>
      <w:r w:rsidRPr="00A83C94">
        <w:rPr>
          <w:rFonts w:cs="Sylfaen"/>
          <w:b w:val="0"/>
          <w:szCs w:val="22"/>
          <w:lang w:val="af-ZA"/>
        </w:rPr>
        <w:t xml:space="preserve"> </w:t>
      </w:r>
      <w:r w:rsidRPr="00A83C94">
        <w:rPr>
          <w:rFonts w:cs="Sylfaen"/>
          <w:b w:val="0"/>
          <w:szCs w:val="22"/>
          <w:lang w:val="hy-AM"/>
        </w:rPr>
        <w:t>սպորտով</w:t>
      </w:r>
      <w:r w:rsidRPr="00A83C94">
        <w:rPr>
          <w:rFonts w:cs="Sylfaen"/>
          <w:b w:val="0"/>
          <w:szCs w:val="22"/>
          <w:lang w:val="af-ZA"/>
        </w:rPr>
        <w:t xml:space="preserve"> </w:t>
      </w:r>
      <w:r w:rsidRPr="00A83C94">
        <w:rPr>
          <w:rFonts w:cs="Sylfaen"/>
          <w:b w:val="0"/>
          <w:szCs w:val="22"/>
          <w:lang w:val="hy-AM"/>
        </w:rPr>
        <w:t>զբաղվող</w:t>
      </w:r>
      <w:r w:rsidRPr="00A83C94">
        <w:rPr>
          <w:rFonts w:cs="Sylfaen"/>
          <w:b w:val="0"/>
          <w:szCs w:val="22"/>
          <w:lang w:val="af-ZA"/>
        </w:rPr>
        <w:t xml:space="preserve"> </w:t>
      </w:r>
      <w:r w:rsidRPr="00A83C94">
        <w:rPr>
          <w:rFonts w:cs="Sylfaen"/>
          <w:b w:val="0"/>
          <w:szCs w:val="22"/>
          <w:lang w:val="hy-AM"/>
        </w:rPr>
        <w:t>մարզական</w:t>
      </w:r>
      <w:r w:rsidRPr="00A83C94">
        <w:rPr>
          <w:rFonts w:cs="Sylfaen"/>
          <w:b w:val="0"/>
          <w:szCs w:val="22"/>
          <w:lang w:val="af-ZA"/>
        </w:rPr>
        <w:t xml:space="preserve"> </w:t>
      </w:r>
      <w:r w:rsidRPr="00A83C94">
        <w:rPr>
          <w:rFonts w:cs="Sylfaen"/>
          <w:b w:val="0"/>
          <w:szCs w:val="22"/>
          <w:lang w:val="hy-AM"/>
        </w:rPr>
        <w:t>կազմակերպություններին</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աջակցության</w:t>
      </w:r>
      <w:r w:rsidRPr="00A83C94">
        <w:rPr>
          <w:rFonts w:cs="Sylfaen"/>
          <w:b w:val="0"/>
          <w:szCs w:val="22"/>
          <w:lang w:val="af-ZA"/>
        </w:rPr>
        <w:t xml:space="preserve"> </w:t>
      </w:r>
      <w:r w:rsidRPr="00A83C94">
        <w:rPr>
          <w:rFonts w:cs="Sylfaen"/>
          <w:b w:val="0"/>
          <w:szCs w:val="22"/>
          <w:lang w:val="hy-AM"/>
        </w:rPr>
        <w:t>գործընթացը</w:t>
      </w:r>
      <w:r w:rsidRPr="00A83C94">
        <w:rPr>
          <w:rFonts w:cs="Sylfaen"/>
          <w:b w:val="0"/>
          <w:szCs w:val="22"/>
          <w:lang w:val="af-ZA"/>
        </w:rPr>
        <w:t xml:space="preserve">: </w:t>
      </w:r>
      <w:r w:rsidRPr="00A83C94">
        <w:rPr>
          <w:rFonts w:cs="Sylfaen"/>
          <w:b w:val="0"/>
          <w:szCs w:val="22"/>
          <w:lang w:val="hy-AM"/>
        </w:rPr>
        <w:t>Մարզական</w:t>
      </w:r>
      <w:r w:rsidRPr="00A83C94">
        <w:rPr>
          <w:rFonts w:cs="Sylfaen"/>
          <w:b w:val="0"/>
          <w:szCs w:val="22"/>
          <w:lang w:val="af-ZA"/>
        </w:rPr>
        <w:t xml:space="preserve"> </w:t>
      </w:r>
      <w:r w:rsidRPr="00A83C94">
        <w:rPr>
          <w:rFonts w:cs="Sylfaen"/>
          <w:b w:val="0"/>
          <w:szCs w:val="22"/>
          <w:lang w:val="hy-AM"/>
        </w:rPr>
        <w:t>ֆեդերացիաներին</w:t>
      </w:r>
      <w:r w:rsidRPr="00A83C94">
        <w:rPr>
          <w:rFonts w:cs="Sylfaen"/>
          <w:b w:val="0"/>
          <w:szCs w:val="22"/>
          <w:lang w:val="af-ZA"/>
        </w:rPr>
        <w:t xml:space="preserve"> </w:t>
      </w:r>
      <w:r w:rsidRPr="00A83C94">
        <w:rPr>
          <w:rFonts w:cs="Sylfaen"/>
          <w:b w:val="0"/>
          <w:szCs w:val="22"/>
          <w:lang w:val="hy-AM"/>
        </w:rPr>
        <w:t>տրամադրվող</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աջակցության</w:t>
      </w:r>
      <w:r w:rsidRPr="00A83C94">
        <w:rPr>
          <w:rFonts w:cs="Sylfaen"/>
          <w:b w:val="0"/>
          <w:szCs w:val="22"/>
          <w:lang w:val="af-ZA"/>
        </w:rPr>
        <w:t xml:space="preserve"> </w:t>
      </w:r>
      <w:r w:rsidRPr="00A83C94">
        <w:rPr>
          <w:rFonts w:cs="Sylfaen"/>
          <w:b w:val="0"/>
          <w:szCs w:val="22"/>
          <w:lang w:val="hy-AM"/>
        </w:rPr>
        <w:t>շրջանակներում</w:t>
      </w:r>
      <w:r w:rsidRPr="00A83C94">
        <w:rPr>
          <w:rFonts w:cs="Sylfaen"/>
          <w:b w:val="0"/>
          <w:szCs w:val="22"/>
          <w:lang w:val="af-ZA"/>
        </w:rPr>
        <w:t xml:space="preserve"> </w:t>
      </w:r>
      <w:r w:rsidRPr="00A83C94">
        <w:rPr>
          <w:rFonts w:cs="Sylfaen"/>
          <w:b w:val="0"/>
          <w:szCs w:val="22"/>
          <w:lang w:val="hy-AM"/>
        </w:rPr>
        <w:t>ֆեդերացիաները</w:t>
      </w:r>
      <w:r w:rsidRPr="00A83C94">
        <w:rPr>
          <w:rFonts w:cs="Sylfaen"/>
          <w:b w:val="0"/>
          <w:szCs w:val="22"/>
          <w:lang w:val="af-ZA"/>
        </w:rPr>
        <w:t xml:space="preserve"> </w:t>
      </w:r>
      <w:r w:rsidRPr="00A83C94">
        <w:rPr>
          <w:rFonts w:cs="Sylfaen"/>
          <w:b w:val="0"/>
          <w:szCs w:val="22"/>
          <w:lang w:val="hy-AM"/>
        </w:rPr>
        <w:t>կանցկացնեն</w:t>
      </w:r>
      <w:r w:rsidRPr="00A83C94">
        <w:rPr>
          <w:rFonts w:cs="Sylfaen"/>
          <w:b w:val="0"/>
          <w:szCs w:val="22"/>
          <w:lang w:val="af-ZA"/>
        </w:rPr>
        <w:t xml:space="preserve"> </w:t>
      </w:r>
      <w:r w:rsidRPr="00A83C94">
        <w:rPr>
          <w:rFonts w:cs="Sylfaen"/>
          <w:b w:val="0"/>
          <w:szCs w:val="22"/>
          <w:lang w:val="hy-AM"/>
        </w:rPr>
        <w:t>Հայաստանի</w:t>
      </w:r>
      <w:r w:rsidRPr="00A83C94">
        <w:rPr>
          <w:rFonts w:cs="Sylfaen"/>
          <w:b w:val="0"/>
          <w:szCs w:val="22"/>
          <w:lang w:val="af-ZA"/>
        </w:rPr>
        <w:t xml:space="preserve"> </w:t>
      </w:r>
      <w:r w:rsidRPr="00A83C94">
        <w:rPr>
          <w:rFonts w:cs="Sylfaen"/>
          <w:b w:val="0"/>
          <w:szCs w:val="22"/>
          <w:lang w:val="hy-AM"/>
        </w:rPr>
        <w:t>Հանրապետության</w:t>
      </w:r>
      <w:r w:rsidRPr="00A83C94">
        <w:rPr>
          <w:rFonts w:cs="Sylfaen"/>
          <w:b w:val="0"/>
          <w:szCs w:val="22"/>
          <w:lang w:val="af-ZA"/>
        </w:rPr>
        <w:t xml:space="preserve"> </w:t>
      </w:r>
      <w:r w:rsidRPr="00A83C94">
        <w:rPr>
          <w:rFonts w:cs="Sylfaen"/>
          <w:b w:val="0"/>
          <w:szCs w:val="22"/>
          <w:lang w:val="hy-AM"/>
        </w:rPr>
        <w:t>առաջնություններ</w:t>
      </w:r>
      <w:r w:rsidRPr="00A83C94">
        <w:rPr>
          <w:rFonts w:cs="Sylfaen"/>
          <w:b w:val="0"/>
          <w:szCs w:val="22"/>
          <w:lang w:val="af-ZA"/>
        </w:rPr>
        <w:t xml:space="preserve">, </w:t>
      </w:r>
      <w:r w:rsidRPr="00A83C94">
        <w:rPr>
          <w:rFonts w:cs="Sylfaen"/>
          <w:b w:val="0"/>
          <w:szCs w:val="22"/>
          <w:lang w:val="hy-AM"/>
        </w:rPr>
        <w:t>ուսումնամարզական</w:t>
      </w:r>
      <w:r w:rsidRPr="00A83C94">
        <w:rPr>
          <w:rFonts w:cs="Sylfaen"/>
          <w:b w:val="0"/>
          <w:szCs w:val="22"/>
          <w:lang w:val="af-ZA"/>
        </w:rPr>
        <w:t xml:space="preserve"> </w:t>
      </w:r>
      <w:r w:rsidRPr="00A83C94">
        <w:rPr>
          <w:rFonts w:cs="Sylfaen"/>
          <w:b w:val="0"/>
          <w:szCs w:val="22"/>
          <w:lang w:val="hy-AM"/>
        </w:rPr>
        <w:t>հավաքներ</w:t>
      </w:r>
      <w:r w:rsidRPr="00A83C94">
        <w:rPr>
          <w:rFonts w:cs="Sylfaen"/>
          <w:b w:val="0"/>
          <w:szCs w:val="22"/>
          <w:lang w:val="af-ZA"/>
        </w:rPr>
        <w:t xml:space="preserve">, </w:t>
      </w:r>
      <w:r w:rsidRPr="00A83C94">
        <w:rPr>
          <w:rFonts w:cs="Sylfaen"/>
          <w:b w:val="0"/>
          <w:szCs w:val="22"/>
          <w:lang w:val="hy-AM"/>
        </w:rPr>
        <w:t>միջազգային</w:t>
      </w:r>
      <w:r w:rsidRPr="00A83C94">
        <w:rPr>
          <w:rFonts w:cs="Sylfaen"/>
          <w:b w:val="0"/>
          <w:szCs w:val="22"/>
          <w:lang w:val="af-ZA"/>
        </w:rPr>
        <w:t xml:space="preserve"> </w:t>
      </w:r>
      <w:r w:rsidRPr="00A83C94">
        <w:rPr>
          <w:rFonts w:cs="Sylfaen"/>
          <w:b w:val="0"/>
          <w:szCs w:val="22"/>
          <w:lang w:val="hy-AM"/>
        </w:rPr>
        <w:t>մրցաշարեր</w:t>
      </w:r>
      <w:r w:rsidRPr="00A83C94">
        <w:rPr>
          <w:rFonts w:cs="Sylfaen"/>
          <w:b w:val="0"/>
          <w:szCs w:val="22"/>
          <w:lang w:val="af-ZA"/>
        </w:rPr>
        <w:t xml:space="preserve">, </w:t>
      </w:r>
      <w:r w:rsidRPr="00A83C94">
        <w:rPr>
          <w:rFonts w:cs="Sylfaen"/>
          <w:b w:val="0"/>
          <w:szCs w:val="22"/>
          <w:lang w:val="hy-AM"/>
        </w:rPr>
        <w:t>կմասնակցեն</w:t>
      </w:r>
      <w:r w:rsidRPr="00A83C94">
        <w:rPr>
          <w:rFonts w:cs="Sylfaen"/>
          <w:b w:val="0"/>
          <w:szCs w:val="22"/>
          <w:lang w:val="af-ZA"/>
        </w:rPr>
        <w:t xml:space="preserve"> </w:t>
      </w:r>
      <w:r w:rsidRPr="00A83C94">
        <w:rPr>
          <w:rFonts w:cs="Sylfaen"/>
          <w:b w:val="0"/>
          <w:szCs w:val="22"/>
          <w:lang w:val="hy-AM"/>
        </w:rPr>
        <w:t>մեծահասակների</w:t>
      </w:r>
      <w:r w:rsidRPr="00A83C94">
        <w:rPr>
          <w:rFonts w:cs="Sylfaen"/>
          <w:b w:val="0"/>
          <w:szCs w:val="22"/>
          <w:lang w:val="af-ZA"/>
        </w:rPr>
        <w:t xml:space="preserve">, </w:t>
      </w:r>
      <w:r w:rsidRPr="00A83C94">
        <w:rPr>
          <w:rFonts w:cs="Sylfaen"/>
          <w:b w:val="0"/>
          <w:szCs w:val="22"/>
          <w:lang w:val="hy-AM"/>
        </w:rPr>
        <w:t>երիտասարդների</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պատանիների</w:t>
      </w:r>
      <w:r w:rsidRPr="00A83C94">
        <w:rPr>
          <w:rFonts w:cs="Sylfaen"/>
          <w:b w:val="0"/>
          <w:szCs w:val="22"/>
          <w:lang w:val="af-ZA"/>
        </w:rPr>
        <w:t xml:space="preserve"> </w:t>
      </w:r>
      <w:r w:rsidRPr="00A83C94">
        <w:rPr>
          <w:rFonts w:cs="Sylfaen"/>
          <w:b w:val="0"/>
          <w:szCs w:val="22"/>
          <w:lang w:val="hy-AM"/>
        </w:rPr>
        <w:t>Եվրոպայի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աշխարհի</w:t>
      </w:r>
      <w:r w:rsidRPr="00A83C94">
        <w:rPr>
          <w:rFonts w:cs="Sylfaen"/>
          <w:b w:val="0"/>
          <w:szCs w:val="22"/>
          <w:lang w:val="af-ZA"/>
        </w:rPr>
        <w:t xml:space="preserve"> </w:t>
      </w:r>
      <w:r w:rsidRPr="00A83C94">
        <w:rPr>
          <w:rFonts w:cs="Sylfaen"/>
          <w:b w:val="0"/>
          <w:szCs w:val="22"/>
          <w:lang w:val="hy-AM"/>
        </w:rPr>
        <w:t>առաջնություններին</w:t>
      </w:r>
      <w:r w:rsidRPr="00A83C94">
        <w:rPr>
          <w:rFonts w:cs="Sylfaen"/>
          <w:b w:val="0"/>
          <w:szCs w:val="22"/>
          <w:lang w:val="af-ZA"/>
        </w:rPr>
        <w:t xml:space="preserve">, </w:t>
      </w:r>
      <w:r w:rsidRPr="00A83C94">
        <w:rPr>
          <w:rFonts w:cs="Sylfaen"/>
          <w:b w:val="0"/>
          <w:szCs w:val="22"/>
          <w:lang w:val="hy-AM"/>
        </w:rPr>
        <w:t>միջազգային</w:t>
      </w:r>
      <w:r w:rsidRPr="00A83C94">
        <w:rPr>
          <w:rFonts w:cs="Sylfaen"/>
          <w:b w:val="0"/>
          <w:szCs w:val="22"/>
          <w:lang w:val="af-ZA"/>
        </w:rPr>
        <w:t xml:space="preserve"> </w:t>
      </w:r>
      <w:r w:rsidRPr="00A83C94">
        <w:rPr>
          <w:rFonts w:cs="Sylfaen"/>
          <w:b w:val="0"/>
          <w:szCs w:val="22"/>
          <w:lang w:val="hy-AM"/>
        </w:rPr>
        <w:t>մրցաշարերի</w:t>
      </w:r>
      <w:r w:rsidRPr="00A83C94">
        <w:rPr>
          <w:rFonts w:cs="Sylfaen"/>
          <w:b w:val="0"/>
          <w:szCs w:val="22"/>
          <w:lang w:val="af-ZA"/>
        </w:rPr>
        <w:t>:</w:t>
      </w:r>
      <w:bookmarkStart w:id="67" w:name="_Toc57655431"/>
    </w:p>
    <w:p w14:paraId="74F4171A" w14:textId="77777777" w:rsidR="005F226A" w:rsidRPr="00A83C94" w:rsidRDefault="005F226A" w:rsidP="005D2928">
      <w:pPr>
        <w:tabs>
          <w:tab w:val="left" w:pos="1134"/>
        </w:tabs>
        <w:spacing w:before="0" w:line="276" w:lineRule="auto"/>
        <w:ind w:firstLine="708"/>
        <w:rPr>
          <w:rFonts w:cs="Sylfaen"/>
          <w:b w:val="0"/>
          <w:szCs w:val="22"/>
          <w:lang w:val="af-ZA" w:eastAsia="en-US"/>
        </w:rPr>
      </w:pPr>
      <w:r w:rsidRPr="00A83C94">
        <w:rPr>
          <w:b w:val="0"/>
          <w:szCs w:val="22"/>
          <w:lang w:val="hy-AM"/>
        </w:rPr>
        <w:t xml:space="preserve">Մանկապատանեկան սպորտի ոլորտում կշարունակվեն </w:t>
      </w:r>
      <w:r w:rsidRPr="00A83C94">
        <w:rPr>
          <w:b w:val="0"/>
          <w:szCs w:val="22"/>
          <w:lang w:val="af-ZA"/>
        </w:rPr>
        <w:t>մատաղ սերնդի առողջության պահպանման</w:t>
      </w:r>
      <w:r w:rsidRPr="00A83C94">
        <w:rPr>
          <w:b w:val="0"/>
          <w:szCs w:val="22"/>
          <w:lang w:val="hy-AM"/>
        </w:rPr>
        <w:t>ն</w:t>
      </w:r>
      <w:r w:rsidRPr="00A83C94">
        <w:rPr>
          <w:b w:val="0"/>
          <w:szCs w:val="22"/>
          <w:lang w:val="af-ZA"/>
        </w:rPr>
        <w:t xml:space="preserve"> ու ամրապնդման</w:t>
      </w:r>
      <w:r w:rsidRPr="00A83C94">
        <w:rPr>
          <w:b w:val="0"/>
          <w:szCs w:val="22"/>
          <w:lang w:val="hy-AM"/>
        </w:rPr>
        <w:t>ը</w:t>
      </w:r>
      <w:r w:rsidRPr="00A83C94">
        <w:rPr>
          <w:b w:val="0"/>
          <w:szCs w:val="22"/>
          <w:lang w:val="af-ZA"/>
        </w:rPr>
        <w:t>, ընտրած մարզաձևում մարզական հերթափոխի պատրաստման</w:t>
      </w:r>
      <w:r w:rsidRPr="00A83C94">
        <w:rPr>
          <w:b w:val="0"/>
          <w:szCs w:val="22"/>
          <w:lang w:val="hy-AM"/>
        </w:rPr>
        <w:t>ը</w:t>
      </w:r>
      <w:r w:rsidRPr="00A83C94">
        <w:rPr>
          <w:b w:val="0"/>
          <w:szCs w:val="22"/>
          <w:lang w:val="af-ZA"/>
        </w:rPr>
        <w:t>, պարապողների մարզական ունակությունների կատարելագործման</w:t>
      </w:r>
      <w:r w:rsidRPr="00A83C94">
        <w:rPr>
          <w:b w:val="0"/>
          <w:szCs w:val="22"/>
          <w:lang w:val="hy-AM"/>
        </w:rPr>
        <w:t>ը</w:t>
      </w:r>
      <w:r w:rsidRPr="00A83C94">
        <w:rPr>
          <w:b w:val="0"/>
          <w:szCs w:val="22"/>
          <w:lang w:val="af-ZA"/>
        </w:rPr>
        <w:t xml:space="preserve">, </w:t>
      </w:r>
      <w:r w:rsidRPr="00A83C94">
        <w:rPr>
          <w:b w:val="0"/>
          <w:szCs w:val="22"/>
          <w:lang w:val="hy-AM"/>
        </w:rPr>
        <w:t>ոլորտի իրավական դաշտի բարելավմանը, մանկապատանեկան մարզադպրոցներում աշխատող մարզիչ-մանկավարժների վերապատրաստմանը, նյութատեխնիկական բազայի ապահովմանն ուղղված գործընթացները</w:t>
      </w:r>
      <w:r w:rsidRPr="00A83C94">
        <w:rPr>
          <w:b w:val="0"/>
          <w:szCs w:val="22"/>
          <w:lang w:val="af-ZA"/>
        </w:rPr>
        <w:t>:</w:t>
      </w:r>
      <w:bookmarkEnd w:id="67"/>
    </w:p>
    <w:p w14:paraId="53272692" w14:textId="77777777" w:rsidR="005F226A" w:rsidRPr="00A83C94" w:rsidRDefault="005F226A" w:rsidP="005D2928">
      <w:pPr>
        <w:tabs>
          <w:tab w:val="left" w:pos="1134"/>
        </w:tabs>
        <w:spacing w:before="0" w:line="276" w:lineRule="auto"/>
        <w:ind w:firstLine="708"/>
        <w:rPr>
          <w:b w:val="0"/>
          <w:szCs w:val="22"/>
          <w:shd w:val="clear" w:color="auto" w:fill="FFFFFF"/>
          <w:lang w:val="af-ZA"/>
        </w:rPr>
      </w:pPr>
      <w:r w:rsidRPr="00A83C94">
        <w:rPr>
          <w:b w:val="0"/>
          <w:szCs w:val="22"/>
          <w:shd w:val="clear" w:color="auto" w:fill="FFFFFF"/>
          <w:lang w:val="hy-AM"/>
        </w:rPr>
        <w:t>Մասսայական</w:t>
      </w:r>
      <w:r w:rsidRPr="00A83C94">
        <w:rPr>
          <w:b w:val="0"/>
          <w:szCs w:val="22"/>
          <w:shd w:val="clear" w:color="auto" w:fill="FFFFFF"/>
          <w:lang w:val="af-ZA"/>
        </w:rPr>
        <w:t xml:space="preserve"> </w:t>
      </w:r>
      <w:r w:rsidRPr="00A83C94">
        <w:rPr>
          <w:b w:val="0"/>
          <w:szCs w:val="22"/>
          <w:shd w:val="clear" w:color="auto" w:fill="FFFFFF"/>
          <w:lang w:val="hy-AM"/>
        </w:rPr>
        <w:t>սպորտին</w:t>
      </w:r>
      <w:r w:rsidRPr="00A83C94">
        <w:rPr>
          <w:b w:val="0"/>
          <w:szCs w:val="22"/>
          <w:shd w:val="clear" w:color="auto" w:fill="FFFFFF"/>
          <w:lang w:val="af-ZA"/>
        </w:rPr>
        <w:t xml:space="preserve"> </w:t>
      </w:r>
      <w:r w:rsidRPr="00A83C94">
        <w:rPr>
          <w:b w:val="0"/>
          <w:szCs w:val="22"/>
          <w:shd w:val="clear" w:color="auto" w:fill="FFFFFF"/>
          <w:lang w:val="hy-AM"/>
        </w:rPr>
        <w:t>ուղղված</w:t>
      </w:r>
      <w:r w:rsidRPr="00A83C94">
        <w:rPr>
          <w:b w:val="0"/>
          <w:szCs w:val="22"/>
          <w:shd w:val="clear" w:color="auto" w:fill="FFFFFF"/>
          <w:lang w:val="af-ZA"/>
        </w:rPr>
        <w:t xml:space="preserve"> </w:t>
      </w:r>
      <w:r w:rsidRPr="00A83C94">
        <w:rPr>
          <w:b w:val="0"/>
          <w:szCs w:val="22"/>
          <w:shd w:val="clear" w:color="auto" w:fill="FFFFFF"/>
          <w:lang w:val="hy-AM"/>
        </w:rPr>
        <w:t>միջոցառումների</w:t>
      </w:r>
      <w:r w:rsidRPr="00A83C94">
        <w:rPr>
          <w:b w:val="0"/>
          <w:szCs w:val="22"/>
          <w:shd w:val="clear" w:color="auto" w:fill="FFFFFF"/>
          <w:lang w:val="af-ZA"/>
        </w:rPr>
        <w:t xml:space="preserve"> </w:t>
      </w:r>
      <w:r w:rsidRPr="00A83C94">
        <w:rPr>
          <w:b w:val="0"/>
          <w:szCs w:val="22"/>
          <w:shd w:val="clear" w:color="auto" w:fill="FFFFFF"/>
          <w:lang w:val="hy-AM"/>
        </w:rPr>
        <w:t>շրջանակում</w:t>
      </w:r>
      <w:r w:rsidRPr="00A83C94">
        <w:rPr>
          <w:b w:val="0"/>
          <w:szCs w:val="22"/>
          <w:shd w:val="clear" w:color="auto" w:fill="FFFFFF"/>
          <w:lang w:val="af-ZA"/>
        </w:rPr>
        <w:t xml:space="preserve"> </w:t>
      </w:r>
      <w:r w:rsidRPr="00A83C94">
        <w:rPr>
          <w:b w:val="0"/>
          <w:szCs w:val="22"/>
          <w:shd w:val="clear" w:color="auto" w:fill="FFFFFF"/>
          <w:lang w:val="hy-AM"/>
        </w:rPr>
        <w:t>կշարունակվեն</w:t>
      </w:r>
      <w:r w:rsidRPr="00A83C94">
        <w:rPr>
          <w:b w:val="0"/>
          <w:szCs w:val="22"/>
          <w:shd w:val="clear" w:color="auto" w:fill="FFFFFF"/>
          <w:lang w:val="af-ZA"/>
        </w:rPr>
        <w:t xml:space="preserve"> </w:t>
      </w:r>
      <w:r w:rsidRPr="00A83C94">
        <w:rPr>
          <w:b w:val="0"/>
          <w:szCs w:val="22"/>
          <w:shd w:val="clear" w:color="auto" w:fill="FFFFFF"/>
          <w:lang w:val="hy-AM"/>
        </w:rPr>
        <w:t>բնակչության</w:t>
      </w:r>
      <w:r w:rsidRPr="00A83C94">
        <w:rPr>
          <w:b w:val="0"/>
          <w:szCs w:val="22"/>
          <w:shd w:val="clear" w:color="auto" w:fill="FFFFFF"/>
          <w:lang w:val="af-ZA"/>
        </w:rPr>
        <w:t xml:space="preserve"> </w:t>
      </w:r>
      <w:r w:rsidRPr="00A83C94">
        <w:rPr>
          <w:b w:val="0"/>
          <w:szCs w:val="22"/>
          <w:shd w:val="clear" w:color="auto" w:fill="FFFFFF"/>
          <w:lang w:val="hy-AM"/>
        </w:rPr>
        <w:t>ֆիզիկական</w:t>
      </w:r>
      <w:r w:rsidRPr="00A83C94">
        <w:rPr>
          <w:b w:val="0"/>
          <w:szCs w:val="22"/>
          <w:shd w:val="clear" w:color="auto" w:fill="FFFFFF"/>
          <w:lang w:val="af-ZA"/>
        </w:rPr>
        <w:t xml:space="preserve"> </w:t>
      </w:r>
      <w:r w:rsidRPr="00A83C94">
        <w:rPr>
          <w:b w:val="0"/>
          <w:szCs w:val="22"/>
          <w:shd w:val="clear" w:color="auto" w:fill="FFFFFF"/>
          <w:lang w:val="hy-AM"/>
        </w:rPr>
        <w:t>դաստիարակության</w:t>
      </w:r>
      <w:r w:rsidRPr="00A83C94">
        <w:rPr>
          <w:b w:val="0"/>
          <w:szCs w:val="22"/>
          <w:shd w:val="clear" w:color="auto" w:fill="FFFFFF"/>
          <w:lang w:val="af-ZA"/>
        </w:rPr>
        <w:t xml:space="preserve"> </w:t>
      </w:r>
      <w:r w:rsidRPr="00A83C94">
        <w:rPr>
          <w:b w:val="0"/>
          <w:szCs w:val="22"/>
          <w:shd w:val="clear" w:color="auto" w:fill="FFFFFF"/>
          <w:lang w:val="hy-AM"/>
        </w:rPr>
        <w:t>ապահովման</w:t>
      </w:r>
      <w:r w:rsidRPr="00A83C94">
        <w:rPr>
          <w:b w:val="0"/>
          <w:szCs w:val="22"/>
          <w:shd w:val="clear" w:color="auto" w:fill="FFFFFF"/>
          <w:lang w:val="af-ZA"/>
        </w:rPr>
        <w:t xml:space="preserve"> </w:t>
      </w:r>
      <w:r w:rsidRPr="00A83C94">
        <w:rPr>
          <w:b w:val="0"/>
          <w:szCs w:val="22"/>
          <w:shd w:val="clear" w:color="auto" w:fill="FFFFFF"/>
          <w:lang w:val="hy-AM"/>
        </w:rPr>
        <w:t>գործընթացները</w:t>
      </w:r>
      <w:r w:rsidRPr="00A83C94">
        <w:rPr>
          <w:b w:val="0"/>
          <w:szCs w:val="22"/>
          <w:shd w:val="clear" w:color="auto" w:fill="FFFFFF"/>
          <w:lang w:val="af-ZA"/>
        </w:rPr>
        <w:t xml:space="preserve">` </w:t>
      </w:r>
      <w:r w:rsidRPr="00A83C94">
        <w:rPr>
          <w:b w:val="0"/>
          <w:szCs w:val="22"/>
          <w:shd w:val="clear" w:color="auto" w:fill="FFFFFF"/>
          <w:lang w:val="hy-AM"/>
        </w:rPr>
        <w:t>հատկապես</w:t>
      </w:r>
      <w:r w:rsidRPr="00A83C94">
        <w:rPr>
          <w:b w:val="0"/>
          <w:szCs w:val="22"/>
          <w:shd w:val="clear" w:color="auto" w:fill="FFFFFF"/>
          <w:lang w:val="af-ZA"/>
        </w:rPr>
        <w:t xml:space="preserve"> </w:t>
      </w:r>
      <w:r w:rsidRPr="00A83C94">
        <w:rPr>
          <w:b w:val="0"/>
          <w:szCs w:val="22"/>
          <w:shd w:val="clear" w:color="auto" w:fill="FFFFFF"/>
          <w:lang w:val="hy-AM"/>
        </w:rPr>
        <w:t>հանրակրթական</w:t>
      </w:r>
      <w:r w:rsidRPr="00A83C94">
        <w:rPr>
          <w:b w:val="0"/>
          <w:szCs w:val="22"/>
          <w:shd w:val="clear" w:color="auto" w:fill="FFFFFF"/>
          <w:lang w:val="af-ZA"/>
        </w:rPr>
        <w:t xml:space="preserve"> </w:t>
      </w:r>
      <w:r w:rsidRPr="00A83C94">
        <w:rPr>
          <w:b w:val="0"/>
          <w:szCs w:val="22"/>
          <w:shd w:val="clear" w:color="auto" w:fill="FFFFFF"/>
          <w:lang w:val="hy-AM"/>
        </w:rPr>
        <w:t>դպրոցների</w:t>
      </w:r>
      <w:r w:rsidRPr="00A83C94">
        <w:rPr>
          <w:b w:val="0"/>
          <w:szCs w:val="22"/>
          <w:shd w:val="clear" w:color="auto" w:fill="FFFFFF"/>
          <w:lang w:val="af-ZA"/>
        </w:rPr>
        <w:t xml:space="preserve"> </w:t>
      </w:r>
      <w:r w:rsidRPr="00A83C94">
        <w:rPr>
          <w:b w:val="0"/>
          <w:szCs w:val="22"/>
          <w:shd w:val="clear" w:color="auto" w:fill="FFFFFF"/>
          <w:lang w:val="hy-AM"/>
        </w:rPr>
        <w:t>աշակերտների</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ուսանողության</w:t>
      </w:r>
      <w:r w:rsidRPr="00A83C94">
        <w:rPr>
          <w:b w:val="0"/>
          <w:szCs w:val="22"/>
          <w:shd w:val="clear" w:color="auto" w:fill="FFFFFF"/>
          <w:lang w:val="af-ZA"/>
        </w:rPr>
        <w:t xml:space="preserve"> </w:t>
      </w:r>
      <w:r w:rsidRPr="00A83C94">
        <w:rPr>
          <w:b w:val="0"/>
          <w:szCs w:val="22"/>
          <w:shd w:val="clear" w:color="auto" w:fill="FFFFFF"/>
          <w:lang w:val="hy-AM"/>
        </w:rPr>
        <w:t>շրջանում</w:t>
      </w:r>
      <w:r w:rsidRPr="00A83C94">
        <w:rPr>
          <w:b w:val="0"/>
          <w:szCs w:val="22"/>
          <w:shd w:val="clear" w:color="auto" w:fill="FFFFFF"/>
          <w:lang w:val="af-ZA"/>
        </w:rPr>
        <w:t xml:space="preserve"> </w:t>
      </w:r>
      <w:r w:rsidRPr="00A83C94">
        <w:rPr>
          <w:rFonts w:ascii="Calibri" w:hAnsi="Calibri" w:cs="Calibri"/>
          <w:b w:val="0"/>
          <w:szCs w:val="22"/>
          <w:shd w:val="clear" w:color="auto" w:fill="FFFFFF"/>
          <w:lang w:val="af-ZA"/>
        </w:rPr>
        <w:t> </w:t>
      </w:r>
      <w:r w:rsidRPr="00A83C94">
        <w:rPr>
          <w:b w:val="0"/>
          <w:szCs w:val="22"/>
          <w:shd w:val="clear" w:color="auto" w:fill="FFFFFF"/>
          <w:lang w:val="hy-AM"/>
        </w:rPr>
        <w:t>ֆիզիկական</w:t>
      </w:r>
      <w:r w:rsidRPr="00A83C94">
        <w:rPr>
          <w:b w:val="0"/>
          <w:szCs w:val="22"/>
          <w:shd w:val="clear" w:color="auto" w:fill="FFFFFF"/>
          <w:lang w:val="af-ZA"/>
        </w:rPr>
        <w:t xml:space="preserve"> </w:t>
      </w:r>
      <w:r w:rsidRPr="00A83C94">
        <w:rPr>
          <w:b w:val="0"/>
          <w:szCs w:val="22"/>
          <w:shd w:val="clear" w:color="auto" w:fill="FFFFFF"/>
          <w:lang w:val="hy-AM"/>
        </w:rPr>
        <w:t>կուլտուրայի</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սպորտի</w:t>
      </w:r>
      <w:r w:rsidRPr="00A83C94">
        <w:rPr>
          <w:b w:val="0"/>
          <w:szCs w:val="22"/>
          <w:shd w:val="clear" w:color="auto" w:fill="FFFFFF"/>
          <w:lang w:val="af-ZA"/>
        </w:rPr>
        <w:t xml:space="preserve"> </w:t>
      </w:r>
      <w:r w:rsidRPr="00A83C94">
        <w:rPr>
          <w:rFonts w:ascii="Calibri" w:hAnsi="Calibri" w:cs="Calibri"/>
          <w:b w:val="0"/>
          <w:szCs w:val="22"/>
          <w:shd w:val="clear" w:color="auto" w:fill="FFFFFF"/>
          <w:lang w:val="af-ZA"/>
        </w:rPr>
        <w:t> </w:t>
      </w:r>
      <w:r w:rsidRPr="00A83C94">
        <w:rPr>
          <w:b w:val="0"/>
          <w:szCs w:val="22"/>
          <w:shd w:val="clear" w:color="auto" w:fill="FFFFFF"/>
          <w:lang w:val="hy-AM"/>
        </w:rPr>
        <w:t>դերի</w:t>
      </w:r>
      <w:r w:rsidRPr="00A83C94">
        <w:rPr>
          <w:b w:val="0"/>
          <w:szCs w:val="22"/>
          <w:shd w:val="clear" w:color="auto" w:fill="FFFFFF"/>
          <w:lang w:val="af-ZA"/>
        </w:rPr>
        <w:t xml:space="preserve"> </w:t>
      </w:r>
      <w:r w:rsidRPr="00A83C94">
        <w:rPr>
          <w:b w:val="0"/>
          <w:szCs w:val="22"/>
          <w:shd w:val="clear" w:color="auto" w:fill="FFFFFF"/>
          <w:lang w:val="hy-AM"/>
        </w:rPr>
        <w:t>կարևորման</w:t>
      </w:r>
      <w:r w:rsidRPr="00A83C94">
        <w:rPr>
          <w:b w:val="0"/>
          <w:szCs w:val="22"/>
          <w:shd w:val="clear" w:color="auto" w:fill="FFFFFF"/>
          <w:lang w:val="af-ZA"/>
        </w:rPr>
        <w:t xml:space="preserve">, </w:t>
      </w:r>
      <w:r w:rsidRPr="00A83C94">
        <w:rPr>
          <w:b w:val="0"/>
          <w:szCs w:val="22"/>
          <w:shd w:val="clear" w:color="auto" w:fill="FFFFFF"/>
          <w:lang w:val="hy-AM"/>
        </w:rPr>
        <w:t>առողջ</w:t>
      </w:r>
      <w:r w:rsidRPr="00A83C94">
        <w:rPr>
          <w:b w:val="0"/>
          <w:szCs w:val="22"/>
          <w:shd w:val="clear" w:color="auto" w:fill="FFFFFF"/>
          <w:lang w:val="af-ZA"/>
        </w:rPr>
        <w:t xml:space="preserve"> </w:t>
      </w:r>
      <w:r w:rsidRPr="00A83C94">
        <w:rPr>
          <w:b w:val="0"/>
          <w:szCs w:val="22"/>
          <w:shd w:val="clear" w:color="auto" w:fill="FFFFFF"/>
          <w:lang w:val="hy-AM"/>
        </w:rPr>
        <w:t>ապրելակերպի</w:t>
      </w:r>
      <w:r w:rsidRPr="00A83C94">
        <w:rPr>
          <w:b w:val="0"/>
          <w:szCs w:val="22"/>
          <w:shd w:val="clear" w:color="auto" w:fill="FFFFFF"/>
          <w:lang w:val="af-ZA"/>
        </w:rPr>
        <w:t xml:space="preserve"> </w:t>
      </w:r>
      <w:r w:rsidRPr="00A83C94">
        <w:rPr>
          <w:b w:val="0"/>
          <w:szCs w:val="22"/>
          <w:shd w:val="clear" w:color="auto" w:fill="FFFFFF"/>
          <w:lang w:val="hy-AM"/>
        </w:rPr>
        <w:t>արմատավորուման</w:t>
      </w:r>
      <w:r w:rsidRPr="00A83C94">
        <w:rPr>
          <w:b w:val="0"/>
          <w:szCs w:val="22"/>
          <w:shd w:val="clear" w:color="auto" w:fill="FFFFFF"/>
          <w:lang w:val="af-ZA"/>
        </w:rPr>
        <w:t xml:space="preserve">, </w:t>
      </w:r>
      <w:r w:rsidRPr="00A83C94">
        <w:rPr>
          <w:b w:val="0"/>
          <w:szCs w:val="22"/>
          <w:shd w:val="clear" w:color="auto" w:fill="FFFFFF"/>
          <w:lang w:val="hy-AM"/>
        </w:rPr>
        <w:t>ֆիզիկապես</w:t>
      </w:r>
      <w:r w:rsidRPr="00A83C94">
        <w:rPr>
          <w:b w:val="0"/>
          <w:szCs w:val="22"/>
          <w:shd w:val="clear" w:color="auto" w:fill="FFFFFF"/>
          <w:lang w:val="af-ZA"/>
        </w:rPr>
        <w:t xml:space="preserve"> </w:t>
      </w:r>
      <w:r w:rsidRPr="00A83C94">
        <w:rPr>
          <w:b w:val="0"/>
          <w:szCs w:val="22"/>
          <w:shd w:val="clear" w:color="auto" w:fill="FFFFFF"/>
          <w:lang w:val="hy-AM"/>
        </w:rPr>
        <w:t>կոփված</w:t>
      </w:r>
      <w:r w:rsidRPr="00A83C94">
        <w:rPr>
          <w:b w:val="0"/>
          <w:szCs w:val="22"/>
          <w:shd w:val="clear" w:color="auto" w:fill="FFFFFF"/>
          <w:lang w:val="af-ZA"/>
        </w:rPr>
        <w:t xml:space="preserve"> </w:t>
      </w:r>
      <w:r w:rsidRPr="00A83C94">
        <w:rPr>
          <w:b w:val="0"/>
          <w:szCs w:val="22"/>
          <w:shd w:val="clear" w:color="auto" w:fill="FFFFFF"/>
          <w:lang w:val="hy-AM"/>
        </w:rPr>
        <w:t>երիտասարդների</w:t>
      </w:r>
      <w:r w:rsidRPr="00A83C94">
        <w:rPr>
          <w:b w:val="0"/>
          <w:szCs w:val="22"/>
          <w:shd w:val="clear" w:color="auto" w:fill="FFFFFF"/>
          <w:lang w:val="af-ZA"/>
        </w:rPr>
        <w:t xml:space="preserve"> </w:t>
      </w:r>
      <w:r w:rsidRPr="00A83C94">
        <w:rPr>
          <w:b w:val="0"/>
          <w:szCs w:val="22"/>
          <w:shd w:val="clear" w:color="auto" w:fill="FFFFFF"/>
          <w:lang w:val="hy-AM"/>
        </w:rPr>
        <w:t>դաստիարակման</w:t>
      </w:r>
      <w:r w:rsidRPr="00A83C94">
        <w:rPr>
          <w:b w:val="0"/>
          <w:szCs w:val="22"/>
          <w:shd w:val="clear" w:color="auto" w:fill="FFFFFF"/>
          <w:lang w:val="af-ZA"/>
        </w:rPr>
        <w:t xml:space="preserve"> </w:t>
      </w:r>
      <w:r w:rsidRPr="00A83C94">
        <w:rPr>
          <w:b w:val="0"/>
          <w:szCs w:val="22"/>
          <w:shd w:val="clear" w:color="auto" w:fill="FFFFFF"/>
          <w:lang w:val="hy-AM"/>
        </w:rPr>
        <w:t>նպատակով</w:t>
      </w:r>
      <w:r w:rsidRPr="00A83C94">
        <w:rPr>
          <w:b w:val="0"/>
          <w:szCs w:val="22"/>
          <w:shd w:val="clear" w:color="auto" w:fill="FFFFFF"/>
          <w:lang w:val="af-ZA"/>
        </w:rPr>
        <w:t xml:space="preserve"> </w:t>
      </w:r>
      <w:r w:rsidRPr="00A83C94">
        <w:rPr>
          <w:b w:val="0"/>
          <w:szCs w:val="22"/>
          <w:shd w:val="clear" w:color="auto" w:fill="FFFFFF"/>
          <w:lang w:val="hy-AM"/>
        </w:rPr>
        <w:t>ֆիզկուլտուրային</w:t>
      </w:r>
      <w:r w:rsidRPr="00A83C94">
        <w:rPr>
          <w:b w:val="0"/>
          <w:szCs w:val="22"/>
          <w:shd w:val="clear" w:color="auto" w:fill="FFFFFF"/>
          <w:lang w:val="af-ZA"/>
        </w:rPr>
        <w:t>-</w:t>
      </w:r>
      <w:r w:rsidRPr="00A83C94">
        <w:rPr>
          <w:b w:val="0"/>
          <w:szCs w:val="22"/>
          <w:shd w:val="clear" w:color="auto" w:fill="FFFFFF"/>
          <w:lang w:val="hy-AM"/>
        </w:rPr>
        <w:t>առողջարարական</w:t>
      </w:r>
      <w:r w:rsidRPr="00A83C94">
        <w:rPr>
          <w:b w:val="0"/>
          <w:szCs w:val="22"/>
          <w:shd w:val="clear" w:color="auto" w:fill="FFFFFF"/>
          <w:lang w:val="af-ZA"/>
        </w:rPr>
        <w:t xml:space="preserve"> </w:t>
      </w:r>
      <w:r w:rsidRPr="00A83C94">
        <w:rPr>
          <w:b w:val="0"/>
          <w:szCs w:val="22"/>
          <w:shd w:val="clear" w:color="auto" w:fill="FFFFFF"/>
          <w:lang w:val="hy-AM"/>
        </w:rPr>
        <w:t>զանգվածային</w:t>
      </w:r>
      <w:r w:rsidRPr="00A83C94">
        <w:rPr>
          <w:b w:val="0"/>
          <w:szCs w:val="22"/>
          <w:shd w:val="clear" w:color="auto" w:fill="FFFFFF"/>
          <w:lang w:val="af-ZA"/>
        </w:rPr>
        <w:t xml:space="preserve">, </w:t>
      </w:r>
      <w:r w:rsidRPr="00A83C94">
        <w:rPr>
          <w:b w:val="0"/>
          <w:szCs w:val="22"/>
          <w:shd w:val="clear" w:color="auto" w:fill="FFFFFF"/>
          <w:lang w:val="hy-AM"/>
        </w:rPr>
        <w:t>հանրապետական</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մարզային</w:t>
      </w:r>
      <w:r w:rsidRPr="00A83C94">
        <w:rPr>
          <w:b w:val="0"/>
          <w:szCs w:val="22"/>
          <w:shd w:val="clear" w:color="auto" w:fill="FFFFFF"/>
          <w:lang w:val="af-ZA"/>
        </w:rPr>
        <w:t xml:space="preserve"> </w:t>
      </w:r>
      <w:r w:rsidRPr="00A83C94">
        <w:rPr>
          <w:b w:val="0"/>
          <w:szCs w:val="22"/>
          <w:shd w:val="clear" w:color="auto" w:fill="FFFFFF"/>
          <w:lang w:val="hy-AM"/>
        </w:rPr>
        <w:t>միջոցառումների</w:t>
      </w:r>
      <w:r w:rsidRPr="00A83C94">
        <w:rPr>
          <w:b w:val="0"/>
          <w:szCs w:val="22"/>
          <w:shd w:val="clear" w:color="auto" w:fill="FFFFFF"/>
          <w:lang w:val="af-ZA"/>
        </w:rPr>
        <w:t xml:space="preserve"> </w:t>
      </w:r>
      <w:r w:rsidRPr="00A83C94">
        <w:rPr>
          <w:b w:val="0"/>
          <w:szCs w:val="22"/>
          <w:shd w:val="clear" w:color="auto" w:fill="FFFFFF"/>
          <w:lang w:val="hy-AM"/>
        </w:rPr>
        <w:t>կազմակերպումը</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անցկացումը</w:t>
      </w:r>
      <w:r w:rsidRPr="00A83C94">
        <w:rPr>
          <w:b w:val="0"/>
          <w:szCs w:val="22"/>
          <w:shd w:val="clear" w:color="auto" w:fill="FFFFFF"/>
          <w:lang w:val="af-ZA"/>
        </w:rPr>
        <w:t>:</w:t>
      </w:r>
    </w:p>
    <w:p w14:paraId="7A75B880" w14:textId="77777777" w:rsidR="000825DA" w:rsidRPr="00A83C94" w:rsidRDefault="000825DA" w:rsidP="005D2928">
      <w:pPr>
        <w:tabs>
          <w:tab w:val="left" w:pos="1134"/>
        </w:tabs>
        <w:spacing w:before="0" w:line="276" w:lineRule="auto"/>
        <w:ind w:firstLine="708"/>
        <w:rPr>
          <w:b w:val="0"/>
          <w:szCs w:val="22"/>
          <w:lang w:val="hy-AM"/>
        </w:rPr>
      </w:pPr>
    </w:p>
    <w:p w14:paraId="2C85CB2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8" w:name="_Toc83567450"/>
      <w:bookmarkStart w:id="69" w:name="_Toc83996328"/>
      <w:r w:rsidRPr="00A83C94">
        <w:rPr>
          <w:rFonts w:cs="Arial"/>
          <w:szCs w:val="22"/>
          <w:lang w:val="hy-AM" w:eastAsia="en-US"/>
        </w:rPr>
        <w:t>Երիտասարդություն</w:t>
      </w:r>
      <w:bookmarkEnd w:id="68"/>
      <w:bookmarkEnd w:id="69"/>
    </w:p>
    <w:p w14:paraId="23CE922C" w14:textId="77777777" w:rsidR="005F226A" w:rsidRPr="00A83C94" w:rsidRDefault="005F226A" w:rsidP="005D2928">
      <w:pPr>
        <w:pStyle w:val="BodyText2"/>
      </w:pPr>
      <w:r w:rsidRPr="00A83C94">
        <w:t xml:space="preserve">Երիտասարդության հարցերի ոլորտում կառավարության կողմից վարվող պետական քաղաքականությունը միտված է նրանց քաղաքացիական գիտակցության և հասարակական-քաղաքական զարգացումներին մասնակցության աստիճանի բարձրացմանը, </w:t>
      </w:r>
      <w:r w:rsidRPr="00A83C94">
        <w:rPr>
          <w:rFonts w:cs="GHEA Grapalat"/>
          <w:color w:val="000000"/>
        </w:rPr>
        <w:t>երիտասարդների</w:t>
      </w:r>
      <w:r w:rsidRPr="00A83C94">
        <w:rPr>
          <w:color w:val="000000"/>
        </w:rPr>
        <w:t xml:space="preserve"> </w:t>
      </w:r>
      <w:r w:rsidRPr="00A83C94">
        <w:rPr>
          <w:rFonts w:cs="GHEA Grapalat"/>
          <w:color w:val="000000"/>
        </w:rPr>
        <w:t>ներուժի</w:t>
      </w:r>
      <w:r w:rsidRPr="00A83C94">
        <w:rPr>
          <w:color w:val="000000"/>
        </w:rPr>
        <w:t xml:space="preserve"> </w:t>
      </w:r>
      <w:r w:rsidRPr="00A83C94">
        <w:rPr>
          <w:rFonts w:cs="GHEA Grapalat"/>
          <w:color w:val="000000"/>
        </w:rPr>
        <w:t>բացահայտման</w:t>
      </w:r>
      <w:r w:rsidRPr="00A83C94">
        <w:rPr>
          <w:color w:val="000000"/>
        </w:rPr>
        <w:t xml:space="preserve">, </w:t>
      </w:r>
      <w:r w:rsidRPr="00A83C94">
        <w:rPr>
          <w:rFonts w:cs="GHEA Grapalat"/>
          <w:color w:val="000000"/>
        </w:rPr>
        <w:t>սոցիալականացման</w:t>
      </w:r>
      <w:r w:rsidRPr="00A83C94">
        <w:rPr>
          <w:color w:val="000000"/>
        </w:rPr>
        <w:t xml:space="preserve">, </w:t>
      </w:r>
      <w:r w:rsidRPr="00A83C94">
        <w:rPr>
          <w:rFonts w:cs="GHEA Grapalat"/>
          <w:color w:val="000000"/>
        </w:rPr>
        <w:t>ինքնիրացման</w:t>
      </w:r>
      <w:r w:rsidRPr="00A83C94">
        <w:rPr>
          <w:color w:val="000000"/>
        </w:rPr>
        <w:t xml:space="preserve">, </w:t>
      </w:r>
      <w:r w:rsidRPr="00A83C94">
        <w:rPr>
          <w:rFonts w:cs="GHEA Grapalat"/>
          <w:color w:val="000000"/>
        </w:rPr>
        <w:t>ներգրավման</w:t>
      </w:r>
      <w:r w:rsidRPr="00A83C94">
        <w:rPr>
          <w:color w:val="000000"/>
        </w:rPr>
        <w:t xml:space="preserve"> </w:t>
      </w:r>
      <w:r w:rsidRPr="00A83C94">
        <w:rPr>
          <w:rFonts w:cs="GHEA Grapalat"/>
          <w:color w:val="000000"/>
        </w:rPr>
        <w:t>ու</w:t>
      </w:r>
      <w:r w:rsidRPr="00A83C94">
        <w:rPr>
          <w:color w:val="000000"/>
        </w:rPr>
        <w:t xml:space="preserve"> </w:t>
      </w:r>
      <w:r w:rsidRPr="00A83C94">
        <w:rPr>
          <w:rFonts w:cs="GHEA Grapalat"/>
          <w:color w:val="000000"/>
        </w:rPr>
        <w:t>զարգացման</w:t>
      </w:r>
      <w:r w:rsidRPr="00A83C94">
        <w:rPr>
          <w:color w:val="000000"/>
        </w:rPr>
        <w:t xml:space="preserve"> </w:t>
      </w:r>
      <w:r w:rsidRPr="00A83C94">
        <w:rPr>
          <w:rFonts w:cs="GHEA Grapalat"/>
          <w:color w:val="000000"/>
        </w:rPr>
        <w:t>անհրաժեշտ</w:t>
      </w:r>
      <w:r w:rsidRPr="00A83C94">
        <w:rPr>
          <w:color w:val="000000"/>
        </w:rPr>
        <w:t xml:space="preserve"> </w:t>
      </w:r>
      <w:r w:rsidRPr="00A83C94">
        <w:rPr>
          <w:rFonts w:cs="GHEA Grapalat"/>
          <w:color w:val="000000"/>
        </w:rPr>
        <w:t>պայմանների</w:t>
      </w:r>
      <w:r w:rsidRPr="00A83C94">
        <w:rPr>
          <w:color w:val="000000"/>
        </w:rPr>
        <w:t xml:space="preserve"> </w:t>
      </w:r>
      <w:r w:rsidRPr="00A83C94">
        <w:rPr>
          <w:rFonts w:cs="GHEA Grapalat"/>
          <w:color w:val="000000"/>
        </w:rPr>
        <w:t>ստեղծմանը</w:t>
      </w:r>
      <w:r w:rsidRPr="00A83C94">
        <w:rPr>
          <w:color w:val="000000"/>
        </w:rPr>
        <w:t xml:space="preserve"> </w:t>
      </w:r>
      <w:r w:rsidRPr="00A83C94">
        <w:rPr>
          <w:rFonts w:cs="GHEA Grapalat"/>
          <w:color w:val="000000"/>
        </w:rPr>
        <w:t>և</w:t>
      </w:r>
      <w:r w:rsidRPr="00A83C94">
        <w:rPr>
          <w:rFonts w:ascii="Calibri" w:hAnsi="Calibri" w:cs="Calibri"/>
          <w:color w:val="000000"/>
        </w:rPr>
        <w:t> </w:t>
      </w:r>
      <w:r w:rsidRPr="00A83C94">
        <w:rPr>
          <w:color w:val="000000"/>
        </w:rPr>
        <w:t xml:space="preserve"> </w:t>
      </w:r>
      <w:r w:rsidRPr="00A83C94">
        <w:rPr>
          <w:rFonts w:cs="GHEA Grapalat"/>
          <w:color w:val="000000"/>
        </w:rPr>
        <w:t>մեխանիզմների</w:t>
      </w:r>
      <w:r w:rsidRPr="00A83C94">
        <w:rPr>
          <w:color w:val="000000"/>
        </w:rPr>
        <w:t xml:space="preserve"> </w:t>
      </w:r>
      <w:r w:rsidRPr="00A83C94">
        <w:rPr>
          <w:rFonts w:cs="GHEA Grapalat"/>
          <w:color w:val="000000"/>
        </w:rPr>
        <w:t>խթանմանը,</w:t>
      </w:r>
      <w:r w:rsidRPr="00A83C94">
        <w:rPr>
          <w:color w:val="000000"/>
        </w:rPr>
        <w:t xml:space="preserve"> ինտելեկտուալ ժամանցի կազմակերպման հնարավորությունների ստեղծմանը, </w:t>
      </w:r>
      <w:r w:rsidRPr="00A83C94">
        <w:t>երիտասարդության գործունեությունն ապահովող իրավական դաշտի բարելավմանը, առկա սոցիալ-տնտեսական հիմնախնդիրների ուսումնասիրմանը և երիտասարդների կենսապայմանների բարելավմանը, միջազգային երիտասարդական կառույցների հետ համագործակցության ընդլայնմանը, երիտասարդությանը լիակատար ինքնադրսևորման և անհրաժեշտ տեղեկատվությամբ ապահովմանը:</w:t>
      </w:r>
    </w:p>
    <w:p w14:paraId="46CA6C03" w14:textId="77777777" w:rsidR="005F226A" w:rsidRPr="00A83C94" w:rsidRDefault="005F226A" w:rsidP="005D2928">
      <w:pPr>
        <w:pStyle w:val="CommentText"/>
        <w:spacing w:line="276" w:lineRule="auto"/>
        <w:rPr>
          <w:b w:val="0"/>
          <w:color w:val="000000"/>
          <w:sz w:val="22"/>
          <w:szCs w:val="22"/>
          <w:lang w:val="hy-AM"/>
        </w:rPr>
      </w:pPr>
    </w:p>
    <w:p w14:paraId="5E9E9A9C"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0" w:name="_Toc26174902"/>
      <w:bookmarkStart w:id="71" w:name="_Toc83567451"/>
      <w:bookmarkStart w:id="72" w:name="_Toc83996329"/>
      <w:r w:rsidRPr="00A83C94">
        <w:rPr>
          <w:rFonts w:cs="Arial"/>
          <w:szCs w:val="22"/>
          <w:lang w:val="hy-AM" w:eastAsia="en-US"/>
        </w:rPr>
        <w:t>Առողջապահություն</w:t>
      </w:r>
      <w:bookmarkEnd w:id="70"/>
      <w:bookmarkEnd w:id="71"/>
      <w:bookmarkEnd w:id="72"/>
    </w:p>
    <w:p w14:paraId="059E459E" w14:textId="77777777" w:rsidR="005F226A" w:rsidRPr="00A83C94" w:rsidRDefault="005F226A" w:rsidP="005D2928">
      <w:pPr>
        <w:spacing w:before="0" w:line="276" w:lineRule="auto"/>
        <w:ind w:firstLine="720"/>
        <w:rPr>
          <w:rFonts w:eastAsia="Calibri"/>
          <w:b w:val="0"/>
          <w:noProof/>
          <w:szCs w:val="22"/>
          <w:lang w:val="hy-AM" w:eastAsia="en-US"/>
        </w:rPr>
      </w:pPr>
      <w:bookmarkStart w:id="73" w:name="_Toc26174903"/>
      <w:r w:rsidRPr="00A83C94">
        <w:rPr>
          <w:rFonts w:eastAsia="Calibri"/>
          <w:b w:val="0"/>
          <w:noProof/>
          <w:szCs w:val="22"/>
          <w:lang w:val="hy-AM" w:eastAsia="en-US"/>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14:paraId="23E163F1"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Ոլորտում իրականացվող քաղաքականությունն ուղղված է լինելու հանրային առողջապահական ծառայությունների հզորացմանը, հիվանդությունների կանխարգելմանը, առողջ կենսակերպի համար պայմանների ստեղծմանը: </w:t>
      </w:r>
    </w:p>
    <w:p w14:paraId="18C3C81B"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Պետական առողջապահական ծախսերի նպատակայնության հետևողական բարձ</w:t>
      </w:r>
      <w:r w:rsidRPr="00A83C94">
        <w:rPr>
          <w:rFonts w:eastAsia="Calibri"/>
          <w:b w:val="0"/>
          <w:noProof/>
          <w:szCs w:val="22"/>
          <w:lang w:val="hy-AM" w:eastAsia="en-US"/>
        </w:rPr>
        <w:softHyphen/>
        <w:t>րաց</w:t>
      </w:r>
      <w:r w:rsidRPr="00A83C94">
        <w:rPr>
          <w:rFonts w:eastAsia="Calibri"/>
          <w:b w:val="0"/>
          <w:noProof/>
          <w:szCs w:val="22"/>
          <w:lang w:val="hy-AM" w:eastAsia="en-US"/>
        </w:rPr>
        <w:softHyphen/>
        <w:t>ման, հատկացվող ֆինանսական միջոցների վերահսկման և մատուցվող ծառայությունների որա</w:t>
      </w:r>
      <w:r w:rsidRPr="00A83C94">
        <w:rPr>
          <w:rFonts w:eastAsia="Calibri"/>
          <w:b w:val="0"/>
          <w:noProof/>
          <w:szCs w:val="22"/>
          <w:lang w:val="hy-AM" w:eastAsia="en-US"/>
        </w:rPr>
        <w:softHyphen/>
        <w:t>կի կառավարման գործուն մեխանիզմների շարունակական բարելավման շնորհիվ առող</w:t>
      </w:r>
      <w:r w:rsidRPr="00A83C94">
        <w:rPr>
          <w:rFonts w:eastAsia="Calibri"/>
          <w:b w:val="0"/>
          <w:noProof/>
          <w:szCs w:val="22"/>
          <w:lang w:val="hy-AM" w:eastAsia="en-US"/>
        </w:rPr>
        <w:softHyphen/>
        <w:t>ջա</w:t>
      </w:r>
      <w:r w:rsidRPr="00A83C94">
        <w:rPr>
          <w:rFonts w:eastAsia="Calibri"/>
          <w:b w:val="0"/>
          <w:noProof/>
          <w:szCs w:val="22"/>
          <w:lang w:val="hy-AM" w:eastAsia="en-US"/>
        </w:rPr>
        <w:softHyphen/>
        <w:t>պա</w:t>
      </w:r>
      <w:r w:rsidRPr="00A83C94">
        <w:rPr>
          <w:rFonts w:eastAsia="Calibri"/>
          <w:b w:val="0"/>
          <w:noProof/>
          <w:szCs w:val="22"/>
          <w:lang w:val="hy-AM" w:eastAsia="en-US"/>
        </w:rPr>
        <w:softHyphen/>
        <w:t>հական համակարգի շահառուն ստիպված չի լինի հավելյալ վճարել պետության կողմից ան</w:t>
      </w:r>
      <w:r w:rsidRPr="00A83C94">
        <w:rPr>
          <w:rFonts w:eastAsia="Calibri"/>
          <w:b w:val="0"/>
          <w:noProof/>
          <w:szCs w:val="22"/>
          <w:lang w:val="hy-AM" w:eastAsia="en-US"/>
        </w:rPr>
        <w:softHyphen/>
        <w:t>վճար և արտոնյալ պայմաններով մատուցվող ծառայությունների համար և կստանա որակյալ բժշկա</w:t>
      </w:r>
      <w:r w:rsidRPr="00A83C94">
        <w:rPr>
          <w:rFonts w:eastAsia="Calibri"/>
          <w:b w:val="0"/>
          <w:noProof/>
          <w:szCs w:val="22"/>
          <w:lang w:val="hy-AM" w:eastAsia="en-US"/>
        </w:rPr>
        <w:softHyphen/>
        <w:t>կան օգնություն և ծառայություններ: Ան</w:t>
      </w:r>
      <w:r w:rsidRPr="00A83C94">
        <w:rPr>
          <w:rFonts w:eastAsia="Calibri"/>
          <w:b w:val="0"/>
          <w:noProof/>
          <w:szCs w:val="22"/>
          <w:lang w:val="hy-AM" w:eastAsia="en-US"/>
        </w:rPr>
        <w:softHyphen/>
        <w:t>վճար բժշկական օգնությունը պետք է տրամադրվի միայն սոցիալական արդարության սկզբուն</w:t>
      </w:r>
      <w:r w:rsidRPr="00A83C94">
        <w:rPr>
          <w:rFonts w:eastAsia="Calibri"/>
          <w:b w:val="0"/>
          <w:noProof/>
          <w:szCs w:val="22"/>
          <w:lang w:val="hy-AM" w:eastAsia="en-US"/>
        </w:rPr>
        <w:softHyphen/>
        <w:t>քի հիման վրա: Միաժամանակ պետությունը պետք է կանգնած լինի անհետաձգելի բժշկա</w:t>
      </w:r>
      <w:r w:rsidRPr="00A83C94">
        <w:rPr>
          <w:rFonts w:eastAsia="Calibri"/>
          <w:b w:val="0"/>
          <w:noProof/>
          <w:szCs w:val="22"/>
          <w:lang w:val="hy-AM" w:eastAsia="en-US"/>
        </w:rPr>
        <w:softHyphen/>
        <w:t xml:space="preserve">կան օգնության կարիք ունեցող ցանկացած մարդու կողքին: </w:t>
      </w:r>
    </w:p>
    <w:p w14:paraId="29E06616"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Առողջության առաջնային պահպանման, մոր և մանկան առողջապահական, վերարտադրողական առողջության պահպանման ծառայությունները լինելու են պետության առաջնահերթությունը: </w:t>
      </w:r>
    </w:p>
    <w:p w14:paraId="20B92F43"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Հանրային առողջապահական ծառայությունների հզորացման ոլորտում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14:paraId="7B56EBF0"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Շարունակվելու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14:paraId="50A644C8"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Կառավարությունը շարունակելու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w:t>
      </w:r>
    </w:p>
    <w:p w14:paraId="15A98A65"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հիվանդությունների կանխարգելմանն ու վաղ հայտնաբերմանը: </w:t>
      </w:r>
    </w:p>
    <w:p w14:paraId="242F0116"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Մոր ու մանկան առողջության պահպանման ծառայությունների բարելավման ոլորտում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ապահովելու է մոր ու մանկան առողջության առաջնային պահպանման համակարգում կանխարգելիչ ծրագրային ուղղությունների ուժեղացումը: </w:t>
      </w:r>
    </w:p>
    <w:p w14:paraId="3A496BE7"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Առողջապահական կադրային ներուժի ապահովման ոլորտում իրականացվելու են աշխատանքներ բուժաշխատողների մասնագիտական գիտելիքների և հմտությունների շարունա</w:t>
      </w:r>
      <w:r w:rsidRPr="00A83C94">
        <w:rPr>
          <w:rFonts w:eastAsia="Calibri"/>
          <w:b w:val="0"/>
          <w:noProof/>
          <w:szCs w:val="22"/>
          <w:lang w:val="hy-AM" w:eastAsia="en-US"/>
        </w:rPr>
        <w:softHyphen/>
        <w:t xml:space="preserve">կական բարելավման ուղղությամբ: 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14:paraId="2DBD5EA0"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Դեղերի անվտանգության, արդյունավետության և որակի ապահովման ոլորտում աշխատանքներ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14:paraId="54E3F491"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Շարունակվելու են լրացուցիչ միջոցներ ուղղվել պե</w:t>
      </w:r>
      <w:r w:rsidRPr="00A83C94">
        <w:rPr>
          <w:rFonts w:eastAsia="Calibri"/>
          <w:b w:val="0"/>
          <w:noProof/>
          <w:szCs w:val="22"/>
          <w:lang w:val="hy-AM" w:eastAsia="en-US"/>
        </w:rPr>
        <w:softHyphen/>
        <w:t>տության կողմից երաշխավորված անվճար բժշկական օգնության և սպասարկման շրջա</w:t>
      </w:r>
      <w:r w:rsidRPr="00A83C94">
        <w:rPr>
          <w:rFonts w:eastAsia="Calibri"/>
          <w:b w:val="0"/>
          <w:noProof/>
          <w:szCs w:val="22"/>
          <w:lang w:val="hy-AM" w:eastAsia="en-US"/>
        </w:rPr>
        <w:softHyphen/>
        <w:t>նակ</w:t>
      </w:r>
      <w:r w:rsidRPr="00A83C94">
        <w:rPr>
          <w:rFonts w:eastAsia="Calibri"/>
          <w:b w:val="0"/>
          <w:noProof/>
          <w:szCs w:val="22"/>
          <w:lang w:val="hy-AM" w:eastAsia="en-US"/>
        </w:rPr>
        <w:softHyphen/>
        <w:t>նե</w:t>
      </w:r>
      <w:r w:rsidRPr="00A83C94">
        <w:rPr>
          <w:rFonts w:eastAsia="Calibri"/>
          <w:b w:val="0"/>
          <w:noProof/>
          <w:szCs w:val="22"/>
          <w:lang w:val="hy-AM" w:eastAsia="en-US"/>
        </w:rPr>
        <w:softHyphen/>
        <w:t>րում կյանք փրկող գլխուղեղի սուր և/կամ ենթասուր իշեմիկ կաթվածների թրոմբոլիտիկ բուժ</w:t>
      </w:r>
      <w:r w:rsidRPr="00A83C94">
        <w:rPr>
          <w:rFonts w:eastAsia="Calibri"/>
          <w:b w:val="0"/>
          <w:noProof/>
          <w:szCs w:val="22"/>
          <w:lang w:val="hy-AM" w:eastAsia="en-US"/>
        </w:rPr>
        <w:softHyphen/>
        <w:t>ման և մեխանիկական թրոմբէկտոմիա ծառայության զարգացմանը:</w:t>
      </w:r>
    </w:p>
    <w:p w14:paraId="482A53B7"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Վարակիչ և ոչ վարակիչ հիվանդությունների կանխարգելումը ռազմավարական մեկ այլ կարևոր նպատակ է, որի շրջանակներում ապահովվելու է առավել տարածված ոչ վարակիչ հի</w:t>
      </w:r>
      <w:r w:rsidRPr="00A83C94">
        <w:rPr>
          <w:rFonts w:eastAsia="Calibri"/>
          <w:b w:val="0"/>
          <w:noProof/>
          <w:szCs w:val="22"/>
          <w:lang w:val="hy-AM" w:eastAsia="en-US"/>
        </w:rPr>
        <w:softHyphen/>
        <w:t>վան</w:t>
      </w:r>
      <w:r w:rsidRPr="00A83C94">
        <w:rPr>
          <w:rFonts w:eastAsia="Calibri"/>
          <w:b w:val="0"/>
          <w:noProof/>
          <w:szCs w:val="22"/>
          <w:lang w:val="hy-AM" w:eastAsia="en-US"/>
        </w:rPr>
        <w:softHyphen/>
        <w:t>դությունների վաղ հայտնաբերման, ախտորոշման ու կանխարգելման ճանապարհով բնակ</w:t>
      </w:r>
      <w:r w:rsidRPr="00A83C94">
        <w:rPr>
          <w:rFonts w:eastAsia="Calibri"/>
          <w:b w:val="0"/>
          <w:noProof/>
          <w:szCs w:val="22"/>
          <w:lang w:val="hy-AM" w:eastAsia="en-US"/>
        </w:rPr>
        <w:softHyphen/>
        <w:t>չու</w:t>
      </w:r>
      <w:r w:rsidRPr="00A83C94">
        <w:rPr>
          <w:rFonts w:eastAsia="Calibri"/>
          <w:b w:val="0"/>
          <w:noProof/>
          <w:szCs w:val="22"/>
          <w:lang w:val="hy-AM" w:eastAsia="en-US"/>
        </w:rPr>
        <w:softHyphen/>
        <w:t>թյան առողջության հիմնական ցուցանիշների բարելավում և այդ հիվանդությունների բար</w:t>
      </w:r>
      <w:r w:rsidRPr="00A83C94">
        <w:rPr>
          <w:rFonts w:eastAsia="Calibri"/>
          <w:b w:val="0"/>
          <w:noProof/>
          <w:szCs w:val="22"/>
          <w:lang w:val="hy-AM" w:eastAsia="en-US"/>
        </w:rPr>
        <w:softHyphen/>
        <w:t>դու</w:t>
      </w:r>
      <w:r w:rsidRPr="00A83C94">
        <w:rPr>
          <w:rFonts w:eastAsia="Calibri"/>
          <w:b w:val="0"/>
          <w:noProof/>
          <w:szCs w:val="22"/>
          <w:lang w:val="hy-AM" w:eastAsia="en-US"/>
        </w:rPr>
        <w:softHyphen/>
        <w:t>թյուն</w:t>
      </w:r>
      <w:r w:rsidRPr="00A83C94">
        <w:rPr>
          <w:rFonts w:eastAsia="Calibri"/>
          <w:b w:val="0"/>
          <w:noProof/>
          <w:szCs w:val="22"/>
          <w:lang w:val="hy-AM" w:eastAsia="en-US"/>
        </w:rPr>
        <w:softHyphen/>
        <w:t>ների, հաշմանդամության և մահացության ցուցանիշների կրճատում, ինչպես նաև վարակիչ հի</w:t>
      </w:r>
      <w:r w:rsidRPr="00A83C94">
        <w:rPr>
          <w:rFonts w:eastAsia="Calibri"/>
          <w:b w:val="0"/>
          <w:noProof/>
          <w:szCs w:val="22"/>
          <w:lang w:val="hy-AM" w:eastAsia="en-US"/>
        </w:rPr>
        <w:softHyphen/>
        <w:t>վան</w:t>
      </w:r>
      <w:r w:rsidRPr="00A83C94">
        <w:rPr>
          <w:rFonts w:eastAsia="Calibri"/>
          <w:b w:val="0"/>
          <w:noProof/>
          <w:szCs w:val="22"/>
          <w:lang w:val="hy-AM" w:eastAsia="en-US"/>
        </w:rPr>
        <w:softHyphen/>
        <w:t>դություններով հիվանդացության նվազեցում, կառավարելի վարակիչ հի</w:t>
      </w:r>
      <w:r w:rsidRPr="00A83C94">
        <w:rPr>
          <w:rFonts w:eastAsia="Calibri"/>
          <w:b w:val="0"/>
          <w:noProof/>
          <w:szCs w:val="22"/>
          <w:lang w:val="hy-AM" w:eastAsia="en-US"/>
        </w:rPr>
        <w:softHyphen/>
        <w:t>վան</w:t>
      </w:r>
      <w:r w:rsidRPr="00A83C94">
        <w:rPr>
          <w:rFonts w:eastAsia="Calibri"/>
          <w:b w:val="0"/>
          <w:noProof/>
          <w:szCs w:val="22"/>
          <w:lang w:val="hy-AM" w:eastAsia="en-US"/>
        </w:rPr>
        <w:softHyphen/>
        <w:t>դու</w:t>
      </w:r>
      <w:r w:rsidRPr="00A83C94">
        <w:rPr>
          <w:rFonts w:eastAsia="Calibri"/>
          <w:b w:val="0"/>
          <w:noProof/>
          <w:szCs w:val="22"/>
          <w:lang w:val="hy-AM" w:eastAsia="en-US"/>
        </w:rPr>
        <w:softHyphen/>
        <w:t>թյուն</w:t>
      </w:r>
      <w:r w:rsidRPr="00A83C94">
        <w:rPr>
          <w:rFonts w:eastAsia="Calibri"/>
          <w:b w:val="0"/>
          <w:noProof/>
          <w:szCs w:val="22"/>
          <w:lang w:val="hy-AM" w:eastAsia="en-US"/>
        </w:rPr>
        <w:softHyphen/>
        <w:t>նե</w:t>
      </w:r>
      <w:r w:rsidRPr="00A83C94">
        <w:rPr>
          <w:rFonts w:eastAsia="Calibri"/>
          <w:b w:val="0"/>
          <w:noProof/>
          <w:szCs w:val="22"/>
          <w:lang w:val="hy-AM" w:eastAsia="en-US"/>
        </w:rPr>
        <w:softHyphen/>
        <w:t>րից մահվան դեպքերի կանխում և վարակիչ հիվանդությունների նկատմամբ բնակչության անընկալության ապահովում:</w:t>
      </w:r>
    </w:p>
    <w:p w14:paraId="1ADA62AF"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Առողջապահության նախարարության հիմնական խնդիրներից է հանրապետությունում ուռուց</w:t>
      </w:r>
      <w:r w:rsidRPr="00A83C94">
        <w:rPr>
          <w:rFonts w:eastAsia="Calibri"/>
          <w:b w:val="0"/>
          <w:noProof/>
          <w:szCs w:val="22"/>
          <w:lang w:val="hy-AM" w:eastAsia="en-US"/>
        </w:rPr>
        <w:softHyphen/>
        <w:t>քաբանական ծառայությունների շարունակական բարելավումը: Ուռուցքաբանական վի</w:t>
      </w:r>
      <w:r w:rsidRPr="00A83C94">
        <w:rPr>
          <w:rFonts w:eastAsia="Calibri"/>
          <w:b w:val="0"/>
          <w:noProof/>
          <w:szCs w:val="22"/>
          <w:lang w:val="hy-AM" w:eastAsia="en-US"/>
        </w:rPr>
        <w:softHyphen/>
        <w:t>րա</w:t>
      </w:r>
      <w:r w:rsidRPr="00A83C94">
        <w:rPr>
          <w:rFonts w:eastAsia="Calibri"/>
          <w:b w:val="0"/>
          <w:noProof/>
          <w:szCs w:val="22"/>
          <w:lang w:val="hy-AM" w:eastAsia="en-US"/>
        </w:rPr>
        <w:softHyphen/>
      </w:r>
      <w:r w:rsidRPr="00A83C94">
        <w:rPr>
          <w:rFonts w:eastAsia="Calibri"/>
          <w:b w:val="0"/>
          <w:noProof/>
          <w:szCs w:val="22"/>
          <w:lang w:val="hy-AM" w:eastAsia="en-US"/>
        </w:rPr>
        <w:softHyphen/>
      </w:r>
      <w:r w:rsidRPr="00A83C94">
        <w:rPr>
          <w:rFonts w:eastAsia="Calibri"/>
          <w:b w:val="0"/>
          <w:noProof/>
          <w:szCs w:val="22"/>
          <w:lang w:val="hy-AM" w:eastAsia="en-US"/>
        </w:rPr>
        <w:softHyphen/>
        <w:t>հատությունների գների վերանայման, ճառագայթային բուժման դեպքերի, քիմիա</w:t>
      </w:r>
      <w:r w:rsidRPr="00A83C94">
        <w:rPr>
          <w:rFonts w:eastAsia="Calibri"/>
          <w:b w:val="0"/>
          <w:noProof/>
          <w:szCs w:val="22"/>
          <w:lang w:val="hy-AM" w:eastAsia="en-US"/>
        </w:rPr>
        <w:softHyphen/>
        <w:t>թե</w:t>
      </w:r>
      <w:r w:rsidRPr="00A83C94">
        <w:rPr>
          <w:rFonts w:eastAsia="Calibri"/>
          <w:b w:val="0"/>
          <w:noProof/>
          <w:szCs w:val="22"/>
          <w:lang w:val="hy-AM" w:eastAsia="en-US"/>
        </w:rPr>
        <w:softHyphen/>
        <w:t>րա</w:t>
      </w:r>
      <w:r w:rsidRPr="00A83C94">
        <w:rPr>
          <w:rFonts w:eastAsia="Calibri"/>
          <w:b w:val="0"/>
          <w:noProof/>
          <w:szCs w:val="22"/>
          <w:lang w:val="hy-AM" w:eastAsia="en-US"/>
        </w:rPr>
        <w:softHyphen/>
        <w:t>պի</w:t>
      </w:r>
      <w:r w:rsidRPr="00A83C94">
        <w:rPr>
          <w:rFonts w:eastAsia="Calibri"/>
          <w:b w:val="0"/>
          <w:noProof/>
          <w:szCs w:val="22"/>
          <w:lang w:val="hy-AM" w:eastAsia="en-US"/>
        </w:rPr>
        <w:softHyphen/>
        <w:t>ա</w:t>
      </w:r>
      <w:r w:rsidRPr="00A83C94">
        <w:rPr>
          <w:rFonts w:eastAsia="Calibri"/>
          <w:b w:val="0"/>
          <w:noProof/>
          <w:szCs w:val="22"/>
          <w:lang w:val="hy-AM" w:eastAsia="en-US"/>
        </w:rPr>
        <w:softHyphen/>
        <w:t>յի դեղերի ցանկի ընդլայնման և պետության կողմից երաշխավորված անվճար պալիատիվ ծա</w:t>
      </w:r>
      <w:r w:rsidRPr="00A83C94">
        <w:rPr>
          <w:rFonts w:eastAsia="Calibri"/>
          <w:b w:val="0"/>
          <w:noProof/>
          <w:szCs w:val="22"/>
          <w:lang w:val="hy-AM" w:eastAsia="en-US"/>
        </w:rPr>
        <w:softHyphen/>
        <w:t>ռա</w:t>
      </w:r>
      <w:r w:rsidRPr="00A83C94">
        <w:rPr>
          <w:rFonts w:eastAsia="Calibri"/>
          <w:b w:val="0"/>
          <w:noProof/>
          <w:szCs w:val="22"/>
          <w:lang w:val="hy-AM" w:eastAsia="en-US"/>
        </w:rPr>
        <w:softHyphen/>
      </w:r>
      <w:r w:rsidRPr="00A83C94">
        <w:rPr>
          <w:rFonts w:eastAsia="Calibri"/>
          <w:b w:val="0"/>
          <w:noProof/>
          <w:szCs w:val="22"/>
          <w:lang w:val="hy-AM" w:eastAsia="en-US"/>
        </w:rPr>
        <w:softHyphen/>
        <w:t>յության ներդրման միջոցով ուռուցքաբանական հիվանդություններով հիվանդ քաղա</w:t>
      </w:r>
      <w:r w:rsidRPr="00A83C94">
        <w:rPr>
          <w:rFonts w:eastAsia="Calibri"/>
          <w:b w:val="0"/>
          <w:noProof/>
          <w:szCs w:val="22"/>
          <w:lang w:val="hy-AM" w:eastAsia="en-US"/>
        </w:rPr>
        <w:softHyphen/>
        <w:t>քա</w:t>
      </w:r>
      <w:r w:rsidRPr="00A83C94">
        <w:rPr>
          <w:rFonts w:eastAsia="Calibri"/>
          <w:b w:val="0"/>
          <w:noProof/>
          <w:szCs w:val="22"/>
          <w:lang w:val="hy-AM" w:eastAsia="en-US"/>
        </w:rPr>
        <w:softHyphen/>
        <w:t>ցի</w:t>
      </w:r>
      <w:r w:rsidRPr="00A83C94">
        <w:rPr>
          <w:rFonts w:eastAsia="Calibri"/>
          <w:b w:val="0"/>
          <w:noProof/>
          <w:szCs w:val="22"/>
          <w:lang w:val="hy-AM" w:eastAsia="en-US"/>
        </w:rPr>
        <w:softHyphen/>
        <w:t>նե</w:t>
      </w:r>
      <w:r w:rsidRPr="00A83C94">
        <w:rPr>
          <w:rFonts w:eastAsia="Calibri"/>
          <w:b w:val="0"/>
          <w:noProof/>
          <w:szCs w:val="22"/>
          <w:lang w:val="hy-AM" w:eastAsia="en-US"/>
        </w:rPr>
        <w:softHyphen/>
        <w:t>րին մատուցվելու են որակյալ բժշկական օգնության և սպասարկման ծառայություններ, միա</w:t>
      </w:r>
      <w:r w:rsidRPr="00A83C94">
        <w:rPr>
          <w:rFonts w:eastAsia="Calibri"/>
          <w:b w:val="0"/>
          <w:noProof/>
          <w:szCs w:val="22"/>
          <w:lang w:val="hy-AM" w:eastAsia="en-US"/>
        </w:rPr>
        <w:softHyphen/>
        <w:t>ժա</w:t>
      </w:r>
      <w:r w:rsidRPr="00A83C94">
        <w:rPr>
          <w:rFonts w:eastAsia="Calibri"/>
          <w:b w:val="0"/>
          <w:noProof/>
          <w:szCs w:val="22"/>
          <w:lang w:val="hy-AM" w:eastAsia="en-US"/>
        </w:rPr>
        <w:softHyphen/>
        <w:t>մա</w:t>
      </w:r>
      <w:r w:rsidRPr="00A83C94">
        <w:rPr>
          <w:rFonts w:eastAsia="Calibri"/>
          <w:b w:val="0"/>
          <w:noProof/>
          <w:szCs w:val="22"/>
          <w:lang w:val="hy-AM" w:eastAsia="en-US"/>
        </w:rPr>
        <w:softHyphen/>
        <w:t>նակ վերջիններիս «փրկելով» հիվանդության բուժման հետ կապված կործանարար ծախ</w:t>
      </w:r>
      <w:r w:rsidRPr="00A83C94">
        <w:rPr>
          <w:rFonts w:eastAsia="Calibri"/>
          <w:b w:val="0"/>
          <w:noProof/>
          <w:szCs w:val="22"/>
          <w:lang w:val="hy-AM" w:eastAsia="en-US"/>
        </w:rPr>
        <w:softHyphen/>
        <w:t>սեր կա</w:t>
      </w:r>
      <w:r w:rsidRPr="00A83C94">
        <w:rPr>
          <w:rFonts w:eastAsia="Calibri"/>
          <w:b w:val="0"/>
          <w:noProof/>
          <w:szCs w:val="22"/>
          <w:lang w:val="hy-AM" w:eastAsia="en-US"/>
        </w:rPr>
        <w:softHyphen/>
        <w:t>տարելու վտանգներից:</w:t>
      </w:r>
    </w:p>
    <w:p w14:paraId="470886D3"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Նախատեսվում է նոր տեխնոլոգիաների կիրառմամբ իրականացնել մարդու օրգանների (երի</w:t>
      </w:r>
      <w:r w:rsidRPr="00A83C94">
        <w:rPr>
          <w:rFonts w:eastAsia="Calibri"/>
          <w:b w:val="0"/>
          <w:noProof/>
          <w:szCs w:val="22"/>
          <w:lang w:val="hy-AM" w:eastAsia="en-US"/>
        </w:rPr>
        <w:softHyphen/>
        <w:t>կամ) և ոսկրածուծի/ցողունային բջիջների փոխպատվաստման ծառայություններ, որոնք կբա</w:t>
      </w:r>
      <w:r w:rsidRPr="00A83C94">
        <w:rPr>
          <w:rFonts w:eastAsia="Calibri"/>
          <w:b w:val="0"/>
          <w:noProof/>
          <w:szCs w:val="22"/>
          <w:lang w:val="hy-AM" w:eastAsia="en-US"/>
        </w:rPr>
        <w:softHyphen/>
      </w:r>
      <w:r w:rsidRPr="00A83C94">
        <w:rPr>
          <w:rFonts w:eastAsia="Calibri"/>
          <w:b w:val="0"/>
          <w:noProof/>
          <w:szCs w:val="22"/>
          <w:lang w:val="hy-AM" w:eastAsia="en-US"/>
        </w:rPr>
        <w:softHyphen/>
        <w:t>րելավեն քրոնիկ երիկամային անբավարությամբ և արյան չարորակ հիվանդություններով տա</w:t>
      </w:r>
      <w:r w:rsidRPr="00A83C94">
        <w:rPr>
          <w:rFonts w:eastAsia="Calibri"/>
          <w:b w:val="0"/>
          <w:noProof/>
          <w:szCs w:val="22"/>
          <w:lang w:val="hy-AM" w:eastAsia="en-US"/>
        </w:rPr>
        <w:softHyphen/>
      </w:r>
      <w:r w:rsidRPr="00A83C94">
        <w:rPr>
          <w:rFonts w:eastAsia="Calibri"/>
          <w:b w:val="0"/>
          <w:noProof/>
          <w:szCs w:val="22"/>
          <w:lang w:val="hy-AM" w:eastAsia="en-US"/>
        </w:rPr>
        <w:softHyphen/>
        <w:t>ռապող անձանց կյանքի որակը և ապրելիության ցուցանիշը:</w:t>
      </w:r>
    </w:p>
    <w:p w14:paraId="2D292FC9"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Իրականացվելու են կապիտալ ծախսեր` մարզային առողջապահական կազմակերպությունների շենքային և նյութատեխնիկական պայմանների բարելավման նպատակով: </w:t>
      </w:r>
    </w:p>
    <w:p w14:paraId="201AF169" w14:textId="77777777" w:rsidR="005F226A" w:rsidRPr="00A83C94" w:rsidRDefault="005F226A" w:rsidP="005D2928">
      <w:pPr>
        <w:spacing w:before="0" w:line="276" w:lineRule="auto"/>
        <w:ind w:firstLine="720"/>
        <w:rPr>
          <w:rFonts w:eastAsia="Calibri"/>
          <w:b w:val="0"/>
          <w:noProof/>
          <w:szCs w:val="22"/>
          <w:lang w:val="hy-AM" w:eastAsia="en-US"/>
        </w:rPr>
      </w:pPr>
    </w:p>
    <w:p w14:paraId="44AC163F"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4" w:name="_Toc83567452"/>
      <w:bookmarkStart w:id="75" w:name="_Toc83996330"/>
      <w:r w:rsidRPr="00A83C94">
        <w:rPr>
          <w:rFonts w:cs="Arial"/>
          <w:szCs w:val="22"/>
          <w:lang w:val="hy-AM" w:eastAsia="en-US"/>
        </w:rPr>
        <w:t>Աշխատանքի և սոցիալական պաշտպանություն</w:t>
      </w:r>
      <w:bookmarkEnd w:id="74"/>
      <w:bookmarkEnd w:id="75"/>
    </w:p>
    <w:p w14:paraId="6620879D" w14:textId="77777777" w:rsidR="007B120D" w:rsidRPr="00A83C94" w:rsidRDefault="007B120D" w:rsidP="007B120D">
      <w:pPr>
        <w:pStyle w:val="BodyText"/>
        <w:tabs>
          <w:tab w:val="right" w:pos="9540"/>
        </w:tabs>
        <w:spacing w:line="276" w:lineRule="auto"/>
        <w:ind w:firstLine="709"/>
        <w:jc w:val="both"/>
        <w:rPr>
          <w:rFonts w:ascii="GHEA Grapalat" w:hAnsi="GHEA Grapalat"/>
          <w:b w:val="0"/>
          <w:i/>
          <w:sz w:val="22"/>
          <w:szCs w:val="22"/>
          <w:u w:val="single"/>
          <w:lang w:val="hy-AM"/>
        </w:rPr>
      </w:pPr>
      <w:bookmarkStart w:id="76" w:name="_Toc26174904"/>
      <w:bookmarkEnd w:id="73"/>
      <w:r w:rsidRPr="00A83C94">
        <w:rPr>
          <w:rFonts w:ascii="GHEA Grapalat" w:hAnsi="GHEA Grapalat" w:cs="Sylfaen"/>
          <w:sz w:val="22"/>
          <w:szCs w:val="22"/>
          <w:lang w:val="fr-FR"/>
        </w:rPr>
        <w:t>Աշխատանքի</w:t>
      </w:r>
      <w:r w:rsidRPr="00A83C94">
        <w:rPr>
          <w:rFonts w:ascii="GHEA Grapalat" w:hAnsi="GHEA Grapalat"/>
          <w:sz w:val="22"/>
          <w:szCs w:val="22"/>
          <w:lang w:val="fr-FR"/>
        </w:rPr>
        <w:t xml:space="preserve"> </w:t>
      </w:r>
      <w:r w:rsidRPr="00A83C94">
        <w:rPr>
          <w:rFonts w:ascii="GHEA Grapalat" w:hAnsi="GHEA Grapalat" w:cs="Sylfaen"/>
          <w:sz w:val="22"/>
          <w:szCs w:val="22"/>
          <w:lang w:val="fr-FR"/>
        </w:rPr>
        <w:t>և</w:t>
      </w:r>
      <w:r w:rsidRPr="00A83C94">
        <w:rPr>
          <w:rFonts w:ascii="GHEA Grapalat" w:hAnsi="GHEA Grapalat"/>
          <w:sz w:val="22"/>
          <w:szCs w:val="22"/>
          <w:lang w:val="fr-FR"/>
        </w:rPr>
        <w:t xml:space="preserve"> </w:t>
      </w:r>
      <w:r w:rsidRPr="00A83C94">
        <w:rPr>
          <w:rFonts w:ascii="GHEA Grapalat" w:hAnsi="GHEA Grapalat" w:cs="Sylfaen"/>
          <w:sz w:val="22"/>
          <w:szCs w:val="22"/>
          <w:lang w:val="fr-FR"/>
        </w:rPr>
        <w:t>ս</w:t>
      </w:r>
      <w:r w:rsidRPr="00A83C94">
        <w:rPr>
          <w:rFonts w:ascii="GHEA Grapalat" w:hAnsi="GHEA Grapalat" w:cs="Sylfaen"/>
          <w:sz w:val="22"/>
          <w:szCs w:val="22"/>
          <w:lang w:val="hy-AM"/>
        </w:rPr>
        <w:t>ո</w:t>
      </w:r>
      <w:r w:rsidRPr="00A83C94">
        <w:rPr>
          <w:rFonts w:ascii="GHEA Grapalat" w:hAnsi="GHEA Grapalat" w:cs="Sylfaen"/>
          <w:sz w:val="22"/>
          <w:szCs w:val="22"/>
          <w:lang w:val="fr-FR"/>
        </w:rPr>
        <w:t>ցիալական</w:t>
      </w:r>
      <w:r w:rsidRPr="00A83C94">
        <w:rPr>
          <w:rFonts w:ascii="GHEA Grapalat" w:hAnsi="GHEA Grapalat"/>
          <w:sz w:val="22"/>
          <w:szCs w:val="22"/>
          <w:lang w:val="fr-FR"/>
        </w:rPr>
        <w:t xml:space="preserve"> </w:t>
      </w:r>
      <w:r w:rsidRPr="00A83C94">
        <w:rPr>
          <w:rFonts w:ascii="GHEA Grapalat" w:hAnsi="GHEA Grapalat" w:cs="Sylfaen"/>
          <w:sz w:val="22"/>
          <w:szCs w:val="22"/>
          <w:lang w:val="fr-FR"/>
        </w:rPr>
        <w:t>պաշտպանությ</w:t>
      </w:r>
      <w:r w:rsidRPr="00A83C94">
        <w:rPr>
          <w:rFonts w:ascii="GHEA Grapalat" w:hAnsi="GHEA Grapalat" w:cs="Sylfaen"/>
          <w:sz w:val="22"/>
          <w:szCs w:val="22"/>
          <w:lang w:val="hy-AM"/>
        </w:rPr>
        <w:t>ան</w:t>
      </w:r>
      <w:r w:rsidRPr="00A83C94">
        <w:rPr>
          <w:rFonts w:ascii="GHEA Grapalat" w:hAnsi="GHEA Grapalat" w:cs="Sylfaen"/>
          <w:b w:val="0"/>
          <w:i/>
          <w:sz w:val="22"/>
          <w:szCs w:val="22"/>
          <w:lang w:val="fr-FR"/>
        </w:rPr>
        <w:t xml:space="preserve"> </w:t>
      </w:r>
      <w:r w:rsidRPr="00A83C94">
        <w:rPr>
          <w:rFonts w:ascii="GHEA Grapalat" w:hAnsi="GHEA Grapalat"/>
          <w:b w:val="0"/>
          <w:sz w:val="22"/>
          <w:szCs w:val="22"/>
          <w:lang w:val="fr-FR"/>
        </w:rPr>
        <w:t xml:space="preserve">ոլորտի հիմնական խնդիրներն ուղղակիորեն առնչվում և համընկում են ՀՀ կառավարության ծրագրի նպատակներին: </w:t>
      </w:r>
    </w:p>
    <w:p w14:paraId="08FF7AB7" w14:textId="77777777" w:rsidR="007B120D" w:rsidRPr="00A83C94" w:rsidRDefault="007B120D" w:rsidP="0005274F">
      <w:pPr>
        <w:spacing w:before="0" w:line="276" w:lineRule="auto"/>
        <w:ind w:firstLine="706"/>
        <w:rPr>
          <w:b w:val="0"/>
          <w:szCs w:val="22"/>
          <w:lang w:val="fr-FR"/>
        </w:rPr>
      </w:pPr>
      <w:r w:rsidRPr="00A83C94">
        <w:rPr>
          <w:b w:val="0"/>
          <w:szCs w:val="22"/>
          <w:lang w:val="fr-FR"/>
        </w:rPr>
        <w:t>2022թ. Աշխատանքի և սոցիալական հարցերի նախարարության համար գերակա վերջնական արդյունքներ են պետական միջոցների շրջանակում շահառուներին մատուցվող ծառայությունների որակի շարունակական բարձրացումը՝ միաժամանակ ապահովելով աշխատանքի և սոցիալական պաշտպանության ոլորտային առանձին խնդիրներին համակարգային և համալիր լուծումների մշակմամբ և ինստիտուտների զարգացմամբ։</w:t>
      </w:r>
    </w:p>
    <w:p w14:paraId="4C136871" w14:textId="6DA9024F" w:rsidR="007B120D" w:rsidRPr="00A83C94" w:rsidRDefault="007B120D" w:rsidP="007B120D">
      <w:pPr>
        <w:spacing w:line="276" w:lineRule="auto"/>
        <w:ind w:firstLine="709"/>
        <w:rPr>
          <w:rFonts w:cs="Sylfaen"/>
          <w:b w:val="0"/>
          <w:szCs w:val="22"/>
          <w:lang w:val="hy-AM"/>
        </w:rPr>
      </w:pPr>
      <w:r w:rsidRPr="00A83C94">
        <w:rPr>
          <w:rFonts w:cs="Sylfaen"/>
          <w:b w:val="0"/>
          <w:szCs w:val="22"/>
          <w:lang w:val="hy-AM"/>
        </w:rPr>
        <w:t>Ժողովրդագրության և ընտանիքի սոցիալական երաշխիքների բնագավառում նախատեսվում է պետական նպաստների քաղաքականության մեջ շարունակել ընտանիքների անապահովության (սոցիալական) գնահատման համակարգի հասցեականության բարձրացմանն ուղղված միջոցառումների իրականացումը,  վերսկսվելու են նոր համակարգ ներդնելու աշխատանքները, ինչը սոցիալական աջակցության ծրագրերը կդարձնի  ավելի հասցեական</w:t>
      </w:r>
      <w:r w:rsidR="002A233E" w:rsidRPr="00A83C94">
        <w:rPr>
          <w:rFonts w:cs="Sylfaen"/>
          <w:b w:val="0"/>
          <w:szCs w:val="22"/>
          <w:lang w:val="hy-AM"/>
        </w:rPr>
        <w:t xml:space="preserve"> </w:t>
      </w:r>
      <w:r w:rsidRPr="00A83C94">
        <w:rPr>
          <w:rFonts w:cs="Sylfaen"/>
          <w:b w:val="0"/>
          <w:szCs w:val="22"/>
          <w:lang w:val="hy-AM"/>
        </w:rPr>
        <w:t>և նպատակային: Սկզբնավորված է ինտեգրված սոցիալական ծառայությունների համակարգի կատարելագործումը, որում կարևորվում է միջգերատեսչական սոցիալական համագործակցությունը և համագործակցությունը ոչ պետական կազմակերպությունների հետ: Միջոցներ են ձեռնարկվելու նորաստեղծ միասնական սոցիալական ծառայության աշխատողների պրոֆեսիոնալիզմի բարձրացման և ծառայության տեխնիկապես հագեցվածության, ինչպես նաև ընդհանուր կարողությունների հզորացման ուղղությամբ: Ներկայում շարունակվում են սոցիալական դեպքի վարման գործառնական հենքի ձևավորման, ինչպես նաև տեղեկատվական համակարգի կատարելագործման աշխատանքները: Շարունակվելու են սոցիալապես անապահով և հատուկ խմբերին դասված անձանց կացարանի խնդրի լուծման նպատակով սոցիալական բնակարանային ֆոնդի ձևավորման, կացարանի և այլ սոցիալական ծառայությունների տրամադրման հասցեական ծրագրերի իրականացման աշխատանքները: 2022 թվականին շարունակվելու է «Երեխա ունեցող ընտանիքների բնակարանային ապահովության 2020-2023թթ. պետական աջակցության ծրագրերի» իրականացումը, որի հիմնական նպատակն է աջակցել երեխա ունեցող ընտանիքների բնակարանային պայմանների բարելավմանը</w:t>
      </w:r>
      <w:r w:rsidR="00EE3294" w:rsidRPr="00A83C94">
        <w:rPr>
          <w:rFonts w:cs="Sylfaen"/>
          <w:b w:val="0"/>
          <w:szCs w:val="22"/>
          <w:lang w:val="hy-AM"/>
        </w:rPr>
        <w:t>:</w:t>
      </w:r>
    </w:p>
    <w:p w14:paraId="24287DA4" w14:textId="77777777" w:rsidR="0005274F" w:rsidRPr="00A83C94" w:rsidRDefault="0005274F" w:rsidP="0005274F">
      <w:pPr>
        <w:spacing w:line="276" w:lineRule="auto"/>
        <w:ind w:firstLine="709"/>
        <w:rPr>
          <w:rFonts w:cs="Sylfaen"/>
          <w:b w:val="0"/>
          <w:szCs w:val="22"/>
          <w:lang w:val="hy-AM"/>
        </w:rPr>
      </w:pPr>
      <w:r w:rsidRPr="00A83C94">
        <w:rPr>
          <w:rFonts w:cs="Sylfaen"/>
          <w:b w:val="0"/>
          <w:szCs w:val="22"/>
          <w:lang w:val="hy-AM"/>
        </w:rPr>
        <w:t>Ծնելիությունը խթանելու և բազմազավակ ընտանիքներին պետական աջակցություն ցուցաբերելու նպատակով 2022թ. հունվարի 1-ից հետո ընտանիքում 3-րդ և յուրաքանչյուր հաջորդ երեխայի ծնվելու կապակցությամբ նոր ծնված երեխայի ծնողին կնշանակվի և մինչև երեխայի 6 տարեկանը լրանալը կվճարվի դրամական աջակցություն՝ ամսական 50000 դրամի չափով։ Միջոցառման շարունակականության հարցը կքննարկվի 2026թ.՝ նախորդ ժամանակահատվածի արդյունավետության գնահատականի հիման վրա:</w:t>
      </w:r>
    </w:p>
    <w:p w14:paraId="1F9A861A" w14:textId="77777777" w:rsidR="007B120D" w:rsidRPr="00A83C94" w:rsidRDefault="007B120D" w:rsidP="007B120D">
      <w:pPr>
        <w:spacing w:line="276" w:lineRule="auto"/>
        <w:ind w:firstLine="709"/>
        <w:rPr>
          <w:rFonts w:cs="Sylfaen"/>
          <w:b w:val="0"/>
          <w:szCs w:val="22"/>
          <w:lang w:val="hy-AM"/>
        </w:rPr>
      </w:pPr>
      <w:r w:rsidRPr="00A83C94">
        <w:rPr>
          <w:rFonts w:cs="Sylfaen"/>
          <w:szCs w:val="22"/>
          <w:lang w:val="hy-AM"/>
        </w:rPr>
        <w:t>Աշխատանքի և զբաղվածության բնագավառում</w:t>
      </w:r>
      <w:r w:rsidRPr="00A83C94">
        <w:rPr>
          <w:rFonts w:cs="Sylfaen"/>
          <w:b w:val="0"/>
          <w:szCs w:val="22"/>
          <w:lang w:val="hy-AM"/>
        </w:rPr>
        <w:t xml:space="preserve"> պետական քաղաքականության մեջ կարևորվում են զբաղվածության կարգավորման պետական ծրագրերի հասցեականության ու արդյունավետության բարձրացումը, արժանապատիվ աշխատանքի իրավունքի իրացման նպատակով՝ աշխատանքային հարաբերությունների կարգավորման մեխանիզմների պարզեցումը և բարելավումը՝ համապատասխանեցվելով նաև Հայաստանի Հանրապետության ստանձնած միջազգային պարտավորություններին, աշխատողների իրավունքների պաշտպանության համակարգի բարելավման նպատակով՝ պետական վերահսկողություն իրականացնող լիազոր տեսչական մարմնի կարողությունների հզորացումը, պետական հատվածի աշխատողների սոցիալական երաշխիքների ընդլայնումը։</w:t>
      </w:r>
    </w:p>
    <w:p w14:paraId="06175F20" w14:textId="77777777" w:rsidR="007B120D" w:rsidRPr="00A83C94" w:rsidRDefault="007B120D" w:rsidP="007B120D">
      <w:pPr>
        <w:spacing w:line="276" w:lineRule="auto"/>
        <w:ind w:firstLine="709"/>
        <w:rPr>
          <w:rFonts w:cs="Browallia New"/>
          <w:b w:val="0"/>
          <w:szCs w:val="22"/>
          <w:lang w:val="fr-FR"/>
        </w:rPr>
      </w:pPr>
      <w:r w:rsidRPr="00A83C94">
        <w:rPr>
          <w:rFonts w:cs="Browallia New"/>
          <w:szCs w:val="22"/>
          <w:lang w:val="fr-FR"/>
        </w:rPr>
        <w:t>Երեխաների հիմնահարցերի բնագավառում</w:t>
      </w:r>
      <w:r w:rsidRPr="00A83C94">
        <w:rPr>
          <w:rFonts w:cs="Browallia New"/>
          <w:b w:val="0"/>
          <w:szCs w:val="22"/>
          <w:lang w:val="fr-FR"/>
        </w:rPr>
        <w:t xml:space="preserve"> աշխատանքներն ուղղված են կյանքի դժվարին իրավիճակում հայտնված երեխաների և նրանց ընտանիքների սոցիալական պաշտպանությանը, հաստատություններում նրանց խնամքի, դաստիարակության, ուսման և ֆիզիկական զարգացման համար նպաստավոր պայմանների ստեղծմանը, ինչպես նաև թրաֆիքինգի և սեռի հատկանիշով բռնության երևույթի կանխարգելմանը: Կշարունակվի երեխաների՝ շուրջօրյա խնամքի հաստատություններից դուրսբերումը և ընտանիքների հետ վերամիավորումը:</w:t>
      </w:r>
    </w:p>
    <w:p w14:paraId="49A913A2" w14:textId="77777777" w:rsidR="007B120D" w:rsidRPr="00A83C94" w:rsidRDefault="007B120D" w:rsidP="007B120D">
      <w:pPr>
        <w:spacing w:line="276" w:lineRule="auto"/>
        <w:ind w:firstLine="709"/>
        <w:rPr>
          <w:rFonts w:cs="Browallia New"/>
          <w:b w:val="0"/>
          <w:szCs w:val="22"/>
          <w:lang w:val="fr-FR"/>
        </w:rPr>
      </w:pPr>
      <w:r w:rsidRPr="00A83C94">
        <w:rPr>
          <w:rFonts w:cs="Browallia New"/>
          <w:szCs w:val="22"/>
          <w:lang w:val="fr-FR"/>
        </w:rPr>
        <w:t>Մարդկանց թրաֆիքինգի և կանանց հիմնահարցերի բնագավառում</w:t>
      </w:r>
      <w:r w:rsidRPr="00A83C94">
        <w:rPr>
          <w:rFonts w:cs="Browallia New"/>
          <w:b w:val="0"/>
          <w:szCs w:val="22"/>
          <w:u w:val="single"/>
          <w:lang w:val="fr-FR"/>
        </w:rPr>
        <w:t xml:space="preserve"> </w:t>
      </w:r>
      <w:r w:rsidRPr="00A83C94">
        <w:rPr>
          <w:rFonts w:cs="Browallia New"/>
          <w:b w:val="0"/>
          <w:szCs w:val="22"/>
          <w:lang w:val="fr-FR"/>
        </w:rPr>
        <w:t>պետական քաղաքականությունը ուղղված է լինելու Հանրապետությունում մարդկանց շահագործման երևույթի կանխարգելման գործընթացի շարունակականության ապահովմանը:</w:t>
      </w:r>
    </w:p>
    <w:p w14:paraId="766312DA" w14:textId="77777777" w:rsidR="007B120D" w:rsidRPr="00A83C94" w:rsidRDefault="007B120D" w:rsidP="007B120D">
      <w:pPr>
        <w:pStyle w:val="BodyText"/>
        <w:spacing w:line="276" w:lineRule="auto"/>
        <w:ind w:firstLine="709"/>
        <w:jc w:val="both"/>
        <w:rPr>
          <w:rFonts w:ascii="GHEA Grapalat" w:eastAsia="Calibri" w:hAnsi="GHEA Grapalat"/>
          <w:b w:val="0"/>
          <w:sz w:val="22"/>
          <w:szCs w:val="22"/>
          <w:lang w:val="fr-FR"/>
        </w:rPr>
      </w:pPr>
      <w:r w:rsidRPr="00A83C94">
        <w:rPr>
          <w:rFonts w:ascii="GHEA Grapalat" w:hAnsi="GHEA Grapalat" w:cs="Browallia New"/>
          <w:sz w:val="22"/>
          <w:szCs w:val="22"/>
          <w:lang w:val="hy-AM"/>
        </w:rPr>
        <w:t>Հաշմանդամություն ունեցող անձանց հիմնահարցերի բնագավառում</w:t>
      </w:r>
      <w:r w:rsidRPr="00A83C94">
        <w:rPr>
          <w:rFonts w:ascii="GHEA Grapalat" w:hAnsi="GHEA Grapalat" w:cs="Browallia New"/>
          <w:b w:val="0"/>
          <w:sz w:val="22"/>
          <w:szCs w:val="22"/>
          <w:lang w:val="hy-AM"/>
        </w:rPr>
        <w:t xml:space="preserve"> </w:t>
      </w:r>
      <w:r w:rsidRPr="00A83C94">
        <w:rPr>
          <w:rFonts w:ascii="GHEA Grapalat" w:eastAsia="Calibri" w:hAnsi="GHEA Grapalat" w:cs="Sylfaen"/>
          <w:b w:val="0"/>
          <w:sz w:val="22"/>
          <w:szCs w:val="22"/>
          <w:lang w:val="hy-AM"/>
        </w:rPr>
        <w:t xml:space="preserve">շարունակվելու են աշխատանքներն ուղղված </w:t>
      </w:r>
      <w:r w:rsidRPr="00A83C94">
        <w:rPr>
          <w:rFonts w:ascii="GHEA Grapalat" w:eastAsia="Calibri" w:hAnsi="GHEA Grapalat" w:cs="Sylfaen"/>
          <w:b w:val="0"/>
          <w:sz w:val="22"/>
          <w:szCs w:val="22"/>
          <w:lang w:val="fr-FR"/>
        </w:rPr>
        <w:t>հաշմանդամ</w:t>
      </w:r>
      <w:r w:rsidRPr="00A83C94">
        <w:rPr>
          <w:rFonts w:ascii="GHEA Grapalat" w:eastAsia="Calibri" w:hAnsi="GHEA Grapalat" w:cs="Sylfaen"/>
          <w:b w:val="0"/>
          <w:sz w:val="22"/>
          <w:szCs w:val="22"/>
          <w:lang w:val="hy-AM"/>
        </w:rPr>
        <w:t>ություն</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ունեցող</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անձանց</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իրավունքների</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 xml:space="preserve">պաշտպանությանը և հավասար հնարավորությունների ապահովմանը` </w:t>
      </w:r>
      <w:r w:rsidRPr="00A83C94">
        <w:rPr>
          <w:rFonts w:ascii="GHEA Grapalat" w:eastAsia="Calibri" w:hAnsi="GHEA Grapalat" w:cs="Sylfaen"/>
          <w:b w:val="0"/>
          <w:iCs/>
          <w:sz w:val="22"/>
          <w:szCs w:val="22"/>
          <w:lang w:val="de-AT"/>
        </w:rPr>
        <w:t>բնագավառ</w:t>
      </w:r>
      <w:r w:rsidRPr="00A83C94">
        <w:rPr>
          <w:rFonts w:ascii="GHEA Grapalat" w:eastAsia="Calibri" w:hAnsi="GHEA Grapalat" w:cs="Sylfaen"/>
          <w:b w:val="0"/>
          <w:sz w:val="22"/>
          <w:szCs w:val="22"/>
          <w:lang w:val="fr-FR"/>
        </w:rPr>
        <w:t>ի</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օրենսդրության</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կատարելագործ</w:t>
      </w:r>
      <w:r w:rsidRPr="00A83C94">
        <w:rPr>
          <w:rFonts w:ascii="GHEA Grapalat" w:eastAsia="Calibri" w:hAnsi="GHEA Grapalat" w:cs="Sylfaen"/>
          <w:b w:val="0"/>
          <w:sz w:val="22"/>
          <w:szCs w:val="22"/>
          <w:lang w:val="hy-AM"/>
        </w:rPr>
        <w:t xml:space="preserve">ման և </w:t>
      </w:r>
      <w:r w:rsidRPr="00A83C94">
        <w:rPr>
          <w:rFonts w:ascii="GHEA Grapalat" w:eastAsia="Calibri" w:hAnsi="GHEA Grapalat" w:cs="Sylfaen"/>
          <w:b w:val="0"/>
          <w:sz w:val="22"/>
          <w:szCs w:val="22"/>
          <w:lang w:val="fr-FR"/>
        </w:rPr>
        <w:t>հաշմանդամություն</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ունեցող</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անձ</w:t>
      </w:r>
      <w:r w:rsidRPr="00A83C94">
        <w:rPr>
          <w:rFonts w:ascii="GHEA Grapalat" w:eastAsia="Calibri" w:hAnsi="GHEA Grapalat" w:cs="Sylfaen"/>
          <w:b w:val="0"/>
          <w:sz w:val="22"/>
          <w:szCs w:val="22"/>
          <w:lang w:val="hy-AM"/>
        </w:rPr>
        <w:t>ի գնահատված կարիքին համարժեք ծառայությունների մատուցման միջոցով</w:t>
      </w:r>
      <w:r w:rsidRPr="00A83C94">
        <w:rPr>
          <w:rFonts w:ascii="GHEA Grapalat" w:eastAsia="Calibri" w:hAnsi="GHEA Grapalat"/>
          <w:b w:val="0"/>
          <w:sz w:val="22"/>
          <w:szCs w:val="22"/>
          <w:lang w:val="hy-AM"/>
        </w:rPr>
        <w:t>:</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hy-AM"/>
        </w:rPr>
        <w:t>Շարունակվելու են աշխատանքները</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հաշմանդամություն</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ունեցող</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անձի</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կարիքի բազմակողմանի գնահատման</w:t>
      </w:r>
      <w:r w:rsidRPr="00A83C94">
        <w:rPr>
          <w:rFonts w:ascii="GHEA Grapalat" w:eastAsia="Calibri" w:hAnsi="GHEA Grapalat"/>
          <w:b w:val="0"/>
          <w:sz w:val="22"/>
          <w:szCs w:val="22"/>
          <w:lang w:val="hy-AM"/>
        </w:rPr>
        <w:t xml:space="preserve"> </w:t>
      </w:r>
      <w:r w:rsidRPr="00A83C94">
        <w:rPr>
          <w:rFonts w:ascii="GHEA Grapalat" w:eastAsia="Calibri" w:hAnsi="GHEA Grapalat" w:cs="Calibri"/>
          <w:b w:val="0"/>
          <w:sz w:val="22"/>
          <w:szCs w:val="22"/>
          <w:lang w:val="hy-AM"/>
        </w:rPr>
        <w:t xml:space="preserve">և գնահատման արդյունքներով համապատասխան ծառայությունների որոշարկման նոր մոդել </w:t>
      </w:r>
      <w:r w:rsidRPr="00A83C94">
        <w:rPr>
          <w:rFonts w:ascii="GHEA Grapalat" w:eastAsia="Calibri" w:hAnsi="GHEA Grapalat" w:cs="Sylfaen"/>
          <w:b w:val="0"/>
          <w:sz w:val="22"/>
          <w:szCs w:val="22"/>
          <w:lang w:val="hy-AM"/>
        </w:rPr>
        <w:t>ներդնելու ուղղությամբ</w:t>
      </w:r>
      <w:r w:rsidRPr="00A83C94">
        <w:rPr>
          <w:rFonts w:ascii="GHEA Grapalat" w:eastAsia="Calibri" w:hAnsi="GHEA Grapalat"/>
          <w:b w:val="0"/>
          <w:sz w:val="22"/>
          <w:szCs w:val="22"/>
          <w:lang w:val="hy-AM"/>
        </w:rPr>
        <w:t>:</w:t>
      </w:r>
    </w:p>
    <w:p w14:paraId="51D72FB4" w14:textId="77777777" w:rsidR="007B120D" w:rsidRPr="00A83C94" w:rsidRDefault="007B120D" w:rsidP="007B120D">
      <w:pPr>
        <w:autoSpaceDE w:val="0"/>
        <w:autoSpaceDN w:val="0"/>
        <w:adjustRightInd w:val="0"/>
        <w:spacing w:line="276" w:lineRule="auto"/>
        <w:ind w:firstLine="709"/>
        <w:rPr>
          <w:rFonts w:cs="Sylfaen"/>
          <w:b w:val="0"/>
          <w:szCs w:val="22"/>
          <w:lang w:val="hy-AM"/>
        </w:rPr>
      </w:pPr>
      <w:r w:rsidRPr="00A83C94">
        <w:rPr>
          <w:rFonts w:cs="Sylfaen"/>
          <w:iCs/>
          <w:szCs w:val="22"/>
          <w:lang w:val="hy-AM"/>
        </w:rPr>
        <w:t>Տ</w:t>
      </w:r>
      <w:r w:rsidRPr="00A83C94">
        <w:rPr>
          <w:rFonts w:cs="Sylfaen"/>
          <w:iCs/>
          <w:szCs w:val="22"/>
          <w:lang w:val="de-AT"/>
        </w:rPr>
        <w:t>արեցների</w:t>
      </w:r>
      <w:r w:rsidRPr="00A83C94">
        <w:rPr>
          <w:rFonts w:cs="Sylfaen"/>
          <w:iCs/>
          <w:szCs w:val="22"/>
          <w:lang w:val="fr-FR"/>
        </w:rPr>
        <w:t xml:space="preserve"> </w:t>
      </w:r>
      <w:r w:rsidRPr="00A83C94">
        <w:rPr>
          <w:rFonts w:cs="Sylfaen"/>
          <w:iCs/>
          <w:szCs w:val="22"/>
          <w:lang w:val="de-AT"/>
        </w:rPr>
        <w:t>հիմնահարցերի</w:t>
      </w:r>
      <w:r w:rsidRPr="00A83C94">
        <w:rPr>
          <w:rFonts w:cs="Sylfaen"/>
          <w:iCs/>
          <w:szCs w:val="22"/>
          <w:lang w:val="fr-FR"/>
        </w:rPr>
        <w:t xml:space="preserve"> </w:t>
      </w:r>
      <w:r w:rsidRPr="00A83C94">
        <w:rPr>
          <w:rFonts w:cs="Sylfaen"/>
          <w:iCs/>
          <w:szCs w:val="22"/>
          <w:lang w:val="de-AT"/>
        </w:rPr>
        <w:t>բնագավառում</w:t>
      </w:r>
      <w:r w:rsidRPr="00A83C94">
        <w:rPr>
          <w:rFonts w:cs="Sylfaen"/>
          <w:b w:val="0"/>
          <w:i/>
          <w:iCs/>
          <w:szCs w:val="22"/>
          <w:lang w:val="fr-FR"/>
        </w:rPr>
        <w:t xml:space="preserve"> </w:t>
      </w:r>
      <w:r w:rsidRPr="00A83C94">
        <w:rPr>
          <w:b w:val="0"/>
          <w:szCs w:val="22"/>
          <w:lang w:val="hy-AM"/>
        </w:rPr>
        <w:t xml:space="preserve">շարունակվելու է </w:t>
      </w:r>
      <w:r w:rsidRPr="00A83C94">
        <w:rPr>
          <w:rFonts w:cs="Sylfaen"/>
          <w:b w:val="0"/>
          <w:szCs w:val="22"/>
          <w:lang w:val="hy-AM"/>
        </w:rPr>
        <w:t>շահառուներին</w:t>
      </w:r>
      <w:r w:rsidRPr="00A83C94">
        <w:rPr>
          <w:b w:val="0"/>
          <w:szCs w:val="22"/>
          <w:lang w:val="hy-AM"/>
        </w:rPr>
        <w:t xml:space="preserve"> </w:t>
      </w:r>
      <w:r w:rsidRPr="00A83C94">
        <w:rPr>
          <w:rFonts w:cs="Sylfaen"/>
          <w:b w:val="0"/>
          <w:szCs w:val="22"/>
          <w:lang w:val="hy-AM"/>
        </w:rPr>
        <w:t>մատուցվող</w:t>
      </w:r>
      <w:r w:rsidRPr="00A83C94">
        <w:rPr>
          <w:b w:val="0"/>
          <w:szCs w:val="22"/>
          <w:lang w:val="hy-AM"/>
        </w:rPr>
        <w:t xml:space="preserve"> </w:t>
      </w:r>
      <w:r w:rsidRPr="00A83C94">
        <w:rPr>
          <w:rFonts w:cs="Sylfaen"/>
          <w:b w:val="0"/>
          <w:szCs w:val="22"/>
          <w:lang w:val="hy-AM"/>
        </w:rPr>
        <w:t>խնամքի</w:t>
      </w:r>
      <w:r w:rsidRPr="00A83C94">
        <w:rPr>
          <w:b w:val="0"/>
          <w:szCs w:val="22"/>
          <w:lang w:val="hy-AM"/>
        </w:rPr>
        <w:t xml:space="preserve"> </w:t>
      </w:r>
      <w:r w:rsidRPr="00A83C94">
        <w:rPr>
          <w:rFonts w:cs="Sylfaen"/>
          <w:b w:val="0"/>
          <w:szCs w:val="22"/>
          <w:lang w:val="hy-AM"/>
        </w:rPr>
        <w:t>ծառայությունների</w:t>
      </w:r>
      <w:r w:rsidRPr="00A83C94">
        <w:rPr>
          <w:b w:val="0"/>
          <w:szCs w:val="22"/>
          <w:lang w:val="hy-AM"/>
        </w:rPr>
        <w:t xml:space="preserve"> տրամադրումը՝ </w:t>
      </w:r>
      <w:r w:rsidRPr="00A83C94">
        <w:rPr>
          <w:rFonts w:cs="Sylfaen"/>
          <w:b w:val="0"/>
          <w:szCs w:val="22"/>
          <w:lang w:val="hy-AM"/>
        </w:rPr>
        <w:t>խրախուսելով</w:t>
      </w:r>
      <w:r w:rsidRPr="00A83C94">
        <w:rPr>
          <w:b w:val="0"/>
          <w:szCs w:val="22"/>
          <w:lang w:val="hy-AM"/>
        </w:rPr>
        <w:t xml:space="preserve"> </w:t>
      </w:r>
      <w:r w:rsidRPr="00A83C94">
        <w:rPr>
          <w:rFonts w:cs="Sylfaen"/>
          <w:b w:val="0"/>
          <w:szCs w:val="22"/>
          <w:lang w:val="hy-AM"/>
        </w:rPr>
        <w:t>ծառայությունների</w:t>
      </w:r>
      <w:r w:rsidRPr="00A83C94">
        <w:rPr>
          <w:b w:val="0"/>
          <w:szCs w:val="22"/>
          <w:lang w:val="hy-AM"/>
        </w:rPr>
        <w:t xml:space="preserve"> </w:t>
      </w:r>
      <w:r w:rsidRPr="00A83C94">
        <w:rPr>
          <w:rFonts w:cs="Sylfaen"/>
          <w:b w:val="0"/>
          <w:szCs w:val="22"/>
          <w:lang w:val="hy-AM"/>
        </w:rPr>
        <w:t>պատվիրակումը</w:t>
      </w:r>
      <w:r w:rsidRPr="00A83C94">
        <w:rPr>
          <w:b w:val="0"/>
          <w:szCs w:val="22"/>
          <w:lang w:val="hy-AM"/>
        </w:rPr>
        <w:t xml:space="preserve"> </w:t>
      </w:r>
      <w:r w:rsidRPr="00A83C94">
        <w:rPr>
          <w:rFonts w:cs="Sylfaen"/>
          <w:b w:val="0"/>
          <w:szCs w:val="22"/>
          <w:lang w:val="hy-AM"/>
        </w:rPr>
        <w:t>հասարակական</w:t>
      </w:r>
      <w:r w:rsidRPr="00A83C94">
        <w:rPr>
          <w:b w:val="0"/>
          <w:szCs w:val="22"/>
          <w:lang w:val="hy-AM"/>
        </w:rPr>
        <w:t xml:space="preserve"> </w:t>
      </w:r>
      <w:r w:rsidRPr="00A83C94">
        <w:rPr>
          <w:rFonts w:cs="Sylfaen"/>
          <w:b w:val="0"/>
          <w:szCs w:val="22"/>
          <w:lang w:val="hy-AM"/>
        </w:rPr>
        <w:t>կազմակերպություններին</w:t>
      </w:r>
      <w:r w:rsidRPr="00A83C94">
        <w:rPr>
          <w:b w:val="0"/>
          <w:szCs w:val="22"/>
          <w:lang w:val="hy-AM"/>
        </w:rPr>
        <w:t xml:space="preserve"> </w:t>
      </w:r>
      <w:r w:rsidRPr="00A83C94">
        <w:rPr>
          <w:rFonts w:cs="Sylfaen"/>
          <w:b w:val="0"/>
          <w:szCs w:val="22"/>
          <w:lang w:val="hy-AM"/>
        </w:rPr>
        <w:t>մրցութային</w:t>
      </w:r>
      <w:r w:rsidRPr="00A83C94">
        <w:rPr>
          <w:b w:val="0"/>
          <w:szCs w:val="22"/>
          <w:lang w:val="hy-AM"/>
        </w:rPr>
        <w:t xml:space="preserve"> </w:t>
      </w:r>
      <w:r w:rsidRPr="00A83C94">
        <w:rPr>
          <w:rFonts w:cs="Sylfaen"/>
          <w:b w:val="0"/>
          <w:szCs w:val="22"/>
          <w:lang w:val="hy-AM"/>
        </w:rPr>
        <w:t>եղանակով, բարելավվելու է շահառուներին</w:t>
      </w:r>
      <w:r w:rsidRPr="00A83C94">
        <w:rPr>
          <w:b w:val="0"/>
          <w:szCs w:val="22"/>
          <w:lang w:val="hy-AM"/>
        </w:rPr>
        <w:t xml:space="preserve"> </w:t>
      </w:r>
      <w:r w:rsidRPr="00A83C94">
        <w:rPr>
          <w:rFonts w:cs="Sylfaen"/>
          <w:b w:val="0"/>
          <w:szCs w:val="22"/>
          <w:lang w:val="hy-AM"/>
        </w:rPr>
        <w:t>մատուցվող</w:t>
      </w:r>
      <w:r w:rsidRPr="00A83C94">
        <w:rPr>
          <w:b w:val="0"/>
          <w:szCs w:val="22"/>
          <w:lang w:val="hy-AM"/>
        </w:rPr>
        <w:t xml:space="preserve"> </w:t>
      </w:r>
      <w:r w:rsidRPr="00A83C94">
        <w:rPr>
          <w:rFonts w:cs="Sylfaen"/>
          <w:b w:val="0"/>
          <w:szCs w:val="22"/>
          <w:lang w:val="hy-AM"/>
        </w:rPr>
        <w:t>ծառայությունների</w:t>
      </w:r>
      <w:r w:rsidRPr="00A83C94">
        <w:rPr>
          <w:b w:val="0"/>
          <w:szCs w:val="22"/>
          <w:lang w:val="hy-AM"/>
        </w:rPr>
        <w:t xml:space="preserve"> </w:t>
      </w:r>
      <w:r w:rsidRPr="00A83C94">
        <w:rPr>
          <w:rFonts w:cs="Sylfaen"/>
          <w:b w:val="0"/>
          <w:szCs w:val="22"/>
          <w:lang w:val="hy-AM"/>
        </w:rPr>
        <w:t>որակը, ընդլայնվելու են տարեցներին մատուցվող համայնքահեն ծառայությունները՝</w:t>
      </w:r>
      <w:r w:rsidRPr="00A83C94">
        <w:rPr>
          <w:b w:val="0"/>
          <w:szCs w:val="22"/>
          <w:lang w:val="hy-AM"/>
        </w:rPr>
        <w:t xml:space="preserve"> </w:t>
      </w:r>
      <w:r w:rsidRPr="00A83C94">
        <w:rPr>
          <w:rFonts w:cs="Sylfaen"/>
          <w:b w:val="0"/>
          <w:szCs w:val="22"/>
          <w:lang w:val="hy-AM"/>
        </w:rPr>
        <w:t>ներգրավելով</w:t>
      </w:r>
      <w:r w:rsidRPr="00A83C94">
        <w:rPr>
          <w:b w:val="0"/>
          <w:szCs w:val="22"/>
          <w:lang w:val="hy-AM"/>
        </w:rPr>
        <w:t xml:space="preserve"> </w:t>
      </w:r>
      <w:r w:rsidRPr="00A83C94">
        <w:rPr>
          <w:rFonts w:cs="Sylfaen"/>
          <w:b w:val="0"/>
          <w:szCs w:val="22"/>
          <w:lang w:val="hy-AM"/>
        </w:rPr>
        <w:t>համայնքի</w:t>
      </w:r>
      <w:r w:rsidRPr="00A83C94">
        <w:rPr>
          <w:b w:val="0"/>
          <w:szCs w:val="22"/>
          <w:lang w:val="hy-AM"/>
        </w:rPr>
        <w:t xml:space="preserve"> </w:t>
      </w:r>
      <w:r w:rsidRPr="00A83C94">
        <w:rPr>
          <w:rFonts w:cs="Sylfaen"/>
          <w:b w:val="0"/>
          <w:szCs w:val="22"/>
          <w:lang w:val="hy-AM"/>
        </w:rPr>
        <w:t>ներուժը, և այս ամենն իրականացվելու է զուգորդված իրավական դաշտի կատարելագործման հետ:</w:t>
      </w:r>
    </w:p>
    <w:p w14:paraId="474DE5A1" w14:textId="77777777" w:rsidR="007B120D" w:rsidRPr="00A83C94" w:rsidRDefault="007B120D" w:rsidP="007B120D">
      <w:pPr>
        <w:spacing w:line="276" w:lineRule="auto"/>
        <w:ind w:firstLine="709"/>
        <w:rPr>
          <w:b w:val="0"/>
          <w:color w:val="191919"/>
          <w:szCs w:val="22"/>
          <w:shd w:val="clear" w:color="auto" w:fill="FFFFFF"/>
          <w:lang w:val="hy-AM"/>
        </w:rPr>
      </w:pPr>
      <w:r w:rsidRPr="00A83C94">
        <w:rPr>
          <w:iCs/>
          <w:color w:val="191919"/>
          <w:szCs w:val="22"/>
          <w:shd w:val="clear" w:color="auto" w:fill="FFFFFF"/>
          <w:lang w:val="hy-AM"/>
        </w:rPr>
        <w:t>Կենսաթոշակային ապահովության բնագավառում</w:t>
      </w:r>
      <w:r w:rsidRPr="00A83C94">
        <w:rPr>
          <w:b w:val="0"/>
          <w:i/>
          <w:iCs/>
          <w:color w:val="191919"/>
          <w:szCs w:val="22"/>
          <w:shd w:val="clear" w:color="auto" w:fill="FFFFFF"/>
          <w:lang w:val="hy-AM"/>
        </w:rPr>
        <w:t xml:space="preserve"> </w:t>
      </w:r>
      <w:r w:rsidRPr="00A83C94">
        <w:rPr>
          <w:b w:val="0"/>
          <w:color w:val="191919"/>
          <w:szCs w:val="22"/>
          <w:shd w:val="clear" w:color="auto" w:fill="FFFFFF"/>
          <w:lang w:val="hy-AM"/>
        </w:rPr>
        <w:t>2022 թվականին նախատեսվում է բարձրացնել նվազագույն կենսաթոշակի, սոցիալական նպաստների չափերը, իսկ պետական կենսաթոշակների հաշվարկման համար կիրառվող մյուս հիմնական ցուցանիշների դեպքում՝ պահպանել 2021 թվականի համար սահմանված չափերը:</w:t>
      </w:r>
    </w:p>
    <w:p w14:paraId="2A8690EF" w14:textId="77777777" w:rsidR="005F226A" w:rsidRPr="00A83C94" w:rsidRDefault="005F226A" w:rsidP="005D2928">
      <w:pPr>
        <w:spacing w:before="0" w:line="276" w:lineRule="auto"/>
        <w:ind w:firstLine="720"/>
        <w:rPr>
          <w:rFonts w:eastAsia="Calibri"/>
          <w:bCs/>
          <w:noProof/>
          <w:szCs w:val="22"/>
          <w:lang w:val="hy-AM" w:eastAsia="en-US"/>
        </w:rPr>
      </w:pPr>
    </w:p>
    <w:p w14:paraId="0772F65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7" w:name="_Toc83567453"/>
      <w:bookmarkStart w:id="78" w:name="_Toc83996331"/>
      <w:r w:rsidRPr="00A83C94">
        <w:rPr>
          <w:rFonts w:cs="Arial"/>
          <w:szCs w:val="22"/>
          <w:lang w:val="hy-AM" w:eastAsia="en-US"/>
        </w:rPr>
        <w:t>Շրջակա միջավայր</w:t>
      </w:r>
      <w:bookmarkEnd w:id="76"/>
      <w:bookmarkEnd w:id="77"/>
      <w:bookmarkEnd w:id="78"/>
    </w:p>
    <w:p w14:paraId="606064EE" w14:textId="77777777"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ՀՀ շրջակա միջավայրի ոլորտի նպատակները և ծախսային գերակայությունները բխում են ՀՀ կառավարության` 2021 թվականի օգոստոսի 18-ի թիվ 1363-Ա որոշմամբ հաստատված ՀՀ կառավարության 2021-2026թթ. ծրագրի առաջնահերթություններից:</w:t>
      </w:r>
    </w:p>
    <w:p w14:paraId="6D0CE0B1" w14:textId="77777777" w:rsidR="005F226A" w:rsidRPr="00A83C94" w:rsidRDefault="005F226A" w:rsidP="005D2928">
      <w:pPr>
        <w:pStyle w:val="BodyText2"/>
        <w:rPr>
          <w:rFonts w:cs="Arial"/>
        </w:rPr>
      </w:pPr>
      <w:r w:rsidRPr="00A83C94">
        <w:t>Հիմնական ռազմավարության նպատակները և գերակա վերջնական արդյունքներն են՝</w:t>
      </w:r>
    </w:p>
    <w:p w14:paraId="2214C52A"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Շրջակա միջավայրի վերաբերյալ տեղեկատվության հրապարակում,</w:t>
      </w:r>
    </w:p>
    <w:p w14:paraId="11DC8E3D"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Ազդակիր համայնքներում բարելավված շրջակա միջավայր,</w:t>
      </w:r>
    </w:p>
    <w:p w14:paraId="5549738E"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Բնական պաշարների և կենսաբազմազանության վերարտադրության աճի ապահովում</w:t>
      </w:r>
    </w:p>
    <w:p w14:paraId="7DE2EDAB"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Կայուն կառավարվող անտառային տարածքների աճ,</w:t>
      </w:r>
    </w:p>
    <w:p w14:paraId="05C4A638"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Մշտական և ժամանակավոր ցուցահանդեսների միջոցով հավաքածուները ներկայացում հանրությանը և բնապահպանական քարոզչության իրականացում։</w:t>
      </w:r>
    </w:p>
    <w:p w14:paraId="642977CD" w14:textId="57400912"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Շրջակա միջավայրի ոլորտի զարգացման կարևորագույն նպատակների իրագործման շրջանակներում 2022 թվականին  կիրականացվեն հետևյալ  ծրագրերն և միջոցառումները.</w:t>
      </w:r>
    </w:p>
    <w:p w14:paraId="25E5DBED" w14:textId="77777777"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ա/ «Բնապահպանական ծրագրերի իրականացում համայնքներում» ծրագրի շրջանակներում  իրականացվելու է «Բնապահպանական սուբվենցիաներ համայնքներին» միջոցառումը,</w:t>
      </w:r>
    </w:p>
    <w:p w14:paraId="7E32CE83" w14:textId="77777777"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բ/ «Բնական պաշարների և բնության հատուկ պահպանվող տարածքների կառավարում» ծրագրի շրջանակներում իրականացվելու է Սևանա լճի համալիր ծրագրով նախատեսված համապատասխան միջոցառումների կատարումը,</w:t>
      </w:r>
    </w:p>
    <w:p w14:paraId="7E29795D" w14:textId="77777777" w:rsidR="005F226A" w:rsidRPr="00A83C94" w:rsidRDefault="005F226A" w:rsidP="005D2928">
      <w:pPr>
        <w:pStyle w:val="ListParagraph"/>
        <w:spacing w:before="0" w:line="276" w:lineRule="auto"/>
        <w:ind w:left="0" w:firstLine="720"/>
        <w:contextualSpacing w:val="0"/>
        <w:rPr>
          <w:rFonts w:cs="Arial Armenian"/>
          <w:b w:val="0"/>
          <w:szCs w:val="22"/>
          <w:lang w:val="hy-AM"/>
        </w:rPr>
      </w:pPr>
      <w:r w:rsidRPr="00A83C94">
        <w:rPr>
          <w:rFonts w:cs="Arial Armenian"/>
          <w:b w:val="0"/>
          <w:szCs w:val="22"/>
          <w:lang w:val="hy-AM"/>
        </w:rPr>
        <w:t>գ/ 2022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14:paraId="1821D5B4" w14:textId="77777777" w:rsidR="005F226A" w:rsidRPr="00A83C94" w:rsidRDefault="005F226A" w:rsidP="005D2928">
      <w:pPr>
        <w:pStyle w:val="ListParagraph"/>
        <w:spacing w:before="0" w:line="276" w:lineRule="auto"/>
        <w:ind w:left="0" w:firstLine="709"/>
        <w:contextualSpacing w:val="0"/>
        <w:rPr>
          <w:rFonts w:cs="Arial Armenian"/>
          <w:b w:val="0"/>
          <w:szCs w:val="22"/>
          <w:lang w:val="hy-AM"/>
        </w:rPr>
      </w:pPr>
      <w:r w:rsidRPr="00A83C94">
        <w:rPr>
          <w:rFonts w:cs="Arial Armenian"/>
          <w:b w:val="0"/>
          <w:szCs w:val="22"/>
          <w:lang w:val="hy-AM"/>
        </w:rPr>
        <w:t>«Շրջակա միջավայրի վրա ազդեցության գնահատում և մոնիթորինգ» ծրագրի  շրջանակներում իրականացվելու են «Շրջակա միջավայրի վրա ազդեցության գնահատում և փորձաքննություն» ու «Հիդրոօդերևութաբանության, շրջակա  միջավայրի մոնիտորինգ  և տեղեկատվության ապահովում» միջոցառումները:</w:t>
      </w:r>
    </w:p>
    <w:p w14:paraId="65102A0A" w14:textId="77777777" w:rsidR="005F226A" w:rsidRPr="00A83C94" w:rsidRDefault="005F226A" w:rsidP="005D2928">
      <w:pPr>
        <w:pStyle w:val="ListParagraph"/>
        <w:tabs>
          <w:tab w:val="left" w:pos="284"/>
          <w:tab w:val="left" w:pos="630"/>
        </w:tabs>
        <w:spacing w:before="0" w:line="276" w:lineRule="auto"/>
        <w:ind w:left="0" w:firstLine="720"/>
        <w:contextualSpacing w:val="0"/>
        <w:rPr>
          <w:rFonts w:cs="Arial Armenian"/>
          <w:b w:val="0"/>
          <w:szCs w:val="22"/>
          <w:lang w:val="hy-AM"/>
        </w:rPr>
      </w:pPr>
      <w:r w:rsidRPr="00A83C94">
        <w:rPr>
          <w:rFonts w:cs="Arial Armenian"/>
          <w:b w:val="0"/>
          <w:szCs w:val="22"/>
          <w:lang w:val="hy-AM"/>
        </w:rPr>
        <w:t>դ/ «Անտառների կառավարում» ծրագրի շրջանակներում իրականացվելու են ներքոհիշյալ  միջոցառումները`</w:t>
      </w:r>
    </w:p>
    <w:p w14:paraId="38299EB2" w14:textId="77777777" w:rsidR="005F226A" w:rsidRPr="00A83C94" w:rsidRDefault="005F226A" w:rsidP="00786462">
      <w:pPr>
        <w:pStyle w:val="ListParagraph"/>
        <w:numPr>
          <w:ilvl w:val="0"/>
          <w:numId w:val="24"/>
        </w:numPr>
        <w:tabs>
          <w:tab w:val="left" w:pos="284"/>
          <w:tab w:val="left" w:pos="567"/>
          <w:tab w:val="left" w:pos="720"/>
        </w:tabs>
        <w:spacing w:before="0" w:line="276" w:lineRule="auto"/>
        <w:ind w:left="0" w:firstLine="720"/>
        <w:contextualSpacing w:val="0"/>
        <w:rPr>
          <w:rFonts w:cs="Arial Armenian"/>
          <w:b w:val="0"/>
          <w:szCs w:val="22"/>
          <w:lang w:val="hy-AM"/>
        </w:rPr>
      </w:pPr>
      <w:r w:rsidRPr="00A83C94" w:rsidDel="00E04049">
        <w:rPr>
          <w:rFonts w:cs="Arial Armenian"/>
          <w:b w:val="0"/>
          <w:szCs w:val="22"/>
          <w:lang w:val="hy-AM"/>
        </w:rPr>
        <w:t xml:space="preserve"> </w:t>
      </w:r>
      <w:r w:rsidRPr="00A83C94">
        <w:rPr>
          <w:rFonts w:cs="Arial Armenian"/>
          <w:b w:val="0"/>
          <w:szCs w:val="22"/>
          <w:lang w:val="hy-AM"/>
        </w:rPr>
        <w:t>«Անտառպահպանական ծառայություններ»,</w:t>
      </w:r>
    </w:p>
    <w:p w14:paraId="2FB9DD12" w14:textId="76110D02" w:rsidR="005F226A" w:rsidRPr="00A83C94" w:rsidRDefault="00126071" w:rsidP="00786462">
      <w:pPr>
        <w:pStyle w:val="ListParagraph"/>
        <w:numPr>
          <w:ilvl w:val="0"/>
          <w:numId w:val="24"/>
        </w:numPr>
        <w:tabs>
          <w:tab w:val="left" w:pos="284"/>
          <w:tab w:val="left" w:pos="567"/>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en-US"/>
        </w:rPr>
        <w:t xml:space="preserve"> </w:t>
      </w:r>
      <w:r w:rsidR="005F226A" w:rsidRPr="00A83C94">
        <w:rPr>
          <w:rFonts w:cs="Arial Armenian"/>
          <w:b w:val="0"/>
          <w:szCs w:val="22"/>
          <w:lang w:val="hy-AM"/>
        </w:rPr>
        <w:t>«Անտառվերականգնման և անտառապատման աշխատանքներ»,</w:t>
      </w:r>
    </w:p>
    <w:p w14:paraId="0862BD2E" w14:textId="08F6D5FD" w:rsidR="005F226A" w:rsidRPr="00A83C94" w:rsidRDefault="00126071" w:rsidP="00786462">
      <w:pPr>
        <w:pStyle w:val="ListParagraph"/>
        <w:numPr>
          <w:ilvl w:val="0"/>
          <w:numId w:val="24"/>
        </w:numPr>
        <w:tabs>
          <w:tab w:val="left" w:pos="284"/>
          <w:tab w:val="left" w:pos="567"/>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en-US"/>
        </w:rPr>
        <w:t xml:space="preserve"> </w:t>
      </w:r>
      <w:r w:rsidR="005F226A" w:rsidRPr="00A83C94">
        <w:rPr>
          <w:rFonts w:cs="Arial Armenian"/>
          <w:b w:val="0"/>
          <w:szCs w:val="22"/>
          <w:lang w:val="hy-AM"/>
        </w:rPr>
        <w:t>«Անտառկառավարման պլանների կազմում»։</w:t>
      </w:r>
    </w:p>
    <w:p w14:paraId="4F0045AF" w14:textId="77777777" w:rsidR="005F226A" w:rsidRPr="00A83C94" w:rsidRDefault="005F226A" w:rsidP="005D2928">
      <w:pPr>
        <w:tabs>
          <w:tab w:val="left" w:pos="284"/>
          <w:tab w:val="left" w:pos="567"/>
          <w:tab w:val="left" w:pos="810"/>
        </w:tabs>
        <w:spacing w:before="0" w:line="276" w:lineRule="auto"/>
        <w:ind w:firstLine="720"/>
        <w:contextualSpacing w:val="0"/>
        <w:rPr>
          <w:rFonts w:cs="Arial Armenian"/>
          <w:b w:val="0"/>
          <w:szCs w:val="22"/>
          <w:lang w:val="hy-AM"/>
        </w:rPr>
      </w:pPr>
      <w:r w:rsidRPr="00A83C94">
        <w:rPr>
          <w:rFonts w:cs="Arial Armenian"/>
          <w:b w:val="0"/>
          <w:szCs w:val="22"/>
          <w:lang w:val="hy-AM"/>
        </w:rPr>
        <w:t>ե/ «Բնագիտական նմուշների պահպանություն և ցուցադրություն» ծրագրի շրջանակներում իրականացվելու են «Բնագիտական նմուշների պահպանություն և ցուցադրություն» ու «Կենդանաբանական այգու ցուցադրություններ» միջոցառումները:</w:t>
      </w:r>
    </w:p>
    <w:p w14:paraId="587E1859" w14:textId="77777777" w:rsidR="005F226A" w:rsidRPr="00A83C94" w:rsidRDefault="005F226A" w:rsidP="005D2928">
      <w:pPr>
        <w:tabs>
          <w:tab w:val="left" w:pos="284"/>
          <w:tab w:val="left" w:pos="567"/>
          <w:tab w:val="left" w:pos="720"/>
        </w:tabs>
        <w:spacing w:before="0" w:line="276" w:lineRule="auto"/>
        <w:ind w:firstLine="720"/>
        <w:contextualSpacing w:val="0"/>
        <w:rPr>
          <w:rFonts w:cs="Arial Armenian"/>
          <w:b w:val="0"/>
          <w:szCs w:val="22"/>
          <w:lang w:val="hy-AM"/>
        </w:rPr>
      </w:pPr>
      <w:r w:rsidRPr="00A83C94">
        <w:rPr>
          <w:rFonts w:cs="Arial Armenian"/>
          <w:bCs/>
          <w:szCs w:val="22"/>
          <w:lang w:val="hy-AM"/>
        </w:rPr>
        <w:t xml:space="preserve"> </w:t>
      </w:r>
      <w:r w:rsidRPr="00A83C94">
        <w:rPr>
          <w:rFonts w:cs="Arial Armenian"/>
          <w:b w:val="0"/>
          <w:szCs w:val="22"/>
          <w:lang w:val="hy-AM"/>
        </w:rPr>
        <w:t>2022 թվականի ընթացքում «Անտառների կառավարում» ծրագրով նախատեսվում է իրականացնել «Անտառվերականգնման և անտառապատման աշխատանքներ» ու «Անտառկառավարման պլանների կազմում» կապիտալ բնույթի միջոցառումները:</w:t>
      </w:r>
    </w:p>
    <w:p w14:paraId="7878FCFF" w14:textId="77777777" w:rsidR="005F226A" w:rsidRPr="00A83C94" w:rsidRDefault="005F226A" w:rsidP="005D2928">
      <w:pPr>
        <w:tabs>
          <w:tab w:val="left" w:pos="284"/>
          <w:tab w:val="left" w:pos="567"/>
          <w:tab w:val="left" w:pos="720"/>
        </w:tabs>
        <w:spacing w:before="0" w:line="276" w:lineRule="auto"/>
        <w:ind w:firstLine="720"/>
        <w:contextualSpacing w:val="0"/>
        <w:rPr>
          <w:rFonts w:cs="Arial Armenian"/>
          <w:b w:val="0"/>
          <w:szCs w:val="22"/>
          <w:lang w:val="hy-AM"/>
        </w:rPr>
      </w:pPr>
    </w:p>
    <w:p w14:paraId="548ECDB4"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9" w:name="_Toc26174905"/>
      <w:bookmarkStart w:id="80" w:name="_Toc83567454"/>
      <w:bookmarkStart w:id="81" w:name="_Toc83996332"/>
      <w:r w:rsidRPr="00A83C94">
        <w:rPr>
          <w:rFonts w:cs="Arial"/>
          <w:szCs w:val="22"/>
          <w:lang w:val="hy-AM" w:eastAsia="en-US"/>
        </w:rPr>
        <w:t>Բյուջեների կազմման բնագավառ</w:t>
      </w:r>
      <w:bookmarkEnd w:id="79"/>
      <w:bookmarkEnd w:id="80"/>
      <w:bookmarkEnd w:id="81"/>
    </w:p>
    <w:p w14:paraId="05765107" w14:textId="77777777" w:rsidR="005F226A" w:rsidRPr="00A83C94" w:rsidRDefault="005F226A" w:rsidP="005D2928">
      <w:pPr>
        <w:tabs>
          <w:tab w:val="left" w:pos="-7020"/>
        </w:tabs>
        <w:spacing w:before="0" w:line="276" w:lineRule="auto"/>
        <w:ind w:firstLine="720"/>
        <w:contextualSpacing w:val="0"/>
        <w:rPr>
          <w:b w:val="0"/>
          <w:szCs w:val="22"/>
          <w:lang w:val="hy-AM"/>
        </w:rPr>
      </w:pPr>
      <w:r w:rsidRPr="00A83C94">
        <w:rPr>
          <w:b w:val="0"/>
          <w:szCs w:val="22"/>
          <w:lang w:val="hy-AM"/>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p>
    <w:p w14:paraId="270F3CD5" w14:textId="07C3D0A1" w:rsidR="005F226A" w:rsidRPr="00A83C94"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A83C94">
        <w:rPr>
          <w:b w:val="0"/>
          <w:szCs w:val="22"/>
          <w:lang w:val="hy-AM"/>
        </w:rPr>
        <w:t xml:space="preserve"> </w:t>
      </w:r>
      <w:r w:rsidR="005F226A" w:rsidRPr="00A83C94">
        <w:rPr>
          <w:b w:val="0"/>
          <w:szCs w:val="22"/>
          <w:lang w:val="hy-AM"/>
        </w:rPr>
        <w:t xml:space="preserve">Ծախսերի նպատակայնության բարձացման առումով անցում է կատարվելու ռազմավարական պլանավորման, այդ թվում` վերանայվելու են առկա ռազմավարությունները, վերջիններս և մշակվելիք բոլոր ռազմավարական փաստաթղթերը համակցվելու են Կառավարության հնգամյա ծրագրերի, միջնաժամկետ ծախսերի ծրագրերի և ամենամյա ծրագրային բյուջեի հետ: </w:t>
      </w:r>
    </w:p>
    <w:p w14:paraId="0E9D6F34" w14:textId="5C85364F" w:rsidR="005F226A" w:rsidRPr="00A83C94"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A83C94">
        <w:rPr>
          <w:b w:val="0"/>
          <w:szCs w:val="22"/>
          <w:lang w:val="hy-AM"/>
        </w:rPr>
        <w:t xml:space="preserve"> </w:t>
      </w:r>
      <w:r w:rsidR="005F226A" w:rsidRPr="00A83C94">
        <w:rPr>
          <w:b w:val="0"/>
          <w:szCs w:val="22"/>
          <w:lang w:val="hy-AM"/>
        </w:rPr>
        <w:t>Ծրագրի արդյունավետության և օգտավետության բարձրացման նպատակով կներդրվի բյուջետային ծրագրերի գնահատման կանոնավոր գործընթաց, որի առաջին քայլը կլինի ծրագրերի գնահատման և մոնիտորինգի հայեցակարգի մշակումը:</w:t>
      </w:r>
    </w:p>
    <w:p w14:paraId="48BFDDBB" w14:textId="18D655D9" w:rsidR="005F226A" w:rsidRPr="00A83C94" w:rsidRDefault="00D15A25" w:rsidP="00786462">
      <w:pPr>
        <w:numPr>
          <w:ilvl w:val="0"/>
          <w:numId w:val="18"/>
        </w:numPr>
        <w:tabs>
          <w:tab w:val="left" w:pos="-7020"/>
        </w:tabs>
        <w:spacing w:before="0" w:line="276" w:lineRule="auto"/>
        <w:ind w:left="0" w:firstLine="720"/>
        <w:contextualSpacing w:val="0"/>
        <w:rPr>
          <w:b w:val="0"/>
          <w:szCs w:val="22"/>
          <w:lang w:val="hy-AM"/>
        </w:rPr>
      </w:pPr>
      <w:r w:rsidRPr="00A83C94">
        <w:rPr>
          <w:b w:val="0"/>
          <w:szCs w:val="22"/>
          <w:lang w:val="hy-AM"/>
        </w:rPr>
        <w:t xml:space="preserve"> </w:t>
      </w:r>
      <w:r w:rsidR="005F226A" w:rsidRPr="00A83C94">
        <w:rPr>
          <w:b w:val="0"/>
          <w:szCs w:val="22"/>
          <w:lang w:val="hy-AM"/>
        </w:rPr>
        <w:t>2023-2025թթ. ՄԺԾԾ և 2023թ. բյուջետային հայտերի կազմման և ներկայացման մեթոդական ցուցումներում ներառելու նպատակով կմշակվի</w:t>
      </w:r>
      <w:r w:rsidR="005F226A" w:rsidRPr="00A83C94" w:rsidDel="008C3436">
        <w:rPr>
          <w:b w:val="0"/>
          <w:szCs w:val="22"/>
          <w:lang w:val="hy-AM"/>
        </w:rPr>
        <w:t xml:space="preserve"> </w:t>
      </w:r>
      <w:r w:rsidR="005F226A" w:rsidRPr="00A83C94">
        <w:rPr>
          <w:b w:val="0"/>
          <w:szCs w:val="22"/>
          <w:lang w:val="hy-AM"/>
        </w:rPr>
        <w:t xml:space="preserve">պետության պարտադիր պարտավորություններից բխող ծրագրերի/ միջոցառումների նույնականացման և հաշվառման  ռացիոնալացման նոր մեթոդաբանություն: </w:t>
      </w:r>
    </w:p>
    <w:p w14:paraId="03AA1F7C" w14:textId="77777777" w:rsidR="005F226A" w:rsidRPr="00A83C94" w:rsidRDefault="005F226A" w:rsidP="004B78C8">
      <w:pPr>
        <w:tabs>
          <w:tab w:val="left" w:pos="-7020"/>
        </w:tabs>
        <w:spacing w:before="0" w:line="276" w:lineRule="auto"/>
        <w:ind w:left="720" w:firstLine="0"/>
        <w:contextualSpacing w:val="0"/>
        <w:rPr>
          <w:b w:val="0"/>
          <w:szCs w:val="22"/>
          <w:lang w:val="hy-AM"/>
        </w:rPr>
      </w:pPr>
    </w:p>
    <w:p w14:paraId="308695A4"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2" w:name="_Toc83567455"/>
      <w:bookmarkStart w:id="83" w:name="_Toc83996333"/>
      <w:r w:rsidRPr="00A83C94">
        <w:rPr>
          <w:rFonts w:cs="Arial"/>
          <w:szCs w:val="22"/>
          <w:lang w:val="hy-AM" w:eastAsia="en-US"/>
        </w:rPr>
        <w:t>Հաշվապահական հաշվառման և աուդիտորական գործունեություն</w:t>
      </w:r>
      <w:bookmarkEnd w:id="82"/>
      <w:bookmarkEnd w:id="83"/>
    </w:p>
    <w:p w14:paraId="362773E5" w14:textId="77777777" w:rsidR="005F226A" w:rsidRPr="00A83C94" w:rsidRDefault="005F226A" w:rsidP="005D2928">
      <w:pPr>
        <w:pStyle w:val="BodyText2"/>
      </w:pPr>
      <w:bookmarkStart w:id="84" w:name="_Toc530663240"/>
      <w:bookmarkStart w:id="85" w:name="_Toc26174908"/>
      <w:r w:rsidRPr="00A83C94">
        <w:t>Հայաստանի Հանրապետության կառավարության նախաձեռնած հաշվապահական հաշվառման և աուդիտորական գործունեության ոլորտներում իրականացվող բարեփոխումների շրջանակում՝ 2022 թվականի ընթացքում շարունակվելու են «Հաշվապահական հաշվառման մասին», «Աուդիտորական գործունեության մասին», «Հաշվապահական հաշվառման և աուդիտորական գործունեության կարգավորման և հանրային վերահսկողության մասին» ՀՀ օրենքներով նախատեսված կառուցակարգերի ներդրման աշխատանքները, մասնավորապես նախատեսվում է մշակել աուդիտի որակի հանրային վերահսկողության մեխանիզմները, որոնք թույլ կտան բարձրացնել մատուցվող աուդիտորական ծառայությունների որակը և հանրային վստահությունը։</w:t>
      </w:r>
    </w:p>
    <w:p w14:paraId="2295DE54" w14:textId="77777777" w:rsidR="005F226A" w:rsidRPr="00A83C94" w:rsidRDefault="005F226A" w:rsidP="005D2928">
      <w:pPr>
        <w:pStyle w:val="BodyText2"/>
      </w:pPr>
      <w:r w:rsidRPr="00A83C94">
        <w:tab/>
        <w:t xml:space="preserve">Հանրային հատվածի հաշվապահական հաշվառման ոլորտում՝ 2022 թվականի ընթացքում շարունակվելու է հանրային հատվածի հաշվապահների որակավորման գործընթացը՝ հաշվապահի որակավորման քննությունների կազմակերպման միջոցով։ Միաժամանակ, շարունակվելու են հանրային հատվածի կազմակերպությունների կողմից ներկայացված հաշվապահական հաշվառման գրանցամատյանների և ֆինանսական հաշվետվությունների փաթեթների մշտադիտարկման աշխատանքները, որոնց արդյունքում վեր հանված անճշտությունների և սխալների ուղղման ուղղությամբ մասնագիտական տեղեկատու պարբերականների միջոցով գործնական առաջարկներ են ներկայացվելու հանրային հատվածի կազմակերպություններին։  </w:t>
      </w:r>
    </w:p>
    <w:p w14:paraId="6A7EF097"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rPr>
      </w:pPr>
      <w:bookmarkStart w:id="86" w:name="_Toc83567456"/>
      <w:bookmarkStart w:id="87" w:name="_Toc83996334"/>
      <w:r w:rsidRPr="00A83C94">
        <w:rPr>
          <w:rFonts w:cs="Arial"/>
          <w:szCs w:val="22"/>
          <w:lang w:val="hy-AM"/>
        </w:rPr>
        <w:t>Եկամուտների քաղաքականության ոլորտ</w:t>
      </w:r>
      <w:bookmarkEnd w:id="84"/>
      <w:bookmarkEnd w:id="85"/>
      <w:bookmarkEnd w:id="86"/>
      <w:bookmarkEnd w:id="87"/>
    </w:p>
    <w:p w14:paraId="22E0B3EA" w14:textId="77777777" w:rsidR="005F226A" w:rsidRPr="00A83C94" w:rsidRDefault="005F226A" w:rsidP="005D2928">
      <w:pPr>
        <w:pStyle w:val="BodyText2"/>
      </w:pPr>
      <w:r w:rsidRPr="00A83C94">
        <w:t>Եկամուտների քաղաքականության ոլորտում իրականացվելիք միջոցառումները բխելու են ՀՀ կառավարության ծրագրից, Պետական ֆինանսների կառավարման համակարգի 2019-2023 թվականների բարեփոխումների ռազմավարությունից, ինչպես նաև Հայաստանի Հանրա</w:t>
      </w:r>
      <w:r w:rsidRPr="00A83C94">
        <w:softHyphen/>
        <w:t>պե</w:t>
      </w:r>
      <w:r w:rsidRPr="00A83C94">
        <w:softHyphen/>
        <w:t>տու</w:t>
      </w:r>
      <w:r w:rsidRPr="00A83C94">
        <w:softHyphen/>
        <w:t>թյունում հարկային բարեփոխումների իրականացման հայեցակարգով ամրագրված հայե</w:t>
      </w:r>
      <w:r w:rsidRPr="00A83C94">
        <w:softHyphen/>
        <w:t>ցա</w:t>
      </w:r>
      <w:r w:rsidRPr="00A83C94">
        <w:softHyphen/>
        <w:t>կար</w:t>
      </w:r>
      <w:r w:rsidRPr="00A83C94">
        <w:softHyphen/>
        <w:t xml:space="preserve">գային դրույթներից: </w:t>
      </w:r>
    </w:p>
    <w:p w14:paraId="2162D06E" w14:textId="77777777" w:rsidR="005F226A" w:rsidRPr="00A83C94" w:rsidRDefault="005F226A" w:rsidP="005D2928">
      <w:pPr>
        <w:pStyle w:val="BodyText2"/>
      </w:pPr>
      <w:r w:rsidRPr="00A83C94">
        <w:t xml:space="preserve">Հարկային քաղաքականության ոլորտում Կառավարության առաջիկայում կատարվելիք աշխատանքներն ուղղված են լինելու՝ </w:t>
      </w:r>
    </w:p>
    <w:p w14:paraId="66E2DD2E" w14:textId="77777777" w:rsidR="005F226A" w:rsidRPr="00A83C94" w:rsidRDefault="005F226A" w:rsidP="005D2928">
      <w:pPr>
        <w:pStyle w:val="BodyText2"/>
        <w:ind w:firstLine="0"/>
      </w:pPr>
      <w:r w:rsidRPr="00A83C94">
        <w:t>- ցածր արդյունավետություն ունեցող և հասցեականություն չունեցող հարկային արտո</w:t>
      </w:r>
      <w:r w:rsidRPr="00A83C94">
        <w:softHyphen/>
        <w:t>նու</w:t>
      </w:r>
      <w:r w:rsidRPr="00A83C94">
        <w:softHyphen/>
        <w:t>թյուն</w:t>
      </w:r>
      <w:r w:rsidRPr="00A83C94">
        <w:softHyphen/>
        <w:t>ների կրճատմանը և դրանց կրճատմանը զուգահեռ այս կամ այն ուղղությամբ իրա</w:t>
      </w:r>
      <w:r w:rsidRPr="00A83C94">
        <w:softHyphen/>
        <w:t>կա</w:t>
      </w:r>
      <w:r w:rsidRPr="00A83C94">
        <w:softHyphen/>
        <w:t>նաց</w:t>
      </w:r>
      <w:r w:rsidRPr="00A83C94">
        <w:softHyphen/>
        <w:t>վող պետական աջակցության ծրագրերի ավելացմանը՝ նպատակ ունենալով կրճատել բավարար հաս</w:t>
      </w:r>
      <w:r w:rsidRPr="00A83C94">
        <w:softHyphen/>
        <w:t>ցեականություն և արդյունավետություն չունեցող հարկային արտոնությունները,</w:t>
      </w:r>
    </w:p>
    <w:p w14:paraId="284C2A05" w14:textId="77777777" w:rsidR="005F226A" w:rsidRPr="00A83C94" w:rsidRDefault="005F226A" w:rsidP="005D2928">
      <w:pPr>
        <w:pStyle w:val="BodyText2"/>
        <w:ind w:firstLine="0"/>
      </w:pPr>
      <w:r w:rsidRPr="00A83C94">
        <w:t>- hարկման տարբեր համակարգերի միջև համադրելի և արդարացի հարկային բեռի սահ</w:t>
      </w:r>
      <w:r w:rsidRPr="00A83C94">
        <w:softHyphen/>
        <w:t>ման</w:t>
      </w:r>
      <w:r w:rsidRPr="00A83C94">
        <w:softHyphen/>
        <w:t>մանը՝ նպատակ ունենալով ապահովել հարկման համակարգում հարկային բեռի արդարացի և հավասար բաշխում, ինչպես նաև նվազեցնել ստորին մակարդակում գտնվող հարկման համակարգերում արհեստա</w:t>
      </w:r>
      <w:r w:rsidRPr="00A83C94">
        <w:softHyphen/>
        <w:t>կանորեն տեղավորվելու և այդ կերպ հարկերի վճարումից խուսափելու, հարկման տար</w:t>
      </w:r>
      <w:r w:rsidRPr="00A83C94">
        <w:softHyphen/>
        <w:t>բեր համակարգերի միջև արհես</w:t>
      </w:r>
      <w:r w:rsidRPr="00A83C94">
        <w:softHyphen/>
        <w:t>տա</w:t>
      </w:r>
      <w:r w:rsidRPr="00A83C94">
        <w:softHyphen/>
        <w:t>կան գործարքների իրականացմամբ հարկային պլա</w:t>
      </w:r>
      <w:r w:rsidRPr="00A83C94">
        <w:softHyphen/>
        <w:t>նավորման և գործարքների փաս</w:t>
      </w:r>
      <w:r w:rsidRPr="00A83C94">
        <w:softHyphen/>
        <w:t>տա</w:t>
      </w:r>
      <w:r w:rsidRPr="00A83C94">
        <w:softHyphen/>
        <w:t>թղ</w:t>
      </w:r>
      <w:r w:rsidRPr="00A83C94">
        <w:softHyphen/>
        <w:t>թա</w:t>
      </w:r>
      <w:r w:rsidRPr="00A83C94">
        <w:softHyphen/>
        <w:t>վորման շղթայի ամբողջականության խաթար</w:t>
      </w:r>
      <w:r w:rsidRPr="00A83C94">
        <w:softHyphen/>
        <w:t>ման ռիսկերը,</w:t>
      </w:r>
    </w:p>
    <w:p w14:paraId="24D2D94A" w14:textId="77777777" w:rsidR="005F226A" w:rsidRPr="00A83C94" w:rsidRDefault="005F226A" w:rsidP="005D2928">
      <w:pPr>
        <w:pStyle w:val="BodyText2"/>
        <w:ind w:firstLine="0"/>
      </w:pPr>
      <w:r w:rsidRPr="00A83C94">
        <w:t>- գյուղատնտեսական արտադրանքի իրացման գործարքների փաստաթղթավորման հետ կապ</w:t>
      </w:r>
      <w:r w:rsidRPr="00A83C94">
        <w:softHyphen/>
        <w:t>ված խնդիրների կարգավորմանը՝ նպատակ ունենալով ստեղծել գյուղատնտեսական արտա</w:t>
      </w:r>
      <w:r w:rsidRPr="00A83C94">
        <w:softHyphen/>
      </w:r>
      <w:r w:rsidRPr="00A83C94">
        <w:softHyphen/>
        <w:t>դ</w:t>
      </w:r>
      <w:r w:rsidRPr="00A83C94">
        <w:softHyphen/>
        <w:t>րանքի իրացման գործարքների փաստաթղթավորման համար նոր՝ գործնականում կիրա</w:t>
      </w:r>
      <w:r w:rsidRPr="00A83C94">
        <w:softHyphen/>
      </w:r>
      <w:r w:rsidRPr="00A83C94">
        <w:softHyphen/>
      </w:r>
      <w:r w:rsidRPr="00A83C94">
        <w:softHyphen/>
        <w:t>ռելի փաստաթղթավորման համակարգ, վերացնելով գյուղատնտեսության ոլորտի զար</w:t>
      </w:r>
      <w:r w:rsidRPr="00A83C94">
        <w:softHyphen/>
        <w:t>գաց</w:t>
      </w:r>
      <w:r w:rsidRPr="00A83C94">
        <w:softHyphen/>
      </w:r>
      <w:r w:rsidRPr="00A83C94">
        <w:softHyphen/>
        <w:t>մանը խոչընդոտող հարկային կարգավորումները,</w:t>
      </w:r>
    </w:p>
    <w:p w14:paraId="47E6A6A0" w14:textId="77777777" w:rsidR="005F226A" w:rsidRPr="00A83C94" w:rsidRDefault="005F226A" w:rsidP="005D2928">
      <w:pPr>
        <w:pStyle w:val="BodyText2"/>
        <w:ind w:firstLine="0"/>
      </w:pPr>
      <w:r w:rsidRPr="00A83C94">
        <w:t>- միկրոձեռնարկատիրության սուբյեկտների կողմից դուրս գրվող հաշվարկային փաս</w:t>
      </w:r>
      <w:r w:rsidRPr="00A83C94">
        <w:softHyphen/>
        <w:t>տա</w:t>
      </w:r>
      <w:r w:rsidRPr="00A83C94">
        <w:softHyphen/>
        <w:t>թղ</w:t>
      </w:r>
      <w:r w:rsidRPr="00A83C94">
        <w:softHyphen/>
        <w:t>թերի հիման վրա շահութահարկով հարկման բազայի նվազեցման հնարավորությունների սահ</w:t>
      </w:r>
      <w:r w:rsidRPr="00A83C94">
        <w:softHyphen/>
        <w:t>մա</w:t>
      </w:r>
      <w:r w:rsidRPr="00A83C94">
        <w:softHyphen/>
        <w:t>նափակմանը՝ նպատակ ունենալով, մասնավորապես, նվազեցնել հարկման համակարգերի միջև արհեստական գործարքների իրականացմամբ հարկումից խուսափելու ռիսկերը,</w:t>
      </w:r>
    </w:p>
    <w:p w14:paraId="7693318C" w14:textId="77777777" w:rsidR="005F226A" w:rsidRPr="00A83C94" w:rsidRDefault="005F226A" w:rsidP="005D2928">
      <w:pPr>
        <w:pStyle w:val="BodyText2"/>
        <w:ind w:firstLine="0"/>
      </w:pPr>
      <w:r w:rsidRPr="00A83C94">
        <w:t>- կրկնակի հարկումը բացառող համաձայնագրերի աշխարհագրության ընդլայնմանը՝ նպա</w:t>
      </w:r>
      <w:r w:rsidRPr="00A83C94">
        <w:softHyphen/>
        <w:t>տակ ունենալով նաև գործող համաձայնագրերը համապատասխանեցնել կրկնակի հարկումը բացա</w:t>
      </w:r>
      <w:r w:rsidRPr="00A83C94">
        <w:softHyphen/>
        <w:t>ռող համաձայնագրերին վերաբերող միջազգայնորեն ընդունված արդի ստանդարտներին և մոտեցումներին:</w:t>
      </w:r>
    </w:p>
    <w:p w14:paraId="11340F06" w14:textId="77777777" w:rsidR="000825DA" w:rsidRPr="00A83C94" w:rsidRDefault="000825DA" w:rsidP="005D2928">
      <w:pPr>
        <w:pStyle w:val="BodyText2"/>
        <w:ind w:firstLine="0"/>
      </w:pPr>
    </w:p>
    <w:p w14:paraId="07E0B782" w14:textId="3718E71A"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8" w:name="_Toc83567457"/>
      <w:bookmarkStart w:id="89" w:name="_Toc83996335"/>
      <w:r w:rsidRPr="00A83C94">
        <w:rPr>
          <w:rFonts w:cs="Arial"/>
          <w:szCs w:val="22"/>
          <w:lang w:val="hy-AM" w:eastAsia="en-US"/>
        </w:rPr>
        <w:t>Պետական եկամուտների վարչարարություն</w:t>
      </w:r>
      <w:bookmarkEnd w:id="88"/>
      <w:bookmarkEnd w:id="89"/>
    </w:p>
    <w:p w14:paraId="52EC9C37" w14:textId="77777777" w:rsidR="005F226A" w:rsidRPr="00A83C94" w:rsidRDefault="005F226A" w:rsidP="005D2928">
      <w:pPr>
        <w:pStyle w:val="BodyText2"/>
      </w:pPr>
      <w:r w:rsidRPr="00A83C94">
        <w:t>Պետական եկամուտների վարչարարության ոլորտում իրականացվելիք միջոցառում</w:t>
      </w:r>
      <w:r w:rsidRPr="00A83C94">
        <w:softHyphen/>
        <w:t>ները բխելու են ՀՀ կառա</w:t>
      </w:r>
      <w:r w:rsidRPr="00A83C94">
        <w:softHyphen/>
        <w:t>վա</w:t>
      </w:r>
      <w:r w:rsidRPr="00A83C94">
        <w:softHyphen/>
      </w:r>
      <w:r w:rsidRPr="00A83C94">
        <w:softHyphen/>
      </w:r>
      <w:r w:rsidRPr="00A83C94">
        <w:softHyphen/>
        <w:t>րու</w:t>
      </w:r>
      <w:r w:rsidRPr="00A83C94">
        <w:softHyphen/>
        <w:t>թյան 2021 թվականի օգոստոսի 18-ի N 1363-Ա որոշմամբ հաստատ</w:t>
      </w:r>
      <w:r w:rsidRPr="00A83C94">
        <w:softHyphen/>
      </w:r>
      <w:r w:rsidRPr="00A83C94">
        <w:softHyphen/>
      </w:r>
      <w:r w:rsidRPr="00A83C94">
        <w:softHyphen/>
        <w:t>ված Հայաստանի Հանրապետության կառավարության 2021-2026թթ. ծրագրից, ՀՀ կառավարու</w:t>
      </w:r>
      <w:r w:rsidRPr="00A83C94">
        <w:softHyphen/>
        <w:t>թյան 2021 թվականի հուլիսի 12-ի N 1171-Ն որոշմամբ հաստատ</w:t>
      </w:r>
      <w:r w:rsidRPr="00A83C94">
        <w:softHyphen/>
        <w:t xml:space="preserve">ված Հայաստանի Հանրապետության 2022-2024 թվականների պետական միջնաժամկետ ծախսերի ծրագրից և ՀՀ կառավարության պարտքի բեռի նվազեցման 2022-2026 թվականների ծրագրից, ինչպես նաև  ՀՀ կառավարության 2021 թվականի օգոստոսի 12-ի թիվ 1323-Լ որոշմամբ վերանայված Հայաստանի Հանրապետության պետական եկամուտների կոմիտեի զարգացման և վարչարարության բարելավման ռազմավարական ծրագրից: </w:t>
      </w:r>
    </w:p>
    <w:p w14:paraId="5A31C757" w14:textId="77777777" w:rsidR="005F226A" w:rsidRPr="00A83C94" w:rsidRDefault="005F226A" w:rsidP="005D2928">
      <w:pPr>
        <w:pStyle w:val="BodyText2"/>
      </w:pPr>
      <w:r w:rsidRPr="00A83C94">
        <w:t>2022 թվականի ընթացքում պետական եկամուտ</w:t>
      </w:r>
      <w:r w:rsidRPr="00A83C94">
        <w:softHyphen/>
        <w:t>ների վարչա</w:t>
      </w:r>
      <w:r w:rsidRPr="00A83C94">
        <w:softHyphen/>
        <w:t>րա</w:t>
      </w:r>
      <w:r w:rsidRPr="00A83C94">
        <w:softHyphen/>
      </w:r>
      <w:r w:rsidRPr="00A83C94">
        <w:softHyphen/>
      </w:r>
      <w:r w:rsidRPr="00A83C94">
        <w:softHyphen/>
      </w:r>
      <w:r w:rsidRPr="00A83C94">
        <w:softHyphen/>
        <w:t>րության ոլորտում նախատեսվում են հետևյալ հիմնական միջոցառումները.</w:t>
      </w:r>
    </w:p>
    <w:p w14:paraId="42B93AE2"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szCs w:val="22"/>
          <w:lang w:val="hy-AM"/>
        </w:rPr>
        <w:t xml:space="preserve">Հարկ վճարողներին սպասարկման և որակյալ ծառայությունների մատուցման, ինչպես նաև տեղեկատվության փոխանակման անվտանգության ապահովման նպատակով </w:t>
      </w:r>
      <w:r w:rsidRPr="00A83C94">
        <w:rPr>
          <w:rFonts w:cs="Sylfaen"/>
          <w:b w:val="0"/>
          <w:szCs w:val="22"/>
          <w:lang w:val="hy-AM"/>
        </w:rPr>
        <w:t>կատարելագործել էլեկտրոնային համակարգերը և արդիականացնել ենթակառուցվածքները: Նշված ուղղությունների իրագործման նպատակով նախատեսվում է.</w:t>
      </w:r>
    </w:p>
    <w:p w14:paraId="5714C79E"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ընդլայնել և ներդնել ստանդարտ վերլուծությունների ավտոմատացված եղանակով իրականացվող գործիքներ,</w:t>
      </w:r>
    </w:p>
    <w:p w14:paraId="533AD83B"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գործարկել հիփոթեքային վարկի սպասարկման համար վճարվող տոկոսների գումարների վերադարձի էլեկտրոնային հարթակ,</w:t>
      </w:r>
    </w:p>
    <w:p w14:paraId="1386357D"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կատարելագործել երրորդ անձանցից ստացվող տեղեկությունների մշակման էլեկտրոնային համակարգերը,</w:t>
      </w:r>
    </w:p>
    <w:p w14:paraId="1EBEBF06"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ընդլայնել և զարգացնել մեծ ծավալի տվյալների (Big Data) վերլուծական և մեքենայական ուսուցման (machine learning) գործիքակազմերը,</w:t>
      </w:r>
    </w:p>
    <w:p w14:paraId="16B30F04"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կատարելագործել և հզորացնել էլեկտրոնային կառավարման համակարգերի հնարավորությունները` համակարգի անխափան աշխատանքն ապահովելու նպատակով,</w:t>
      </w:r>
    </w:p>
    <w:p w14:paraId="6E53CB04"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ներդնել առանց մաքսային մարմինների գտնվելու վայրեր այցելության ապրանքների և տրանսպորտային միջոցների ինքնաշխատ բացթողման էլեկտրոնային համակարգը,</w:t>
      </w:r>
    </w:p>
    <w:p w14:paraId="1FA04BFF"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ինտեգրել մաքսային և հարկային ռիսկերի կառավարման համակարգերը, ձևավորել համադրելիության մոդել,</w:t>
      </w:r>
    </w:p>
    <w:p w14:paraId="63902CB5"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իրավախախտում թույլ տված տնտեսավարող սուբյեկտների թիրախավորման նպատակով ներդնել «Մաքսային իրավախախտումների միասնական շտեմարան» համակարգ.</w:t>
      </w:r>
    </w:p>
    <w:p w14:paraId="2D100900"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Մեկ կանգառ, մեկ պատուհան համակարգի կատարելագործման շրջանակներում ներդնել մաքսային ձևակերպումների համար անհրաժեշտ թույլատվական փաստաթղթերի տրամադրման էլեկտրոնային համակարգ: Մաքսային գործառնությունների իրականացման վրա ծախսվող ժամանակահատվածի կրճատման նպատակով ՀՀ պետական սահմանի անցման կետերում գործող այլ համակարգերն ինտեգրել «ՀՀ արտաքին առևտրի ազգային մեկ պատուհան» համակարգին,  արդիականացնել «Մեկ կանգառ, մեկ պատուհան» համակարգի վերջնական ներդրման համար անհրաժեշտ հիմնական կառավարման էլեկտրոնային համակարգերը, մաքսային գործառնությունների արդյունավետության բարձրացման նպատակով բարելավել կշռման համակարգի ծրագրային ապահովումը,</w:t>
      </w:r>
    </w:p>
    <w:p w14:paraId="5B361865"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szCs w:val="22"/>
          <w:lang w:val="hy-AM"/>
        </w:rPr>
        <w:t>Վարչարարության արդյունավետության բարձրացման և հարկային ճեղքի կրճատման նպատակով</w:t>
      </w:r>
      <w:r w:rsidRPr="00A83C94">
        <w:rPr>
          <w:rFonts w:cs="Sylfaen"/>
          <w:b w:val="0"/>
          <w:szCs w:val="22"/>
          <w:lang w:val="hy-AM"/>
        </w:rPr>
        <w:t xml:space="preserve"> իրականացնել աշխատանքներ՝ ուղղված ինչպես կամավոր կարգապահության բարձրացմանը, այնպես էլ հարկային և մաքսային իրավախախտումների կանխարգելմանը: ՀՀ պետական եկամուտների կոմիտեի կողմից հաստատված հարկային և մաքսային կարգապահության բարելավման ռազմավարական ծրագրին համահունչ՝ վարչարարություն ուղղել դեպի առավել ռիսկային հարկ վճարողների խմբեր կամ տնտեսական գործունեության ոլորտներ: Վարչարարության արդյունավետության բարձրացման նպատակով նախատեսվում է.</w:t>
      </w:r>
    </w:p>
    <w:p w14:paraId="4552BAE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կատարելագործել օրինապահ հարկ վճարողների համակարգը` հարկ վճարողների օրինապահ վարքագծի խրախուսման և հարկ վճարողների մոտ հարկային կարգապահության ընկալման փոփոխության միջոցով,</w:t>
      </w:r>
    </w:p>
    <w:p w14:paraId="11D8EC17"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բարձրացնել իրականացվող հարկային և մաքսային օրենսդրության վերաբերյալ հարկ վճարողների իրազեկվածության մակարդակը` կատարելագործելով ուսուցման և իրազեկման համակարգը,</w:t>
      </w:r>
    </w:p>
    <w:p w14:paraId="49E5DC5C"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ապահովել հարկային մարմնի և հարկ վճարողների ամբողջությամբ էլեկտրոնային եղանակով միմյանց հետ հաղորդակցման հնարավորությունը,</w:t>
      </w:r>
    </w:p>
    <w:p w14:paraId="1243A37F"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միջազգային լավագույն փորձին համահունչ կատարելագործել և վերանայել հարկային և մաքսային ռիսկերի կառավարման համակարգերը,</w:t>
      </w:r>
    </w:p>
    <w:p w14:paraId="47E3EC18"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ներդնել Տնտեսական համագործակցության զարգացման կազմակերպության (ՏՀԶԿ) Հարկման նպատակով թափանցիկության և տեղեկությունների փոխանակման գլոբալ ֆորումին ՀՀ անդամակցության շրջանակներում տեղեկությունների փոխանակման միջազգային ստանդարտները և աշխատանքներ իրականացնել «Հարկվող բազայի քայքայումը և շահույթի տեղաշարժ» ծրագրի՝ հարկային մարմնի գործառույթներին առնչվող ստանդարտների կիրառումն ապահովելու ուղղությամբ,</w:t>
      </w:r>
    </w:p>
    <w:p w14:paraId="0DE52DF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բարելավել սուբյեկտների կողմից իրականացվող գործունեության օրինականության կամ գործարքների լիարժեք փաստաթղթավորման կարգապահությունը, կատարելագործել հսկողական գործիքակազմը,</w:t>
      </w:r>
    </w:p>
    <w:p w14:paraId="2C20F6A8"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xml:space="preserve">- բարելավել Եվրասիական տնտեսական միության անդամ պետություններից ՀՀ ներմուծում իրականացնող հարկ վճարողների հարկային կարգապահությունը, </w:t>
      </w:r>
    </w:p>
    <w:p w14:paraId="07A35F08"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կատարելագործել հարկային պարտավորությունների հաշվարկման մեխանիզմները` այդ թվում հարկերի հաշվարկման անուղղակի եղանակների և տրանսֆերտային գնագոյացման կարգավորումների կատարելագործման միջոցով:</w:t>
      </w:r>
    </w:p>
    <w:p w14:paraId="21815AC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Նոր թափով շարունակել աշխատանքները հարկային և մաքսային մարմիններում կոռուպցիոն ռիսկերի և երևույթների բացահայտման և կանխարգելման ուղղությամբ:</w:t>
      </w:r>
    </w:p>
    <w:p w14:paraId="7A841F7D"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Կարևորելով բանիմաց, մասնագիտական և գործնական գիտելիքներով ու հմտություններով օժտված անձնակազմի դերը ՀՀ պետական եկամուտների կոմիտեի գործառույթներն ու նախատեսվող բարեփոխումներն իրականացնելու գործում՝ միջազգային լավագույն փորձին համապատասխան ներդնել հարկային և մաքսային ծառայողների ընտրության, նշանակման, վերապատրաստման և ատեստավորման նոր ներառական համակարգ:</w:t>
      </w:r>
    </w:p>
    <w:p w14:paraId="39B8FC24"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ՀՀ պետական եկամուտների կոմիտեի գործունեության նկատմամբ վստահության բարձրացման նպատակով շարունակել իրականացնել հասարակության հետ երկխոսության և փոխշահավետ համագործակցության ամրապնդմանն ուղղված աշխատանքներ, ԶԼՄ-ներով և տեղեկատվական այլ հարթակներով լայնորեն լուսաբանել ՀՀ պետական եկամուտների կոմիտեի գործունեությունը:</w:t>
      </w:r>
    </w:p>
    <w:p w14:paraId="08ADC321"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Վերը նշված միջոցառումների իրականացմամբ բարձրացնել հարկային վարչարարության արդյունավետությունը և ապահովել 2022 թվականի ՀՀ պետական բյուջեով նախատեսված հարկային եկամուտները:</w:t>
      </w:r>
    </w:p>
    <w:p w14:paraId="0D23787F" w14:textId="77777777" w:rsidR="005F226A" w:rsidRPr="00A83C94" w:rsidRDefault="005F226A" w:rsidP="005D2928">
      <w:pPr>
        <w:pStyle w:val="BodyText2"/>
        <w:ind w:firstLine="0"/>
        <w:rPr>
          <w:rFonts w:cs="Sylfaen"/>
          <w:b/>
        </w:rPr>
      </w:pPr>
    </w:p>
    <w:p w14:paraId="24D259C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rPr>
      </w:pPr>
      <w:bookmarkStart w:id="90" w:name="_Toc83567458"/>
      <w:bookmarkStart w:id="91" w:name="_Toc83996336"/>
      <w:r w:rsidRPr="00A83C94">
        <w:rPr>
          <w:rFonts w:cs="Arial"/>
          <w:szCs w:val="22"/>
          <w:lang w:val="hy-AM"/>
        </w:rPr>
        <w:t>Կապիտալի շուկայի զարգացում</w:t>
      </w:r>
      <w:bookmarkEnd w:id="90"/>
      <w:bookmarkEnd w:id="91"/>
    </w:p>
    <w:p w14:paraId="34CA351A" w14:textId="77777777" w:rsidR="005F226A" w:rsidRPr="00A83C94" w:rsidRDefault="005F226A" w:rsidP="005D2928">
      <w:pPr>
        <w:tabs>
          <w:tab w:val="left" w:pos="567"/>
        </w:tabs>
        <w:spacing w:before="0" w:line="276" w:lineRule="auto"/>
        <w:ind w:firstLine="720"/>
        <w:contextualSpacing w:val="0"/>
        <w:rPr>
          <w:b w:val="0"/>
          <w:szCs w:val="22"/>
          <w:lang w:val="hy-AM"/>
        </w:rPr>
      </w:pPr>
      <w:r w:rsidRPr="00A83C94">
        <w:rPr>
          <w:b w:val="0"/>
          <w:szCs w:val="22"/>
          <w:lang w:val="hy-AM"/>
        </w:rPr>
        <w:t>Հայաստանի կապիտալի շուկայի զարգացման ուղղությամբ թիրախավորված, կոորդինացված և արդյունավետ գործողություններ իրականացնելու համար 2022 թվականին նախատեսվում է.</w:t>
      </w:r>
    </w:p>
    <w:p w14:paraId="3474364B" w14:textId="272CA071" w:rsidR="005F226A" w:rsidRPr="00A83C94" w:rsidRDefault="005F226A" w:rsidP="005C5FAF">
      <w:pPr>
        <w:pStyle w:val="ListParagraph"/>
        <w:numPr>
          <w:ilvl w:val="0"/>
          <w:numId w:val="21"/>
        </w:numPr>
        <w:tabs>
          <w:tab w:val="left" w:pos="567"/>
        </w:tabs>
        <w:spacing w:before="0" w:line="276" w:lineRule="auto"/>
        <w:ind w:left="0" w:firstLine="720"/>
        <w:rPr>
          <w:b w:val="0"/>
          <w:szCs w:val="22"/>
          <w:lang w:val="hy-AM"/>
        </w:rPr>
      </w:pPr>
      <w:bookmarkStart w:id="92" w:name="_Toc26174909"/>
      <w:r w:rsidRPr="00A83C94">
        <w:rPr>
          <w:b w:val="0"/>
          <w:szCs w:val="22"/>
          <w:lang w:val="hy-AM"/>
        </w:rPr>
        <w:t xml:space="preserve">  զարգացնել պետական պարտատոմսերի շուկայում ներդրողների հետ հարաբերությունները՝ կատարելագործելով տեղեկատվության հրապարակման համակարգերը և իրականացնելով ներդրողներին ուղղված ակտիվ միջոցառումներ</w:t>
      </w:r>
      <w:r w:rsidR="00EE3294" w:rsidRPr="00A83C94">
        <w:rPr>
          <w:b w:val="0"/>
          <w:szCs w:val="22"/>
          <w:lang w:val="hy-AM"/>
        </w:rPr>
        <w:t>,</w:t>
      </w:r>
    </w:p>
    <w:p w14:paraId="6953B921" w14:textId="75DA4D04"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ստեղծել անհրաժեշտ իրավական և ինստիտուցիոնալ ենթակառուցվածքներ՝ խոշոր համայնքների (մասնավորապես՝ Երևան քաղաքի) կողմից պարտատոմսերի շուկայի միջոցով </w:t>
      </w:r>
      <w:r w:rsidR="00EE3294" w:rsidRPr="00A83C94">
        <w:rPr>
          <w:b w:val="0"/>
          <w:szCs w:val="22"/>
          <w:lang w:val="hy-AM"/>
        </w:rPr>
        <w:t>ֆինանսավորման իրականացման համար,</w:t>
      </w:r>
    </w:p>
    <w:p w14:paraId="21834F3F" w14:textId="06353981"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խոշոր ընկերությունների կողմից կապիտալի շուկայի միջոցով ներդրո</w:t>
      </w:r>
      <w:r w:rsidR="00EE3294" w:rsidRPr="00A83C94">
        <w:rPr>
          <w:b w:val="0"/>
          <w:szCs w:val="22"/>
          <w:lang w:val="hy-AM"/>
        </w:rPr>
        <w:t>ւմների ներգրավմանն աջակցություն,</w:t>
      </w:r>
    </w:p>
    <w:p w14:paraId="4583DFFB" w14:textId="792C8F1A"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մշակել մեխանիզմներ, որոնցով բանկերը վարկային փաթեթները կգնահատեն ընկերության կողմից ՀՀ ՊԵԿ ներկայացված տվյալներից էապես չտարբերվող ֆինանսակ</w:t>
      </w:r>
      <w:r w:rsidR="00EE3294" w:rsidRPr="00A83C94">
        <w:rPr>
          <w:b w:val="0"/>
          <w:szCs w:val="22"/>
          <w:lang w:val="hy-AM"/>
        </w:rPr>
        <w:t>ան հաշվետվությունների հիման վրա,</w:t>
      </w:r>
    </w:p>
    <w:p w14:paraId="6F346D95" w14:textId="021A73B0"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ակտիվներով ապահովված արժեթղթերի թողարկումների խրախուսում, այդ  թվում՝ միջազգային </w:t>
      </w:r>
      <w:r w:rsidR="00EE3294" w:rsidRPr="00A83C94">
        <w:rPr>
          <w:b w:val="0"/>
          <w:szCs w:val="22"/>
          <w:lang w:val="hy-AM"/>
        </w:rPr>
        <w:t>վարկանիշի ստացմանն աջակցություն,</w:t>
      </w:r>
    </w:p>
    <w:p w14:paraId="495CDF52" w14:textId="49BFFD68"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հեջավորման հնարավորությունների ընդլայնման համար ածանցյալների շուկայի զա</w:t>
      </w:r>
      <w:r w:rsidR="00EE3294" w:rsidRPr="00A83C94">
        <w:rPr>
          <w:b w:val="0"/>
          <w:szCs w:val="22"/>
          <w:lang w:val="hy-AM"/>
        </w:rPr>
        <w:t>րգացման ուղղությամբ աշխատանքներ,</w:t>
      </w:r>
    </w:p>
    <w:p w14:paraId="0AF01FBD" w14:textId="77777777"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կապիտալի շուկայի, դրա ռիսկերի վերաբերյալ կրթական և իրազեկման աշխատանքների իրականացում,</w:t>
      </w:r>
    </w:p>
    <w:p w14:paraId="38FE4C0F" w14:textId="77777777"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թափանցիկության բարձրացում՝ թողարկողների, արժեթղթերի, արժեթղթերով գործարքների վերաբերյալ առավել ամբողջական տեղեկատվության հրապարակման միջոցով.</w:t>
      </w:r>
    </w:p>
    <w:p w14:paraId="0EB8B059" w14:textId="77777777"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ինտեգրել պետական և կորպորատիվ արժեթղթերի դեպոզիտարիաները։</w:t>
      </w:r>
    </w:p>
    <w:p w14:paraId="15310AB6" w14:textId="77777777" w:rsidR="000825DA" w:rsidRPr="00A83C94" w:rsidRDefault="000825DA" w:rsidP="000825DA">
      <w:pPr>
        <w:pStyle w:val="ListParagraph"/>
        <w:tabs>
          <w:tab w:val="left" w:pos="567"/>
        </w:tabs>
        <w:spacing w:before="0" w:line="276" w:lineRule="auto"/>
        <w:ind w:firstLine="0"/>
        <w:rPr>
          <w:b w:val="0"/>
          <w:szCs w:val="22"/>
          <w:lang w:val="hy-AM"/>
        </w:rPr>
      </w:pPr>
    </w:p>
    <w:p w14:paraId="08C1393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93" w:name="_Toc26174911"/>
      <w:bookmarkStart w:id="94" w:name="_Toc83567459"/>
      <w:bookmarkStart w:id="95" w:name="_Toc83996337"/>
      <w:bookmarkEnd w:id="92"/>
      <w:r w:rsidRPr="00A83C94">
        <w:rPr>
          <w:rFonts w:cs="Arial"/>
          <w:szCs w:val="22"/>
          <w:lang w:val="hy-AM" w:eastAsia="en-US"/>
        </w:rPr>
        <w:t>Անշարժ գույքի կադաստր</w:t>
      </w:r>
      <w:bookmarkEnd w:id="93"/>
      <w:bookmarkEnd w:id="94"/>
      <w:bookmarkEnd w:id="95"/>
      <w:r w:rsidRPr="00A83C94">
        <w:rPr>
          <w:rFonts w:cs="Arial"/>
          <w:szCs w:val="22"/>
          <w:lang w:val="hy-AM" w:eastAsia="en-US"/>
        </w:rPr>
        <w:t xml:space="preserve"> </w:t>
      </w:r>
    </w:p>
    <w:p w14:paraId="77BBE8A9"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bookmarkStart w:id="96" w:name="_Toc26174912"/>
      <w:r w:rsidRPr="00A83C94">
        <w:rPr>
          <w:rFonts w:cs="Sylfaen"/>
          <w:b w:val="0"/>
          <w:szCs w:val="22"/>
          <w:lang w:val="hy-AM"/>
        </w:rPr>
        <w:t>ՀՀ-ում արդեն ներդրվել է անշարժ գույքի միասնական գնահատման և հարկման համակարգ, որը անշարժ գույքի հարկով արդարացի հարկման մեխանիզմներ իրականացնելու հնարավորություն է տալիս՝ ապահովելով անշարժ գույքի շուկայի գնային իրավիճակի վերաբերյալ վերլուծական տեղեկատվական բազայի ստեղծմանը:</w:t>
      </w:r>
    </w:p>
    <w:p w14:paraId="7ED98FC1"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Բարեփոխումների իրականացման գործընթացում է գույքի շուկայական գնահատման ոլորտը, մասնավորապես օրենսդրական փոփոխություններով կկարգավորվեն ոչ միայն անշարժ գույքի, այլև գույքի մյուս տեսակների՝ շարժական, բիզնեսի, ոչ նյութական ակտիվների և այլն, շուկայական գնահատումները:</w:t>
      </w:r>
    </w:p>
    <w:p w14:paraId="7B6CE2C2"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Բարեփոխումներ են նախատեսվում նաև անշարժ գույքի ռիելթորական գործունեության ոլորտում, մասնավորապես ոլորտի օրենսդրական կարգավորման և զարգացման նախադրյալների, ոլորտին անհրաժեշտ գործիքակազմի ներդրում՝ ծրագրային ապահովում, անշարժ գույքի գործակալների համար տեղեկատվական բազայի ստեղծում:</w:t>
      </w:r>
    </w:p>
    <w:p w14:paraId="1B44323A"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Ռազմավարության պահանջներից է գեոդեզիական, քարտեզագրական և երկրատեղեկատվական համակարգերի հիման վրա ազգային տարածական տվյալների ենթակառուցվածքի ստեղծումը, որի նպատակը տեղեկատվական տեխնոլոգիաների նորագույն լուծումներով ոլորտի համակարգի արդիականացումն է, որն էլ իր հերթին կնպաստի տարածական որոշումների օպերատիվության բարձրացմանը և հողային քաղաքականության պատշաճ և արդյունավետ վարմանը։</w:t>
      </w:r>
    </w:p>
    <w:p w14:paraId="22479764"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Շարունակվում են իրականացվել ՀՀ պետական մասշտաբային շարքի տպագիր քարտեզների տեղափոխումն ԱՏՀ միջավայր քարտեզագրական հիմքի ստեղծման աշխատանքների նպատակով, որոնք տնտեսության տարբեր բնագավառներում աշխատանքների արդյունավետության բարձրացման կարևոր նախադրյալ են:</w:t>
      </w:r>
    </w:p>
    <w:p w14:paraId="2F87934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Ստեղծված քարտեզագեոդեզիական հիմքով երկրատեղեկատվական համակարգը հանդիսանալու է գերատեսչական տարբեր ոլորտների համար որպես բազա:</w:t>
      </w:r>
    </w:p>
    <w:p w14:paraId="26215C43" w14:textId="77777777" w:rsidR="000825DA" w:rsidRPr="00A83C94" w:rsidRDefault="000825D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p>
    <w:p w14:paraId="7B815C4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97" w:name="_Toc83567460"/>
      <w:bookmarkStart w:id="98" w:name="_Toc83996338"/>
      <w:r w:rsidRPr="00A83C94">
        <w:rPr>
          <w:rFonts w:cs="Arial"/>
          <w:szCs w:val="22"/>
          <w:lang w:val="hy-AM" w:eastAsia="en-US"/>
        </w:rPr>
        <w:t>Հասարակական կարգի պահպանություն</w:t>
      </w:r>
      <w:bookmarkEnd w:id="96"/>
      <w:bookmarkEnd w:id="97"/>
      <w:bookmarkEnd w:id="98"/>
      <w:r w:rsidRPr="00A83C94">
        <w:rPr>
          <w:rFonts w:cs="Arial"/>
          <w:szCs w:val="22"/>
          <w:lang w:val="hy-AM" w:eastAsia="en-US"/>
        </w:rPr>
        <w:t xml:space="preserve"> </w:t>
      </w:r>
    </w:p>
    <w:p w14:paraId="2CBD48B0"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ՀՀ կառավարության գործունեության հիմնարար ուղենիշներին համահունչ ոստիկանության կարևորագույն հայեցակարգային խնդիրը, ոստիկանությունում մեկնարկած բարեփոխումների նպատակը ժամանակակից մարտահրավերներին դիմակայող, մասնագիտացված ու տեխնիկապես հագեցած, բարեվարք և հարգանքի արժանի ոստիկանության վերափոխումն ու ժողովրդավարական իրավակարգին բնորոշ նոր ոստիկանի կերպարի ստեղծումն է։</w:t>
      </w:r>
      <w:r w:rsidRPr="00A83C94">
        <w:rPr>
          <w:rFonts w:ascii="Calibri" w:hAnsi="Calibri" w:cs="Calibri"/>
          <w:b w:val="0"/>
          <w:szCs w:val="22"/>
          <w:lang w:val="hy-AM"/>
        </w:rPr>
        <w:t> </w:t>
      </w:r>
    </w:p>
    <w:p w14:paraId="749A5363"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Նշված նպատակադրումների իրականացմանն ուղղված միջոցառումները, որոնք ներառվել են 2020 թվականի ապրիլի 23-ին ՀՀ կառավարության կողմից ընդունված «Ոստիկանության բարեփոխումների ռազմավարությունը և դրանից բխող գործողությունների ծրագիրը հաստատելու մասին» (այսուհետ՝ Ռազմավարություն) թիվ 638-Լ որոշման մեջ, հանդիսանում են ոստիկանության գործունեության ոլորտում առաջիկա տարիներին նախատեսվող  բարեփոխումների հիմքը: </w:t>
      </w:r>
    </w:p>
    <w:p w14:paraId="5F7DF9CB"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Ռազմավարությամբ նախատեսված առաջնահերթ ուղղություններն են.</w:t>
      </w:r>
    </w:p>
    <w:p w14:paraId="7EE4D242"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Կառուցվածքային փոփոխություններ և գործառույթների հստակեցում.</w:t>
      </w:r>
    </w:p>
    <w:p w14:paraId="2B63354C"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Ժողովրդավարական խորհրդարանական պետությանը բնորոշ կառուցվածքով և գործառույթներով օժտված Ներքին գործերի նախարարության ստեղծումն է, որը կապահովի իր համակարգման ոլորտների /ոստիկանություն, միգրացիա և քաղաքացիություն, մյուս ծառայություններ/ քաղաքականության մշակումը և կկրի պատասխանատվություն ոլորտի քաղաքականության համար: Նախարարության ձևավորումը թույլ կտա ապահովել ոլորտի թե խորհրդարանական և թե քաղաքացիական վերահսկողությունը:</w:t>
      </w:r>
    </w:p>
    <w:p w14:paraId="18008040"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Պարեկային ծառայության և Օպերատիվ կառավարման կենտրոնի ստեղծում.</w:t>
      </w:r>
    </w:p>
    <w:p w14:paraId="6644D058"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Պարեկային ծառայությունը, հագեցված լինելով նորագույն տեխնոլոգիաներով, քաղաքացիներին մատուցելու է նոր որակի ծառայություն, ինչը դրսևորվելու է քաղաքացիների իրավունքների և օրինական շահերի առավել արդյունավետ պաշտպանությամբ, իրավախախտումներին և հանրորեն վտանգավոր դեպքերին արագ (օպերատիվ) արձագանքմամբ, երթևեկության կազմակերպմամբ, հանցագործությունների և պատահարների վերաբերյալ հաղորդումների հավաքագրման ժամանակակից համակարգի ստեղծմամբ, ոստիկանական ուժերի ու միջոցների առավել օպերատիվ կառավարմամբ, իրավախախտումների արդյունավետ կանխարգելմամբ: Պարեկային ծառայության հիմնական խնդիրներից է հանդիսանալու նաև ցանկացած դժվարին իրավիճակում հայտնված քաղաքացուն գործնական աջակցության ցուցաբերումը: </w:t>
      </w:r>
    </w:p>
    <w:p w14:paraId="78F9A98A"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Պարեկային ծառայությանը զուգահեռ գործարկվելու է օպերատիվ կառավարման կենտրոնը, որը հանդիսանալու է քաղաքացիներից ահազանգերի ընդունման կենտրոն և րոպեների ընթացքում տալու է անհրաժեշտ խորհրդատվություն, իսկ անհրաժեշտության դեպքում մոտեցնելու է պարեկային կարգախումբը։</w:t>
      </w:r>
    </w:p>
    <w:p w14:paraId="1CEA10B7"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Նախաքննության արդյունավետություն.</w:t>
      </w:r>
    </w:p>
    <w:p w14:paraId="5A900070"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քրեադատավարական նոր օրենսդրության կարգավորումների լույսի ներքո քրեական դատավարության կարգով իրականացվող նախաքննության առումով ոստիկանության գործառույթների հստակեցում՝ հաշվի առնելով, որ քննչական մարմինների գործող մոդելի պարագայում ոստիկանության համակարգի ողջ ռեսուրսը դուրս է մնում քրեական գործերի նախաքննության գործառույթներից, ինչը բացի հանցավորության դեմ արդյունավետ պայքարի խնդրից, խնդրահարույց է նաև պետության տրամադրության տակ եղած ռեսուրսների արդյունավետ տնօրինման տեսանկյունից,</w:t>
      </w:r>
    </w:p>
    <w:p w14:paraId="616DBF39"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երկարաժամկետ հեռանկարում քրեական ոստիկանությունում քննչական ու օպերատիվ ֆունկցիաների միավորմամբ դետեկտիվների ինստիտուտի ներդրում, որի ծառայողները լիազորված կլինեն ամբողջական քննություն իրականացնել առանձին հանցագործությունների դեպքերով:</w:t>
      </w:r>
    </w:p>
    <w:p w14:paraId="4A4DD52F"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ՀՀ քրեական դատավարության օրենսգրքի 98-րդ հոդվածի դրույթներից է բխում, որ քրեական դատավարությանը մասնակցող կամ հանցագործության մասին հաղորդում տվող</w:t>
      </w:r>
      <w:r w:rsidRPr="00A83C94">
        <w:rPr>
          <w:rFonts w:ascii="Calibri" w:hAnsi="Calibri" w:cs="Calibri"/>
          <w:b w:val="0"/>
          <w:szCs w:val="22"/>
          <w:lang w:val="hy-AM"/>
        </w:rPr>
        <w:t> </w:t>
      </w:r>
      <w:r w:rsidRPr="00A83C94">
        <w:rPr>
          <w:b w:val="0"/>
          <w:szCs w:val="22"/>
          <w:lang w:val="hy-AM"/>
        </w:rPr>
        <w:t xml:space="preserve"> յուրաքանչյուր անձ, ով կարող է հաղորդել տվյալներ, որոնք նշանակություն ունեն հանցագործությունը բացահայտելու և դրա կատարողին հայտնաբերելու համար, ինչի հետևանքով կարող են վտանգվել նրա, նրա ընտանիքի անդամի, մերձավոր ազգականի կամ մերձավորի կյանքը, առողջությունը, գույքը, իրավունքներն ու օրինական շահերը, ունի պաշտպանության իրավունք: Նշված անձանց պաշտպանության իրականացումն ապահովելու նպատակով, արդեն իսկ ընդունված օրենսդրական համապատասխան ակտերի հիման վրա ոստիկանությունում նախատեսվում է ստեղծել քրեական դատավարությանը մասնակցող կամ հանցագործության մասին հաղորդում տվող անձի, նրա ընտանիքի անդամի, մերձավոր ազգականի կամ մերձավորի (այսուհետ՝ պաշտպանության ենթակա անձ) պաշտպանություն իրականացնող մասնագիտացված ստորաբաժանում, ինչը կբարձրացնի օրենքով պաշտպանության ենթակա անձանց անվտանգության ապահովման մակարդակը:</w:t>
      </w:r>
    </w:p>
    <w:p w14:paraId="26F83FFF"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Հասարակական կարգի պահպանություն.</w:t>
      </w:r>
    </w:p>
    <w:p w14:paraId="1CBBDDE6"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Ոստիկանության հասարակական կարգը պահպանող ծառայությունների հատուկ կարողությունների զարգացում ու տակտիկական արդյունավետ լուծումների ներդրում, բանակցային ու հաղորդակցության կարողությունների զարգացում, իրավապահ համակարգում մարդու իրավունքների ստանդարտների վերաբերյալ վերապատրաստում, ինչպես նաև տեխնիկական հագեցվածության և սպառազինության բարելավում։</w:t>
      </w:r>
    </w:p>
    <w:p w14:paraId="6E3C863C"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Համայնքային ոստիկանության վերաիմաստավորում.</w:t>
      </w:r>
    </w:p>
    <w:p w14:paraId="22F6A927"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Համայնքային ոստիկանության գործառույթների վերանայում (օրենսդրական և կառուցվածքային առումներով), որոնք շատ հաճախ կրկնվում են որոշ դեպքերում՝ պրոբացիայի ծառայության, մյուս դեպքերում սոցիալական ծառայությունների գործառույթների հետ, ինչպես նաև այլ պետական մարմինների հետ իրականացվող համագործակցության շրջանակներում գործառույթների անհստակության և ոչ որոշակիության խնդրի լուծում:</w:t>
      </w:r>
    </w:p>
    <w:p w14:paraId="6BC412A9"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Ոստիկանության զորքերի վերակազմավորում.</w:t>
      </w:r>
    </w:p>
    <w:p w14:paraId="5C0CC0E6"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Ազգային գվարդիայի ձևավորում, որի կազմակերպման և գործունեության կարգն այլևս չի կարգավորվելու ռազմական օրենսդրական ակտերով: Նման փոփոխությունը պահանջելու է կառուցվածքային և օրենսդրական շտկումներ, բայց և արդյունքում փոխելու է հանրություն-ոստիկանություն հարաբերությունների էությունը՝ ոստիկանությանն ավելի մոտեցնելով թափանցիկ ու պատասխանատու գործելակերպի և պահանջվող զգայունության՝ մարդու իրավունքների պաշտպանության հարցերի նկատմամբ:</w:t>
      </w:r>
    </w:p>
    <w:p w14:paraId="705119C8" w14:textId="77777777" w:rsidR="005F226A" w:rsidRPr="00A83C94" w:rsidRDefault="005F226A" w:rsidP="005D2928">
      <w:pPr>
        <w:tabs>
          <w:tab w:val="left" w:pos="567"/>
        </w:tabs>
        <w:spacing w:before="0" w:line="276" w:lineRule="auto"/>
        <w:ind w:firstLine="720"/>
        <w:rPr>
          <w:b w:val="0"/>
          <w:szCs w:val="22"/>
          <w:lang w:val="hy-AM"/>
        </w:rPr>
      </w:pPr>
      <w:r w:rsidRPr="00A83C94">
        <w:rPr>
          <w:szCs w:val="22"/>
          <w:lang w:val="hy-AM"/>
        </w:rPr>
        <w:t>Սեփականության դեմ ուղղված հանցագործությունների կանխարգելման համակարգի վերակազմակերպում:</w:t>
      </w:r>
      <w:r w:rsidRPr="00A83C94">
        <w:rPr>
          <w:b w:val="0"/>
          <w:szCs w:val="22"/>
          <w:lang w:val="hy-AM"/>
        </w:rPr>
        <w:t xml:space="preserve"> Տվյալ դեպքում առաջնահերթ է համարվում հետևյալ միջոցառումները.</w:t>
      </w:r>
    </w:p>
    <w:p w14:paraId="725712E0"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Ոստիկանությունն իր մասնագիտացված ստորաբաժանումների միջոցով  իրականացնելու է ռազմավարական և հատուկ կարևորության օբյեկտների պահպանությունը՝ բացառապես պետական բյուջեից հատկացումների հաշվին. </w:t>
      </w:r>
    </w:p>
    <w:p w14:paraId="117C1A15"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Սեփականության դեմ ուղղված հանցագործությունների կանխարգելումը խթանելու նպատակով նշված 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 </w:t>
      </w:r>
    </w:p>
    <w:p w14:paraId="61015119"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Ըստ այդմ, օբյեկտների պահակային պահպանությունը նախատեսվում  է թողնել մասնավոր պահնորդական կազմակերպություններին, այն համոզմամբ,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տեխնիկական միջոցներով պահպանման համակարգերի օգտագործման և «տաք հետքերով» սեփականության դեմ ոտնձգող անձանց հետապնդելու եղանակներով:</w:t>
      </w:r>
    </w:p>
    <w:p w14:paraId="0A911223"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Ոստիկանությունում ծառայության գրավչություն, կադրերի պատրաստում և մասնագիտական զարգացում.</w:t>
      </w:r>
    </w:p>
    <w:p w14:paraId="7A718B53" w14:textId="77777777" w:rsidR="005F226A" w:rsidRPr="00A83C94" w:rsidRDefault="005F226A" w:rsidP="005D2928">
      <w:pPr>
        <w:tabs>
          <w:tab w:val="left" w:pos="567"/>
        </w:tabs>
        <w:spacing w:before="0" w:line="276" w:lineRule="auto"/>
        <w:ind w:firstLine="720"/>
        <w:rPr>
          <w:b w:val="0"/>
          <w:color w:val="FF0000"/>
          <w:szCs w:val="22"/>
          <w:lang w:val="hy-AM"/>
        </w:rPr>
      </w:pPr>
      <w:r w:rsidRPr="00A83C94">
        <w:rPr>
          <w:b w:val="0"/>
          <w:szCs w:val="22"/>
          <w:lang w:val="hy-AM"/>
        </w:rPr>
        <w:t>Ոստիկանության կադրերի պատրաստման, կարողությունների շարունակական զարգացման ու բարոյահոգեբանական պատրաստման, ոստիկանության ծառայողի բարեվարքության ու հակակոռուպցիոն կրթություն ստանալու գործող կառուցակարգերի վերանայում՝ նպատակ ունենալով ոստիկանությունում ներգրավել հանցագործությունների նկատմամբ անհանդուրժողական, իրավունքների պաշտպանությանը զգայուն և հասարակության անվտանգության հարցերով մտահոգ, բարեվարք ու հարգարժան հանրային ծառայող ոստիկաններ։ Այս առումով կարևոր է լինելու ոստիկանության կրթահամալիրի կրթական ծրագրերի կազմակերպման ու բովանդակային վերանայման հարցերին լրջագույն անդրադարձը՝ ապահովելով մարդու իրավունքների վրա հիմնված մոտեցում ու միջազգային չափանիշներ: Ոստիկանության կրթահամալիրում իրականացվելու են նախնական, միջին և բարձրագույն մասնագիտական կրթական ծրագրեր:</w:t>
      </w:r>
      <w:r w:rsidRPr="00A83C94">
        <w:rPr>
          <w:b w:val="0"/>
          <w:color w:val="FF0000"/>
          <w:szCs w:val="22"/>
          <w:lang w:val="hy-AM"/>
        </w:rPr>
        <w:t xml:space="preserve"> </w:t>
      </w:r>
    </w:p>
    <w:p w14:paraId="70FADB59"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Մարդու իրավունքների պաշտպանության հարցեր.</w:t>
      </w:r>
    </w:p>
    <w:p w14:paraId="62BDCA42"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Որպես իրավախախտների հետ շփման պետության առաջին օղակ՝ ոստիկանությունում պետք է բարելավվեն քրեաիրավական ու վարչաիրավական կարգով ներգրավվող անձանց իրավունքների պաշտպանության մեխանիզմները՝ մասնավորապես, բերման ենթարկվող անձանց իրենց հասկանալի լեզվով իրավունքների մասին գրավոր ծանուցումների, ձերբակալվածների պահման վայրերում բժշկական ծառայությունների ապահովման, ինչպես նաև ոստիկանության տարբեր ծառայությունների կողմից անձանց տվյալների պաշտպանության հարցերը: </w:t>
      </w:r>
    </w:p>
    <w:p w14:paraId="26053998"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Թափանցիկություն և հանրային հաշվետվողականություն.</w:t>
      </w:r>
    </w:p>
    <w:p w14:paraId="317F3A1C"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Ոստիկանության աշխատանքի թափանցիկության բարելավում՝ առավել հաճախակի ու մատչելի տեղեկությունների, հաշվետվությունների և ուսումնասիրությունների վերաբերյալ տեղեկատվության տարածում, պարբերական մեդիա բրիֆինգների և հասարակայնության հետ կապերի առավել նոր ու ժամանակակից միջոցների արդյունավետ օգտագործում, ինչն առաջնային նշանակություն կունենա ոստիկանության հանդեպ հանրային դրական կարծիքի ձևավորման հարցում: </w:t>
      </w:r>
    </w:p>
    <w:p w14:paraId="78E51F5B" w14:textId="77777777" w:rsidR="005F226A" w:rsidRPr="00A83C94" w:rsidRDefault="005F226A" w:rsidP="005F226A">
      <w:pPr>
        <w:tabs>
          <w:tab w:val="left" w:pos="567"/>
        </w:tabs>
        <w:spacing w:before="0" w:line="276" w:lineRule="auto"/>
        <w:ind w:firstLine="720"/>
        <w:rPr>
          <w:b w:val="0"/>
          <w:szCs w:val="22"/>
          <w:lang w:val="hy-AM"/>
        </w:rPr>
      </w:pPr>
    </w:p>
    <w:p w14:paraId="08F0E870" w14:textId="77777777" w:rsidR="005F226A" w:rsidRPr="00A83C94" w:rsidRDefault="005F226A" w:rsidP="005F226A">
      <w:pPr>
        <w:pStyle w:val="Bullet"/>
        <w:spacing w:after="0" w:line="276" w:lineRule="auto"/>
        <w:ind w:left="0" w:firstLine="426"/>
        <w:rPr>
          <w:rFonts w:ascii="GHEA Grapalat" w:hAnsi="GHEA Grapalat" w:cs="Sylfaen"/>
          <w:szCs w:val="22"/>
          <w:lang w:val="hy-AM"/>
        </w:rPr>
      </w:pPr>
    </w:p>
    <w:p w14:paraId="1D11C644" w14:textId="77777777" w:rsidR="005F226A" w:rsidRPr="00A83C94" w:rsidRDefault="005F226A" w:rsidP="005F226A">
      <w:pPr>
        <w:tabs>
          <w:tab w:val="left" w:pos="567"/>
        </w:tabs>
        <w:spacing w:before="0" w:line="276" w:lineRule="auto"/>
        <w:ind w:firstLine="426"/>
        <w:rPr>
          <w:b w:val="0"/>
          <w:szCs w:val="22"/>
          <w:lang w:val="hy-AM"/>
        </w:rPr>
      </w:pPr>
    </w:p>
    <w:p w14:paraId="4DEFCD4F" w14:textId="77777777" w:rsidR="005F226A" w:rsidRPr="00A83C94" w:rsidRDefault="005F226A" w:rsidP="005F226A">
      <w:pPr>
        <w:spacing w:before="0" w:line="276" w:lineRule="auto"/>
        <w:ind w:firstLine="0"/>
        <w:contextualSpacing w:val="0"/>
        <w:jc w:val="left"/>
        <w:rPr>
          <w:b w:val="0"/>
          <w:szCs w:val="22"/>
          <w:lang w:val="hy-AM"/>
        </w:rPr>
      </w:pPr>
    </w:p>
    <w:p w14:paraId="551CC765" w14:textId="77777777" w:rsidR="00E206A5" w:rsidRPr="00A83C94" w:rsidRDefault="00E206A5" w:rsidP="007730AA">
      <w:pPr>
        <w:tabs>
          <w:tab w:val="left" w:pos="567"/>
        </w:tabs>
        <w:spacing w:before="0" w:line="276" w:lineRule="auto"/>
        <w:ind w:firstLine="426"/>
        <w:rPr>
          <w:b w:val="0"/>
          <w:szCs w:val="22"/>
          <w:lang w:val="hy-AM"/>
        </w:rPr>
      </w:pPr>
    </w:p>
    <w:p w14:paraId="4C1A5026" w14:textId="77777777" w:rsidR="0047224A" w:rsidRPr="00A83C94" w:rsidRDefault="0047224A" w:rsidP="007730AA">
      <w:pPr>
        <w:spacing w:before="0" w:line="276" w:lineRule="auto"/>
        <w:ind w:firstLine="0"/>
        <w:contextualSpacing w:val="0"/>
        <w:jc w:val="left"/>
        <w:rPr>
          <w:b w:val="0"/>
          <w:szCs w:val="22"/>
          <w:lang w:val="hy-AM"/>
        </w:rPr>
      </w:pPr>
      <w:r w:rsidRPr="00A83C94">
        <w:rPr>
          <w:b w:val="0"/>
          <w:szCs w:val="22"/>
          <w:lang w:val="hy-AM"/>
        </w:rPr>
        <w:br w:type="page"/>
      </w:r>
    </w:p>
    <w:p w14:paraId="61105CE5" w14:textId="77777777" w:rsidR="00C34A4E" w:rsidRPr="00EB774C" w:rsidRDefault="00C34A4E" w:rsidP="00A30EDC">
      <w:pPr>
        <w:pStyle w:val="Heading1"/>
        <w:rPr>
          <w:bCs/>
          <w:lang w:val="hy-AM"/>
        </w:rPr>
      </w:pPr>
      <w:bookmarkStart w:id="99" w:name="_Toc51947410"/>
      <w:bookmarkStart w:id="100" w:name="_Toc52452083"/>
      <w:bookmarkStart w:id="101" w:name="_Toc45838512"/>
      <w:bookmarkStart w:id="102" w:name="_Toc46154342"/>
      <w:bookmarkStart w:id="103" w:name="_Toc57559411"/>
      <w:bookmarkStart w:id="104" w:name="_Toc83663893"/>
      <w:bookmarkStart w:id="105" w:name="_Toc83996339"/>
      <w:bookmarkStart w:id="106" w:name="_Toc46760415"/>
      <w:r w:rsidRPr="00EB774C">
        <w:rPr>
          <w:lang w:val="hy-AM"/>
        </w:rPr>
        <w:t>ՄԱՍ I - Բ. ՄԱԿՐՈՏՆՏԵՍԱԿԱՆ ԶԱՐԳԱՑՈՒՄՆԵՐ ԵՎ ԿԱՆԽԱՏԵՍՈՒՄՆԵՐ</w:t>
      </w:r>
      <w:bookmarkEnd w:id="99"/>
      <w:bookmarkEnd w:id="100"/>
      <w:bookmarkEnd w:id="101"/>
      <w:bookmarkEnd w:id="102"/>
      <w:bookmarkEnd w:id="103"/>
      <w:bookmarkEnd w:id="104"/>
      <w:bookmarkEnd w:id="105"/>
    </w:p>
    <w:p w14:paraId="4BC8B9B9" w14:textId="77777777" w:rsidR="00C34A4E" w:rsidRPr="00A83C94" w:rsidRDefault="00C34A4E" w:rsidP="00C34A4E">
      <w:pPr>
        <w:keepNext/>
        <w:keepLines/>
        <w:spacing w:before="0" w:line="276" w:lineRule="auto"/>
        <w:outlineLvl w:val="2"/>
        <w:rPr>
          <w:b w:val="0"/>
          <w:bCs/>
          <w:sz w:val="24"/>
          <w:lang w:val="hy-AM"/>
        </w:rPr>
      </w:pPr>
      <w:bookmarkStart w:id="107" w:name="_Toc51947412"/>
      <w:bookmarkStart w:id="108" w:name="_Toc52452085"/>
      <w:bookmarkStart w:id="109" w:name="_Toc57559412"/>
      <w:bookmarkStart w:id="110" w:name="_Toc83663894"/>
      <w:bookmarkStart w:id="111" w:name="_Toc83996340"/>
      <w:r w:rsidRPr="00A83C94">
        <w:rPr>
          <w:bCs/>
          <w:sz w:val="24"/>
          <w:lang w:val="hy-AM"/>
        </w:rPr>
        <w:t>1.1 ՄԱԿՐՈՏՆՏԵՍԱԿԱՆ ԱՄՓՈՓԱԳԻՐ ԵՎ ՇՐՋԱՆԱԿ</w:t>
      </w:r>
      <w:bookmarkEnd w:id="107"/>
      <w:bookmarkEnd w:id="108"/>
      <w:bookmarkEnd w:id="109"/>
      <w:bookmarkEnd w:id="110"/>
      <w:bookmarkEnd w:id="111"/>
      <w:r w:rsidRPr="00A83C94">
        <w:rPr>
          <w:bCs/>
          <w:sz w:val="24"/>
          <w:lang w:val="hy-AM"/>
        </w:rPr>
        <w:t xml:space="preserve"> </w:t>
      </w:r>
    </w:p>
    <w:p w14:paraId="6E89C3B3" w14:textId="77777777" w:rsidR="00C34A4E" w:rsidRPr="00A83C94" w:rsidRDefault="00C34A4E" w:rsidP="00C34A4E">
      <w:pPr>
        <w:numPr>
          <w:ilvl w:val="0"/>
          <w:numId w:val="28"/>
        </w:numPr>
        <w:tabs>
          <w:tab w:val="right" w:pos="0"/>
        </w:tabs>
        <w:spacing w:before="40" w:after="120" w:line="276" w:lineRule="auto"/>
        <w:contextualSpacing w:val="0"/>
        <w:rPr>
          <w:b w:val="0"/>
          <w:lang w:val="hy-AM"/>
        </w:rPr>
      </w:pPr>
      <w:r w:rsidRPr="00A83C94">
        <w:rPr>
          <w:rFonts w:eastAsia="Calibri"/>
          <w:b w:val="0"/>
          <w:lang w:val="hy-AM"/>
        </w:rPr>
        <w:t>Ներկայումս աշխարհը դեռևս շարունակում է կրել համավարակի բացասական հետևանքները, սակայն դրանց աստիճանական չեզոքացման սպասումով: Արժույթի միջազգային հիմնադրամը (այսուհետև՝ ԱՄՀ) հուլիսին վերանայել է 2022թ</w:t>
      </w:r>
      <w:r w:rsidRPr="00A83C94">
        <w:rPr>
          <w:rFonts w:ascii="Cambria Math" w:eastAsia="Calibri" w:hAnsi="Cambria Math" w:cs="Cambria Math"/>
          <w:b w:val="0"/>
          <w:lang w:val="hy-AM"/>
        </w:rPr>
        <w:t>․</w:t>
      </w:r>
      <w:r w:rsidRPr="00A83C94">
        <w:rPr>
          <w:rFonts w:eastAsia="Calibri"/>
          <w:b w:val="0"/>
          <w:lang w:val="hy-AM"/>
        </w:rPr>
        <w:t xml:space="preserve">-ի համաշխարհային տնտեսական աճի կանխատեսումը դեպի վերև՝ պայմանավորված շատ երկրների սպասվածից ավելի լավ զարգացումներով։ Վերջիններս ամրապնդվել են ի հաշիվ պատվաստանյութերի առկայության և որոշ խոշոր երկրներում 2021թ. համար հայտարարված լրացուցիչ օժանդակության միջոցառումների: ՀՀ գործընկեր երկրների տնտեսությունների համար կանխատեսվում է իրենց պոտենցիալ աճերից բարձր տնտեսական աճեր՝ նախանշելով վերականգման գործընթացը: </w:t>
      </w:r>
    </w:p>
    <w:p w14:paraId="36258D88" w14:textId="77777777" w:rsidR="00C34A4E" w:rsidRPr="00A83C94" w:rsidRDefault="00C34A4E" w:rsidP="00C34A4E">
      <w:pPr>
        <w:pStyle w:val="ListParagraph"/>
        <w:numPr>
          <w:ilvl w:val="0"/>
          <w:numId w:val="28"/>
        </w:numPr>
        <w:spacing w:line="276" w:lineRule="auto"/>
        <w:rPr>
          <w:rFonts w:eastAsia="Calibri"/>
          <w:b w:val="0"/>
          <w:lang w:val="hy-AM"/>
        </w:rPr>
      </w:pPr>
      <w:r w:rsidRPr="00A83C94">
        <w:rPr>
          <w:rFonts w:eastAsia="Calibri"/>
          <w:b w:val="0"/>
          <w:lang w:val="hy-AM"/>
        </w:rPr>
        <w:t>2020թ</w:t>
      </w:r>
      <w:r w:rsidRPr="00A83C94">
        <w:rPr>
          <w:rFonts w:ascii="Cambria Math" w:eastAsia="Calibri" w:hAnsi="Cambria Math" w:cs="Cambria Math"/>
          <w:b w:val="0"/>
          <w:lang w:val="hy-AM"/>
        </w:rPr>
        <w:t>․</w:t>
      </w:r>
      <w:r w:rsidRPr="00A83C94">
        <w:rPr>
          <w:rFonts w:eastAsia="Calibri"/>
          <w:b w:val="0"/>
          <w:lang w:val="hy-AM"/>
        </w:rPr>
        <w:t xml:space="preserve"> սկիզբ առած նոր տիպի կորոնավիրուսի համավարակի, ինչպես նաև սեպտեմբեր-նոյեմբերին սանձազերծված Արցախյան պատերազմի ազդեցություններով պայմանավորված ՀՀ տնտեսության բացասական զարգացումների հետևանքները զգացվեցին նաև 2021թ</w:t>
      </w:r>
      <w:r w:rsidRPr="00A83C94">
        <w:rPr>
          <w:rFonts w:ascii="Cambria Math" w:eastAsia="Calibri" w:hAnsi="Cambria Math" w:cs="Cambria Math"/>
          <w:b w:val="0"/>
          <w:lang w:val="hy-AM"/>
        </w:rPr>
        <w:t>․</w:t>
      </w:r>
      <w:r w:rsidRPr="00A83C94">
        <w:rPr>
          <w:rFonts w:eastAsia="Calibri"/>
          <w:b w:val="0"/>
          <w:lang w:val="hy-AM"/>
        </w:rPr>
        <w:t xml:space="preserve"> ընթացքում, այնուամենայնիվ, 2021թ</w:t>
      </w:r>
      <w:r w:rsidRPr="00A83C94">
        <w:rPr>
          <w:rFonts w:ascii="Cambria Math" w:eastAsia="Calibri" w:hAnsi="Cambria Math" w:cs="Cambria Math"/>
          <w:b w:val="0"/>
          <w:lang w:val="hy-AM"/>
        </w:rPr>
        <w:t>․</w:t>
      </w:r>
      <w:r w:rsidRPr="00A83C94">
        <w:rPr>
          <w:rFonts w:eastAsia="Calibri"/>
          <w:b w:val="0"/>
          <w:lang w:val="hy-AM"/>
        </w:rPr>
        <w:t xml:space="preserve"> ՀՀ տնտեսությունը թևակոխեց վերականգման փուլ։ Համաշխարհային տնտեսության և ՀՀ գործընկեր երկրների սպասվածից ավելի արագ տեմպերով վերականգնման և կանխատեսված տնտեսական զարգացումների, ինչպես նաև ՀՀ ընթացիկ տնտեսական զարգացումների, Արցախյան պատերազմի գնահատվող ազդեցությունների, hամավարակի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hամավարակի համաշխարհային ճգնաժամի աստիճանական հաղթահարման պայմաններում 2021թ. սպասվում է 6.5% տնտեսական աճ։</w:t>
      </w:r>
    </w:p>
    <w:p w14:paraId="59B37CA3" w14:textId="77777777" w:rsidR="00C34A4E" w:rsidRPr="00A83C94" w:rsidRDefault="00C34A4E" w:rsidP="00C34A4E">
      <w:pPr>
        <w:pStyle w:val="ListParagraph"/>
        <w:numPr>
          <w:ilvl w:val="0"/>
          <w:numId w:val="28"/>
        </w:numPr>
        <w:spacing w:line="276" w:lineRule="auto"/>
        <w:rPr>
          <w:rFonts w:eastAsia="Calibri"/>
          <w:b w:val="0"/>
          <w:lang w:val="hy-AM"/>
        </w:rPr>
      </w:pPr>
      <w:r w:rsidRPr="00A83C94">
        <w:rPr>
          <w:rFonts w:eastAsia="Calibri"/>
          <w:b w:val="0"/>
          <w:lang w:val="hy-AM"/>
        </w:rPr>
        <w:t>Սպասվող արտաքին տնտեսական բարենպաստ միջավայրի և 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2022թ</w:t>
      </w:r>
      <w:r w:rsidRPr="00A83C94">
        <w:rPr>
          <w:rFonts w:ascii="Cambria Math" w:eastAsia="Calibri" w:hAnsi="Cambria Math" w:cs="Cambria Math"/>
          <w:b w:val="0"/>
          <w:lang w:val="hy-AM"/>
        </w:rPr>
        <w:t>․</w:t>
      </w:r>
      <w:r w:rsidRPr="00A83C94">
        <w:rPr>
          <w:rFonts w:eastAsia="Calibri"/>
          <w:b w:val="0"/>
          <w:lang w:val="hy-AM"/>
        </w:rPr>
        <w:t xml:space="preserve"> </w:t>
      </w:r>
      <w:r w:rsidRPr="00A83C94">
        <w:rPr>
          <w:rFonts w:eastAsia="Calibri" w:cs="GHEA Grapalat"/>
          <w:b w:val="0"/>
          <w:lang w:val="hy-AM"/>
        </w:rPr>
        <w:t>կանխատեսվում</w:t>
      </w:r>
      <w:r w:rsidRPr="00A83C94">
        <w:rPr>
          <w:rFonts w:eastAsia="Calibri"/>
          <w:b w:val="0"/>
          <w:lang w:val="hy-AM"/>
        </w:rPr>
        <w:t xml:space="preserve"> </w:t>
      </w:r>
      <w:r w:rsidRPr="00A83C94">
        <w:rPr>
          <w:rFonts w:eastAsia="Calibri" w:cs="GHEA Grapalat"/>
          <w:b w:val="0"/>
          <w:lang w:val="hy-AM"/>
        </w:rPr>
        <w:t>է</w:t>
      </w:r>
      <w:r w:rsidRPr="00A83C94">
        <w:rPr>
          <w:rFonts w:eastAsia="Calibri"/>
          <w:b w:val="0"/>
          <w:lang w:val="hy-AM"/>
        </w:rPr>
        <w:t xml:space="preserve"> 7</w:t>
      </w:r>
      <w:r w:rsidRPr="00A83C94">
        <w:rPr>
          <w:rFonts w:ascii="Cambria Math" w:eastAsia="Calibri" w:hAnsi="Cambria Math" w:cs="Cambria Math"/>
          <w:b w:val="0"/>
          <w:lang w:val="hy-AM"/>
        </w:rPr>
        <w:t>․</w:t>
      </w:r>
      <w:r w:rsidRPr="00A83C94">
        <w:rPr>
          <w:rFonts w:eastAsia="Calibri"/>
          <w:b w:val="0"/>
          <w:lang w:val="hy-AM"/>
        </w:rPr>
        <w:t xml:space="preserve">0%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w:t>
      </w:r>
      <w:r w:rsidRPr="00A83C94">
        <w:rPr>
          <w:rFonts w:eastAsia="Calibri"/>
          <w:b w:val="0"/>
          <w:lang w:val="hy-AM"/>
        </w:rPr>
        <w:t xml:space="preserve">, </w:t>
      </w:r>
      <w:r w:rsidRPr="00A83C94">
        <w:rPr>
          <w:rFonts w:eastAsia="Calibri" w:cs="GHEA Grapalat"/>
          <w:b w:val="0"/>
          <w:lang w:val="hy-AM"/>
        </w:rPr>
        <w:t>ինչը</w:t>
      </w:r>
      <w:r w:rsidRPr="00A83C94">
        <w:rPr>
          <w:rFonts w:eastAsia="Calibri"/>
          <w:b w:val="0"/>
          <w:lang w:val="hy-AM"/>
        </w:rPr>
        <w:t xml:space="preserve"> </w:t>
      </w:r>
      <w:r w:rsidRPr="00A83C94">
        <w:rPr>
          <w:rFonts w:eastAsia="Calibri" w:cs="GHEA Grapalat"/>
          <w:b w:val="0"/>
          <w:lang w:val="hy-AM"/>
        </w:rPr>
        <w:t>համահունչ</w:t>
      </w:r>
      <w:r w:rsidRPr="00A83C94">
        <w:rPr>
          <w:rFonts w:eastAsia="Calibri"/>
          <w:b w:val="0"/>
          <w:lang w:val="hy-AM"/>
        </w:rPr>
        <w:t xml:space="preserve"> </w:t>
      </w:r>
      <w:r w:rsidRPr="00A83C94">
        <w:rPr>
          <w:rFonts w:eastAsia="Calibri" w:cs="GHEA Grapalat"/>
          <w:b w:val="0"/>
          <w:lang w:val="hy-AM"/>
        </w:rPr>
        <w:t>է</w:t>
      </w:r>
      <w:r w:rsidRPr="00A83C94">
        <w:rPr>
          <w:rFonts w:eastAsia="Calibri"/>
          <w:b w:val="0"/>
          <w:lang w:val="hy-AM"/>
        </w:rPr>
        <w:t xml:space="preserve"> </w:t>
      </w:r>
      <w:r w:rsidRPr="00A83C94">
        <w:rPr>
          <w:rFonts w:eastAsia="Calibri" w:cs="GHEA Grapalat"/>
          <w:b w:val="0"/>
          <w:lang w:val="hy-AM"/>
        </w:rPr>
        <w:t>նպատակադրած</w:t>
      </w:r>
      <w:r w:rsidRPr="00A83C94">
        <w:rPr>
          <w:rFonts w:eastAsia="Calibri"/>
          <w:b w:val="0"/>
          <w:lang w:val="hy-AM"/>
        </w:rPr>
        <w:t xml:space="preserve">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աճի</w:t>
      </w:r>
      <w:r w:rsidRPr="00A83C94">
        <w:rPr>
          <w:rFonts w:eastAsia="Calibri"/>
          <w:b w:val="0"/>
          <w:lang w:val="hy-AM"/>
        </w:rPr>
        <w:t xml:space="preserve"> </w:t>
      </w:r>
      <w:r w:rsidRPr="00A83C94">
        <w:rPr>
          <w:rFonts w:eastAsia="Calibri" w:cs="GHEA Grapalat"/>
          <w:b w:val="0"/>
          <w:lang w:val="hy-AM"/>
        </w:rPr>
        <w:t xml:space="preserve">թիրախին։ </w:t>
      </w:r>
      <w:r w:rsidRPr="00A83C94">
        <w:rPr>
          <w:rFonts w:eastAsia="Calibri"/>
          <w:b w:val="0"/>
          <w:lang w:val="hy-AM"/>
        </w:rPr>
        <w:t xml:space="preserve"> </w:t>
      </w:r>
      <w:r w:rsidRPr="00A83C94">
        <w:rPr>
          <w:rFonts w:eastAsia="Calibri" w:cs="GHEA Grapalat"/>
          <w:b w:val="0"/>
          <w:lang w:val="hy-AM"/>
        </w:rPr>
        <w:t>Կանխատեսված</w:t>
      </w:r>
      <w:r w:rsidRPr="00A83C94">
        <w:rPr>
          <w:rFonts w:eastAsia="Calibri"/>
          <w:b w:val="0"/>
          <w:lang w:val="hy-AM"/>
        </w:rPr>
        <w:t xml:space="preserve">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աճի</w:t>
      </w:r>
      <w:r w:rsidRPr="00A83C94">
        <w:rPr>
          <w:rFonts w:eastAsia="Calibri"/>
          <w:b w:val="0"/>
          <w:lang w:val="hy-AM"/>
        </w:rPr>
        <w:t xml:space="preserve"> </w:t>
      </w:r>
      <w:r w:rsidRPr="00A83C94">
        <w:rPr>
          <w:rFonts w:eastAsia="Calibri" w:cs="GHEA Grapalat"/>
          <w:b w:val="0"/>
          <w:lang w:val="hy-AM"/>
        </w:rPr>
        <w:t>հիմքում</w:t>
      </w:r>
      <w:r w:rsidRPr="00A83C94">
        <w:rPr>
          <w:rFonts w:eastAsia="Calibri"/>
          <w:b w:val="0"/>
          <w:lang w:val="hy-AM"/>
        </w:rPr>
        <w:t xml:space="preserve"> </w:t>
      </w:r>
      <w:r w:rsidRPr="00A83C94">
        <w:rPr>
          <w:rFonts w:eastAsia="Calibri" w:cs="GHEA Grapalat"/>
          <w:b w:val="0"/>
          <w:lang w:val="hy-AM"/>
        </w:rPr>
        <w:t>ընկած</w:t>
      </w:r>
      <w:r w:rsidRPr="00A83C94">
        <w:rPr>
          <w:rFonts w:eastAsia="Calibri"/>
          <w:b w:val="0"/>
          <w:lang w:val="hy-AM"/>
        </w:rPr>
        <w:t xml:space="preserve"> </w:t>
      </w:r>
      <w:r w:rsidRPr="00A83C94">
        <w:rPr>
          <w:rFonts w:eastAsia="Calibri" w:cs="GHEA Grapalat"/>
          <w:b w:val="0"/>
          <w:lang w:val="hy-AM"/>
        </w:rPr>
        <w:t>են</w:t>
      </w:r>
      <w:r w:rsidRPr="00A83C94">
        <w:rPr>
          <w:rFonts w:eastAsia="Calibri"/>
          <w:b w:val="0"/>
          <w:lang w:val="hy-AM"/>
        </w:rPr>
        <w:t xml:space="preserve"> </w:t>
      </w:r>
      <w:r w:rsidRPr="00A83C94">
        <w:rPr>
          <w:rFonts w:eastAsia="Calibri" w:cs="GHEA Grapalat"/>
          <w:b w:val="0"/>
          <w:lang w:val="hy-AM"/>
        </w:rPr>
        <w:t>ՀՀ</w:t>
      </w:r>
      <w:r w:rsidRPr="00A83C94">
        <w:rPr>
          <w:rFonts w:eastAsia="Calibri"/>
          <w:b w:val="0"/>
          <w:lang w:val="hy-AM"/>
        </w:rPr>
        <w:t xml:space="preserve"> </w:t>
      </w:r>
      <w:r w:rsidRPr="00A83C94">
        <w:rPr>
          <w:rFonts w:eastAsia="Calibri" w:cs="GHEA Grapalat"/>
          <w:b w:val="0"/>
          <w:lang w:val="hy-AM"/>
        </w:rPr>
        <w:t>կառավարության</w:t>
      </w:r>
      <w:r w:rsidRPr="00A83C94">
        <w:rPr>
          <w:rFonts w:eastAsia="Calibri"/>
          <w:b w:val="0"/>
          <w:lang w:val="hy-AM"/>
        </w:rPr>
        <w:t xml:space="preserve"> </w:t>
      </w:r>
      <w:r w:rsidRPr="00A83C94">
        <w:rPr>
          <w:rFonts w:eastAsia="Calibri" w:cs="GHEA Grapalat"/>
          <w:b w:val="0"/>
          <w:lang w:val="hy-AM"/>
        </w:rPr>
        <w:t>կ</w:t>
      </w:r>
      <w:r w:rsidRPr="00A83C94">
        <w:rPr>
          <w:rFonts w:eastAsia="Calibri"/>
          <w:b w:val="0"/>
          <w:lang w:val="hy-AM"/>
        </w:rPr>
        <w:t xml:space="preserve">ողմից թիրախավորված տնտեսական աճի ներուժի բարձրացման ուղղված այնպիսի միջոցառումներ, ինչպիսիք են մեծածավալ պետական ներդրումների իրականացումը ենթակառուցվածքներում և մարդկային կապիտալի զարգացմանը միտված ոլորտներում, գործարար միջավայրի բարելավման, տեխնոլոգիական առաջընթացի ապահովման, տնտեսության արտահանելի հատվածի և արտահանման խթանմանն ուղղված քաղաքականությունները, որոնք կխթանեն ինչպես նեքին, այնպես էլ օտարերկրյա միջոցներով ֆինանսավորվող մասնավոր ներդրումների իրականացումը, կնպաստեն արտահանման ծավալների մեծացմանը, ինչպես նաև ընդհանուր արտադրողականության բարձրացմանը։ </w:t>
      </w:r>
    </w:p>
    <w:p w14:paraId="55C15813" w14:textId="77777777" w:rsidR="00C34A4E" w:rsidRPr="00A83C94" w:rsidRDefault="00C34A4E" w:rsidP="00C34A4E">
      <w:pPr>
        <w:pStyle w:val="ListParagraph"/>
        <w:spacing w:line="276" w:lineRule="auto"/>
        <w:ind w:firstLine="0"/>
        <w:rPr>
          <w:rFonts w:eastAsia="Calibri"/>
          <w:b w:val="0"/>
          <w:lang w:val="hy-AM"/>
        </w:rPr>
      </w:pPr>
    </w:p>
    <w:p w14:paraId="755CA917" w14:textId="77777777" w:rsidR="00C34A4E" w:rsidRPr="00A83C94" w:rsidRDefault="00C34A4E" w:rsidP="00C34A4E">
      <w:pPr>
        <w:numPr>
          <w:ilvl w:val="0"/>
          <w:numId w:val="28"/>
        </w:numPr>
        <w:tabs>
          <w:tab w:val="right" w:pos="0"/>
        </w:tabs>
        <w:spacing w:before="40" w:after="120" w:line="276" w:lineRule="auto"/>
        <w:contextualSpacing w:val="0"/>
        <w:rPr>
          <w:b w:val="0"/>
          <w:lang w:val="hy-AM"/>
        </w:rPr>
      </w:pPr>
      <w:r w:rsidRPr="00A83C94">
        <w:rPr>
          <w:b w:val="0"/>
          <w:lang w:val="hy-AM"/>
        </w:rPr>
        <w:t>Ներքին պահանջարկի արագ վերականգնումը կարտացոլվի ներմուծման արագացմամբ, սակայն արտահանման առաջանցիկ աճն ու դրամական փոխանցումների բարձր մակարդակները կնպաստեն ընթացիկ հաշվի բարելավմանը:</w:t>
      </w:r>
      <w:r w:rsidRPr="00A83C94">
        <w:rPr>
          <w:rFonts w:cs="Times Armenian"/>
          <w:b w:val="0"/>
          <w:bCs/>
          <w:szCs w:val="22"/>
          <w:lang w:val="hy-AM" w:eastAsia="en-US"/>
        </w:rPr>
        <w:t xml:space="preserve"> </w:t>
      </w:r>
      <w:r w:rsidRPr="00A83C94">
        <w:rPr>
          <w:b w:val="0"/>
          <w:lang w:val="hy-AM"/>
        </w:rPr>
        <w:t>Հիմնականում դրամական փոխանցումների արագ վերականգմամբ պայմանավորված 2021թ. ընթացիկ հաշվի պակասուրդը կբարելավվի, իսկ 2022թ</w:t>
      </w:r>
      <w:r w:rsidRPr="00A83C94">
        <w:rPr>
          <w:rFonts w:ascii="Times New Roman" w:hAnsi="Times New Roman"/>
          <w:b w:val="0"/>
          <w:lang w:val="hy-AM"/>
        </w:rPr>
        <w:t>․</w:t>
      </w:r>
      <w:r w:rsidRPr="00A83C94">
        <w:rPr>
          <w:b w:val="0"/>
          <w:lang w:val="hy-AM"/>
        </w:rPr>
        <w:t xml:space="preserve"> առևտրային հաշվեկշռի վատթարացմամբ պայմանավորված՝ </w:t>
      </w:r>
      <w:r w:rsidRPr="00A83C94">
        <w:rPr>
          <w:rFonts w:cs="Times Armenian"/>
          <w:b w:val="0"/>
          <w:bCs/>
          <w:szCs w:val="22"/>
          <w:lang w:val="hy-AM" w:eastAsia="en-US"/>
        </w:rPr>
        <w:t>փոքր-ինչ կխորանա</w:t>
      </w:r>
      <w:r w:rsidRPr="00A83C94">
        <w:rPr>
          <w:b w:val="0"/>
          <w:lang w:val="hy-AM"/>
        </w:rPr>
        <w:t xml:space="preserve">: </w:t>
      </w:r>
    </w:p>
    <w:p w14:paraId="7ECFCF89" w14:textId="77777777" w:rsidR="00C34A4E" w:rsidRPr="00A83C94" w:rsidRDefault="00C34A4E" w:rsidP="00C34A4E">
      <w:pPr>
        <w:numPr>
          <w:ilvl w:val="0"/>
          <w:numId w:val="28"/>
        </w:numPr>
        <w:tabs>
          <w:tab w:val="right" w:pos="0"/>
        </w:tabs>
        <w:spacing w:before="40" w:after="120" w:line="276" w:lineRule="auto"/>
        <w:contextualSpacing w:val="0"/>
        <w:rPr>
          <w:rFonts w:cs="Times Armenian"/>
          <w:b w:val="0"/>
          <w:bCs/>
          <w:szCs w:val="22"/>
          <w:lang w:val="hy-AM" w:eastAsia="en-US"/>
        </w:rPr>
      </w:pPr>
      <w:r w:rsidRPr="00A83C94">
        <w:rPr>
          <w:b w:val="0"/>
          <w:lang w:val="hy-AM"/>
        </w:rPr>
        <w:t>2021թ. ՀՀ Կառավարությունը իրականացրել է սահուն հարկաբյուջետային կոնսոլիդացիա՝ նպատակ ունենալով չխաթարել տնտեսության վերականգնումը և ապահովել պարտքի բեռի աճի տեմպի դանդաղում, իսկ 2022թ.՝ հարկաբյուջետային քաղաքականությունն ուղղված կլինի տնտեսական աճի խթանմանը՝ շեշտադրվելով պետական ներդրումների մասնաբաժնի էական մեծացումը և ծախսերի իրականացման արդյունավետության բարձրացումը, ինչպես նաև՝ պարտքի կայունություն պահպանմանը:</w:t>
      </w:r>
      <w:r w:rsidRPr="00A83C94">
        <w:rPr>
          <w:rFonts w:cs="Times Armenian"/>
          <w:b w:val="0"/>
          <w:bCs/>
          <w:szCs w:val="22"/>
          <w:lang w:val="hy-AM" w:eastAsia="en-US"/>
        </w:rPr>
        <w:t xml:space="preserve"> </w:t>
      </w:r>
    </w:p>
    <w:p w14:paraId="0559C876" w14:textId="77777777" w:rsidR="00C34A4E" w:rsidRPr="00A83C94" w:rsidRDefault="00C34A4E" w:rsidP="00C34A4E">
      <w:pPr>
        <w:numPr>
          <w:ilvl w:val="0"/>
          <w:numId w:val="28"/>
        </w:numPr>
        <w:tabs>
          <w:tab w:val="right" w:pos="0"/>
        </w:tabs>
        <w:spacing w:before="40" w:after="120" w:line="276" w:lineRule="auto"/>
        <w:contextualSpacing w:val="0"/>
        <w:rPr>
          <w:rFonts w:cs="Times Armenian"/>
          <w:b w:val="0"/>
          <w:bCs/>
          <w:szCs w:val="22"/>
          <w:lang w:val="hy-AM" w:eastAsia="en-US"/>
        </w:rPr>
      </w:pPr>
      <w:r w:rsidRPr="00A83C94">
        <w:rPr>
          <w:rFonts w:cs="Times Armenian"/>
          <w:b w:val="0"/>
          <w:bCs/>
          <w:szCs w:val="22"/>
          <w:lang w:val="hy-AM"/>
        </w:rPr>
        <w:t>Կարճաժամկետ հատվածում ՀՀ կենտրոնական բանկը կշարունակի իրականացնել գնաճային սպասումների արագացման ռիսկերի չեզոքացմանն ուղղված դրամավարկային քաղաքականություն՝ միևնույն ժամանակ ապահովելով հնարավորին նպաստավոր պայմաններ ամբողջական պահանջարկի վերականգնման համար, իսկ 2022թ. գնաճի նպատակային ցուցանիշին հասնելու նպատակով՝ ցանկացած ռիսկերի դրսևորման պարագայում պատրաստ է համապատասխանորեն արձագանքել։</w:t>
      </w:r>
    </w:p>
    <w:p w14:paraId="606C1CEC" w14:textId="77777777" w:rsidR="00C34A4E" w:rsidRPr="00A83C94" w:rsidRDefault="00C34A4E" w:rsidP="00C34A4E">
      <w:pPr>
        <w:numPr>
          <w:ilvl w:val="0"/>
          <w:numId w:val="28"/>
        </w:numPr>
        <w:tabs>
          <w:tab w:val="right" w:pos="0"/>
        </w:tabs>
        <w:spacing w:before="40" w:after="120" w:line="276" w:lineRule="auto"/>
        <w:contextualSpacing w:val="0"/>
        <w:rPr>
          <w:rFonts w:cs="Times Armenian"/>
          <w:b w:val="0"/>
          <w:bCs/>
          <w:szCs w:val="22"/>
          <w:lang w:val="hy-AM" w:eastAsia="en-US"/>
        </w:rPr>
      </w:pPr>
      <w:r w:rsidRPr="00A83C94">
        <w:rPr>
          <w:rFonts w:cs="Times Armenian"/>
          <w:b w:val="0"/>
          <w:bCs/>
          <w:szCs w:val="22"/>
          <w:lang w:val="hy-AM" w:eastAsia="en-US"/>
        </w:rPr>
        <w:t>Հաշվի առնելով արտաքին տնտեսական միջավայրի՝ համավարակի հետագա զարգացումներով պայմանավորված որոշակի անորոշությունները,  պետական կապիտալ ներդրումների իրականացման և տնտեսության կլանման հնարավորությունների սահմանափակումները, ինչպես նաև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դրսևորումները՝ 2022թ</w:t>
      </w:r>
      <w:r w:rsidRPr="00A83C94">
        <w:rPr>
          <w:rFonts w:ascii="Cambria Math" w:hAnsi="Cambria Math" w:cs="Cambria Math"/>
          <w:b w:val="0"/>
          <w:bCs/>
          <w:szCs w:val="22"/>
          <w:lang w:val="hy-AM" w:eastAsia="en-US"/>
        </w:rPr>
        <w:t>․</w:t>
      </w:r>
      <w:r w:rsidRPr="00A83C94">
        <w:rPr>
          <w:rFonts w:cs="Times Armenian"/>
          <w:b w:val="0"/>
          <w:bCs/>
          <w:szCs w:val="22"/>
          <w:lang w:val="hy-AM" w:eastAsia="en-US"/>
        </w:rPr>
        <w:t xml:space="preserve"> </w:t>
      </w:r>
      <w:r w:rsidRPr="00A83C94">
        <w:rPr>
          <w:rFonts w:cs="GHEA Grapalat"/>
          <w:b w:val="0"/>
          <w:bCs/>
          <w:szCs w:val="22"/>
          <w:lang w:val="hy-AM" w:eastAsia="en-US"/>
        </w:rPr>
        <w:t>ՀՀ</w:t>
      </w:r>
      <w:r w:rsidRPr="00A83C94">
        <w:rPr>
          <w:rFonts w:cs="Times Armenian"/>
          <w:b w:val="0"/>
          <w:bCs/>
          <w:szCs w:val="22"/>
          <w:lang w:val="hy-AM" w:eastAsia="en-US"/>
        </w:rPr>
        <w:t xml:space="preserve"> </w:t>
      </w:r>
      <w:r w:rsidRPr="00A83C94">
        <w:rPr>
          <w:rFonts w:cs="GHEA Grapalat"/>
          <w:b w:val="0"/>
          <w:bCs/>
          <w:szCs w:val="22"/>
          <w:lang w:val="hy-AM" w:eastAsia="en-US"/>
        </w:rPr>
        <w:t>տնտեսական</w:t>
      </w:r>
      <w:r w:rsidRPr="00A83C94">
        <w:rPr>
          <w:rFonts w:cs="Times Armenian"/>
          <w:b w:val="0"/>
          <w:bCs/>
          <w:szCs w:val="22"/>
          <w:lang w:val="hy-AM" w:eastAsia="en-US"/>
        </w:rPr>
        <w:t xml:space="preserve"> </w:t>
      </w:r>
      <w:r w:rsidRPr="00A83C94">
        <w:rPr>
          <w:rFonts w:cs="GHEA Grapalat"/>
          <w:b w:val="0"/>
          <w:bCs/>
          <w:szCs w:val="22"/>
          <w:lang w:val="hy-AM" w:eastAsia="en-US"/>
        </w:rPr>
        <w:t>աճի</w:t>
      </w:r>
      <w:r w:rsidRPr="00A83C94">
        <w:rPr>
          <w:rFonts w:cs="Times Armenian"/>
          <w:b w:val="0"/>
          <w:bCs/>
          <w:szCs w:val="22"/>
          <w:lang w:val="hy-AM" w:eastAsia="en-US"/>
        </w:rPr>
        <w:t xml:space="preserve"> </w:t>
      </w:r>
      <w:r w:rsidRPr="00A83C94">
        <w:rPr>
          <w:rFonts w:cs="GHEA Grapalat"/>
          <w:b w:val="0"/>
          <w:bCs/>
          <w:szCs w:val="22"/>
          <w:lang w:val="hy-AM" w:eastAsia="en-US"/>
        </w:rPr>
        <w:t>կանխատեսումների</w:t>
      </w:r>
      <w:r w:rsidRPr="00A83C94">
        <w:rPr>
          <w:rFonts w:cs="Times Armenian"/>
          <w:b w:val="0"/>
          <w:bCs/>
          <w:szCs w:val="22"/>
          <w:lang w:val="hy-AM" w:eastAsia="en-US"/>
        </w:rPr>
        <w:t xml:space="preserve"> </w:t>
      </w:r>
      <w:r w:rsidRPr="00A83C94">
        <w:rPr>
          <w:rFonts w:cs="GHEA Grapalat"/>
          <w:b w:val="0"/>
          <w:bCs/>
          <w:szCs w:val="22"/>
          <w:lang w:val="hy-AM" w:eastAsia="en-US"/>
        </w:rPr>
        <w:t>ռիսկեր</w:t>
      </w:r>
      <w:r w:rsidRPr="00A83C94">
        <w:rPr>
          <w:rFonts w:cs="Times Armenian"/>
          <w:b w:val="0"/>
          <w:bCs/>
          <w:szCs w:val="22"/>
          <w:lang w:val="hy-AM" w:eastAsia="en-US"/>
        </w:rPr>
        <w:t>ը գնահատվում են դեպի ներքև։</w:t>
      </w:r>
    </w:p>
    <w:p w14:paraId="2E9E8392" w14:textId="77777777" w:rsidR="00C34A4E" w:rsidRPr="00A83C94" w:rsidRDefault="00C34A4E" w:rsidP="00C34A4E">
      <w:pPr>
        <w:tabs>
          <w:tab w:val="right" w:pos="0"/>
        </w:tabs>
        <w:spacing w:before="0" w:line="276" w:lineRule="auto"/>
        <w:ind w:firstLine="284"/>
        <w:rPr>
          <w:rFonts w:cs="Times Armenian"/>
          <w:bCs/>
          <w:szCs w:val="22"/>
          <w:lang w:val="hy-AM"/>
        </w:rPr>
      </w:pPr>
      <w:r w:rsidRPr="00A83C94">
        <w:rPr>
          <w:rFonts w:eastAsia="Calibri" w:cs="Sylfaen"/>
          <w:bCs/>
          <w:i/>
          <w:iCs/>
          <w:color w:val="000000"/>
          <w:szCs w:val="22"/>
          <w:lang w:val="hy-AM"/>
        </w:rPr>
        <w:t>Աղյուսակ</w:t>
      </w:r>
      <w:r w:rsidRPr="00A83C94">
        <w:rPr>
          <w:rFonts w:eastAsia="Calibri"/>
          <w:bCs/>
          <w:i/>
          <w:iCs/>
          <w:color w:val="000000"/>
          <w:szCs w:val="22"/>
          <w:lang w:val="hy-AM"/>
        </w:rPr>
        <w:t xml:space="preserve"> 1.1. </w:t>
      </w:r>
      <w:r w:rsidRPr="00A83C94">
        <w:rPr>
          <w:rFonts w:eastAsia="Calibri"/>
          <w:b w:val="0"/>
          <w:i/>
          <w:iCs/>
          <w:color w:val="000000"/>
          <w:szCs w:val="22"/>
          <w:lang w:val="hy-AM"/>
        </w:rPr>
        <w:t>2022թ. պետական բյուջեի մակրոտնտեսական շրջանակ</w:t>
      </w:r>
    </w:p>
    <w:tbl>
      <w:tblPr>
        <w:tblStyle w:val="GridTable1Light-Accent51112"/>
        <w:tblpPr w:leftFromText="180" w:rightFromText="180" w:vertAnchor="text" w:horzAnchor="margin" w:tblpXSpec="right" w:tblpY="107"/>
        <w:tblW w:w="9488"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510"/>
        <w:gridCol w:w="1276"/>
        <w:gridCol w:w="1134"/>
        <w:gridCol w:w="1153"/>
        <w:gridCol w:w="1134"/>
        <w:gridCol w:w="1281"/>
      </w:tblGrid>
      <w:tr w:rsidR="00C34A4E" w:rsidRPr="00A83C94" w14:paraId="06E3BD99" w14:textId="77777777" w:rsidTr="00733935">
        <w:trPr>
          <w:trHeight w:val="258"/>
          <w:tblHeader/>
        </w:trPr>
        <w:tc>
          <w:tcPr>
            <w:tcW w:w="3510" w:type="dxa"/>
            <w:vMerge w:val="restart"/>
            <w:noWrap/>
          </w:tcPr>
          <w:p w14:paraId="122A38DB" w14:textId="77777777" w:rsidR="00C34A4E" w:rsidRPr="00A83C94" w:rsidRDefault="00C34A4E" w:rsidP="00733935">
            <w:pPr>
              <w:spacing w:before="0" w:line="276" w:lineRule="auto"/>
              <w:rPr>
                <w:rFonts w:cs="Sylfaen"/>
                <w:b w:val="0"/>
                <w:i/>
                <w:iCs/>
                <w:sz w:val="20"/>
                <w:szCs w:val="20"/>
              </w:rPr>
            </w:pPr>
            <w:r w:rsidRPr="00A83C94">
              <w:rPr>
                <w:rFonts w:cs="Sylfaen"/>
                <w:b w:val="0"/>
                <w:i/>
                <w:iCs/>
                <w:sz w:val="20"/>
                <w:szCs w:val="20"/>
              </w:rPr>
              <w:t>Հիմնական մակրոտնտեսական ցուցանիշներ</w:t>
            </w:r>
          </w:p>
        </w:tc>
        <w:tc>
          <w:tcPr>
            <w:tcW w:w="1276" w:type="dxa"/>
          </w:tcPr>
          <w:p w14:paraId="78D3E19A" w14:textId="77777777" w:rsidR="00C34A4E" w:rsidRPr="00A83C94" w:rsidRDefault="00C34A4E" w:rsidP="00733935">
            <w:pPr>
              <w:spacing w:before="0" w:line="276" w:lineRule="auto"/>
              <w:ind w:firstLine="0"/>
              <w:jc w:val="center"/>
              <w:rPr>
                <w:rFonts w:cs="Arial"/>
                <w:bCs/>
                <w:sz w:val="20"/>
                <w:szCs w:val="20"/>
              </w:rPr>
            </w:pPr>
            <w:r w:rsidRPr="00A83C94">
              <w:rPr>
                <w:rFonts w:cs="Arial"/>
                <w:bCs/>
                <w:sz w:val="20"/>
                <w:szCs w:val="20"/>
              </w:rPr>
              <w:t>2018</w:t>
            </w:r>
          </w:p>
        </w:tc>
        <w:tc>
          <w:tcPr>
            <w:tcW w:w="1134" w:type="dxa"/>
          </w:tcPr>
          <w:p w14:paraId="7382CC0D" w14:textId="77777777" w:rsidR="00C34A4E" w:rsidRPr="00A83C94" w:rsidRDefault="00C34A4E" w:rsidP="00733935">
            <w:pPr>
              <w:spacing w:before="0" w:line="276" w:lineRule="auto"/>
              <w:ind w:firstLine="0"/>
              <w:jc w:val="center"/>
              <w:rPr>
                <w:rFonts w:cs="Arial"/>
                <w:bCs/>
                <w:sz w:val="20"/>
                <w:szCs w:val="20"/>
              </w:rPr>
            </w:pPr>
            <w:r w:rsidRPr="00A83C94">
              <w:rPr>
                <w:rFonts w:cs="Arial"/>
                <w:bCs/>
                <w:sz w:val="20"/>
                <w:szCs w:val="20"/>
              </w:rPr>
              <w:t>2019</w:t>
            </w:r>
          </w:p>
        </w:tc>
        <w:tc>
          <w:tcPr>
            <w:tcW w:w="1153" w:type="dxa"/>
          </w:tcPr>
          <w:p w14:paraId="7BDAF958" w14:textId="77777777" w:rsidR="00C34A4E" w:rsidRPr="00A83C94" w:rsidRDefault="00C34A4E" w:rsidP="00733935">
            <w:pPr>
              <w:spacing w:before="0" w:line="276" w:lineRule="auto"/>
              <w:ind w:firstLine="0"/>
              <w:jc w:val="center"/>
              <w:rPr>
                <w:rFonts w:cs="Arial"/>
                <w:bCs/>
                <w:sz w:val="20"/>
                <w:szCs w:val="20"/>
              </w:rPr>
            </w:pPr>
            <w:r w:rsidRPr="00A83C94">
              <w:rPr>
                <w:rFonts w:cs="Arial"/>
                <w:bCs/>
                <w:sz w:val="20"/>
                <w:szCs w:val="20"/>
              </w:rPr>
              <w:t>2020</w:t>
            </w:r>
          </w:p>
        </w:tc>
        <w:tc>
          <w:tcPr>
            <w:tcW w:w="1134" w:type="dxa"/>
            <w:shd w:val="clear" w:color="auto" w:fill="D9E2F3"/>
          </w:tcPr>
          <w:p w14:paraId="1A9C9118" w14:textId="77777777" w:rsidR="00C34A4E" w:rsidRPr="00A83C94" w:rsidRDefault="00C34A4E" w:rsidP="00733935">
            <w:pPr>
              <w:spacing w:before="0" w:line="276" w:lineRule="auto"/>
              <w:ind w:firstLine="0"/>
              <w:jc w:val="center"/>
              <w:rPr>
                <w:rFonts w:cs="Arial"/>
                <w:bCs/>
                <w:sz w:val="20"/>
                <w:szCs w:val="20"/>
              </w:rPr>
            </w:pPr>
            <w:r w:rsidRPr="00A83C94">
              <w:rPr>
                <w:rFonts w:cs="Arial"/>
                <w:bCs/>
                <w:sz w:val="20"/>
                <w:szCs w:val="20"/>
              </w:rPr>
              <w:t>2021</w:t>
            </w:r>
          </w:p>
        </w:tc>
        <w:tc>
          <w:tcPr>
            <w:tcW w:w="1281" w:type="dxa"/>
            <w:shd w:val="clear" w:color="auto" w:fill="D9E2F3"/>
          </w:tcPr>
          <w:p w14:paraId="0376FD65" w14:textId="77777777" w:rsidR="00C34A4E" w:rsidRPr="00A83C94" w:rsidRDefault="00C34A4E" w:rsidP="00733935">
            <w:pPr>
              <w:spacing w:before="0" w:line="276" w:lineRule="auto"/>
              <w:ind w:firstLine="0"/>
              <w:jc w:val="center"/>
              <w:rPr>
                <w:rFonts w:cs="Arial"/>
                <w:bCs/>
                <w:sz w:val="20"/>
                <w:szCs w:val="20"/>
              </w:rPr>
            </w:pPr>
            <w:r w:rsidRPr="00A83C94">
              <w:rPr>
                <w:rFonts w:cs="Arial"/>
                <w:bCs/>
                <w:sz w:val="20"/>
                <w:szCs w:val="20"/>
              </w:rPr>
              <w:t>2022</w:t>
            </w:r>
          </w:p>
        </w:tc>
      </w:tr>
      <w:tr w:rsidR="00C34A4E" w:rsidRPr="00A83C94" w14:paraId="02D3F18D" w14:textId="77777777" w:rsidTr="00733935">
        <w:trPr>
          <w:trHeight w:val="272"/>
          <w:tblHeader/>
        </w:trPr>
        <w:tc>
          <w:tcPr>
            <w:tcW w:w="3510" w:type="dxa"/>
            <w:vMerge/>
            <w:noWrap/>
          </w:tcPr>
          <w:p w14:paraId="69ED4902" w14:textId="77777777" w:rsidR="00C34A4E" w:rsidRPr="00A83C94" w:rsidRDefault="00C34A4E" w:rsidP="00733935">
            <w:pPr>
              <w:spacing w:before="0" w:line="276" w:lineRule="auto"/>
              <w:rPr>
                <w:rFonts w:cs="Sylfaen"/>
                <w:b w:val="0"/>
                <w:sz w:val="20"/>
                <w:szCs w:val="20"/>
              </w:rPr>
            </w:pPr>
          </w:p>
        </w:tc>
        <w:tc>
          <w:tcPr>
            <w:tcW w:w="1276" w:type="dxa"/>
          </w:tcPr>
          <w:p w14:paraId="4F16B4EE" w14:textId="77777777" w:rsidR="00C34A4E" w:rsidRPr="00A83C94" w:rsidRDefault="00C34A4E" w:rsidP="00733935">
            <w:pPr>
              <w:spacing w:before="0" w:line="276" w:lineRule="auto"/>
              <w:ind w:firstLine="0"/>
              <w:jc w:val="center"/>
              <w:rPr>
                <w:rFonts w:cs="Arial"/>
                <w:bCs/>
                <w:sz w:val="20"/>
                <w:szCs w:val="20"/>
              </w:rPr>
            </w:pPr>
            <w:r w:rsidRPr="00A83C94">
              <w:rPr>
                <w:rFonts w:cs="Sylfaen"/>
                <w:sz w:val="20"/>
                <w:szCs w:val="20"/>
              </w:rPr>
              <w:t>փաստ</w:t>
            </w:r>
          </w:p>
        </w:tc>
        <w:tc>
          <w:tcPr>
            <w:tcW w:w="1134" w:type="dxa"/>
          </w:tcPr>
          <w:p w14:paraId="3527FB2F" w14:textId="77777777" w:rsidR="00C34A4E" w:rsidRPr="00A83C94" w:rsidRDefault="00C34A4E" w:rsidP="00733935">
            <w:pPr>
              <w:spacing w:before="0" w:line="276" w:lineRule="auto"/>
              <w:ind w:firstLine="0"/>
              <w:jc w:val="center"/>
              <w:rPr>
                <w:rFonts w:cs="Arial"/>
                <w:bCs/>
                <w:sz w:val="20"/>
                <w:szCs w:val="20"/>
              </w:rPr>
            </w:pPr>
            <w:r w:rsidRPr="00A83C94">
              <w:rPr>
                <w:rFonts w:cs="Sylfaen"/>
                <w:sz w:val="20"/>
                <w:szCs w:val="20"/>
              </w:rPr>
              <w:t>փաստ</w:t>
            </w:r>
          </w:p>
        </w:tc>
        <w:tc>
          <w:tcPr>
            <w:tcW w:w="1153" w:type="dxa"/>
          </w:tcPr>
          <w:p w14:paraId="59DC030E" w14:textId="2E4EADBA" w:rsidR="00C34A4E" w:rsidRPr="00A83C94" w:rsidRDefault="0077355D" w:rsidP="00733935">
            <w:pPr>
              <w:spacing w:before="0" w:line="276" w:lineRule="auto"/>
              <w:ind w:firstLine="0"/>
              <w:jc w:val="center"/>
              <w:rPr>
                <w:rFonts w:cs="Arial"/>
                <w:bCs/>
                <w:sz w:val="20"/>
                <w:szCs w:val="20"/>
              </w:rPr>
            </w:pPr>
            <w:r>
              <w:rPr>
                <w:rFonts w:cs="Sylfaen"/>
                <w:sz w:val="20"/>
                <w:szCs w:val="20"/>
                <w:lang w:val="en-US"/>
              </w:rPr>
              <w:t>փ</w:t>
            </w:r>
            <w:r w:rsidR="00C34A4E" w:rsidRPr="00A83C94">
              <w:rPr>
                <w:rFonts w:cs="Sylfaen"/>
                <w:sz w:val="20"/>
                <w:szCs w:val="20"/>
              </w:rPr>
              <w:t>աստ</w:t>
            </w:r>
          </w:p>
        </w:tc>
        <w:tc>
          <w:tcPr>
            <w:tcW w:w="1134" w:type="dxa"/>
            <w:shd w:val="clear" w:color="auto" w:fill="D9E2F3"/>
          </w:tcPr>
          <w:p w14:paraId="686E06C7" w14:textId="77777777" w:rsidR="00C34A4E" w:rsidRPr="00A83C94" w:rsidRDefault="00C34A4E" w:rsidP="00733935">
            <w:pPr>
              <w:spacing w:before="0" w:line="276" w:lineRule="auto"/>
              <w:ind w:firstLine="0"/>
              <w:jc w:val="center"/>
              <w:rPr>
                <w:rFonts w:cs="Arial"/>
                <w:bCs/>
                <w:sz w:val="20"/>
                <w:szCs w:val="20"/>
              </w:rPr>
            </w:pPr>
            <w:r w:rsidRPr="00A83C94">
              <w:rPr>
                <w:rFonts w:cs="Sylfaen"/>
                <w:sz w:val="20"/>
                <w:szCs w:val="20"/>
              </w:rPr>
              <w:t>սպասում</w:t>
            </w:r>
          </w:p>
        </w:tc>
        <w:tc>
          <w:tcPr>
            <w:tcW w:w="1281" w:type="dxa"/>
            <w:shd w:val="clear" w:color="auto" w:fill="D9E2F3"/>
          </w:tcPr>
          <w:p w14:paraId="6006E033" w14:textId="77777777" w:rsidR="00C34A4E" w:rsidRPr="00A83C94" w:rsidRDefault="00C34A4E" w:rsidP="00733935">
            <w:pPr>
              <w:spacing w:before="0" w:line="276" w:lineRule="auto"/>
              <w:ind w:firstLine="0"/>
              <w:jc w:val="center"/>
              <w:rPr>
                <w:rFonts w:cs="Arial"/>
                <w:bCs/>
                <w:sz w:val="20"/>
                <w:szCs w:val="20"/>
              </w:rPr>
            </w:pPr>
            <w:r w:rsidRPr="00A83C94">
              <w:rPr>
                <w:sz w:val="20"/>
                <w:szCs w:val="20"/>
              </w:rPr>
              <w:t>ծրագիր</w:t>
            </w:r>
          </w:p>
        </w:tc>
      </w:tr>
      <w:tr w:rsidR="00C34A4E" w:rsidRPr="00A83C94" w14:paraId="39CBEFEB" w14:textId="77777777" w:rsidTr="00733935">
        <w:trPr>
          <w:trHeight w:val="258"/>
        </w:trPr>
        <w:tc>
          <w:tcPr>
            <w:tcW w:w="3510" w:type="dxa"/>
            <w:noWrap/>
          </w:tcPr>
          <w:p w14:paraId="17E66CB7" w14:textId="77777777" w:rsidR="00C34A4E" w:rsidRPr="00A83C94" w:rsidRDefault="00C34A4E" w:rsidP="00733935">
            <w:pPr>
              <w:spacing w:before="0" w:line="276" w:lineRule="auto"/>
              <w:ind w:firstLine="0"/>
              <w:rPr>
                <w:rFonts w:cs="Sylfaen"/>
                <w:bCs/>
                <w:sz w:val="20"/>
                <w:szCs w:val="20"/>
              </w:rPr>
            </w:pPr>
            <w:r w:rsidRPr="00A83C94">
              <w:rPr>
                <w:rFonts w:cs="Sylfaen"/>
                <w:bCs/>
                <w:sz w:val="20"/>
                <w:szCs w:val="20"/>
              </w:rPr>
              <w:t>Անվանական ՀՆԱ, մլրդ դրամ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56EB0" w14:textId="77777777" w:rsidR="00C34A4E" w:rsidRPr="00A83C94" w:rsidRDefault="00C34A4E" w:rsidP="00733935">
            <w:pPr>
              <w:spacing w:before="0" w:line="276" w:lineRule="auto"/>
              <w:ind w:firstLine="0"/>
              <w:jc w:val="center"/>
              <w:rPr>
                <w:b w:val="0"/>
                <w:bCs/>
                <w:color w:val="000000"/>
                <w:sz w:val="20"/>
                <w:szCs w:val="20"/>
              </w:rPr>
            </w:pPr>
            <w:r w:rsidRPr="00A83C94">
              <w:rPr>
                <w:b w:val="0"/>
                <w:bCs/>
                <w:color w:val="000000"/>
                <w:sz w:val="20"/>
                <w:szCs w:val="20"/>
              </w:rPr>
              <w:t>6,017.0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5D44E58" w14:textId="77777777" w:rsidR="00C34A4E" w:rsidRPr="00A83C94" w:rsidRDefault="00C34A4E" w:rsidP="00733935">
            <w:pPr>
              <w:spacing w:before="0" w:line="276" w:lineRule="auto"/>
              <w:ind w:firstLine="0"/>
              <w:jc w:val="center"/>
              <w:rPr>
                <w:sz w:val="20"/>
                <w:szCs w:val="20"/>
              </w:rPr>
            </w:pPr>
            <w:r w:rsidRPr="00A83C94">
              <w:rPr>
                <w:b w:val="0"/>
                <w:bCs/>
                <w:color w:val="000000"/>
                <w:sz w:val="20"/>
                <w:szCs w:val="20"/>
              </w:rPr>
              <w:t>6,543.3</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1CCE8247" w14:textId="77777777" w:rsidR="00C34A4E" w:rsidRPr="00A83C94" w:rsidRDefault="00C34A4E" w:rsidP="00733935">
            <w:pPr>
              <w:spacing w:before="0" w:line="276" w:lineRule="auto"/>
              <w:ind w:firstLine="0"/>
              <w:jc w:val="center"/>
              <w:rPr>
                <w:sz w:val="20"/>
                <w:szCs w:val="20"/>
              </w:rPr>
            </w:pPr>
            <w:r w:rsidRPr="00A83C94">
              <w:rPr>
                <w:b w:val="0"/>
                <w:bCs/>
                <w:color w:val="000000"/>
                <w:sz w:val="20"/>
                <w:szCs w:val="20"/>
              </w:rPr>
              <w:t>6,181.7</w:t>
            </w:r>
          </w:p>
        </w:tc>
        <w:tc>
          <w:tcPr>
            <w:tcW w:w="1134" w:type="dxa"/>
            <w:shd w:val="clear" w:color="auto" w:fill="D9E2F3"/>
          </w:tcPr>
          <w:p w14:paraId="39689E62" w14:textId="77777777" w:rsidR="00C34A4E" w:rsidRPr="00A83C94" w:rsidRDefault="00C34A4E" w:rsidP="00733935">
            <w:pPr>
              <w:spacing w:before="0" w:line="276" w:lineRule="auto"/>
              <w:ind w:firstLine="0"/>
              <w:jc w:val="center"/>
              <w:rPr>
                <w:b w:val="0"/>
                <w:sz w:val="20"/>
                <w:szCs w:val="20"/>
              </w:rPr>
            </w:pPr>
            <w:r w:rsidRPr="00A83C94">
              <w:rPr>
                <w:b w:val="0"/>
                <w:sz w:val="20"/>
                <w:szCs w:val="20"/>
              </w:rPr>
              <w:t>7,031.2</w:t>
            </w:r>
          </w:p>
        </w:tc>
        <w:tc>
          <w:tcPr>
            <w:tcW w:w="1281" w:type="dxa"/>
            <w:shd w:val="clear" w:color="auto" w:fill="D9E2F3"/>
          </w:tcPr>
          <w:p w14:paraId="7D90DF1A" w14:textId="77777777" w:rsidR="00C34A4E" w:rsidRPr="00A83C94" w:rsidRDefault="00C34A4E" w:rsidP="00733935">
            <w:pPr>
              <w:spacing w:before="0" w:line="276" w:lineRule="auto"/>
              <w:ind w:firstLine="0"/>
              <w:jc w:val="center"/>
              <w:rPr>
                <w:b w:val="0"/>
                <w:sz w:val="20"/>
                <w:szCs w:val="20"/>
              </w:rPr>
            </w:pPr>
            <w:r w:rsidRPr="00A83C94">
              <w:rPr>
                <w:b w:val="0"/>
                <w:sz w:val="20"/>
                <w:szCs w:val="20"/>
              </w:rPr>
              <w:t>7,869.4</w:t>
            </w:r>
          </w:p>
        </w:tc>
      </w:tr>
      <w:tr w:rsidR="00C34A4E" w:rsidRPr="00A83C94" w14:paraId="5E660290" w14:textId="77777777" w:rsidTr="00733935">
        <w:trPr>
          <w:trHeight w:val="258"/>
        </w:trPr>
        <w:tc>
          <w:tcPr>
            <w:tcW w:w="3510" w:type="dxa"/>
            <w:noWrap/>
          </w:tcPr>
          <w:p w14:paraId="5FBFCD6E"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Տնտեսական աճ,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8E49A" w14:textId="77777777" w:rsidR="00C34A4E" w:rsidRPr="00A83C94" w:rsidRDefault="00C34A4E" w:rsidP="00733935">
            <w:pPr>
              <w:spacing w:before="0" w:line="276" w:lineRule="auto"/>
              <w:ind w:firstLine="0"/>
              <w:jc w:val="center"/>
              <w:rPr>
                <w:b w:val="0"/>
                <w:bCs/>
                <w:color w:val="000000"/>
                <w:sz w:val="20"/>
                <w:szCs w:val="20"/>
              </w:rPr>
            </w:pPr>
            <w:r w:rsidRPr="00A83C94">
              <w:rPr>
                <w:b w:val="0"/>
                <w:bCs/>
                <w:color w:val="000000"/>
                <w:sz w:val="20"/>
                <w:szCs w:val="20"/>
              </w:rPr>
              <w:t>5.2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DA6DA84"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szCs w:val="20"/>
              </w:rPr>
              <w:t>7.6</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5519A303" w14:textId="77777777" w:rsidR="00C34A4E" w:rsidRPr="00A83C94" w:rsidRDefault="00C34A4E" w:rsidP="00733935">
            <w:pPr>
              <w:spacing w:before="0" w:line="276" w:lineRule="auto"/>
              <w:ind w:firstLine="0"/>
              <w:jc w:val="center"/>
              <w:rPr>
                <w:rFonts w:eastAsia="Times New Roman" w:cs="Times New Roman"/>
                <w:b w:val="0"/>
                <w:sz w:val="20"/>
                <w:szCs w:val="20"/>
                <w:lang w:val="en-US"/>
              </w:rPr>
            </w:pPr>
            <w:r w:rsidRPr="00A83C94">
              <w:rPr>
                <w:b w:val="0"/>
                <w:color w:val="000000"/>
                <w:sz w:val="20"/>
                <w:szCs w:val="20"/>
                <w:lang w:val="en-US"/>
              </w:rPr>
              <w:t>-7.4</w:t>
            </w:r>
          </w:p>
        </w:tc>
        <w:tc>
          <w:tcPr>
            <w:tcW w:w="1134" w:type="dxa"/>
            <w:shd w:val="clear" w:color="auto" w:fill="D9E2F3"/>
          </w:tcPr>
          <w:p w14:paraId="538F989C"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6.5</w:t>
            </w:r>
          </w:p>
        </w:tc>
        <w:tc>
          <w:tcPr>
            <w:tcW w:w="1281" w:type="dxa"/>
            <w:shd w:val="clear" w:color="auto" w:fill="D9E2F3"/>
          </w:tcPr>
          <w:p w14:paraId="46DE6F70"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7.0</w:t>
            </w:r>
          </w:p>
        </w:tc>
      </w:tr>
      <w:tr w:rsidR="00C34A4E" w:rsidRPr="00A83C94" w14:paraId="5E4ECC5F" w14:textId="77777777" w:rsidTr="00733935">
        <w:trPr>
          <w:trHeight w:val="268"/>
        </w:trPr>
        <w:tc>
          <w:tcPr>
            <w:tcW w:w="3510" w:type="dxa"/>
            <w:noWrap/>
          </w:tcPr>
          <w:p w14:paraId="0A7D3737"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ՀՆԱ դեֆլյատորի աճ,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BF7D9" w14:textId="77777777" w:rsidR="00C34A4E" w:rsidRPr="00A83C94" w:rsidRDefault="00C34A4E" w:rsidP="00733935">
            <w:pPr>
              <w:spacing w:before="0" w:line="276" w:lineRule="auto"/>
              <w:ind w:firstLine="0"/>
              <w:jc w:val="center"/>
              <w:rPr>
                <w:b w:val="0"/>
                <w:bCs/>
                <w:color w:val="000000"/>
                <w:sz w:val="20"/>
                <w:szCs w:val="20"/>
              </w:rPr>
            </w:pPr>
            <w:r w:rsidRPr="00A83C94">
              <w:rPr>
                <w:b w:val="0"/>
                <w:bCs/>
                <w:color w:val="000000"/>
                <w:sz w:val="20"/>
                <w:szCs w:val="20"/>
              </w:rPr>
              <w:t>2.8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6200285"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szCs w:val="20"/>
              </w:rPr>
              <w:t>1.0</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550D751E"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szCs w:val="20"/>
              </w:rPr>
              <w:t>2.0</w:t>
            </w:r>
          </w:p>
        </w:tc>
        <w:tc>
          <w:tcPr>
            <w:tcW w:w="1134" w:type="dxa"/>
            <w:shd w:val="clear" w:color="auto" w:fill="D9E2F3"/>
          </w:tcPr>
          <w:p w14:paraId="0052EC2D"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6.8</w:t>
            </w:r>
          </w:p>
        </w:tc>
        <w:tc>
          <w:tcPr>
            <w:tcW w:w="1281" w:type="dxa"/>
            <w:shd w:val="clear" w:color="auto" w:fill="D9E2F3"/>
          </w:tcPr>
          <w:p w14:paraId="083B1986"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4.6</w:t>
            </w:r>
          </w:p>
        </w:tc>
      </w:tr>
      <w:tr w:rsidR="00C34A4E" w:rsidRPr="00A83C94" w14:paraId="3FF78775" w14:textId="77777777" w:rsidTr="00733935">
        <w:trPr>
          <w:trHeight w:val="258"/>
        </w:trPr>
        <w:tc>
          <w:tcPr>
            <w:tcW w:w="3510" w:type="dxa"/>
            <w:noWrap/>
          </w:tcPr>
          <w:p w14:paraId="1003448D"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lang w:val="hy-AM"/>
              </w:rPr>
              <w:t>Գնաճ (ժամանակաշրջանի վերջ), %</w:t>
            </w:r>
          </w:p>
        </w:tc>
        <w:tc>
          <w:tcPr>
            <w:tcW w:w="1276" w:type="dxa"/>
            <w:vAlign w:val="center"/>
          </w:tcPr>
          <w:p w14:paraId="68699CED" w14:textId="77777777" w:rsidR="00C34A4E" w:rsidRPr="00A83C94" w:rsidRDefault="00C34A4E" w:rsidP="00733935">
            <w:pPr>
              <w:spacing w:before="0" w:line="276" w:lineRule="auto"/>
              <w:ind w:firstLine="0"/>
              <w:jc w:val="center"/>
              <w:rPr>
                <w:b w:val="0"/>
                <w:bCs/>
                <w:color w:val="000000"/>
                <w:sz w:val="20"/>
                <w:szCs w:val="20"/>
              </w:rPr>
            </w:pPr>
            <w:r w:rsidRPr="00A83C94">
              <w:rPr>
                <w:b w:val="0"/>
                <w:bCs/>
                <w:color w:val="000000"/>
                <w:sz w:val="20"/>
                <w:szCs w:val="20"/>
              </w:rPr>
              <w:t>1.8</w:t>
            </w:r>
          </w:p>
        </w:tc>
        <w:tc>
          <w:tcPr>
            <w:tcW w:w="1134" w:type="dxa"/>
            <w:vAlign w:val="center"/>
          </w:tcPr>
          <w:p w14:paraId="36B629C8" w14:textId="77777777" w:rsidR="00C34A4E" w:rsidRPr="00A83C94" w:rsidRDefault="00C34A4E" w:rsidP="00733935">
            <w:pPr>
              <w:spacing w:before="0" w:line="276" w:lineRule="auto"/>
              <w:ind w:firstLine="0"/>
              <w:jc w:val="center"/>
              <w:rPr>
                <w:b w:val="0"/>
                <w:sz w:val="20"/>
                <w:szCs w:val="20"/>
              </w:rPr>
            </w:pPr>
            <w:r w:rsidRPr="00A83C94">
              <w:rPr>
                <w:b w:val="0"/>
                <w:sz w:val="20"/>
                <w:szCs w:val="20"/>
                <w:lang w:val="hy-AM"/>
              </w:rPr>
              <w:t>0.7</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B6E6" w14:textId="77777777" w:rsidR="00C34A4E" w:rsidRPr="00A83C94" w:rsidRDefault="00C34A4E" w:rsidP="00733935">
            <w:pPr>
              <w:spacing w:before="0" w:line="276" w:lineRule="auto"/>
              <w:ind w:firstLine="0"/>
              <w:jc w:val="center"/>
              <w:rPr>
                <w:b w:val="0"/>
                <w:sz w:val="20"/>
                <w:szCs w:val="20"/>
              </w:rPr>
            </w:pPr>
            <w:r w:rsidRPr="00A83C94">
              <w:rPr>
                <w:b w:val="0"/>
                <w:sz w:val="20"/>
                <w:szCs w:val="20"/>
                <w:lang w:val="hy-AM"/>
              </w:rPr>
              <w:t>3.7</w:t>
            </w:r>
          </w:p>
        </w:tc>
        <w:tc>
          <w:tcPr>
            <w:tcW w:w="1134" w:type="dxa"/>
            <w:shd w:val="clear" w:color="auto" w:fill="D9E2F3"/>
          </w:tcPr>
          <w:p w14:paraId="5D0E55D7"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7.4</w:t>
            </w:r>
          </w:p>
        </w:tc>
        <w:tc>
          <w:tcPr>
            <w:tcW w:w="1281" w:type="dxa"/>
            <w:shd w:val="clear" w:color="auto" w:fill="D9E2F3"/>
          </w:tcPr>
          <w:p w14:paraId="0A001378"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5.2</w:t>
            </w:r>
          </w:p>
        </w:tc>
      </w:tr>
      <w:tr w:rsidR="00C34A4E" w:rsidRPr="00A83C94" w14:paraId="3E9E52E1" w14:textId="77777777" w:rsidTr="00733935">
        <w:trPr>
          <w:trHeight w:val="265"/>
        </w:trPr>
        <w:tc>
          <w:tcPr>
            <w:tcW w:w="3510" w:type="dxa"/>
          </w:tcPr>
          <w:p w14:paraId="16147B6F"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lang w:val="hy-AM"/>
              </w:rPr>
              <w:t>Գնաճ (միջին), %</w:t>
            </w:r>
          </w:p>
        </w:tc>
        <w:tc>
          <w:tcPr>
            <w:tcW w:w="1276" w:type="dxa"/>
            <w:vAlign w:val="center"/>
          </w:tcPr>
          <w:p w14:paraId="2AD00254" w14:textId="77777777" w:rsidR="00C34A4E" w:rsidRPr="00A83C94" w:rsidRDefault="00C34A4E" w:rsidP="00733935">
            <w:pPr>
              <w:spacing w:before="0" w:line="276" w:lineRule="auto"/>
              <w:ind w:firstLine="0"/>
              <w:jc w:val="center"/>
              <w:rPr>
                <w:b w:val="0"/>
                <w:bCs/>
                <w:color w:val="000000"/>
                <w:sz w:val="20"/>
                <w:szCs w:val="20"/>
              </w:rPr>
            </w:pPr>
            <w:r w:rsidRPr="00A83C94">
              <w:rPr>
                <w:b w:val="0"/>
                <w:bCs/>
                <w:color w:val="000000"/>
                <w:sz w:val="20"/>
                <w:szCs w:val="20"/>
              </w:rPr>
              <w:t>2.5</w:t>
            </w:r>
          </w:p>
        </w:tc>
        <w:tc>
          <w:tcPr>
            <w:tcW w:w="1134" w:type="dxa"/>
            <w:vAlign w:val="center"/>
          </w:tcPr>
          <w:p w14:paraId="08F6226A" w14:textId="77777777" w:rsidR="00C34A4E" w:rsidRPr="00A83C94" w:rsidRDefault="00C34A4E" w:rsidP="00733935">
            <w:pPr>
              <w:spacing w:before="0" w:line="276" w:lineRule="auto"/>
              <w:ind w:firstLine="0"/>
              <w:jc w:val="center"/>
              <w:rPr>
                <w:b w:val="0"/>
                <w:sz w:val="20"/>
                <w:szCs w:val="20"/>
              </w:rPr>
            </w:pPr>
            <w:r w:rsidRPr="00A83C94">
              <w:rPr>
                <w:b w:val="0"/>
                <w:sz w:val="20"/>
                <w:szCs w:val="20"/>
                <w:lang w:val="hy-AM"/>
              </w:rPr>
              <w:t>1.4</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30470" w14:textId="77777777" w:rsidR="00C34A4E" w:rsidRPr="00A83C94" w:rsidRDefault="00C34A4E" w:rsidP="00733935">
            <w:pPr>
              <w:spacing w:before="0" w:line="276" w:lineRule="auto"/>
              <w:ind w:firstLine="0"/>
              <w:jc w:val="center"/>
              <w:rPr>
                <w:b w:val="0"/>
                <w:sz w:val="20"/>
                <w:szCs w:val="20"/>
              </w:rPr>
            </w:pPr>
            <w:r w:rsidRPr="00A83C94">
              <w:rPr>
                <w:b w:val="0"/>
                <w:sz w:val="20"/>
                <w:szCs w:val="20"/>
                <w:lang w:val="hy-AM"/>
              </w:rPr>
              <w:t>1.2</w:t>
            </w:r>
          </w:p>
        </w:tc>
        <w:tc>
          <w:tcPr>
            <w:tcW w:w="1134" w:type="dxa"/>
            <w:shd w:val="clear" w:color="auto" w:fill="D9E2F3"/>
          </w:tcPr>
          <w:p w14:paraId="541E24E9"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7.0</w:t>
            </w:r>
          </w:p>
        </w:tc>
        <w:tc>
          <w:tcPr>
            <w:tcW w:w="1281" w:type="dxa"/>
            <w:shd w:val="clear" w:color="auto" w:fill="D9E2F3"/>
          </w:tcPr>
          <w:p w14:paraId="237AF1E3"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5.6</w:t>
            </w:r>
          </w:p>
        </w:tc>
      </w:tr>
      <w:tr w:rsidR="00C34A4E" w:rsidRPr="00A83C94" w14:paraId="1CF68AC3" w14:textId="77777777" w:rsidTr="00733935">
        <w:trPr>
          <w:trHeight w:val="258"/>
        </w:trPr>
        <w:tc>
          <w:tcPr>
            <w:tcW w:w="9488" w:type="dxa"/>
            <w:gridSpan w:val="6"/>
            <w:shd w:val="clear" w:color="auto" w:fill="auto"/>
            <w:noWrap/>
            <w:vAlign w:val="center"/>
          </w:tcPr>
          <w:p w14:paraId="5ADE4B2B" w14:textId="77777777" w:rsidR="00C34A4E" w:rsidRPr="00A83C94" w:rsidRDefault="00C34A4E" w:rsidP="00733935">
            <w:pPr>
              <w:spacing w:before="0" w:line="276" w:lineRule="auto"/>
              <w:jc w:val="center"/>
              <w:rPr>
                <w:rFonts w:cs="Arial"/>
                <w:bCs/>
                <w:sz w:val="20"/>
                <w:szCs w:val="20"/>
              </w:rPr>
            </w:pPr>
            <w:r w:rsidRPr="00A83C94">
              <w:rPr>
                <w:rFonts w:cs="Sylfaen"/>
                <w:sz w:val="20"/>
                <w:szCs w:val="20"/>
                <w:u w:val="single"/>
              </w:rPr>
              <w:t>ՀՆԱ իրական աճն ըստ ճյուղերի ավելացված արժեքների, %</w:t>
            </w:r>
          </w:p>
        </w:tc>
      </w:tr>
      <w:tr w:rsidR="00C34A4E" w:rsidRPr="00A83C94" w14:paraId="1C22A6DB" w14:textId="77777777" w:rsidTr="00733935">
        <w:trPr>
          <w:trHeight w:val="258"/>
        </w:trPr>
        <w:tc>
          <w:tcPr>
            <w:tcW w:w="3510" w:type="dxa"/>
            <w:noWrap/>
          </w:tcPr>
          <w:p w14:paraId="39362206"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Արդյունաբերություն</w:t>
            </w:r>
          </w:p>
        </w:tc>
        <w:tc>
          <w:tcPr>
            <w:tcW w:w="1276" w:type="dxa"/>
            <w:vAlign w:val="center"/>
          </w:tcPr>
          <w:p w14:paraId="6CC40915"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4.9</w:t>
            </w:r>
          </w:p>
        </w:tc>
        <w:tc>
          <w:tcPr>
            <w:tcW w:w="1134" w:type="dxa"/>
            <w:vAlign w:val="center"/>
          </w:tcPr>
          <w:p w14:paraId="379D60B7"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11.9</w:t>
            </w:r>
          </w:p>
        </w:tc>
        <w:tc>
          <w:tcPr>
            <w:tcW w:w="1153" w:type="dxa"/>
            <w:vAlign w:val="center"/>
          </w:tcPr>
          <w:p w14:paraId="2B943083"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-1.7</w:t>
            </w:r>
          </w:p>
        </w:tc>
        <w:tc>
          <w:tcPr>
            <w:tcW w:w="1134" w:type="dxa"/>
            <w:shd w:val="clear" w:color="auto" w:fill="D9E2F3"/>
          </w:tcPr>
          <w:p w14:paraId="6F15D7DF"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4.3</w:t>
            </w:r>
          </w:p>
        </w:tc>
        <w:tc>
          <w:tcPr>
            <w:tcW w:w="1281" w:type="dxa"/>
            <w:shd w:val="clear" w:color="auto" w:fill="D9E2F3"/>
          </w:tcPr>
          <w:p w14:paraId="34076E63"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8.0</w:t>
            </w:r>
          </w:p>
        </w:tc>
      </w:tr>
      <w:tr w:rsidR="00C34A4E" w:rsidRPr="00A83C94" w14:paraId="3CFB7961" w14:textId="77777777" w:rsidTr="00733935">
        <w:trPr>
          <w:trHeight w:val="65"/>
        </w:trPr>
        <w:tc>
          <w:tcPr>
            <w:tcW w:w="3510" w:type="dxa"/>
          </w:tcPr>
          <w:p w14:paraId="7867DFB2"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 xml:space="preserve">Գյուղատնտեսություն </w:t>
            </w:r>
          </w:p>
        </w:tc>
        <w:tc>
          <w:tcPr>
            <w:tcW w:w="1276" w:type="dxa"/>
            <w:vAlign w:val="center"/>
          </w:tcPr>
          <w:p w14:paraId="43FD9C16"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-6.9</w:t>
            </w:r>
          </w:p>
        </w:tc>
        <w:tc>
          <w:tcPr>
            <w:tcW w:w="1134" w:type="dxa"/>
            <w:vAlign w:val="center"/>
          </w:tcPr>
          <w:p w14:paraId="7359CB89"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-5.8</w:t>
            </w:r>
          </w:p>
        </w:tc>
        <w:tc>
          <w:tcPr>
            <w:tcW w:w="1153" w:type="dxa"/>
            <w:vAlign w:val="center"/>
          </w:tcPr>
          <w:p w14:paraId="56E234EA"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-4.1</w:t>
            </w:r>
          </w:p>
        </w:tc>
        <w:tc>
          <w:tcPr>
            <w:tcW w:w="1134" w:type="dxa"/>
            <w:shd w:val="clear" w:color="auto" w:fill="D9E2F3"/>
          </w:tcPr>
          <w:p w14:paraId="3F14CF72"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5.6</w:t>
            </w:r>
          </w:p>
        </w:tc>
        <w:tc>
          <w:tcPr>
            <w:tcW w:w="1281" w:type="dxa"/>
            <w:shd w:val="clear" w:color="auto" w:fill="D9E2F3"/>
          </w:tcPr>
          <w:p w14:paraId="1C672B79"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3.9</w:t>
            </w:r>
          </w:p>
        </w:tc>
      </w:tr>
      <w:tr w:rsidR="00C34A4E" w:rsidRPr="00A83C94" w14:paraId="3A52DA46" w14:textId="77777777" w:rsidTr="00733935">
        <w:trPr>
          <w:trHeight w:val="258"/>
        </w:trPr>
        <w:tc>
          <w:tcPr>
            <w:tcW w:w="3510" w:type="dxa"/>
            <w:noWrap/>
          </w:tcPr>
          <w:p w14:paraId="166C4F77"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 xml:space="preserve">Շինարարություն </w:t>
            </w:r>
          </w:p>
        </w:tc>
        <w:tc>
          <w:tcPr>
            <w:tcW w:w="1276" w:type="dxa"/>
            <w:vAlign w:val="center"/>
          </w:tcPr>
          <w:p w14:paraId="543137CF"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0.6</w:t>
            </w:r>
          </w:p>
        </w:tc>
        <w:tc>
          <w:tcPr>
            <w:tcW w:w="1134" w:type="dxa"/>
            <w:vAlign w:val="center"/>
          </w:tcPr>
          <w:p w14:paraId="7F36E726"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6.5</w:t>
            </w:r>
          </w:p>
        </w:tc>
        <w:tc>
          <w:tcPr>
            <w:tcW w:w="1153" w:type="dxa"/>
            <w:vAlign w:val="center"/>
          </w:tcPr>
          <w:p w14:paraId="784E8CAB"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-6.7</w:t>
            </w:r>
          </w:p>
        </w:tc>
        <w:tc>
          <w:tcPr>
            <w:tcW w:w="1134" w:type="dxa"/>
            <w:shd w:val="clear" w:color="auto" w:fill="D9E2F3"/>
          </w:tcPr>
          <w:p w14:paraId="787783AA"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1.5</w:t>
            </w:r>
          </w:p>
        </w:tc>
        <w:tc>
          <w:tcPr>
            <w:tcW w:w="1281" w:type="dxa"/>
            <w:shd w:val="clear" w:color="auto" w:fill="D9E2F3"/>
          </w:tcPr>
          <w:p w14:paraId="1C03013A"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18.0</w:t>
            </w:r>
          </w:p>
        </w:tc>
      </w:tr>
      <w:tr w:rsidR="00C34A4E" w:rsidRPr="00A83C94" w14:paraId="0EEF9469" w14:textId="77777777" w:rsidTr="00733935">
        <w:trPr>
          <w:trHeight w:val="258"/>
        </w:trPr>
        <w:tc>
          <w:tcPr>
            <w:tcW w:w="3510" w:type="dxa"/>
            <w:noWrap/>
          </w:tcPr>
          <w:p w14:paraId="178C7EDB"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Ծառայություններ</w:t>
            </w:r>
          </w:p>
        </w:tc>
        <w:tc>
          <w:tcPr>
            <w:tcW w:w="1276" w:type="dxa"/>
            <w:vAlign w:val="center"/>
          </w:tcPr>
          <w:p w14:paraId="03EB5FB8"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9.1</w:t>
            </w:r>
          </w:p>
        </w:tc>
        <w:tc>
          <w:tcPr>
            <w:tcW w:w="1134" w:type="dxa"/>
            <w:vAlign w:val="center"/>
          </w:tcPr>
          <w:p w14:paraId="77C3C63F"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10.0</w:t>
            </w:r>
          </w:p>
        </w:tc>
        <w:tc>
          <w:tcPr>
            <w:tcW w:w="1153" w:type="dxa"/>
            <w:vAlign w:val="center"/>
          </w:tcPr>
          <w:p w14:paraId="2C9945C4"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-9.7</w:t>
            </w:r>
          </w:p>
        </w:tc>
        <w:tc>
          <w:tcPr>
            <w:tcW w:w="1134" w:type="dxa"/>
            <w:shd w:val="clear" w:color="auto" w:fill="D9E2F3"/>
          </w:tcPr>
          <w:p w14:paraId="0F1632D1" w14:textId="77777777" w:rsidR="00C34A4E" w:rsidRPr="00A83C94" w:rsidRDefault="00C34A4E" w:rsidP="00733935">
            <w:pPr>
              <w:spacing w:before="0" w:line="276" w:lineRule="auto"/>
              <w:ind w:firstLine="0"/>
              <w:jc w:val="center"/>
              <w:rPr>
                <w:b w:val="0"/>
                <w:sz w:val="20"/>
                <w:szCs w:val="20"/>
              </w:rPr>
            </w:pPr>
            <w:r w:rsidRPr="00A83C94">
              <w:rPr>
                <w:b w:val="0"/>
                <w:sz w:val="20"/>
                <w:szCs w:val="20"/>
              </w:rPr>
              <w:t>8.1</w:t>
            </w:r>
          </w:p>
        </w:tc>
        <w:tc>
          <w:tcPr>
            <w:tcW w:w="1281" w:type="dxa"/>
            <w:shd w:val="clear" w:color="auto" w:fill="D9E2F3"/>
          </w:tcPr>
          <w:p w14:paraId="61A841C2" w14:textId="77777777" w:rsidR="00C34A4E" w:rsidRPr="00A83C94" w:rsidRDefault="00C34A4E" w:rsidP="00733935">
            <w:pPr>
              <w:spacing w:before="0" w:line="276" w:lineRule="auto"/>
              <w:ind w:firstLine="0"/>
              <w:jc w:val="center"/>
              <w:rPr>
                <w:b w:val="0"/>
                <w:sz w:val="20"/>
                <w:szCs w:val="20"/>
              </w:rPr>
            </w:pPr>
            <w:r w:rsidRPr="00A83C94">
              <w:rPr>
                <w:b w:val="0"/>
                <w:sz w:val="20"/>
                <w:szCs w:val="20"/>
              </w:rPr>
              <w:t>5.9</w:t>
            </w:r>
          </w:p>
        </w:tc>
      </w:tr>
      <w:tr w:rsidR="00C34A4E" w:rsidRPr="00A83C94" w14:paraId="058C286A" w14:textId="77777777" w:rsidTr="00733935">
        <w:trPr>
          <w:trHeight w:val="258"/>
        </w:trPr>
        <w:tc>
          <w:tcPr>
            <w:tcW w:w="3510" w:type="dxa"/>
            <w:noWrap/>
          </w:tcPr>
          <w:p w14:paraId="181D26F6"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Զուտ հարկեր</w:t>
            </w:r>
          </w:p>
        </w:tc>
        <w:tc>
          <w:tcPr>
            <w:tcW w:w="1276" w:type="dxa"/>
            <w:vAlign w:val="center"/>
          </w:tcPr>
          <w:p w14:paraId="316C624A"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8.0</w:t>
            </w:r>
          </w:p>
        </w:tc>
        <w:tc>
          <w:tcPr>
            <w:tcW w:w="1134" w:type="dxa"/>
            <w:vAlign w:val="center"/>
          </w:tcPr>
          <w:p w14:paraId="26039032"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7.1</w:t>
            </w:r>
          </w:p>
        </w:tc>
        <w:tc>
          <w:tcPr>
            <w:tcW w:w="1153" w:type="dxa"/>
            <w:vAlign w:val="center"/>
          </w:tcPr>
          <w:p w14:paraId="71BF836F" w14:textId="77777777" w:rsidR="00C34A4E" w:rsidRPr="00A83C94" w:rsidRDefault="00C34A4E" w:rsidP="00733935">
            <w:pPr>
              <w:spacing w:before="0" w:after="200" w:line="276" w:lineRule="auto"/>
              <w:ind w:firstLine="0"/>
              <w:jc w:val="center"/>
              <w:rPr>
                <w:b w:val="0"/>
                <w:sz w:val="20"/>
                <w:szCs w:val="20"/>
                <w:lang w:val="hy-AM"/>
              </w:rPr>
            </w:pPr>
            <w:r w:rsidRPr="00A83C94">
              <w:rPr>
                <w:b w:val="0"/>
                <w:sz w:val="20"/>
                <w:szCs w:val="20"/>
                <w:lang w:val="hy-AM"/>
              </w:rPr>
              <w:t>-10.0</w:t>
            </w:r>
          </w:p>
        </w:tc>
        <w:tc>
          <w:tcPr>
            <w:tcW w:w="1134" w:type="dxa"/>
            <w:shd w:val="clear" w:color="auto" w:fill="D9E2F3"/>
          </w:tcPr>
          <w:p w14:paraId="5B223F25" w14:textId="77777777" w:rsidR="00C34A4E" w:rsidRPr="00A83C94" w:rsidRDefault="00C34A4E" w:rsidP="00733935">
            <w:pPr>
              <w:spacing w:before="0" w:line="276" w:lineRule="auto"/>
              <w:ind w:firstLine="0"/>
              <w:jc w:val="center"/>
              <w:rPr>
                <w:b w:val="0"/>
                <w:sz w:val="20"/>
                <w:szCs w:val="20"/>
              </w:rPr>
            </w:pPr>
            <w:r w:rsidRPr="00A83C94">
              <w:rPr>
                <w:b w:val="0"/>
                <w:sz w:val="20"/>
                <w:szCs w:val="20"/>
              </w:rPr>
              <w:t>7.1</w:t>
            </w:r>
          </w:p>
        </w:tc>
        <w:tc>
          <w:tcPr>
            <w:tcW w:w="1281" w:type="dxa"/>
            <w:shd w:val="clear" w:color="auto" w:fill="D9E2F3"/>
          </w:tcPr>
          <w:p w14:paraId="4BDD582A" w14:textId="77777777" w:rsidR="00C34A4E" w:rsidRPr="00A83C94" w:rsidRDefault="00C34A4E" w:rsidP="00733935">
            <w:pPr>
              <w:spacing w:before="0" w:line="276" w:lineRule="auto"/>
              <w:ind w:firstLine="0"/>
              <w:jc w:val="center"/>
              <w:rPr>
                <w:b w:val="0"/>
                <w:sz w:val="20"/>
                <w:szCs w:val="20"/>
              </w:rPr>
            </w:pPr>
            <w:r w:rsidRPr="00A83C94">
              <w:rPr>
                <w:b w:val="0"/>
                <w:sz w:val="20"/>
                <w:szCs w:val="20"/>
              </w:rPr>
              <w:t>6.8</w:t>
            </w:r>
          </w:p>
        </w:tc>
      </w:tr>
      <w:tr w:rsidR="00C34A4E" w:rsidRPr="00A83C94" w14:paraId="60824FFE" w14:textId="77777777" w:rsidTr="00733935">
        <w:trPr>
          <w:trHeight w:val="258"/>
        </w:trPr>
        <w:tc>
          <w:tcPr>
            <w:tcW w:w="9488" w:type="dxa"/>
            <w:gridSpan w:val="6"/>
            <w:shd w:val="clear" w:color="auto" w:fill="auto"/>
            <w:noWrap/>
            <w:vAlign w:val="center"/>
          </w:tcPr>
          <w:p w14:paraId="6CF72639" w14:textId="77777777" w:rsidR="00C34A4E" w:rsidRPr="00A83C94" w:rsidRDefault="00C34A4E" w:rsidP="00733935">
            <w:pPr>
              <w:spacing w:before="0" w:line="276" w:lineRule="auto"/>
              <w:jc w:val="center"/>
              <w:rPr>
                <w:rFonts w:cs="Arial"/>
                <w:bCs/>
                <w:sz w:val="20"/>
                <w:szCs w:val="20"/>
              </w:rPr>
            </w:pPr>
            <w:r w:rsidRPr="00A83C94">
              <w:rPr>
                <w:rFonts w:cs="Sylfaen"/>
                <w:sz w:val="20"/>
                <w:szCs w:val="20"/>
                <w:u w:val="single"/>
              </w:rPr>
              <w:t>ՀՆԱ ծախսային բաղադրիչների իրական աճերը, %</w:t>
            </w:r>
          </w:p>
        </w:tc>
      </w:tr>
      <w:tr w:rsidR="00872014" w:rsidRPr="00A83C94" w14:paraId="53CC2BEB" w14:textId="77777777" w:rsidTr="00733935">
        <w:trPr>
          <w:trHeight w:val="258"/>
        </w:trPr>
        <w:tc>
          <w:tcPr>
            <w:tcW w:w="3510" w:type="dxa"/>
          </w:tcPr>
          <w:p w14:paraId="0243A3B6" w14:textId="77777777" w:rsidR="00872014" w:rsidRPr="00A83C94" w:rsidRDefault="00872014" w:rsidP="00872014">
            <w:pPr>
              <w:spacing w:before="0" w:line="276" w:lineRule="auto"/>
              <w:ind w:firstLine="0"/>
              <w:rPr>
                <w:rFonts w:cs="Sylfaen"/>
                <w:b w:val="0"/>
                <w:sz w:val="20"/>
                <w:szCs w:val="20"/>
              </w:rPr>
            </w:pPr>
            <w:r w:rsidRPr="00A83C94">
              <w:rPr>
                <w:rFonts w:cs="Sylfaen"/>
                <w:b w:val="0"/>
                <w:sz w:val="20"/>
                <w:szCs w:val="20"/>
              </w:rPr>
              <w:t>Վերջնական սպառում</w:t>
            </w:r>
          </w:p>
        </w:tc>
        <w:tc>
          <w:tcPr>
            <w:tcW w:w="1276" w:type="dxa"/>
            <w:vAlign w:val="center"/>
          </w:tcPr>
          <w:p w14:paraId="77EC27D3"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3.8</w:t>
            </w:r>
          </w:p>
        </w:tc>
        <w:tc>
          <w:tcPr>
            <w:tcW w:w="1134" w:type="dxa"/>
            <w:vAlign w:val="center"/>
          </w:tcPr>
          <w:p w14:paraId="39C0B806"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11.7</w:t>
            </w:r>
          </w:p>
        </w:tc>
        <w:tc>
          <w:tcPr>
            <w:tcW w:w="1153" w:type="dxa"/>
            <w:vAlign w:val="center"/>
          </w:tcPr>
          <w:p w14:paraId="31609E04"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-10.1</w:t>
            </w:r>
          </w:p>
        </w:tc>
        <w:tc>
          <w:tcPr>
            <w:tcW w:w="1134" w:type="dxa"/>
            <w:shd w:val="clear" w:color="auto" w:fill="D9E2F3"/>
          </w:tcPr>
          <w:p w14:paraId="629ABF24" w14:textId="021DFBC1" w:rsidR="00872014" w:rsidRPr="00872014" w:rsidRDefault="00872014" w:rsidP="00872014">
            <w:pPr>
              <w:spacing w:before="0" w:line="276" w:lineRule="auto"/>
              <w:ind w:firstLine="0"/>
              <w:jc w:val="center"/>
              <w:rPr>
                <w:b w:val="0"/>
                <w:sz w:val="20"/>
                <w:szCs w:val="20"/>
              </w:rPr>
            </w:pPr>
            <w:r w:rsidRPr="00872014">
              <w:rPr>
                <w:b w:val="0"/>
                <w:sz w:val="20"/>
                <w:szCs w:val="20"/>
              </w:rPr>
              <w:t>7.7</w:t>
            </w:r>
          </w:p>
        </w:tc>
        <w:tc>
          <w:tcPr>
            <w:tcW w:w="1281" w:type="dxa"/>
            <w:shd w:val="clear" w:color="auto" w:fill="D9E2F3"/>
          </w:tcPr>
          <w:p w14:paraId="65A3B10D" w14:textId="369015B9" w:rsidR="00872014" w:rsidRPr="00872014" w:rsidRDefault="00872014" w:rsidP="00872014">
            <w:pPr>
              <w:spacing w:before="0" w:line="276" w:lineRule="auto"/>
              <w:ind w:firstLine="0"/>
              <w:jc w:val="center"/>
              <w:rPr>
                <w:b w:val="0"/>
                <w:sz w:val="20"/>
                <w:szCs w:val="20"/>
              </w:rPr>
            </w:pPr>
            <w:r w:rsidRPr="00872014">
              <w:rPr>
                <w:b w:val="0"/>
                <w:sz w:val="20"/>
                <w:szCs w:val="20"/>
              </w:rPr>
              <w:t>4.7</w:t>
            </w:r>
          </w:p>
        </w:tc>
      </w:tr>
      <w:tr w:rsidR="00872014" w:rsidRPr="00A83C94" w14:paraId="6395143F" w14:textId="77777777" w:rsidTr="00733935">
        <w:trPr>
          <w:trHeight w:val="258"/>
        </w:trPr>
        <w:tc>
          <w:tcPr>
            <w:tcW w:w="3510" w:type="dxa"/>
          </w:tcPr>
          <w:p w14:paraId="5ABDBB4C" w14:textId="77777777" w:rsidR="00872014" w:rsidRPr="00A83C94" w:rsidRDefault="00872014" w:rsidP="00872014">
            <w:pPr>
              <w:spacing w:before="0" w:line="276" w:lineRule="auto"/>
              <w:ind w:firstLine="0"/>
              <w:rPr>
                <w:rFonts w:cs="Sylfaen"/>
                <w:b w:val="0"/>
                <w:i/>
                <w:sz w:val="20"/>
                <w:szCs w:val="20"/>
              </w:rPr>
            </w:pPr>
            <w:r w:rsidRPr="00A83C94">
              <w:rPr>
                <w:rFonts w:cs="Sylfaen"/>
                <w:b w:val="0"/>
                <w:i/>
                <w:sz w:val="20"/>
                <w:szCs w:val="20"/>
              </w:rPr>
              <w:t>Պետական</w:t>
            </w:r>
          </w:p>
        </w:tc>
        <w:tc>
          <w:tcPr>
            <w:tcW w:w="1276" w:type="dxa"/>
            <w:vAlign w:val="center"/>
          </w:tcPr>
          <w:p w14:paraId="3BC74626"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-3.0</w:t>
            </w:r>
          </w:p>
        </w:tc>
        <w:tc>
          <w:tcPr>
            <w:tcW w:w="1134" w:type="dxa"/>
            <w:vAlign w:val="center"/>
          </w:tcPr>
          <w:p w14:paraId="66DAFD17"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12.9</w:t>
            </w:r>
          </w:p>
        </w:tc>
        <w:tc>
          <w:tcPr>
            <w:tcW w:w="1153" w:type="dxa"/>
            <w:vAlign w:val="center"/>
          </w:tcPr>
          <w:p w14:paraId="7A2C3AA9"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15.2</w:t>
            </w:r>
          </w:p>
        </w:tc>
        <w:tc>
          <w:tcPr>
            <w:tcW w:w="1134" w:type="dxa"/>
            <w:shd w:val="clear" w:color="auto" w:fill="D9E2F3"/>
          </w:tcPr>
          <w:p w14:paraId="0DD36766" w14:textId="5DA1C02A" w:rsidR="00872014" w:rsidRPr="00872014" w:rsidRDefault="00872014" w:rsidP="00872014">
            <w:pPr>
              <w:spacing w:before="0" w:line="276" w:lineRule="auto"/>
              <w:ind w:firstLine="0"/>
              <w:jc w:val="center"/>
              <w:rPr>
                <w:b w:val="0"/>
                <w:sz w:val="20"/>
                <w:szCs w:val="20"/>
              </w:rPr>
            </w:pPr>
            <w:r w:rsidRPr="00872014">
              <w:rPr>
                <w:b w:val="0"/>
                <w:sz w:val="20"/>
                <w:szCs w:val="20"/>
              </w:rPr>
              <w:t>-1.4</w:t>
            </w:r>
          </w:p>
        </w:tc>
        <w:tc>
          <w:tcPr>
            <w:tcW w:w="1281" w:type="dxa"/>
            <w:shd w:val="clear" w:color="auto" w:fill="D9E2F3"/>
          </w:tcPr>
          <w:p w14:paraId="02326D3B" w14:textId="775CA096" w:rsidR="00872014" w:rsidRPr="00872014" w:rsidRDefault="00872014" w:rsidP="00872014">
            <w:pPr>
              <w:spacing w:before="0" w:line="276" w:lineRule="auto"/>
              <w:ind w:firstLine="0"/>
              <w:jc w:val="center"/>
              <w:rPr>
                <w:b w:val="0"/>
                <w:sz w:val="20"/>
                <w:szCs w:val="20"/>
              </w:rPr>
            </w:pPr>
            <w:r w:rsidRPr="00872014">
              <w:rPr>
                <w:b w:val="0"/>
                <w:sz w:val="20"/>
                <w:szCs w:val="20"/>
              </w:rPr>
              <w:t>-2.0</w:t>
            </w:r>
          </w:p>
        </w:tc>
      </w:tr>
      <w:tr w:rsidR="00872014" w:rsidRPr="00A83C94" w14:paraId="622FB659" w14:textId="77777777" w:rsidTr="00733935">
        <w:trPr>
          <w:trHeight w:val="258"/>
        </w:trPr>
        <w:tc>
          <w:tcPr>
            <w:tcW w:w="3510" w:type="dxa"/>
          </w:tcPr>
          <w:p w14:paraId="6936AE58" w14:textId="77777777" w:rsidR="00872014" w:rsidRPr="00A83C94" w:rsidRDefault="00872014" w:rsidP="00872014">
            <w:pPr>
              <w:spacing w:before="0" w:line="276" w:lineRule="auto"/>
              <w:ind w:firstLine="0"/>
              <w:rPr>
                <w:rFonts w:cs="Sylfaen"/>
                <w:b w:val="0"/>
                <w:i/>
                <w:sz w:val="20"/>
                <w:szCs w:val="20"/>
              </w:rPr>
            </w:pPr>
            <w:r w:rsidRPr="00A83C94">
              <w:rPr>
                <w:rFonts w:cs="Sylfaen"/>
                <w:b w:val="0"/>
                <w:i/>
                <w:sz w:val="20"/>
                <w:szCs w:val="20"/>
              </w:rPr>
              <w:t>Մասնավոր</w:t>
            </w:r>
          </w:p>
        </w:tc>
        <w:tc>
          <w:tcPr>
            <w:tcW w:w="1276" w:type="dxa"/>
            <w:vAlign w:val="center"/>
          </w:tcPr>
          <w:p w14:paraId="71CB67AB"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4.8</w:t>
            </w:r>
          </w:p>
        </w:tc>
        <w:tc>
          <w:tcPr>
            <w:tcW w:w="1134" w:type="dxa"/>
            <w:vAlign w:val="center"/>
          </w:tcPr>
          <w:p w14:paraId="2354F512"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11.5</w:t>
            </w:r>
          </w:p>
        </w:tc>
        <w:tc>
          <w:tcPr>
            <w:tcW w:w="1153" w:type="dxa"/>
            <w:vAlign w:val="center"/>
          </w:tcPr>
          <w:p w14:paraId="0D4A8763"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-13.9</w:t>
            </w:r>
          </w:p>
        </w:tc>
        <w:tc>
          <w:tcPr>
            <w:tcW w:w="1134" w:type="dxa"/>
            <w:shd w:val="clear" w:color="auto" w:fill="D9E2F3"/>
          </w:tcPr>
          <w:p w14:paraId="7F389E41" w14:textId="35200F10" w:rsidR="00872014" w:rsidRPr="00872014" w:rsidRDefault="00872014" w:rsidP="00872014">
            <w:pPr>
              <w:spacing w:before="0" w:line="276" w:lineRule="auto"/>
              <w:ind w:firstLine="0"/>
              <w:jc w:val="center"/>
              <w:rPr>
                <w:b w:val="0"/>
                <w:sz w:val="20"/>
                <w:szCs w:val="20"/>
              </w:rPr>
            </w:pPr>
            <w:r w:rsidRPr="00872014">
              <w:rPr>
                <w:b w:val="0"/>
                <w:sz w:val="20"/>
                <w:szCs w:val="20"/>
              </w:rPr>
              <w:t>9.6</w:t>
            </w:r>
          </w:p>
        </w:tc>
        <w:tc>
          <w:tcPr>
            <w:tcW w:w="1281" w:type="dxa"/>
            <w:shd w:val="clear" w:color="auto" w:fill="D9E2F3"/>
          </w:tcPr>
          <w:p w14:paraId="3A1C13C8" w14:textId="46429717" w:rsidR="00872014" w:rsidRPr="00872014" w:rsidRDefault="00872014" w:rsidP="00872014">
            <w:pPr>
              <w:spacing w:before="0" w:after="200" w:line="276" w:lineRule="auto"/>
              <w:ind w:firstLine="0"/>
              <w:jc w:val="center"/>
              <w:rPr>
                <w:b w:val="0"/>
                <w:sz w:val="20"/>
                <w:szCs w:val="20"/>
              </w:rPr>
            </w:pPr>
            <w:r w:rsidRPr="00872014">
              <w:rPr>
                <w:b w:val="0"/>
                <w:sz w:val="20"/>
                <w:szCs w:val="20"/>
              </w:rPr>
              <w:t>6.0</w:t>
            </w:r>
          </w:p>
        </w:tc>
      </w:tr>
      <w:tr w:rsidR="00872014" w:rsidRPr="00A83C94" w14:paraId="6E9ED775" w14:textId="77777777" w:rsidTr="003D1DCA">
        <w:trPr>
          <w:trHeight w:val="258"/>
        </w:trPr>
        <w:tc>
          <w:tcPr>
            <w:tcW w:w="3510" w:type="dxa"/>
          </w:tcPr>
          <w:p w14:paraId="5B73543D" w14:textId="77777777" w:rsidR="00872014" w:rsidRPr="00A83C94" w:rsidRDefault="00872014" w:rsidP="00872014">
            <w:pPr>
              <w:spacing w:before="0" w:line="276" w:lineRule="auto"/>
              <w:ind w:firstLine="0"/>
              <w:jc w:val="left"/>
              <w:rPr>
                <w:rFonts w:cs="Sylfaen"/>
                <w:b w:val="0"/>
                <w:sz w:val="20"/>
                <w:szCs w:val="20"/>
              </w:rPr>
            </w:pPr>
            <w:r w:rsidRPr="00A83C94">
              <w:rPr>
                <w:rFonts w:cs="Sylfaen"/>
                <w:b w:val="0"/>
                <w:sz w:val="20"/>
                <w:szCs w:val="20"/>
              </w:rPr>
              <w:t>Հիմնական միջոցներում ներդրումներ</w:t>
            </w:r>
            <w:r w:rsidRPr="00A83C94">
              <w:rPr>
                <w:rFonts w:cs="Sylfaen"/>
                <w:b w:val="0"/>
                <w:sz w:val="20"/>
                <w:szCs w:val="20"/>
                <w:vertAlign w:val="superscript"/>
              </w:rPr>
              <w:footnoteReference w:id="1"/>
            </w:r>
          </w:p>
        </w:tc>
        <w:tc>
          <w:tcPr>
            <w:tcW w:w="1276" w:type="dxa"/>
            <w:vAlign w:val="center"/>
          </w:tcPr>
          <w:p w14:paraId="7273952E"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4.8</w:t>
            </w:r>
          </w:p>
        </w:tc>
        <w:tc>
          <w:tcPr>
            <w:tcW w:w="1134" w:type="dxa"/>
            <w:vAlign w:val="center"/>
          </w:tcPr>
          <w:p w14:paraId="572EEA90"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4.4</w:t>
            </w:r>
          </w:p>
        </w:tc>
        <w:tc>
          <w:tcPr>
            <w:tcW w:w="1153" w:type="dxa"/>
            <w:vAlign w:val="center"/>
          </w:tcPr>
          <w:p w14:paraId="3DE98309"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-8.6</w:t>
            </w:r>
          </w:p>
        </w:tc>
        <w:tc>
          <w:tcPr>
            <w:tcW w:w="1134" w:type="dxa"/>
            <w:shd w:val="clear" w:color="auto" w:fill="D9E2F3"/>
            <w:vAlign w:val="center"/>
          </w:tcPr>
          <w:p w14:paraId="4254B940" w14:textId="55FD7280" w:rsidR="00872014" w:rsidRPr="00872014" w:rsidRDefault="00872014" w:rsidP="003D1DCA">
            <w:pPr>
              <w:spacing w:before="0" w:line="276" w:lineRule="auto"/>
              <w:ind w:firstLine="0"/>
              <w:jc w:val="center"/>
              <w:rPr>
                <w:b w:val="0"/>
                <w:sz w:val="20"/>
                <w:szCs w:val="20"/>
              </w:rPr>
            </w:pPr>
            <w:r w:rsidRPr="00872014">
              <w:rPr>
                <w:b w:val="0"/>
                <w:sz w:val="20"/>
                <w:szCs w:val="20"/>
              </w:rPr>
              <w:t>3.6</w:t>
            </w:r>
          </w:p>
        </w:tc>
        <w:tc>
          <w:tcPr>
            <w:tcW w:w="1281" w:type="dxa"/>
            <w:shd w:val="clear" w:color="auto" w:fill="D9E2F3"/>
            <w:vAlign w:val="center"/>
          </w:tcPr>
          <w:p w14:paraId="4753A2F1" w14:textId="69CCBA78" w:rsidR="00872014" w:rsidRPr="00872014" w:rsidRDefault="00872014" w:rsidP="003D1DCA">
            <w:pPr>
              <w:spacing w:before="0" w:line="276" w:lineRule="auto"/>
              <w:ind w:firstLine="0"/>
              <w:jc w:val="center"/>
              <w:rPr>
                <w:b w:val="0"/>
                <w:sz w:val="20"/>
                <w:szCs w:val="20"/>
              </w:rPr>
            </w:pPr>
            <w:r w:rsidRPr="00872014">
              <w:rPr>
                <w:b w:val="0"/>
                <w:sz w:val="20"/>
                <w:szCs w:val="20"/>
              </w:rPr>
              <w:t>22.5</w:t>
            </w:r>
          </w:p>
        </w:tc>
      </w:tr>
      <w:tr w:rsidR="00872014" w:rsidRPr="00A83C94" w14:paraId="6C622CB8" w14:textId="77777777" w:rsidTr="00733935">
        <w:trPr>
          <w:trHeight w:val="258"/>
        </w:trPr>
        <w:tc>
          <w:tcPr>
            <w:tcW w:w="3510" w:type="dxa"/>
          </w:tcPr>
          <w:p w14:paraId="5EBC9086" w14:textId="77777777" w:rsidR="00872014" w:rsidRPr="00A83C94" w:rsidRDefault="00872014" w:rsidP="00872014">
            <w:pPr>
              <w:spacing w:before="0" w:line="276" w:lineRule="auto"/>
              <w:ind w:firstLine="0"/>
              <w:rPr>
                <w:rFonts w:cs="Sylfaen"/>
                <w:b w:val="0"/>
                <w:i/>
                <w:sz w:val="20"/>
                <w:szCs w:val="20"/>
              </w:rPr>
            </w:pPr>
            <w:r w:rsidRPr="00A83C94">
              <w:rPr>
                <w:rFonts w:cs="Sylfaen"/>
                <w:b w:val="0"/>
                <w:i/>
                <w:sz w:val="20"/>
                <w:szCs w:val="20"/>
              </w:rPr>
              <w:t>Պետական</w:t>
            </w:r>
          </w:p>
        </w:tc>
        <w:tc>
          <w:tcPr>
            <w:tcW w:w="1276" w:type="dxa"/>
            <w:vAlign w:val="center"/>
          </w:tcPr>
          <w:p w14:paraId="0301499D"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3.4</w:t>
            </w:r>
          </w:p>
        </w:tc>
        <w:tc>
          <w:tcPr>
            <w:tcW w:w="1134" w:type="dxa"/>
            <w:vAlign w:val="center"/>
          </w:tcPr>
          <w:p w14:paraId="6371B2D9"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13.7</w:t>
            </w:r>
          </w:p>
        </w:tc>
        <w:tc>
          <w:tcPr>
            <w:tcW w:w="1153" w:type="dxa"/>
            <w:vAlign w:val="center"/>
          </w:tcPr>
          <w:p w14:paraId="1BE70C1F"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7.5</w:t>
            </w:r>
          </w:p>
        </w:tc>
        <w:tc>
          <w:tcPr>
            <w:tcW w:w="1134" w:type="dxa"/>
            <w:shd w:val="clear" w:color="auto" w:fill="D9E2F3"/>
          </w:tcPr>
          <w:p w14:paraId="09C8D137" w14:textId="087D024A" w:rsidR="00872014" w:rsidRPr="00872014" w:rsidRDefault="00872014" w:rsidP="00872014">
            <w:pPr>
              <w:spacing w:before="0" w:line="276" w:lineRule="auto"/>
              <w:ind w:firstLine="0"/>
              <w:jc w:val="center"/>
              <w:rPr>
                <w:b w:val="0"/>
                <w:sz w:val="20"/>
                <w:szCs w:val="20"/>
              </w:rPr>
            </w:pPr>
            <w:r w:rsidRPr="00872014">
              <w:rPr>
                <w:b w:val="0"/>
                <w:sz w:val="20"/>
                <w:szCs w:val="20"/>
              </w:rPr>
              <w:t>15.6</w:t>
            </w:r>
          </w:p>
        </w:tc>
        <w:tc>
          <w:tcPr>
            <w:tcW w:w="1281" w:type="dxa"/>
            <w:shd w:val="clear" w:color="auto" w:fill="D9E2F3"/>
          </w:tcPr>
          <w:p w14:paraId="780ED72F" w14:textId="6E2A85C8" w:rsidR="00872014" w:rsidRPr="00872014" w:rsidRDefault="00872014" w:rsidP="00872014">
            <w:pPr>
              <w:spacing w:before="0" w:line="276" w:lineRule="auto"/>
              <w:ind w:firstLine="0"/>
              <w:jc w:val="center"/>
              <w:rPr>
                <w:b w:val="0"/>
                <w:sz w:val="20"/>
                <w:szCs w:val="20"/>
              </w:rPr>
            </w:pPr>
            <w:r w:rsidRPr="00872014">
              <w:rPr>
                <w:b w:val="0"/>
                <w:sz w:val="20"/>
                <w:szCs w:val="20"/>
              </w:rPr>
              <w:t>46.2</w:t>
            </w:r>
          </w:p>
        </w:tc>
      </w:tr>
      <w:tr w:rsidR="00872014" w:rsidRPr="00A83C94" w14:paraId="050C54AF" w14:textId="77777777" w:rsidTr="00733935">
        <w:trPr>
          <w:trHeight w:val="258"/>
        </w:trPr>
        <w:tc>
          <w:tcPr>
            <w:tcW w:w="3510" w:type="dxa"/>
          </w:tcPr>
          <w:p w14:paraId="0D5A786C" w14:textId="77777777" w:rsidR="00872014" w:rsidRPr="00A83C94" w:rsidRDefault="00872014" w:rsidP="00872014">
            <w:pPr>
              <w:spacing w:before="0" w:line="276" w:lineRule="auto"/>
              <w:ind w:firstLine="0"/>
              <w:rPr>
                <w:rFonts w:cs="Sylfaen"/>
                <w:b w:val="0"/>
                <w:i/>
                <w:sz w:val="20"/>
                <w:szCs w:val="20"/>
              </w:rPr>
            </w:pPr>
            <w:r w:rsidRPr="00A83C94">
              <w:rPr>
                <w:rFonts w:cs="Sylfaen"/>
                <w:b w:val="0"/>
                <w:i/>
                <w:sz w:val="20"/>
                <w:szCs w:val="20"/>
              </w:rPr>
              <w:t>Մասնավոր</w:t>
            </w:r>
          </w:p>
        </w:tc>
        <w:tc>
          <w:tcPr>
            <w:tcW w:w="1276" w:type="dxa"/>
            <w:vAlign w:val="center"/>
          </w:tcPr>
          <w:p w14:paraId="62CA7829"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5.1</w:t>
            </w:r>
          </w:p>
        </w:tc>
        <w:tc>
          <w:tcPr>
            <w:tcW w:w="1134" w:type="dxa"/>
            <w:vAlign w:val="center"/>
          </w:tcPr>
          <w:p w14:paraId="0C70AE31"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2.6</w:t>
            </w:r>
          </w:p>
        </w:tc>
        <w:tc>
          <w:tcPr>
            <w:tcW w:w="1153" w:type="dxa"/>
            <w:vAlign w:val="center"/>
          </w:tcPr>
          <w:p w14:paraId="59D7337D"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-12.0</w:t>
            </w:r>
          </w:p>
        </w:tc>
        <w:tc>
          <w:tcPr>
            <w:tcW w:w="1134" w:type="dxa"/>
            <w:shd w:val="clear" w:color="auto" w:fill="D9E2F3"/>
          </w:tcPr>
          <w:p w14:paraId="2FDF2A43" w14:textId="74E34011" w:rsidR="00872014" w:rsidRPr="00872014" w:rsidRDefault="00872014" w:rsidP="00872014">
            <w:pPr>
              <w:spacing w:before="0" w:line="276" w:lineRule="auto"/>
              <w:ind w:firstLine="0"/>
              <w:jc w:val="center"/>
              <w:rPr>
                <w:b w:val="0"/>
                <w:sz w:val="20"/>
                <w:szCs w:val="20"/>
              </w:rPr>
            </w:pPr>
            <w:r w:rsidRPr="00872014">
              <w:rPr>
                <w:b w:val="0"/>
                <w:sz w:val="20"/>
                <w:szCs w:val="20"/>
              </w:rPr>
              <w:t>0.6</w:t>
            </w:r>
          </w:p>
        </w:tc>
        <w:tc>
          <w:tcPr>
            <w:tcW w:w="1281" w:type="dxa"/>
            <w:shd w:val="clear" w:color="auto" w:fill="D9E2F3"/>
          </w:tcPr>
          <w:p w14:paraId="1F651CBD" w14:textId="0C672948" w:rsidR="00872014" w:rsidRPr="00872014" w:rsidRDefault="00872014" w:rsidP="00872014">
            <w:pPr>
              <w:spacing w:before="0" w:line="276" w:lineRule="auto"/>
              <w:ind w:firstLine="0"/>
              <w:jc w:val="center"/>
              <w:rPr>
                <w:b w:val="0"/>
                <w:sz w:val="20"/>
                <w:szCs w:val="20"/>
              </w:rPr>
            </w:pPr>
            <w:r w:rsidRPr="00872014">
              <w:rPr>
                <w:b w:val="0"/>
                <w:sz w:val="20"/>
                <w:szCs w:val="20"/>
              </w:rPr>
              <w:t>15.6</w:t>
            </w:r>
          </w:p>
        </w:tc>
      </w:tr>
      <w:tr w:rsidR="00872014" w:rsidRPr="00A83C94" w14:paraId="626FCD07" w14:textId="77777777" w:rsidTr="00733935">
        <w:trPr>
          <w:trHeight w:val="258"/>
        </w:trPr>
        <w:tc>
          <w:tcPr>
            <w:tcW w:w="3510" w:type="dxa"/>
          </w:tcPr>
          <w:p w14:paraId="45195EC4" w14:textId="77777777" w:rsidR="00872014" w:rsidRPr="00A83C94" w:rsidRDefault="00872014" w:rsidP="00872014">
            <w:pPr>
              <w:spacing w:before="0" w:line="276" w:lineRule="auto"/>
              <w:ind w:firstLine="0"/>
              <w:rPr>
                <w:rFonts w:cs="Sylfaen"/>
                <w:b w:val="0"/>
                <w:sz w:val="20"/>
                <w:szCs w:val="20"/>
              </w:rPr>
            </w:pPr>
            <w:r w:rsidRPr="00A83C94">
              <w:rPr>
                <w:rFonts w:cs="Sylfaen"/>
                <w:b w:val="0"/>
                <w:sz w:val="20"/>
                <w:szCs w:val="20"/>
              </w:rPr>
              <w:t xml:space="preserve">Արտահանում </w:t>
            </w:r>
          </w:p>
        </w:tc>
        <w:tc>
          <w:tcPr>
            <w:tcW w:w="1276" w:type="dxa"/>
            <w:vAlign w:val="center"/>
          </w:tcPr>
          <w:p w14:paraId="795570F2"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5.0</w:t>
            </w:r>
          </w:p>
        </w:tc>
        <w:tc>
          <w:tcPr>
            <w:tcW w:w="1134" w:type="dxa"/>
            <w:vAlign w:val="center"/>
          </w:tcPr>
          <w:p w14:paraId="5DDAFBC2"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16.0</w:t>
            </w:r>
          </w:p>
        </w:tc>
        <w:tc>
          <w:tcPr>
            <w:tcW w:w="1153" w:type="dxa"/>
            <w:vAlign w:val="center"/>
          </w:tcPr>
          <w:p w14:paraId="34F92774"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-33.4</w:t>
            </w:r>
          </w:p>
        </w:tc>
        <w:tc>
          <w:tcPr>
            <w:tcW w:w="1134" w:type="dxa"/>
            <w:shd w:val="clear" w:color="auto" w:fill="D9E2F3"/>
          </w:tcPr>
          <w:p w14:paraId="556B6F25" w14:textId="6B40A0E0" w:rsidR="00872014" w:rsidRPr="00872014" w:rsidRDefault="00872014" w:rsidP="00872014">
            <w:pPr>
              <w:spacing w:before="0" w:line="276" w:lineRule="auto"/>
              <w:ind w:firstLine="0"/>
              <w:jc w:val="center"/>
              <w:rPr>
                <w:b w:val="0"/>
                <w:sz w:val="20"/>
                <w:szCs w:val="20"/>
              </w:rPr>
            </w:pPr>
            <w:r w:rsidRPr="00872014">
              <w:rPr>
                <w:b w:val="0"/>
                <w:sz w:val="20"/>
                <w:szCs w:val="20"/>
              </w:rPr>
              <w:t>7.6</w:t>
            </w:r>
          </w:p>
        </w:tc>
        <w:tc>
          <w:tcPr>
            <w:tcW w:w="1281" w:type="dxa"/>
            <w:shd w:val="clear" w:color="auto" w:fill="D9E2F3"/>
          </w:tcPr>
          <w:p w14:paraId="1593CEC3" w14:textId="2FF2D234" w:rsidR="00872014" w:rsidRPr="00872014" w:rsidRDefault="00872014" w:rsidP="00872014">
            <w:pPr>
              <w:spacing w:before="0" w:line="276" w:lineRule="auto"/>
              <w:ind w:firstLine="0"/>
              <w:jc w:val="center"/>
              <w:rPr>
                <w:b w:val="0"/>
                <w:sz w:val="20"/>
                <w:szCs w:val="20"/>
              </w:rPr>
            </w:pPr>
            <w:r w:rsidRPr="00872014">
              <w:rPr>
                <w:b w:val="0"/>
                <w:sz w:val="20"/>
                <w:szCs w:val="20"/>
              </w:rPr>
              <w:t>14.3</w:t>
            </w:r>
          </w:p>
        </w:tc>
      </w:tr>
      <w:tr w:rsidR="00872014" w:rsidRPr="00A83C94" w14:paraId="7953B50D" w14:textId="77777777" w:rsidTr="00733935">
        <w:trPr>
          <w:trHeight w:val="272"/>
        </w:trPr>
        <w:tc>
          <w:tcPr>
            <w:tcW w:w="3510" w:type="dxa"/>
          </w:tcPr>
          <w:p w14:paraId="76197C9A" w14:textId="77777777" w:rsidR="00872014" w:rsidRPr="00A83C94" w:rsidRDefault="00872014" w:rsidP="00872014">
            <w:pPr>
              <w:spacing w:before="0" w:line="276" w:lineRule="auto"/>
              <w:ind w:firstLine="0"/>
              <w:rPr>
                <w:rFonts w:cs="Sylfaen"/>
                <w:b w:val="0"/>
                <w:sz w:val="20"/>
                <w:szCs w:val="20"/>
              </w:rPr>
            </w:pPr>
            <w:r w:rsidRPr="00A83C94">
              <w:rPr>
                <w:rFonts w:cs="Sylfaen"/>
                <w:b w:val="0"/>
                <w:sz w:val="20"/>
                <w:szCs w:val="20"/>
              </w:rPr>
              <w:t xml:space="preserve">Ներմուծում </w:t>
            </w:r>
          </w:p>
        </w:tc>
        <w:tc>
          <w:tcPr>
            <w:tcW w:w="1276" w:type="dxa"/>
            <w:vAlign w:val="center"/>
          </w:tcPr>
          <w:p w14:paraId="4ACE11D6" w14:textId="77777777" w:rsidR="00872014" w:rsidRPr="00A83C94" w:rsidRDefault="00872014" w:rsidP="00872014">
            <w:pPr>
              <w:spacing w:before="0" w:line="276" w:lineRule="auto"/>
              <w:ind w:firstLine="0"/>
              <w:jc w:val="center"/>
              <w:rPr>
                <w:b w:val="0"/>
                <w:color w:val="000000"/>
                <w:sz w:val="20"/>
                <w:szCs w:val="20"/>
              </w:rPr>
            </w:pPr>
            <w:r w:rsidRPr="00A83C94">
              <w:rPr>
                <w:b w:val="0"/>
                <w:color w:val="000000"/>
                <w:sz w:val="20"/>
                <w:szCs w:val="20"/>
              </w:rPr>
              <w:t>13.3</w:t>
            </w:r>
          </w:p>
        </w:tc>
        <w:tc>
          <w:tcPr>
            <w:tcW w:w="1134" w:type="dxa"/>
            <w:vAlign w:val="center"/>
          </w:tcPr>
          <w:p w14:paraId="5E8F1C2D"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11.6</w:t>
            </w:r>
          </w:p>
        </w:tc>
        <w:tc>
          <w:tcPr>
            <w:tcW w:w="1153" w:type="dxa"/>
            <w:vAlign w:val="center"/>
          </w:tcPr>
          <w:p w14:paraId="3338D798" w14:textId="77777777" w:rsidR="00872014" w:rsidRPr="00A83C94" w:rsidRDefault="00872014" w:rsidP="00872014">
            <w:pPr>
              <w:spacing w:before="0" w:line="276" w:lineRule="auto"/>
              <w:ind w:firstLine="0"/>
              <w:jc w:val="center"/>
              <w:rPr>
                <w:rFonts w:eastAsia="Times New Roman" w:cs="Times New Roman"/>
                <w:b w:val="0"/>
                <w:sz w:val="20"/>
                <w:szCs w:val="20"/>
              </w:rPr>
            </w:pPr>
            <w:r w:rsidRPr="00A83C94">
              <w:rPr>
                <w:b w:val="0"/>
                <w:color w:val="000000"/>
                <w:sz w:val="20"/>
                <w:szCs w:val="20"/>
              </w:rPr>
              <w:t>-31.4</w:t>
            </w:r>
          </w:p>
        </w:tc>
        <w:tc>
          <w:tcPr>
            <w:tcW w:w="1134" w:type="dxa"/>
            <w:shd w:val="clear" w:color="auto" w:fill="D9E2F3"/>
          </w:tcPr>
          <w:p w14:paraId="26B3B59E" w14:textId="1A18F476" w:rsidR="00872014" w:rsidRPr="00872014" w:rsidRDefault="00872014" w:rsidP="00872014">
            <w:pPr>
              <w:spacing w:before="0" w:line="276" w:lineRule="auto"/>
              <w:ind w:firstLine="0"/>
              <w:jc w:val="center"/>
              <w:rPr>
                <w:b w:val="0"/>
                <w:sz w:val="20"/>
                <w:szCs w:val="20"/>
              </w:rPr>
            </w:pPr>
            <w:r w:rsidRPr="00872014">
              <w:rPr>
                <w:b w:val="0"/>
                <w:sz w:val="20"/>
                <w:szCs w:val="20"/>
              </w:rPr>
              <w:t>8.2</w:t>
            </w:r>
          </w:p>
        </w:tc>
        <w:tc>
          <w:tcPr>
            <w:tcW w:w="1281" w:type="dxa"/>
            <w:shd w:val="clear" w:color="auto" w:fill="D9E2F3"/>
          </w:tcPr>
          <w:p w14:paraId="574B283E" w14:textId="71566281" w:rsidR="00872014" w:rsidRPr="00872014" w:rsidRDefault="00872014" w:rsidP="00872014">
            <w:pPr>
              <w:spacing w:before="0" w:line="276" w:lineRule="auto"/>
              <w:ind w:firstLine="0"/>
              <w:jc w:val="center"/>
              <w:rPr>
                <w:b w:val="0"/>
                <w:sz w:val="20"/>
                <w:szCs w:val="20"/>
              </w:rPr>
            </w:pPr>
            <w:r w:rsidRPr="00872014">
              <w:rPr>
                <w:b w:val="0"/>
                <w:sz w:val="20"/>
                <w:szCs w:val="20"/>
              </w:rPr>
              <w:t>15.3</w:t>
            </w:r>
          </w:p>
        </w:tc>
      </w:tr>
      <w:tr w:rsidR="00C34A4E" w:rsidRPr="00A83C94" w14:paraId="4112865C" w14:textId="77777777" w:rsidTr="00733935">
        <w:trPr>
          <w:trHeight w:val="258"/>
        </w:trPr>
        <w:tc>
          <w:tcPr>
            <w:tcW w:w="9488" w:type="dxa"/>
            <w:gridSpan w:val="6"/>
            <w:shd w:val="clear" w:color="auto" w:fill="auto"/>
            <w:noWrap/>
            <w:vAlign w:val="center"/>
          </w:tcPr>
          <w:p w14:paraId="1B55AE75" w14:textId="77777777" w:rsidR="00C34A4E" w:rsidRPr="00A83C94" w:rsidRDefault="00C34A4E" w:rsidP="00733935">
            <w:pPr>
              <w:spacing w:before="0" w:line="276" w:lineRule="auto"/>
              <w:jc w:val="center"/>
              <w:rPr>
                <w:rFonts w:cs="Arial"/>
                <w:bCs/>
                <w:sz w:val="20"/>
                <w:szCs w:val="20"/>
              </w:rPr>
            </w:pPr>
            <w:r w:rsidRPr="00A83C94">
              <w:rPr>
                <w:rFonts w:cs="Sylfaen"/>
                <w:sz w:val="20"/>
                <w:szCs w:val="20"/>
                <w:u w:val="single"/>
              </w:rPr>
              <w:t>Արտաքին հատված (մլն ԱՄՆ դոլար)</w:t>
            </w:r>
          </w:p>
        </w:tc>
      </w:tr>
      <w:tr w:rsidR="00C34A4E" w:rsidRPr="00A83C94" w14:paraId="596B6E51" w14:textId="77777777" w:rsidTr="00733935">
        <w:trPr>
          <w:trHeight w:val="258"/>
        </w:trPr>
        <w:tc>
          <w:tcPr>
            <w:tcW w:w="3510" w:type="dxa"/>
            <w:shd w:val="clear" w:color="auto" w:fill="auto"/>
          </w:tcPr>
          <w:p w14:paraId="7EB958AD"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Ընթացիկ հաշիվ</w:t>
            </w:r>
          </w:p>
        </w:tc>
        <w:tc>
          <w:tcPr>
            <w:tcW w:w="1276" w:type="dxa"/>
            <w:vAlign w:val="center"/>
          </w:tcPr>
          <w:p w14:paraId="278BDC36"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-875.9</w:t>
            </w:r>
          </w:p>
        </w:tc>
        <w:tc>
          <w:tcPr>
            <w:tcW w:w="1134" w:type="dxa"/>
            <w:vAlign w:val="center"/>
          </w:tcPr>
          <w:p w14:paraId="3B8BC4BB"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-1,002.3</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70DDA"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-478.7</w:t>
            </w:r>
          </w:p>
        </w:tc>
        <w:tc>
          <w:tcPr>
            <w:tcW w:w="1134" w:type="dxa"/>
            <w:shd w:val="clear" w:color="auto" w:fill="D9E2F3"/>
          </w:tcPr>
          <w:p w14:paraId="35AB4ED2"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-241.8</w:t>
            </w:r>
          </w:p>
        </w:tc>
        <w:tc>
          <w:tcPr>
            <w:tcW w:w="1281" w:type="dxa"/>
            <w:shd w:val="clear" w:color="auto" w:fill="D9E2F3"/>
          </w:tcPr>
          <w:p w14:paraId="07FB940D"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-455.6</w:t>
            </w:r>
          </w:p>
        </w:tc>
      </w:tr>
      <w:tr w:rsidR="00C34A4E" w:rsidRPr="00A83C94" w14:paraId="3A66A73B" w14:textId="77777777" w:rsidTr="00733935">
        <w:trPr>
          <w:trHeight w:val="258"/>
        </w:trPr>
        <w:tc>
          <w:tcPr>
            <w:tcW w:w="3510" w:type="dxa"/>
            <w:shd w:val="clear" w:color="auto" w:fill="auto"/>
          </w:tcPr>
          <w:p w14:paraId="09741117" w14:textId="77777777" w:rsidR="00C34A4E" w:rsidRPr="00A83C94" w:rsidRDefault="00C34A4E" w:rsidP="00733935">
            <w:pPr>
              <w:spacing w:before="0" w:line="276" w:lineRule="auto"/>
              <w:ind w:firstLine="0"/>
              <w:jc w:val="left"/>
              <w:rPr>
                <w:rFonts w:cs="Sylfaen"/>
                <w:b w:val="0"/>
                <w:sz w:val="20"/>
                <w:szCs w:val="20"/>
              </w:rPr>
            </w:pPr>
            <w:r w:rsidRPr="00A83C94">
              <w:rPr>
                <w:rFonts w:cs="Sylfaen"/>
                <w:b w:val="0"/>
                <w:sz w:val="20"/>
                <w:szCs w:val="20"/>
              </w:rPr>
              <w:t>Ապրանքների և ծառայությունների հաշվեկշիռ</w:t>
            </w:r>
          </w:p>
        </w:tc>
        <w:tc>
          <w:tcPr>
            <w:tcW w:w="1276" w:type="dxa"/>
            <w:vAlign w:val="center"/>
          </w:tcPr>
          <w:p w14:paraId="44C055E7"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-1,699.8</w:t>
            </w:r>
          </w:p>
        </w:tc>
        <w:tc>
          <w:tcPr>
            <w:tcW w:w="1134" w:type="dxa"/>
            <w:vAlign w:val="center"/>
          </w:tcPr>
          <w:p w14:paraId="21AC61C0"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-1,794.8</w:t>
            </w:r>
          </w:p>
        </w:tc>
        <w:tc>
          <w:tcPr>
            <w:tcW w:w="1153" w:type="dxa"/>
            <w:vAlign w:val="center"/>
          </w:tcPr>
          <w:p w14:paraId="6D2ECCA0"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-1,256.1</w:t>
            </w:r>
          </w:p>
        </w:tc>
        <w:tc>
          <w:tcPr>
            <w:tcW w:w="1134" w:type="dxa"/>
            <w:shd w:val="clear" w:color="auto" w:fill="D9E2F3"/>
          </w:tcPr>
          <w:p w14:paraId="376D1A13"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-1,334.6</w:t>
            </w:r>
          </w:p>
        </w:tc>
        <w:tc>
          <w:tcPr>
            <w:tcW w:w="1281" w:type="dxa"/>
            <w:shd w:val="clear" w:color="auto" w:fill="D9E2F3"/>
          </w:tcPr>
          <w:p w14:paraId="6F8E1FCB"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-1,657.5</w:t>
            </w:r>
          </w:p>
        </w:tc>
      </w:tr>
      <w:tr w:rsidR="00C34A4E" w:rsidRPr="00A83C94" w14:paraId="058AF144" w14:textId="77777777" w:rsidTr="00733935">
        <w:trPr>
          <w:trHeight w:val="258"/>
        </w:trPr>
        <w:tc>
          <w:tcPr>
            <w:tcW w:w="3510" w:type="dxa"/>
            <w:shd w:val="clear" w:color="auto" w:fill="auto"/>
          </w:tcPr>
          <w:p w14:paraId="0F2A5F46"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Արտահանում</w:t>
            </w:r>
          </w:p>
        </w:tc>
        <w:tc>
          <w:tcPr>
            <w:tcW w:w="1276" w:type="dxa"/>
            <w:vAlign w:val="center"/>
          </w:tcPr>
          <w:p w14:paraId="6795B5ED"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4,941.7</w:t>
            </w:r>
          </w:p>
        </w:tc>
        <w:tc>
          <w:tcPr>
            <w:tcW w:w="1134" w:type="dxa"/>
            <w:vAlign w:val="center"/>
          </w:tcPr>
          <w:p w14:paraId="75713975"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5,718.1</w:t>
            </w:r>
          </w:p>
        </w:tc>
        <w:tc>
          <w:tcPr>
            <w:tcW w:w="1153" w:type="dxa"/>
            <w:vAlign w:val="center"/>
          </w:tcPr>
          <w:p w14:paraId="13B64115"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3,762.6</w:t>
            </w:r>
          </w:p>
        </w:tc>
        <w:tc>
          <w:tcPr>
            <w:tcW w:w="1134" w:type="dxa"/>
            <w:shd w:val="clear" w:color="auto" w:fill="D9E2F3"/>
          </w:tcPr>
          <w:p w14:paraId="51EB749B"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4,521.2</w:t>
            </w:r>
          </w:p>
        </w:tc>
        <w:tc>
          <w:tcPr>
            <w:tcW w:w="1281" w:type="dxa"/>
            <w:shd w:val="clear" w:color="auto" w:fill="D9E2F3"/>
          </w:tcPr>
          <w:p w14:paraId="50E53E11"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5,270.7</w:t>
            </w:r>
          </w:p>
        </w:tc>
      </w:tr>
      <w:tr w:rsidR="00C34A4E" w:rsidRPr="00A83C94" w14:paraId="59740E5A" w14:textId="77777777" w:rsidTr="00733935">
        <w:trPr>
          <w:trHeight w:val="258"/>
        </w:trPr>
        <w:tc>
          <w:tcPr>
            <w:tcW w:w="3510" w:type="dxa"/>
            <w:shd w:val="clear" w:color="auto" w:fill="auto"/>
          </w:tcPr>
          <w:p w14:paraId="3E565E13"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Փոփոխություն,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3C45D"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12.1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870E5E0"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15.7</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3E2F7DCB"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-34.2</w:t>
            </w:r>
          </w:p>
        </w:tc>
        <w:tc>
          <w:tcPr>
            <w:tcW w:w="1134" w:type="dxa"/>
            <w:shd w:val="clear" w:color="auto" w:fill="D9E2F3"/>
          </w:tcPr>
          <w:p w14:paraId="3EF9B029"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20.2</w:t>
            </w:r>
          </w:p>
        </w:tc>
        <w:tc>
          <w:tcPr>
            <w:tcW w:w="1281" w:type="dxa"/>
            <w:shd w:val="clear" w:color="auto" w:fill="D9E2F3"/>
          </w:tcPr>
          <w:p w14:paraId="0BE7DF74"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16.6</w:t>
            </w:r>
          </w:p>
        </w:tc>
      </w:tr>
      <w:tr w:rsidR="00C34A4E" w:rsidRPr="00A83C94" w14:paraId="75AB69E6" w14:textId="77777777" w:rsidTr="00733935">
        <w:trPr>
          <w:trHeight w:val="430"/>
        </w:trPr>
        <w:tc>
          <w:tcPr>
            <w:tcW w:w="3510" w:type="dxa"/>
            <w:shd w:val="clear" w:color="auto" w:fill="auto"/>
          </w:tcPr>
          <w:p w14:paraId="545768C9"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Ներմուծում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5BDBE9"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6,641.5</w:t>
            </w:r>
          </w:p>
        </w:tc>
        <w:tc>
          <w:tcPr>
            <w:tcW w:w="1134" w:type="dxa"/>
            <w:tcBorders>
              <w:top w:val="single" w:sz="4" w:space="0" w:color="000000"/>
              <w:left w:val="nil"/>
              <w:bottom w:val="single" w:sz="4" w:space="0" w:color="000000"/>
              <w:right w:val="single" w:sz="4" w:space="0" w:color="000000"/>
            </w:tcBorders>
            <w:shd w:val="clear" w:color="auto" w:fill="auto"/>
          </w:tcPr>
          <w:p w14:paraId="37103AE8"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7,512.9</w:t>
            </w:r>
          </w:p>
        </w:tc>
        <w:tc>
          <w:tcPr>
            <w:tcW w:w="1153" w:type="dxa"/>
            <w:tcBorders>
              <w:top w:val="single" w:sz="4" w:space="0" w:color="000000"/>
              <w:left w:val="nil"/>
              <w:bottom w:val="single" w:sz="4" w:space="0" w:color="000000"/>
              <w:right w:val="single" w:sz="4" w:space="0" w:color="000000"/>
            </w:tcBorders>
            <w:shd w:val="clear" w:color="auto" w:fill="auto"/>
          </w:tcPr>
          <w:p w14:paraId="04B0B824"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5,018.7</w:t>
            </w:r>
          </w:p>
        </w:tc>
        <w:tc>
          <w:tcPr>
            <w:tcW w:w="1134" w:type="dxa"/>
            <w:shd w:val="clear" w:color="auto" w:fill="D9E2F3"/>
          </w:tcPr>
          <w:p w14:paraId="0A94F919"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5,855.8</w:t>
            </w:r>
          </w:p>
        </w:tc>
        <w:tc>
          <w:tcPr>
            <w:tcW w:w="1281" w:type="dxa"/>
            <w:shd w:val="clear" w:color="auto" w:fill="D9E2F3"/>
          </w:tcPr>
          <w:p w14:paraId="1024FA85"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6,928.2</w:t>
            </w:r>
          </w:p>
        </w:tc>
      </w:tr>
      <w:tr w:rsidR="00C34A4E" w:rsidRPr="00A83C94" w14:paraId="2EF3AE06" w14:textId="77777777" w:rsidTr="00733935">
        <w:trPr>
          <w:trHeight w:val="258"/>
        </w:trPr>
        <w:tc>
          <w:tcPr>
            <w:tcW w:w="3510" w:type="dxa"/>
            <w:shd w:val="clear" w:color="auto" w:fill="auto"/>
            <w:noWrap/>
          </w:tcPr>
          <w:p w14:paraId="4C0A957D"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Փոփոխություն,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5BCD8"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17.5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5FA7B8A"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13.1</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05624B82"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-33.2</w:t>
            </w:r>
          </w:p>
        </w:tc>
        <w:tc>
          <w:tcPr>
            <w:tcW w:w="1134" w:type="dxa"/>
            <w:shd w:val="clear" w:color="auto" w:fill="D9E2F3"/>
          </w:tcPr>
          <w:p w14:paraId="26F75CB2"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16.7</w:t>
            </w:r>
          </w:p>
        </w:tc>
        <w:tc>
          <w:tcPr>
            <w:tcW w:w="1281" w:type="dxa"/>
            <w:shd w:val="clear" w:color="auto" w:fill="D9E2F3"/>
          </w:tcPr>
          <w:p w14:paraId="7AABE16B"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18.3</w:t>
            </w:r>
          </w:p>
        </w:tc>
      </w:tr>
      <w:tr w:rsidR="00C34A4E" w:rsidRPr="00A83C94" w14:paraId="5A10F5F5" w14:textId="77777777" w:rsidTr="00733935">
        <w:trPr>
          <w:trHeight w:val="258"/>
        </w:trPr>
        <w:tc>
          <w:tcPr>
            <w:tcW w:w="3510" w:type="dxa"/>
            <w:shd w:val="clear" w:color="auto" w:fill="auto"/>
            <w:noWrap/>
          </w:tcPr>
          <w:p w14:paraId="5567E23D"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Դրամական փոխանցումներ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F11A2"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1,136.2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33434AB"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1,143.8</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54D53C2B"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1,040.2</w:t>
            </w:r>
          </w:p>
        </w:tc>
        <w:tc>
          <w:tcPr>
            <w:tcW w:w="1134" w:type="dxa"/>
            <w:shd w:val="clear" w:color="auto" w:fill="D9E2F3"/>
          </w:tcPr>
          <w:p w14:paraId="1372125E"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1,398.8</w:t>
            </w:r>
          </w:p>
        </w:tc>
        <w:tc>
          <w:tcPr>
            <w:tcW w:w="1281" w:type="dxa"/>
            <w:shd w:val="clear" w:color="auto" w:fill="D9E2F3"/>
          </w:tcPr>
          <w:p w14:paraId="1A376456" w14:textId="77777777" w:rsidR="00C34A4E" w:rsidRPr="00A83C94" w:rsidRDefault="00C34A4E" w:rsidP="00733935">
            <w:pPr>
              <w:spacing w:before="0" w:line="276" w:lineRule="auto"/>
              <w:ind w:firstLine="0"/>
              <w:jc w:val="center"/>
              <w:rPr>
                <w:b w:val="0"/>
                <w:sz w:val="20"/>
                <w:szCs w:val="20"/>
                <w:lang w:val="hy-AM"/>
              </w:rPr>
            </w:pPr>
            <w:r w:rsidRPr="00A83C94">
              <w:rPr>
                <w:b w:val="0"/>
                <w:sz w:val="20"/>
                <w:szCs w:val="20"/>
                <w:lang w:val="hy-AM"/>
              </w:rPr>
              <w:t>1,468.7</w:t>
            </w:r>
          </w:p>
        </w:tc>
      </w:tr>
      <w:tr w:rsidR="00C34A4E" w:rsidRPr="00A83C94" w14:paraId="5EF0BAF1" w14:textId="77777777" w:rsidTr="00733935">
        <w:trPr>
          <w:trHeight w:val="177"/>
        </w:trPr>
        <w:tc>
          <w:tcPr>
            <w:tcW w:w="9488" w:type="dxa"/>
            <w:gridSpan w:val="6"/>
            <w:shd w:val="clear" w:color="auto" w:fill="auto"/>
            <w:noWrap/>
            <w:vAlign w:val="center"/>
          </w:tcPr>
          <w:p w14:paraId="57B8931E" w14:textId="77777777" w:rsidR="00C34A4E" w:rsidRPr="00A83C94" w:rsidRDefault="00C34A4E" w:rsidP="00733935">
            <w:pPr>
              <w:spacing w:before="0" w:line="276" w:lineRule="auto"/>
              <w:jc w:val="center"/>
              <w:rPr>
                <w:sz w:val="20"/>
                <w:szCs w:val="20"/>
              </w:rPr>
            </w:pPr>
            <w:r w:rsidRPr="00A83C94">
              <w:rPr>
                <w:rFonts w:cs="Sylfaen"/>
                <w:sz w:val="20"/>
                <w:szCs w:val="20"/>
                <w:u w:val="single"/>
              </w:rPr>
              <w:t>ՀՆԱ-ի նկատմամբ %</w:t>
            </w:r>
          </w:p>
        </w:tc>
      </w:tr>
      <w:tr w:rsidR="00C34A4E" w:rsidRPr="00A83C94" w14:paraId="4E6FFFD5" w14:textId="77777777" w:rsidTr="00733935">
        <w:trPr>
          <w:trHeight w:val="258"/>
        </w:trPr>
        <w:tc>
          <w:tcPr>
            <w:tcW w:w="3510" w:type="dxa"/>
            <w:shd w:val="clear" w:color="auto" w:fill="auto"/>
            <w:noWrap/>
          </w:tcPr>
          <w:p w14:paraId="54408F9C"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 xml:space="preserve">Ընթացիկ հաշիվ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22844"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85F9550"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-7.4</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65F00B62" w14:textId="77777777" w:rsidR="00C34A4E" w:rsidRPr="00A83C94" w:rsidRDefault="00C34A4E" w:rsidP="00733935">
            <w:pPr>
              <w:spacing w:before="0" w:line="276" w:lineRule="auto"/>
              <w:ind w:firstLine="0"/>
              <w:jc w:val="center"/>
              <w:rPr>
                <w:rFonts w:eastAsia="Times New Roman" w:cs="Arial"/>
                <w:b w:val="0"/>
                <w:bCs/>
                <w:sz w:val="20"/>
                <w:szCs w:val="20"/>
              </w:rPr>
            </w:pPr>
            <w:r w:rsidRPr="00A83C94">
              <w:rPr>
                <w:b w:val="0"/>
                <w:color w:val="000000"/>
                <w:sz w:val="20"/>
              </w:rPr>
              <w:t>-3.8</w:t>
            </w:r>
          </w:p>
        </w:tc>
        <w:tc>
          <w:tcPr>
            <w:tcW w:w="1134" w:type="dxa"/>
            <w:shd w:val="clear" w:color="auto" w:fill="D9E2F3"/>
          </w:tcPr>
          <w:p w14:paraId="44F188F7"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-1.7</w:t>
            </w:r>
          </w:p>
        </w:tc>
        <w:tc>
          <w:tcPr>
            <w:tcW w:w="1281" w:type="dxa"/>
            <w:shd w:val="clear" w:color="auto" w:fill="D9E2F3"/>
          </w:tcPr>
          <w:p w14:paraId="012047D2"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-3.0</w:t>
            </w:r>
          </w:p>
        </w:tc>
      </w:tr>
      <w:tr w:rsidR="00C34A4E" w:rsidRPr="00A83C94" w14:paraId="4A1309C1" w14:textId="77777777" w:rsidTr="00733935">
        <w:trPr>
          <w:trHeight w:val="258"/>
        </w:trPr>
        <w:tc>
          <w:tcPr>
            <w:tcW w:w="3510" w:type="dxa"/>
            <w:shd w:val="clear" w:color="auto" w:fill="auto"/>
            <w:noWrap/>
          </w:tcPr>
          <w:p w14:paraId="39B65F3A" w14:textId="77777777" w:rsidR="00C34A4E" w:rsidRPr="00A83C94" w:rsidRDefault="00C34A4E" w:rsidP="00733935">
            <w:pPr>
              <w:spacing w:before="0" w:line="276" w:lineRule="auto"/>
              <w:ind w:firstLine="0"/>
              <w:jc w:val="left"/>
              <w:rPr>
                <w:rFonts w:cs="Sylfaen"/>
                <w:b w:val="0"/>
                <w:sz w:val="20"/>
                <w:szCs w:val="20"/>
                <w:u w:val="single"/>
              </w:rPr>
            </w:pPr>
            <w:r w:rsidRPr="00A83C94">
              <w:rPr>
                <w:rFonts w:cs="Sylfaen"/>
                <w:b w:val="0"/>
                <w:sz w:val="20"/>
                <w:szCs w:val="20"/>
              </w:rPr>
              <w:t>Ապրանքների և ծառայությունների հաշվեկշիռ</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4701900"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-13.6</w:t>
            </w:r>
          </w:p>
        </w:tc>
        <w:tc>
          <w:tcPr>
            <w:tcW w:w="1134" w:type="dxa"/>
            <w:tcBorders>
              <w:top w:val="nil"/>
              <w:left w:val="nil"/>
              <w:bottom w:val="single" w:sz="4" w:space="0" w:color="000000"/>
              <w:right w:val="single" w:sz="4" w:space="0" w:color="000000"/>
            </w:tcBorders>
            <w:shd w:val="clear" w:color="auto" w:fill="auto"/>
            <w:vAlign w:val="center"/>
          </w:tcPr>
          <w:p w14:paraId="7B7BE22C"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-13.2</w:t>
            </w:r>
          </w:p>
        </w:tc>
        <w:tc>
          <w:tcPr>
            <w:tcW w:w="1153" w:type="dxa"/>
            <w:tcBorders>
              <w:top w:val="nil"/>
              <w:left w:val="nil"/>
              <w:bottom w:val="single" w:sz="4" w:space="0" w:color="000000"/>
              <w:right w:val="single" w:sz="4" w:space="0" w:color="000000"/>
            </w:tcBorders>
            <w:shd w:val="clear" w:color="auto" w:fill="auto"/>
            <w:vAlign w:val="center"/>
          </w:tcPr>
          <w:p w14:paraId="5AA0B5A2" w14:textId="77777777" w:rsidR="00C34A4E" w:rsidRPr="00A83C94" w:rsidRDefault="00C34A4E" w:rsidP="00733935">
            <w:pPr>
              <w:spacing w:before="0" w:line="276" w:lineRule="auto"/>
              <w:ind w:firstLine="0"/>
              <w:jc w:val="center"/>
              <w:rPr>
                <w:rFonts w:eastAsia="Times New Roman" w:cs="Arial"/>
                <w:b w:val="0"/>
                <w:bCs/>
                <w:sz w:val="20"/>
                <w:szCs w:val="20"/>
              </w:rPr>
            </w:pPr>
            <w:r w:rsidRPr="00A83C94">
              <w:rPr>
                <w:b w:val="0"/>
                <w:color w:val="000000"/>
                <w:sz w:val="20"/>
              </w:rPr>
              <w:t>-9.9</w:t>
            </w:r>
          </w:p>
        </w:tc>
        <w:tc>
          <w:tcPr>
            <w:tcW w:w="1134" w:type="dxa"/>
            <w:shd w:val="clear" w:color="auto" w:fill="D9E2F3"/>
          </w:tcPr>
          <w:p w14:paraId="6264E73C"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-9.6</w:t>
            </w:r>
          </w:p>
        </w:tc>
        <w:tc>
          <w:tcPr>
            <w:tcW w:w="1281" w:type="dxa"/>
            <w:shd w:val="clear" w:color="auto" w:fill="D9E2F3"/>
          </w:tcPr>
          <w:p w14:paraId="5407CB67"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-10.9</w:t>
            </w:r>
          </w:p>
        </w:tc>
      </w:tr>
      <w:tr w:rsidR="00C34A4E" w:rsidRPr="00A83C94" w14:paraId="5D45BB5B" w14:textId="77777777" w:rsidTr="00733935">
        <w:trPr>
          <w:trHeight w:val="258"/>
        </w:trPr>
        <w:tc>
          <w:tcPr>
            <w:tcW w:w="3510" w:type="dxa"/>
            <w:shd w:val="clear" w:color="auto" w:fill="auto"/>
          </w:tcPr>
          <w:p w14:paraId="576A1B10"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Արտահանում</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C9D0883"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39.7</w:t>
            </w:r>
          </w:p>
        </w:tc>
        <w:tc>
          <w:tcPr>
            <w:tcW w:w="1134" w:type="dxa"/>
            <w:tcBorders>
              <w:top w:val="nil"/>
              <w:left w:val="nil"/>
              <w:bottom w:val="single" w:sz="4" w:space="0" w:color="000000"/>
              <w:right w:val="single" w:sz="4" w:space="0" w:color="000000"/>
            </w:tcBorders>
            <w:shd w:val="clear" w:color="auto" w:fill="auto"/>
            <w:vAlign w:val="center"/>
          </w:tcPr>
          <w:p w14:paraId="4F5C38F2"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42.0</w:t>
            </w:r>
          </w:p>
        </w:tc>
        <w:tc>
          <w:tcPr>
            <w:tcW w:w="1153" w:type="dxa"/>
            <w:tcBorders>
              <w:top w:val="nil"/>
              <w:left w:val="nil"/>
              <w:bottom w:val="single" w:sz="4" w:space="0" w:color="000000"/>
              <w:right w:val="single" w:sz="4" w:space="0" w:color="000000"/>
            </w:tcBorders>
            <w:shd w:val="clear" w:color="auto" w:fill="auto"/>
            <w:vAlign w:val="center"/>
          </w:tcPr>
          <w:p w14:paraId="20016DF6" w14:textId="77777777" w:rsidR="00C34A4E" w:rsidRPr="00A83C94" w:rsidRDefault="00C34A4E" w:rsidP="00733935">
            <w:pPr>
              <w:spacing w:before="0" w:line="276" w:lineRule="auto"/>
              <w:ind w:firstLine="0"/>
              <w:jc w:val="center"/>
              <w:rPr>
                <w:rFonts w:eastAsia="Times New Roman" w:cs="Arial"/>
                <w:b w:val="0"/>
                <w:bCs/>
                <w:sz w:val="20"/>
                <w:szCs w:val="20"/>
              </w:rPr>
            </w:pPr>
            <w:r w:rsidRPr="00A83C94">
              <w:rPr>
                <w:b w:val="0"/>
                <w:color w:val="000000"/>
                <w:sz w:val="20"/>
              </w:rPr>
              <w:t>29.8</w:t>
            </w:r>
          </w:p>
        </w:tc>
        <w:tc>
          <w:tcPr>
            <w:tcW w:w="1134" w:type="dxa"/>
            <w:shd w:val="clear" w:color="auto" w:fill="D9E2F3"/>
          </w:tcPr>
          <w:p w14:paraId="71E44C3B"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32.6</w:t>
            </w:r>
          </w:p>
        </w:tc>
        <w:tc>
          <w:tcPr>
            <w:tcW w:w="1281" w:type="dxa"/>
            <w:shd w:val="clear" w:color="auto" w:fill="D9E2F3"/>
          </w:tcPr>
          <w:p w14:paraId="5E4D79C7"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34.5</w:t>
            </w:r>
          </w:p>
        </w:tc>
      </w:tr>
      <w:tr w:rsidR="00C34A4E" w:rsidRPr="00A83C94" w14:paraId="0E14B82D" w14:textId="77777777" w:rsidTr="00733935">
        <w:trPr>
          <w:trHeight w:val="258"/>
        </w:trPr>
        <w:tc>
          <w:tcPr>
            <w:tcW w:w="3510" w:type="dxa"/>
            <w:shd w:val="clear" w:color="auto" w:fill="auto"/>
          </w:tcPr>
          <w:p w14:paraId="573179C2"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Ներմուծում</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018F04E"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53.3</w:t>
            </w:r>
          </w:p>
        </w:tc>
        <w:tc>
          <w:tcPr>
            <w:tcW w:w="1134" w:type="dxa"/>
            <w:tcBorders>
              <w:top w:val="nil"/>
              <w:left w:val="nil"/>
              <w:bottom w:val="single" w:sz="4" w:space="0" w:color="000000"/>
              <w:right w:val="single" w:sz="4" w:space="0" w:color="000000"/>
            </w:tcBorders>
            <w:shd w:val="clear" w:color="auto" w:fill="auto"/>
            <w:vAlign w:val="center"/>
          </w:tcPr>
          <w:p w14:paraId="77C7983B"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55.2</w:t>
            </w:r>
          </w:p>
        </w:tc>
        <w:tc>
          <w:tcPr>
            <w:tcW w:w="1153" w:type="dxa"/>
            <w:tcBorders>
              <w:top w:val="nil"/>
              <w:left w:val="nil"/>
              <w:bottom w:val="single" w:sz="4" w:space="0" w:color="000000"/>
              <w:right w:val="single" w:sz="4" w:space="0" w:color="000000"/>
            </w:tcBorders>
            <w:shd w:val="clear" w:color="auto" w:fill="auto"/>
            <w:vAlign w:val="center"/>
          </w:tcPr>
          <w:p w14:paraId="3F27FC9B" w14:textId="77777777" w:rsidR="00C34A4E" w:rsidRPr="00A83C94" w:rsidRDefault="00C34A4E" w:rsidP="00733935">
            <w:pPr>
              <w:spacing w:before="0" w:line="276" w:lineRule="auto"/>
              <w:ind w:firstLine="0"/>
              <w:jc w:val="center"/>
              <w:rPr>
                <w:rFonts w:eastAsia="Times New Roman" w:cs="Arial"/>
                <w:b w:val="0"/>
                <w:bCs/>
                <w:sz w:val="20"/>
                <w:szCs w:val="20"/>
              </w:rPr>
            </w:pPr>
            <w:r w:rsidRPr="00A83C94">
              <w:rPr>
                <w:b w:val="0"/>
                <w:color w:val="000000"/>
                <w:sz w:val="20"/>
              </w:rPr>
              <w:t>39.7</w:t>
            </w:r>
          </w:p>
        </w:tc>
        <w:tc>
          <w:tcPr>
            <w:tcW w:w="1134" w:type="dxa"/>
            <w:shd w:val="clear" w:color="auto" w:fill="D9E2F3"/>
          </w:tcPr>
          <w:p w14:paraId="7C1292CF"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42.2</w:t>
            </w:r>
          </w:p>
        </w:tc>
        <w:tc>
          <w:tcPr>
            <w:tcW w:w="1281" w:type="dxa"/>
            <w:shd w:val="clear" w:color="auto" w:fill="D9E2F3"/>
          </w:tcPr>
          <w:p w14:paraId="6F96FA7E"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45.4</w:t>
            </w:r>
          </w:p>
        </w:tc>
      </w:tr>
      <w:tr w:rsidR="00C34A4E" w:rsidRPr="00A83C94" w14:paraId="444264DB" w14:textId="77777777" w:rsidTr="00733935">
        <w:trPr>
          <w:trHeight w:val="258"/>
        </w:trPr>
        <w:tc>
          <w:tcPr>
            <w:tcW w:w="3510" w:type="dxa"/>
            <w:shd w:val="clear" w:color="auto" w:fill="auto"/>
          </w:tcPr>
          <w:p w14:paraId="4BEA4853" w14:textId="77777777" w:rsidR="00C34A4E" w:rsidRPr="00A83C94" w:rsidRDefault="00C34A4E" w:rsidP="00733935">
            <w:pPr>
              <w:spacing w:before="0" w:line="276" w:lineRule="auto"/>
              <w:ind w:firstLine="0"/>
              <w:rPr>
                <w:rFonts w:cs="Sylfaen"/>
                <w:b w:val="0"/>
                <w:sz w:val="20"/>
                <w:szCs w:val="20"/>
              </w:rPr>
            </w:pPr>
            <w:r w:rsidRPr="00A83C94">
              <w:rPr>
                <w:rFonts w:cs="Sylfaen"/>
                <w:b w:val="0"/>
                <w:sz w:val="20"/>
                <w:szCs w:val="20"/>
              </w:rPr>
              <w:t>Դրամական փոխանցումներ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577E8"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9.1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F3604BA" w14:textId="77777777" w:rsidR="00C34A4E" w:rsidRPr="00A83C94" w:rsidRDefault="00C34A4E" w:rsidP="00733935">
            <w:pPr>
              <w:spacing w:before="0" w:line="276" w:lineRule="auto"/>
              <w:ind w:firstLine="0"/>
              <w:jc w:val="center"/>
              <w:rPr>
                <w:rFonts w:eastAsia="Times New Roman" w:cs="Times New Roman"/>
                <w:b w:val="0"/>
                <w:sz w:val="20"/>
                <w:szCs w:val="20"/>
              </w:rPr>
            </w:pPr>
            <w:r w:rsidRPr="00A83C94">
              <w:rPr>
                <w:b w:val="0"/>
                <w:color w:val="000000"/>
                <w:sz w:val="20"/>
              </w:rPr>
              <w:t>8.4</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566040BD" w14:textId="77777777" w:rsidR="00C34A4E" w:rsidRPr="00A83C94" w:rsidRDefault="00C34A4E" w:rsidP="00733935">
            <w:pPr>
              <w:spacing w:before="0" w:line="276" w:lineRule="auto"/>
              <w:ind w:firstLine="0"/>
              <w:jc w:val="center"/>
              <w:rPr>
                <w:rFonts w:eastAsia="Times New Roman" w:cs="Arial"/>
                <w:b w:val="0"/>
                <w:bCs/>
                <w:sz w:val="20"/>
                <w:szCs w:val="20"/>
              </w:rPr>
            </w:pPr>
            <w:r w:rsidRPr="00A83C94">
              <w:rPr>
                <w:b w:val="0"/>
                <w:color w:val="000000"/>
                <w:sz w:val="20"/>
              </w:rPr>
              <w:t>8.2</w:t>
            </w:r>
          </w:p>
        </w:tc>
        <w:tc>
          <w:tcPr>
            <w:tcW w:w="1134" w:type="dxa"/>
            <w:shd w:val="clear" w:color="auto" w:fill="D9E2F3"/>
          </w:tcPr>
          <w:p w14:paraId="45A08586"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10.1</w:t>
            </w:r>
          </w:p>
        </w:tc>
        <w:tc>
          <w:tcPr>
            <w:tcW w:w="1281" w:type="dxa"/>
            <w:shd w:val="clear" w:color="auto" w:fill="D9E2F3"/>
          </w:tcPr>
          <w:p w14:paraId="3A2F50FA" w14:textId="77777777" w:rsidR="00C34A4E" w:rsidRPr="00A83C94" w:rsidRDefault="00C34A4E" w:rsidP="00733935">
            <w:pPr>
              <w:spacing w:before="0" w:line="276" w:lineRule="auto"/>
              <w:ind w:firstLine="0"/>
              <w:jc w:val="center"/>
              <w:rPr>
                <w:b w:val="0"/>
                <w:color w:val="000000"/>
                <w:sz w:val="20"/>
              </w:rPr>
            </w:pPr>
            <w:r w:rsidRPr="00A83C94">
              <w:rPr>
                <w:b w:val="0"/>
                <w:color w:val="000000"/>
                <w:sz w:val="20"/>
              </w:rPr>
              <w:t>9.6</w:t>
            </w:r>
          </w:p>
        </w:tc>
      </w:tr>
    </w:tbl>
    <w:p w14:paraId="4223FDD3" w14:textId="77777777" w:rsidR="00C34A4E" w:rsidRPr="00A83C94" w:rsidRDefault="00C34A4E" w:rsidP="00C34A4E">
      <w:pPr>
        <w:tabs>
          <w:tab w:val="right" w:pos="0"/>
        </w:tabs>
        <w:spacing w:before="0" w:line="276" w:lineRule="auto"/>
        <w:rPr>
          <w:rFonts w:cs="Times Armenian"/>
          <w:bCs/>
          <w:szCs w:val="22"/>
          <w:lang w:val="en-US"/>
        </w:rPr>
      </w:pPr>
    </w:p>
    <w:p w14:paraId="79CD6070" w14:textId="77777777" w:rsidR="00C34A4E" w:rsidRPr="00A83C94" w:rsidRDefault="00C34A4E" w:rsidP="00C34A4E">
      <w:pPr>
        <w:keepNext/>
        <w:keepLines/>
        <w:spacing w:before="0" w:line="276" w:lineRule="auto"/>
        <w:outlineLvl w:val="2"/>
        <w:rPr>
          <w:b w:val="0"/>
          <w:bCs/>
          <w:color w:val="1F497D"/>
          <w:sz w:val="28"/>
          <w:szCs w:val="28"/>
          <w:lang w:val="hy-AM"/>
        </w:rPr>
      </w:pPr>
    </w:p>
    <w:p w14:paraId="56F9B241" w14:textId="77777777" w:rsidR="00C34A4E" w:rsidRPr="00A83C94" w:rsidRDefault="00C34A4E" w:rsidP="00C34A4E">
      <w:pPr>
        <w:keepNext/>
        <w:keepLines/>
        <w:spacing w:before="0" w:line="276" w:lineRule="auto"/>
        <w:outlineLvl w:val="2"/>
        <w:rPr>
          <w:b w:val="0"/>
          <w:bCs/>
          <w:color w:val="1F497D"/>
          <w:sz w:val="28"/>
          <w:szCs w:val="28"/>
          <w:lang w:val="hy-AM"/>
        </w:rPr>
      </w:pPr>
    </w:p>
    <w:p w14:paraId="44385456" w14:textId="77777777" w:rsidR="00C34A4E" w:rsidRPr="00A83C94" w:rsidRDefault="00C34A4E" w:rsidP="00C34A4E">
      <w:pPr>
        <w:spacing w:before="0" w:line="259" w:lineRule="auto"/>
        <w:rPr>
          <w:b w:val="0"/>
          <w:bCs/>
          <w:color w:val="1F497D"/>
          <w:sz w:val="28"/>
          <w:szCs w:val="28"/>
          <w:lang w:val="hy-AM"/>
        </w:rPr>
      </w:pPr>
      <w:r w:rsidRPr="00A83C94">
        <w:rPr>
          <w:bCs/>
          <w:color w:val="1F497D"/>
          <w:sz w:val="28"/>
          <w:szCs w:val="28"/>
          <w:lang w:val="hy-AM"/>
        </w:rPr>
        <w:br w:type="page"/>
      </w:r>
    </w:p>
    <w:p w14:paraId="40083039" w14:textId="77777777" w:rsidR="00C34A4E" w:rsidRPr="00A83C94" w:rsidRDefault="00C34A4E" w:rsidP="00C34A4E">
      <w:pPr>
        <w:keepNext/>
        <w:keepLines/>
        <w:spacing w:before="0" w:line="276" w:lineRule="auto"/>
        <w:outlineLvl w:val="2"/>
        <w:rPr>
          <w:bCs/>
          <w:sz w:val="24"/>
          <w:lang w:val="hy-AM"/>
        </w:rPr>
      </w:pPr>
      <w:bookmarkStart w:id="112" w:name="_Toc51947413"/>
      <w:bookmarkStart w:id="113" w:name="_Toc52452086"/>
      <w:bookmarkStart w:id="114" w:name="_Toc57559413"/>
      <w:bookmarkStart w:id="115" w:name="_Toc83663895"/>
      <w:bookmarkStart w:id="116" w:name="_Toc83996341"/>
      <w:r w:rsidRPr="00A83C94">
        <w:rPr>
          <w:bCs/>
          <w:sz w:val="24"/>
          <w:lang w:val="hy-AM"/>
        </w:rPr>
        <w:t>1.2. ՀԱՄԱՇԽԱՐՀԱՅԻՆ ՏՆՏԵՍՈՒԹՅԱՆ ԵՎ ԳՈՐԾԸՆԿԵՐ ԵՐԿՐՆԵՐԻ ԶԱՐԳԱՑՈՒՄՆԵՐ ԵՎ ԿԱՆԽԱՏԵՍՈՒՄՆԵՐ</w:t>
      </w:r>
      <w:bookmarkEnd w:id="112"/>
      <w:bookmarkEnd w:id="113"/>
      <w:bookmarkEnd w:id="114"/>
      <w:bookmarkEnd w:id="115"/>
      <w:bookmarkEnd w:id="116"/>
    </w:p>
    <w:p w14:paraId="152ED167" w14:textId="0E05818F" w:rsidR="00C34A4E" w:rsidRPr="00A83C94" w:rsidRDefault="00C34A4E" w:rsidP="00C34A4E">
      <w:pPr>
        <w:spacing w:before="0" w:line="276" w:lineRule="auto"/>
        <w:rPr>
          <w:rFonts w:cs="Sylfaen"/>
          <w:b w:val="0"/>
          <w:szCs w:val="22"/>
          <w:lang w:val="hy-AM"/>
        </w:rPr>
      </w:pPr>
      <w:r w:rsidRPr="00A83C94">
        <w:rPr>
          <w:rFonts w:eastAsia="Calibri"/>
          <w:bCs/>
          <w:lang w:val="hy-AM"/>
        </w:rPr>
        <w:t>Համաշխարհային տնտեսությունը՝ կորոնավիրուսի համավարակի հետևանքով առաջացած խորը անկումից հետո, արագ վերականգնվում է:</w:t>
      </w:r>
      <w:r w:rsidRPr="00A83C94">
        <w:rPr>
          <w:rFonts w:eastAsia="Calibri"/>
          <w:lang w:val="hy-AM"/>
        </w:rPr>
        <w:t xml:space="preserve"> </w:t>
      </w:r>
      <w:r w:rsidRPr="00A83C94">
        <w:rPr>
          <w:rFonts w:cs="Courier New"/>
          <w:b w:val="0"/>
          <w:lang w:val="hy-AM"/>
        </w:rPr>
        <w:t xml:space="preserve">Տնտեսական ակտիվության աճի սպասումները ամրապնդվել են՝ շնորհիվ պատվաստանյութերի առկայության և որոշ խոշոր երկրներում լրացուցիչ օժանդակության միջոցառումների։ </w:t>
      </w:r>
      <w:r w:rsidRPr="00A83C94">
        <w:rPr>
          <w:rFonts w:cs="Courier New"/>
          <w:b w:val="0"/>
          <w:szCs w:val="22"/>
          <w:lang w:val="hy-AM"/>
        </w:rPr>
        <w:t>Այդուհանդերձ, ե</w:t>
      </w:r>
      <w:r w:rsidRPr="00A83C94">
        <w:rPr>
          <w:rFonts w:cs="Sylfaen"/>
          <w:b w:val="0"/>
          <w:lang w:val="hy-AM"/>
        </w:rPr>
        <w:t xml:space="preserve">րկրների </w:t>
      </w:r>
      <w:r w:rsidRPr="00A83C94">
        <w:rPr>
          <w:rFonts w:cs="Courier New"/>
          <w:b w:val="0"/>
          <w:lang w:val="hy-AM"/>
        </w:rPr>
        <w:t xml:space="preserve">տնտեսական հեռանկարները զգալի տարբերվում են՝ կախված պատվաստանյութերի հասանելիության աստիճանից և կիրառման ընթացքից։ </w:t>
      </w:r>
      <w:r w:rsidRPr="00A83C94">
        <w:rPr>
          <w:rFonts w:cs="Sylfaen"/>
          <w:b w:val="0"/>
          <w:lang w:val="hy-AM"/>
        </w:rPr>
        <w:t>ԱՄՀ-ի</w:t>
      </w:r>
      <w:r w:rsidRPr="00A83C94">
        <w:rPr>
          <w:rFonts w:cs="Courier New"/>
          <w:b w:val="0"/>
          <w:lang w:val="hy-AM"/>
        </w:rPr>
        <w:t xml:space="preserve"> հուլիսի </w:t>
      </w:r>
      <w:r w:rsidRPr="00A83C94">
        <w:rPr>
          <w:rFonts w:cs="Sylfaen"/>
          <w:b w:val="0"/>
          <w:lang w:val="hy-AM"/>
        </w:rPr>
        <w:t xml:space="preserve">գնահատականներով </w:t>
      </w:r>
      <w:r w:rsidRPr="00A83C94">
        <w:rPr>
          <w:rFonts w:cs="Courier New"/>
          <w:b w:val="0"/>
          <w:lang w:val="hy-AM"/>
        </w:rPr>
        <w:t>2021թ. համաշխարհային տնտեսական աճը կ</w:t>
      </w:r>
      <w:r w:rsidRPr="00A83C94">
        <w:rPr>
          <w:rFonts w:cs="Sylfaen"/>
          <w:b w:val="0"/>
          <w:lang w:val="hy-AM"/>
        </w:rPr>
        <w:t>կազմի 6.0%, իսկ հաջորդ տարի</w:t>
      </w:r>
      <w:r w:rsidRPr="00A83C94">
        <w:rPr>
          <w:rFonts w:ascii="Cambria Math" w:hAnsi="Cambria Math" w:cs="Cambria Math"/>
          <w:b w:val="0"/>
          <w:lang w:val="hy-AM"/>
        </w:rPr>
        <w:t xml:space="preserve">՝ </w:t>
      </w:r>
      <w:r w:rsidRPr="00A83C94">
        <w:rPr>
          <w:rFonts w:cs="Sylfaen"/>
          <w:b w:val="0"/>
          <w:szCs w:val="22"/>
          <w:lang w:val="hy-AM"/>
        </w:rPr>
        <w:t>4.9%, ընդ որում, 2022թ</w:t>
      </w:r>
      <w:r w:rsidRPr="00A83C94">
        <w:rPr>
          <w:rFonts w:ascii="Cambria Math" w:hAnsi="Cambria Math" w:cs="Cambria Math"/>
          <w:b w:val="0"/>
          <w:szCs w:val="22"/>
          <w:lang w:val="hy-AM"/>
        </w:rPr>
        <w:t>․</w:t>
      </w:r>
      <w:r w:rsidRPr="00A83C94">
        <w:rPr>
          <w:rFonts w:cs="Sylfaen"/>
          <w:b w:val="0"/>
          <w:szCs w:val="22"/>
          <w:lang w:val="hy-AM"/>
        </w:rPr>
        <w:t xml:space="preserve"> ցուցանիշը ապրիլի կանխատեսումների համեմատ վերանայվել է դրական ուղղությամբ՝ պայմանավորված շատ երկրների սպասվածից ավելի լավ զարգացումներով: </w:t>
      </w:r>
      <w:r w:rsidRPr="00A83C94">
        <w:rPr>
          <w:rFonts w:cs="Courier New"/>
          <w:b w:val="0"/>
          <w:szCs w:val="22"/>
          <w:lang w:val="hy-AM"/>
        </w:rPr>
        <w:t>Հ</w:t>
      </w:r>
      <w:r w:rsidRPr="00A83C94">
        <w:rPr>
          <w:rFonts w:cs="Sylfaen"/>
          <w:b w:val="0"/>
          <w:szCs w:val="22"/>
          <w:lang w:val="hy-AM"/>
        </w:rPr>
        <w:t>ամաձայն ԱՄՀ-ի</w:t>
      </w:r>
      <w:r w:rsidRPr="00A83C94">
        <w:rPr>
          <w:rFonts w:cs="Courier New"/>
          <w:b w:val="0"/>
          <w:szCs w:val="22"/>
          <w:lang w:val="hy-AM"/>
        </w:rPr>
        <w:t xml:space="preserve"> հուլիսի </w:t>
      </w:r>
      <w:r w:rsidRPr="00A83C94">
        <w:rPr>
          <w:rFonts w:cs="Sylfaen"/>
          <w:b w:val="0"/>
          <w:szCs w:val="22"/>
          <w:lang w:val="hy-AM"/>
        </w:rPr>
        <w:t xml:space="preserve">գնահատականների </w:t>
      </w:r>
      <w:r w:rsidRPr="00A83C94">
        <w:rPr>
          <w:rFonts w:cs="Courier New"/>
          <w:b w:val="0"/>
          <w:szCs w:val="22"/>
          <w:lang w:val="hy-AM"/>
        </w:rPr>
        <w:t>2021թ. ՀՀ հիմնական գործընկեր երկրներից</w:t>
      </w:r>
      <w:r w:rsidRPr="00A83C94">
        <w:rPr>
          <w:rFonts w:ascii="Cambria Math" w:hAnsi="Cambria Math" w:cs="Cambria Math"/>
          <w:b w:val="0"/>
          <w:szCs w:val="22"/>
          <w:lang w:val="hy-AM"/>
        </w:rPr>
        <w:t>․</w:t>
      </w:r>
      <w:r w:rsidRPr="00A83C94">
        <w:rPr>
          <w:rFonts w:cs="Courier New"/>
          <w:b w:val="0"/>
          <w:szCs w:val="22"/>
          <w:lang w:val="hy-AM"/>
        </w:rPr>
        <w:t xml:space="preserve"> ՌԴ-ում կանխատեսվում է 4.4%, Եվրոգոտում՝ 4.6, ԱՄՆ-ում՝ 7.0, իսկ Չինաստանում՝ 8.1% աճ: Այդուհանդերձ, հ</w:t>
      </w:r>
      <w:r w:rsidRPr="00A83C94">
        <w:rPr>
          <w:rFonts w:eastAsia="Calibri" w:cs="Sylfaen"/>
          <w:b w:val="0"/>
          <w:szCs w:val="22"/>
          <w:lang w:val="hy-AM"/>
        </w:rPr>
        <w:t>ամավարակի հետ կապված անորոշությունները և իրավիճակի վատթարացման ռիսկերը պահպանվում են</w:t>
      </w:r>
      <w:r w:rsidRPr="00A83C94">
        <w:rPr>
          <w:rFonts w:cs="Sylfaen"/>
          <w:b w:val="0"/>
          <w:szCs w:val="22"/>
          <w:lang w:val="hy-AM"/>
        </w:rPr>
        <w:t>։</w:t>
      </w:r>
    </w:p>
    <w:p w14:paraId="402415F7" w14:textId="77777777" w:rsidR="00C34A4E" w:rsidRPr="00A83C94" w:rsidRDefault="00C34A4E" w:rsidP="00C34A4E">
      <w:pPr>
        <w:spacing w:before="0" w:line="276" w:lineRule="auto"/>
        <w:rPr>
          <w:rFonts w:cs="Sylfaen"/>
          <w:b w:val="0"/>
          <w:szCs w:val="22"/>
          <w:lang w:val="hy-AM"/>
        </w:rPr>
      </w:pPr>
    </w:p>
    <w:p w14:paraId="436B6B63" w14:textId="77777777" w:rsidR="00C34A4E" w:rsidRPr="00A83C94" w:rsidRDefault="00C34A4E" w:rsidP="00C34A4E">
      <w:pPr>
        <w:keepNext/>
        <w:keepLines/>
        <w:spacing w:before="0" w:line="276" w:lineRule="auto"/>
        <w:rPr>
          <w:rFonts w:cs="Sylfaen"/>
          <w:b w:val="0"/>
          <w:bCs/>
          <w:i/>
          <w:color w:val="000000"/>
          <w:szCs w:val="22"/>
          <w:lang w:val="hy-AM"/>
        </w:rPr>
      </w:pPr>
      <w:r w:rsidRPr="00A83C94">
        <w:rPr>
          <w:rFonts w:cs="Sylfaen"/>
          <w:bCs/>
          <w:i/>
          <w:color w:val="000000"/>
          <w:szCs w:val="22"/>
          <w:lang w:val="hy-AM"/>
        </w:rPr>
        <w:t xml:space="preserve">Աղյուսակ 1.2. </w:t>
      </w:r>
      <w:r w:rsidRPr="00A83C94">
        <w:rPr>
          <w:rFonts w:cs="Sylfaen"/>
          <w:b w:val="0"/>
          <w:bCs/>
          <w:i/>
          <w:color w:val="000000"/>
          <w:szCs w:val="22"/>
          <w:lang w:val="hy-AM"/>
        </w:rPr>
        <w:t>ԱՄՀ կանխատեսումներ</w:t>
      </w:r>
    </w:p>
    <w:tbl>
      <w:tblPr>
        <w:tblpPr w:leftFromText="180" w:rightFromText="180" w:bottomFromText="160" w:vertAnchor="text" w:horzAnchor="margin" w:tblpY="40"/>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11"/>
        <w:gridCol w:w="829"/>
        <w:gridCol w:w="1229"/>
        <w:gridCol w:w="1007"/>
        <w:gridCol w:w="1000"/>
        <w:gridCol w:w="1147"/>
        <w:gridCol w:w="1007"/>
        <w:gridCol w:w="1416"/>
      </w:tblGrid>
      <w:tr w:rsidR="00C34A4E" w:rsidRPr="00A83C94" w14:paraId="6BCC721E" w14:textId="77777777" w:rsidTr="00733935">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14:paraId="0B0399D2" w14:textId="77777777" w:rsidR="00C34A4E" w:rsidRPr="00A83C94" w:rsidRDefault="00C34A4E" w:rsidP="00733935">
            <w:pPr>
              <w:spacing w:before="0" w:line="276" w:lineRule="auto"/>
              <w:jc w:val="center"/>
              <w:rPr>
                <w:rFonts w:eastAsia="Calibri" w:cs="Sylfaen"/>
                <w:b w:val="0"/>
                <w:bCs/>
                <w:color w:val="FFFFFF" w:themeColor="background1"/>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14:paraId="2430D380" w14:textId="77777777" w:rsidR="00C34A4E" w:rsidRPr="00A83C94" w:rsidRDefault="00C34A4E" w:rsidP="00733935">
            <w:pPr>
              <w:spacing w:before="0" w:line="276" w:lineRule="auto"/>
              <w:ind w:right="-14" w:firstLine="0"/>
              <w:jc w:val="center"/>
              <w:rPr>
                <w:rFonts w:eastAsia="Calibri"/>
                <w:bCs/>
                <w:color w:val="FFFFFF" w:themeColor="background1"/>
                <w:sz w:val="20"/>
                <w:szCs w:val="20"/>
                <w:lang w:val="hy-AM"/>
              </w:rPr>
            </w:pPr>
            <w:r w:rsidRPr="00A83C94">
              <w:rPr>
                <w:rFonts w:eastAsia="Calibri"/>
                <w:bCs/>
                <w:color w:val="FFFFFF" w:themeColor="background1"/>
                <w:sz w:val="20"/>
                <w:szCs w:val="20"/>
                <w:lang w:val="hy-AM"/>
              </w:rPr>
              <w:t>2020</w:t>
            </w:r>
          </w:p>
        </w:tc>
        <w:tc>
          <w:tcPr>
            <w:tcW w:w="0" w:type="auto"/>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14:paraId="002E908C" w14:textId="77777777" w:rsidR="00C34A4E" w:rsidRPr="00A83C94" w:rsidRDefault="00C34A4E" w:rsidP="00733935">
            <w:pPr>
              <w:spacing w:before="0" w:line="276" w:lineRule="auto"/>
              <w:ind w:right="-14" w:firstLine="0"/>
              <w:jc w:val="center"/>
              <w:rPr>
                <w:rFonts w:eastAsia="Calibri"/>
                <w:b w:val="0"/>
                <w:color w:val="FFFFFF" w:themeColor="background1"/>
                <w:sz w:val="20"/>
                <w:szCs w:val="20"/>
                <w:lang w:val="hy-AM"/>
              </w:rPr>
            </w:pPr>
            <w:r w:rsidRPr="00A83C94">
              <w:rPr>
                <w:rFonts w:eastAsia="Calibri"/>
                <w:bCs/>
                <w:color w:val="FFFFFF" w:themeColor="background1"/>
                <w:sz w:val="20"/>
                <w:szCs w:val="20"/>
                <w:lang w:val="hy-AM"/>
              </w:rPr>
              <w:t>2021թ</w:t>
            </w:r>
            <w:r w:rsidRPr="00A83C94">
              <w:rPr>
                <w:rFonts w:ascii="Cambria Math" w:eastAsia="Calibri" w:hAnsi="Cambria Math" w:cs="Cambria Math"/>
                <w:bCs/>
                <w:color w:val="FFFFFF" w:themeColor="background1"/>
                <w:sz w:val="20"/>
                <w:szCs w:val="20"/>
                <w:lang w:val="hy-AM"/>
              </w:rPr>
              <w:t>․</w:t>
            </w:r>
            <w:r w:rsidRPr="00A83C94">
              <w:rPr>
                <w:rFonts w:eastAsia="Calibri"/>
                <w:bCs/>
                <w:color w:val="FFFFFF" w:themeColor="background1"/>
                <w:sz w:val="20"/>
                <w:szCs w:val="20"/>
                <w:lang w:val="hy-AM"/>
              </w:rPr>
              <w:t>-ի կանխատեսում</w:t>
            </w:r>
          </w:p>
        </w:tc>
        <w:tc>
          <w:tcPr>
            <w:tcW w:w="3627" w:type="dxa"/>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14:paraId="156C036F" w14:textId="77777777" w:rsidR="00C34A4E" w:rsidRPr="00A83C94" w:rsidRDefault="00C34A4E" w:rsidP="00733935">
            <w:pPr>
              <w:spacing w:before="0" w:after="200" w:line="276" w:lineRule="auto"/>
              <w:ind w:right="-14" w:firstLine="0"/>
              <w:jc w:val="center"/>
              <w:rPr>
                <w:rFonts w:eastAsia="Calibri"/>
                <w:b w:val="0"/>
                <w:color w:val="FFFFFF" w:themeColor="background1"/>
                <w:sz w:val="20"/>
                <w:szCs w:val="20"/>
                <w:lang w:val="hy-AM"/>
              </w:rPr>
            </w:pPr>
            <w:r w:rsidRPr="00A83C94">
              <w:rPr>
                <w:rFonts w:eastAsia="Calibri"/>
                <w:bCs/>
                <w:color w:val="FFFFFF" w:themeColor="background1"/>
                <w:sz w:val="20"/>
                <w:szCs w:val="20"/>
                <w:lang w:val="hy-AM"/>
              </w:rPr>
              <w:t xml:space="preserve">2022 թ.-ի </w:t>
            </w:r>
            <w:r w:rsidRPr="00A83C94">
              <w:rPr>
                <w:rFonts w:eastAsia="Calibri"/>
                <w:bCs/>
                <w:color w:val="FFFFFF" w:themeColor="background1"/>
                <w:sz w:val="20"/>
                <w:szCs w:val="20"/>
                <w:lang w:val="en-US"/>
              </w:rPr>
              <w:t xml:space="preserve">                                        </w:t>
            </w:r>
            <w:r w:rsidRPr="00A83C94">
              <w:rPr>
                <w:rFonts w:eastAsia="Calibri"/>
                <w:bCs/>
                <w:color w:val="FFFFFF" w:themeColor="background1"/>
                <w:sz w:val="20"/>
                <w:szCs w:val="20"/>
                <w:lang w:val="hy-AM"/>
              </w:rPr>
              <w:t>կանխատեսում</w:t>
            </w:r>
          </w:p>
        </w:tc>
      </w:tr>
      <w:tr w:rsidR="00C34A4E" w:rsidRPr="00A83C94" w14:paraId="0807C4DD" w14:textId="77777777" w:rsidTr="00733935">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tcPr>
          <w:p w14:paraId="1D42EB55" w14:textId="77777777" w:rsidR="00C34A4E" w:rsidRPr="00A83C94" w:rsidRDefault="00C34A4E" w:rsidP="00733935">
            <w:pPr>
              <w:spacing w:before="0" w:line="276" w:lineRule="auto"/>
              <w:jc w:val="center"/>
              <w:rPr>
                <w:rFonts w:eastAsia="Calibri" w:cs="Sylfaen"/>
                <w:b w:val="0"/>
                <w:bCs/>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2B4AE04A" w14:textId="77777777" w:rsidR="00C34A4E" w:rsidRPr="00A83C94" w:rsidRDefault="00C34A4E" w:rsidP="00733935">
            <w:pPr>
              <w:spacing w:before="0" w:line="276" w:lineRule="auto"/>
              <w:ind w:firstLine="0"/>
              <w:jc w:val="center"/>
              <w:rPr>
                <w:rFonts w:eastAsia="Calibri"/>
                <w:b w:val="0"/>
                <w:sz w:val="20"/>
                <w:szCs w:val="20"/>
                <w:lang w:val="hy-AM"/>
              </w:rPr>
            </w:pPr>
            <w:r w:rsidRPr="00A83C94">
              <w:rPr>
                <w:rFonts w:eastAsia="Calibri"/>
                <w:b w:val="0"/>
                <w:sz w:val="20"/>
                <w:szCs w:val="20"/>
                <w:lang w:val="hy-AM"/>
              </w:rPr>
              <w:t>Փաստ</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728B4A80" w14:textId="77777777" w:rsidR="00C34A4E" w:rsidRPr="00A83C94" w:rsidRDefault="00C34A4E" w:rsidP="00733935">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64B6059C" w14:textId="77777777" w:rsidR="00C34A4E" w:rsidRPr="00A83C94" w:rsidRDefault="00C34A4E" w:rsidP="00733935">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Ապրիլ</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36022E47"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Հուլիս</w:t>
            </w:r>
          </w:p>
        </w:tc>
        <w:tc>
          <w:tcPr>
            <w:tcW w:w="114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0CB63642" w14:textId="77777777" w:rsidR="00C34A4E" w:rsidRPr="00A83C94" w:rsidRDefault="00C34A4E" w:rsidP="00733935">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454C3AFF" w14:textId="77777777" w:rsidR="00C34A4E" w:rsidRPr="00A83C94" w:rsidRDefault="00C34A4E" w:rsidP="00733935">
            <w:pPr>
              <w:spacing w:before="0" w:line="276" w:lineRule="auto"/>
              <w:ind w:firstLine="0"/>
              <w:jc w:val="center"/>
              <w:rPr>
                <w:rFonts w:eastAsia="Calibri"/>
                <w:b w:val="0"/>
                <w:sz w:val="20"/>
                <w:szCs w:val="20"/>
                <w:lang w:val="hy-AM"/>
              </w:rPr>
            </w:pPr>
            <w:r w:rsidRPr="00A83C94">
              <w:rPr>
                <w:rFonts w:eastAsia="Calibri"/>
                <w:b w:val="0"/>
                <w:sz w:val="20"/>
                <w:szCs w:val="20"/>
                <w:lang w:val="hy-AM"/>
              </w:rPr>
              <w:t>2</w:t>
            </w:r>
            <w:r w:rsidRPr="00A83C94">
              <w:rPr>
                <w:rFonts w:eastAsia="Calibri"/>
                <w:b w:val="0"/>
                <w:sz w:val="20"/>
                <w:szCs w:val="20"/>
              </w:rPr>
              <w:t>02</w:t>
            </w:r>
            <w:r w:rsidRPr="00A83C94">
              <w:rPr>
                <w:rFonts w:eastAsia="Calibri"/>
                <w:b w:val="0"/>
                <w:sz w:val="20"/>
                <w:szCs w:val="20"/>
                <w:lang w:val="en-US"/>
              </w:rPr>
              <w:t>1</w:t>
            </w:r>
            <w:r w:rsidRPr="00A83C94">
              <w:rPr>
                <w:rFonts w:eastAsia="Calibri"/>
                <w:b w:val="0"/>
                <w:sz w:val="20"/>
                <w:szCs w:val="20"/>
              </w:rPr>
              <w:t xml:space="preserve"> Ապրիլ</w:t>
            </w:r>
          </w:p>
        </w:tc>
        <w:tc>
          <w:tcPr>
            <w:tcW w:w="1416"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8802B3F" w14:textId="77777777" w:rsidR="00C34A4E" w:rsidRPr="00A83C94" w:rsidRDefault="00C34A4E" w:rsidP="00733935">
            <w:pPr>
              <w:spacing w:before="0" w:line="276" w:lineRule="auto"/>
              <w:ind w:right="-14" w:firstLine="0"/>
              <w:jc w:val="center"/>
              <w:rPr>
                <w:rFonts w:eastAsia="Calibri"/>
                <w:b w:val="0"/>
                <w:sz w:val="20"/>
                <w:szCs w:val="20"/>
              </w:rPr>
            </w:pPr>
            <w:r w:rsidRPr="00A83C94">
              <w:rPr>
                <w:rFonts w:eastAsia="Calibri"/>
                <w:b w:val="0"/>
                <w:sz w:val="20"/>
                <w:szCs w:val="20"/>
              </w:rPr>
              <w:t>202</w:t>
            </w:r>
            <w:r w:rsidRPr="00A83C94">
              <w:rPr>
                <w:rFonts w:eastAsia="Calibri"/>
                <w:b w:val="0"/>
                <w:sz w:val="20"/>
                <w:szCs w:val="20"/>
                <w:lang w:val="en-US"/>
              </w:rPr>
              <w:t xml:space="preserve">1 </w:t>
            </w:r>
            <w:r w:rsidRPr="00A83C94">
              <w:rPr>
                <w:rFonts w:eastAsia="Calibri"/>
                <w:b w:val="0"/>
                <w:sz w:val="20"/>
                <w:szCs w:val="20"/>
                <w:lang w:val="hy-AM"/>
              </w:rPr>
              <w:t xml:space="preserve">   </w:t>
            </w:r>
            <w:r w:rsidRPr="00A83C94">
              <w:rPr>
                <w:rFonts w:eastAsia="Calibri"/>
                <w:b w:val="0"/>
                <w:sz w:val="20"/>
                <w:szCs w:val="20"/>
              </w:rPr>
              <w:t>Հու</w:t>
            </w:r>
            <w:r w:rsidRPr="00A83C94">
              <w:rPr>
                <w:rFonts w:eastAsia="Calibri"/>
                <w:b w:val="0"/>
                <w:sz w:val="20"/>
                <w:szCs w:val="20"/>
                <w:lang w:val="hy-AM"/>
              </w:rPr>
              <w:t>լ</w:t>
            </w:r>
            <w:r w:rsidRPr="00A83C94">
              <w:rPr>
                <w:rFonts w:eastAsia="Calibri"/>
                <w:b w:val="0"/>
                <w:sz w:val="20"/>
                <w:szCs w:val="20"/>
              </w:rPr>
              <w:t>իս</w:t>
            </w:r>
          </w:p>
        </w:tc>
      </w:tr>
      <w:tr w:rsidR="00C34A4E" w:rsidRPr="00A83C94" w14:paraId="22D2EA99" w14:textId="77777777" w:rsidTr="00733935">
        <w:trPr>
          <w:trHeight w:val="14"/>
        </w:trPr>
        <w:tc>
          <w:tcPr>
            <w:tcW w:w="0" w:type="auto"/>
            <w:tcBorders>
              <w:top w:val="single" w:sz="4" w:space="0" w:color="8EAADB"/>
              <w:left w:val="single" w:sz="4" w:space="0" w:color="8EAADB"/>
              <w:bottom w:val="single" w:sz="4" w:space="0" w:color="8EAADB"/>
              <w:right w:val="single" w:sz="4" w:space="0" w:color="8EAADB"/>
            </w:tcBorders>
            <w:hideMark/>
          </w:tcPr>
          <w:p w14:paraId="2D1815DF" w14:textId="77777777" w:rsidR="00C34A4E" w:rsidRPr="00A83C94" w:rsidRDefault="00C34A4E" w:rsidP="00733935">
            <w:pPr>
              <w:spacing w:before="0" w:line="276" w:lineRule="auto"/>
              <w:ind w:firstLine="0"/>
              <w:jc w:val="left"/>
              <w:rPr>
                <w:rFonts w:eastAsia="Calibri" w:cs="Sylfaen"/>
                <w:b w:val="0"/>
                <w:bCs/>
                <w:sz w:val="16"/>
                <w:szCs w:val="16"/>
              </w:rPr>
            </w:pPr>
            <w:r w:rsidRPr="00A83C94">
              <w:rPr>
                <w:rFonts w:eastAsia="Calibri"/>
                <w:bCs/>
                <w:color w:val="000000"/>
                <w:sz w:val="16"/>
                <w:szCs w:val="16"/>
              </w:rPr>
              <w:t>Աշխարհ</w:t>
            </w:r>
            <w:r w:rsidRPr="00A83C94">
              <w:rPr>
                <w:rFonts w:eastAsia="Calibri"/>
                <w:bCs/>
                <w:color w:val="000000"/>
                <w:sz w:val="16"/>
                <w:szCs w:val="16"/>
                <w:lang w:val="hy-AM"/>
              </w:rPr>
              <w:t xml:space="preserve">ի տնտեսական աճ, </w:t>
            </w:r>
            <w:r w:rsidRPr="00A83C94">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hideMark/>
          </w:tcPr>
          <w:p w14:paraId="100BDFB6"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-3.2</w:t>
            </w:r>
          </w:p>
        </w:tc>
        <w:tc>
          <w:tcPr>
            <w:tcW w:w="0" w:type="auto"/>
            <w:tcBorders>
              <w:top w:val="single" w:sz="4" w:space="0" w:color="8EAADB"/>
              <w:left w:val="single" w:sz="4" w:space="0" w:color="8EAADB"/>
              <w:bottom w:val="single" w:sz="4" w:space="0" w:color="8EAADB"/>
              <w:right w:val="single" w:sz="4" w:space="0" w:color="8EAADB"/>
            </w:tcBorders>
            <w:hideMark/>
          </w:tcPr>
          <w:p w14:paraId="3291F879"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5.5</w:t>
            </w:r>
          </w:p>
        </w:tc>
        <w:tc>
          <w:tcPr>
            <w:tcW w:w="0" w:type="auto"/>
            <w:tcBorders>
              <w:top w:val="single" w:sz="4" w:space="0" w:color="8EAADB"/>
              <w:left w:val="single" w:sz="4" w:space="0" w:color="8EAADB"/>
              <w:bottom w:val="single" w:sz="4" w:space="0" w:color="8EAADB"/>
              <w:right w:val="single" w:sz="4" w:space="0" w:color="8EAADB"/>
            </w:tcBorders>
            <w:hideMark/>
          </w:tcPr>
          <w:p w14:paraId="24F60C01"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6.0</w:t>
            </w:r>
          </w:p>
        </w:tc>
        <w:tc>
          <w:tcPr>
            <w:tcW w:w="0" w:type="auto"/>
            <w:tcBorders>
              <w:top w:val="single" w:sz="4" w:space="0" w:color="8EAADB"/>
              <w:left w:val="single" w:sz="4" w:space="0" w:color="8EAADB"/>
              <w:bottom w:val="single" w:sz="4" w:space="0" w:color="8EAADB"/>
              <w:right w:val="single" w:sz="4" w:space="0" w:color="8EAADB"/>
            </w:tcBorders>
            <w:hideMark/>
          </w:tcPr>
          <w:p w14:paraId="0E37583C"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6.0</w:t>
            </w:r>
          </w:p>
        </w:tc>
        <w:tc>
          <w:tcPr>
            <w:tcW w:w="1147" w:type="dxa"/>
            <w:tcBorders>
              <w:top w:val="single" w:sz="4" w:space="0" w:color="8EAADB"/>
              <w:left w:val="single" w:sz="4" w:space="0" w:color="8EAADB"/>
              <w:bottom w:val="single" w:sz="4" w:space="0" w:color="8EAADB"/>
              <w:right w:val="single" w:sz="4" w:space="0" w:color="8EAADB"/>
            </w:tcBorders>
            <w:hideMark/>
          </w:tcPr>
          <w:p w14:paraId="7C40AF6A"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4.2</w:t>
            </w:r>
          </w:p>
        </w:tc>
        <w:tc>
          <w:tcPr>
            <w:tcW w:w="0" w:type="auto"/>
            <w:tcBorders>
              <w:top w:val="single" w:sz="4" w:space="0" w:color="8EAADB"/>
              <w:left w:val="single" w:sz="4" w:space="0" w:color="8EAADB"/>
              <w:bottom w:val="single" w:sz="4" w:space="0" w:color="8EAADB"/>
              <w:right w:val="single" w:sz="4" w:space="0" w:color="8EAADB"/>
            </w:tcBorders>
            <w:hideMark/>
          </w:tcPr>
          <w:p w14:paraId="5896697F"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1416" w:type="dxa"/>
            <w:tcBorders>
              <w:top w:val="single" w:sz="4" w:space="0" w:color="8EAADB"/>
              <w:left w:val="single" w:sz="4" w:space="0" w:color="8EAADB"/>
              <w:bottom w:val="single" w:sz="4" w:space="0" w:color="8EAADB"/>
              <w:right w:val="single" w:sz="4" w:space="0" w:color="8EAADB"/>
            </w:tcBorders>
            <w:hideMark/>
          </w:tcPr>
          <w:p w14:paraId="1D5A0DDF"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4.9</w:t>
            </w:r>
          </w:p>
        </w:tc>
      </w:tr>
      <w:tr w:rsidR="00C34A4E" w:rsidRPr="00A83C94" w14:paraId="595520AD" w14:textId="77777777" w:rsidTr="00733935">
        <w:trPr>
          <w:trHeight w:val="265"/>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107EA71B" w14:textId="77777777" w:rsidR="00C34A4E" w:rsidRPr="00A83C94" w:rsidRDefault="00C34A4E" w:rsidP="00733935">
            <w:pPr>
              <w:spacing w:before="0" w:line="276" w:lineRule="auto"/>
              <w:ind w:firstLine="0"/>
              <w:jc w:val="left"/>
              <w:rPr>
                <w:rFonts w:eastAsia="Calibri" w:cs="Sylfaen"/>
                <w:b w:val="0"/>
                <w:bCs/>
                <w:sz w:val="16"/>
                <w:szCs w:val="16"/>
              </w:rPr>
            </w:pPr>
            <w:r w:rsidRPr="00A83C94">
              <w:rPr>
                <w:rFonts w:eastAsia="Calibri"/>
                <w:bCs/>
                <w:sz w:val="16"/>
                <w:szCs w:val="16"/>
              </w:rPr>
              <w:t>ՌԴ</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65DD8123"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-3.0</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7DAFFCBE"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3.0</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63800DD7"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29FE505"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0B21CA96"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3.9</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2A6580D6"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130C48E4"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3.1</w:t>
            </w:r>
          </w:p>
        </w:tc>
      </w:tr>
      <w:tr w:rsidR="00C34A4E" w:rsidRPr="00A83C94" w14:paraId="7473E01A" w14:textId="77777777" w:rsidTr="00733935">
        <w:trPr>
          <w:trHeight w:val="352"/>
        </w:trPr>
        <w:tc>
          <w:tcPr>
            <w:tcW w:w="0" w:type="auto"/>
            <w:tcBorders>
              <w:top w:val="single" w:sz="4" w:space="0" w:color="8EAADB"/>
              <w:left w:val="single" w:sz="4" w:space="0" w:color="8EAADB"/>
              <w:bottom w:val="single" w:sz="4" w:space="0" w:color="8EAADB"/>
              <w:right w:val="single" w:sz="4" w:space="0" w:color="8EAADB"/>
            </w:tcBorders>
            <w:hideMark/>
          </w:tcPr>
          <w:p w14:paraId="31D3827C" w14:textId="77777777" w:rsidR="00C34A4E" w:rsidRPr="00A83C94" w:rsidRDefault="00C34A4E" w:rsidP="00733935">
            <w:pPr>
              <w:spacing w:before="0" w:line="276" w:lineRule="auto"/>
              <w:ind w:firstLine="0"/>
              <w:jc w:val="left"/>
              <w:rPr>
                <w:rFonts w:eastAsia="Calibri" w:cs="Sylfaen"/>
                <w:b w:val="0"/>
                <w:bCs/>
                <w:sz w:val="16"/>
                <w:szCs w:val="16"/>
              </w:rPr>
            </w:pPr>
            <w:r w:rsidRPr="00A83C94">
              <w:rPr>
                <w:rFonts w:eastAsia="Calibri"/>
                <w:bCs/>
                <w:color w:val="000000"/>
                <w:sz w:val="16"/>
                <w:szCs w:val="16"/>
              </w:rPr>
              <w:t>Եվրոգոտի</w:t>
            </w:r>
          </w:p>
        </w:tc>
        <w:tc>
          <w:tcPr>
            <w:tcW w:w="0" w:type="auto"/>
            <w:tcBorders>
              <w:top w:val="single" w:sz="4" w:space="0" w:color="8EAADB"/>
              <w:left w:val="single" w:sz="4" w:space="0" w:color="8EAADB"/>
              <w:bottom w:val="single" w:sz="4" w:space="0" w:color="8EAADB"/>
              <w:right w:val="single" w:sz="4" w:space="0" w:color="8EAADB"/>
            </w:tcBorders>
            <w:hideMark/>
          </w:tcPr>
          <w:p w14:paraId="1A41AFA2"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-6.5</w:t>
            </w:r>
          </w:p>
        </w:tc>
        <w:tc>
          <w:tcPr>
            <w:tcW w:w="0" w:type="auto"/>
            <w:tcBorders>
              <w:top w:val="single" w:sz="4" w:space="0" w:color="8EAADB"/>
              <w:left w:val="single" w:sz="4" w:space="0" w:color="8EAADB"/>
              <w:bottom w:val="single" w:sz="4" w:space="0" w:color="8EAADB"/>
              <w:right w:val="single" w:sz="4" w:space="0" w:color="8EAADB"/>
            </w:tcBorders>
            <w:hideMark/>
          </w:tcPr>
          <w:p w14:paraId="64FB927F"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4.2</w:t>
            </w:r>
          </w:p>
        </w:tc>
        <w:tc>
          <w:tcPr>
            <w:tcW w:w="0" w:type="auto"/>
            <w:tcBorders>
              <w:top w:val="single" w:sz="4" w:space="0" w:color="8EAADB"/>
              <w:left w:val="single" w:sz="4" w:space="0" w:color="8EAADB"/>
              <w:bottom w:val="single" w:sz="4" w:space="0" w:color="8EAADB"/>
              <w:right w:val="single" w:sz="4" w:space="0" w:color="8EAADB"/>
            </w:tcBorders>
            <w:hideMark/>
          </w:tcPr>
          <w:p w14:paraId="222FF844"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0" w:type="auto"/>
            <w:tcBorders>
              <w:top w:val="single" w:sz="4" w:space="0" w:color="8EAADB"/>
              <w:left w:val="single" w:sz="4" w:space="0" w:color="8EAADB"/>
              <w:bottom w:val="single" w:sz="4" w:space="0" w:color="8EAADB"/>
              <w:right w:val="single" w:sz="4" w:space="0" w:color="8EAADB"/>
            </w:tcBorders>
            <w:hideMark/>
          </w:tcPr>
          <w:p w14:paraId="25541249"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4.6</w:t>
            </w:r>
          </w:p>
        </w:tc>
        <w:tc>
          <w:tcPr>
            <w:tcW w:w="1147" w:type="dxa"/>
            <w:tcBorders>
              <w:top w:val="single" w:sz="4" w:space="0" w:color="8EAADB"/>
              <w:left w:val="single" w:sz="4" w:space="0" w:color="8EAADB"/>
              <w:bottom w:val="single" w:sz="4" w:space="0" w:color="8EAADB"/>
              <w:right w:val="single" w:sz="4" w:space="0" w:color="8EAADB"/>
            </w:tcBorders>
            <w:hideMark/>
          </w:tcPr>
          <w:p w14:paraId="254E3C3C"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3.6</w:t>
            </w:r>
          </w:p>
        </w:tc>
        <w:tc>
          <w:tcPr>
            <w:tcW w:w="0" w:type="auto"/>
            <w:tcBorders>
              <w:top w:val="single" w:sz="4" w:space="0" w:color="8EAADB"/>
              <w:left w:val="single" w:sz="4" w:space="0" w:color="8EAADB"/>
              <w:bottom w:val="single" w:sz="4" w:space="0" w:color="8EAADB"/>
              <w:right w:val="single" w:sz="4" w:space="0" w:color="8EAADB"/>
            </w:tcBorders>
            <w:hideMark/>
          </w:tcPr>
          <w:p w14:paraId="456988BD"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1416" w:type="dxa"/>
            <w:tcBorders>
              <w:top w:val="single" w:sz="4" w:space="0" w:color="8EAADB"/>
              <w:left w:val="single" w:sz="4" w:space="0" w:color="8EAADB"/>
              <w:bottom w:val="single" w:sz="4" w:space="0" w:color="8EAADB"/>
              <w:right w:val="single" w:sz="4" w:space="0" w:color="8EAADB"/>
            </w:tcBorders>
            <w:hideMark/>
          </w:tcPr>
          <w:p w14:paraId="7CAF8450"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cs="Sylfaen"/>
                <w:b w:val="0"/>
                <w:sz w:val="20"/>
                <w:szCs w:val="20"/>
                <w:lang w:val="en-US"/>
              </w:rPr>
              <w:t>4.3</w:t>
            </w:r>
          </w:p>
        </w:tc>
      </w:tr>
      <w:tr w:rsidR="00C34A4E" w:rsidRPr="00A83C94" w14:paraId="3F131287" w14:textId="77777777" w:rsidTr="00733935">
        <w:trPr>
          <w:trHeight w:val="267"/>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1C694D25" w14:textId="77777777" w:rsidR="00C34A4E" w:rsidRPr="00A83C94" w:rsidRDefault="00C34A4E" w:rsidP="00733935">
            <w:pPr>
              <w:spacing w:before="0" w:line="276" w:lineRule="auto"/>
              <w:ind w:firstLine="0"/>
              <w:jc w:val="left"/>
              <w:rPr>
                <w:rFonts w:eastAsia="Calibri" w:cs="Sylfaen"/>
                <w:b w:val="0"/>
                <w:bCs/>
                <w:sz w:val="16"/>
                <w:szCs w:val="16"/>
              </w:rPr>
            </w:pPr>
            <w:r w:rsidRPr="00A83C94">
              <w:rPr>
                <w:rFonts w:eastAsia="Calibri"/>
                <w:bCs/>
                <w:color w:val="000000"/>
                <w:sz w:val="16"/>
                <w:szCs w:val="16"/>
              </w:rPr>
              <w:t>Չինաստան</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EC1361F"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2.3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25460726"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A8D0603"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8.4</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5F2C6652"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8.1</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455E51B3"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hy-AM"/>
              </w:rPr>
              <w:t>5</w:t>
            </w:r>
            <w:r w:rsidRPr="00A83C94">
              <w:rPr>
                <w:rFonts w:eastAsia="Calibri"/>
                <w:b w:val="0"/>
                <w:sz w:val="20"/>
                <w:szCs w:val="20"/>
                <w:lang w:val="en-US"/>
              </w:rPr>
              <w:t>.6</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E7107CF"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5.6</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61456A7C"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5.7</w:t>
            </w:r>
          </w:p>
        </w:tc>
      </w:tr>
      <w:tr w:rsidR="00C34A4E" w:rsidRPr="00A83C94" w14:paraId="2CE75CFA" w14:textId="77777777" w:rsidTr="00733935">
        <w:trPr>
          <w:trHeight w:val="234"/>
        </w:trPr>
        <w:tc>
          <w:tcPr>
            <w:tcW w:w="0" w:type="auto"/>
            <w:tcBorders>
              <w:top w:val="single" w:sz="4" w:space="0" w:color="8EAADB"/>
              <w:left w:val="single" w:sz="4" w:space="0" w:color="8EAADB"/>
              <w:bottom w:val="single" w:sz="4" w:space="0" w:color="8EAADB"/>
              <w:right w:val="single" w:sz="4" w:space="0" w:color="8EAADB"/>
            </w:tcBorders>
            <w:hideMark/>
          </w:tcPr>
          <w:p w14:paraId="59BAAC11" w14:textId="77777777" w:rsidR="00C34A4E" w:rsidRPr="00A83C94" w:rsidRDefault="00C34A4E" w:rsidP="00733935">
            <w:pPr>
              <w:spacing w:before="0" w:line="276" w:lineRule="auto"/>
              <w:ind w:firstLine="0"/>
              <w:jc w:val="left"/>
              <w:rPr>
                <w:rFonts w:eastAsia="Calibri" w:cs="Sylfaen"/>
                <w:b w:val="0"/>
                <w:bCs/>
                <w:sz w:val="16"/>
                <w:szCs w:val="16"/>
              </w:rPr>
            </w:pPr>
            <w:r w:rsidRPr="00A83C94">
              <w:rPr>
                <w:rFonts w:eastAsia="Calibri"/>
                <w:bCs/>
                <w:color w:val="000000"/>
                <w:sz w:val="16"/>
                <w:szCs w:val="16"/>
              </w:rPr>
              <w:t>ԱՄՆ</w:t>
            </w:r>
          </w:p>
        </w:tc>
        <w:tc>
          <w:tcPr>
            <w:tcW w:w="0" w:type="auto"/>
            <w:tcBorders>
              <w:top w:val="single" w:sz="4" w:space="0" w:color="8EAADB"/>
              <w:left w:val="single" w:sz="4" w:space="0" w:color="8EAADB"/>
              <w:bottom w:val="single" w:sz="4" w:space="0" w:color="8EAADB"/>
              <w:right w:val="single" w:sz="4" w:space="0" w:color="8EAADB"/>
            </w:tcBorders>
            <w:hideMark/>
          </w:tcPr>
          <w:p w14:paraId="6967FF03"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-3.5</w:t>
            </w:r>
          </w:p>
        </w:tc>
        <w:tc>
          <w:tcPr>
            <w:tcW w:w="0" w:type="auto"/>
            <w:tcBorders>
              <w:top w:val="single" w:sz="4" w:space="0" w:color="8EAADB"/>
              <w:left w:val="single" w:sz="4" w:space="0" w:color="8EAADB"/>
              <w:bottom w:val="single" w:sz="4" w:space="0" w:color="8EAADB"/>
              <w:right w:val="single" w:sz="4" w:space="0" w:color="8EAADB"/>
            </w:tcBorders>
            <w:hideMark/>
          </w:tcPr>
          <w:p w14:paraId="55AEF313"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5.1</w:t>
            </w:r>
          </w:p>
        </w:tc>
        <w:tc>
          <w:tcPr>
            <w:tcW w:w="0" w:type="auto"/>
            <w:tcBorders>
              <w:top w:val="single" w:sz="4" w:space="0" w:color="8EAADB"/>
              <w:left w:val="single" w:sz="4" w:space="0" w:color="8EAADB"/>
              <w:bottom w:val="single" w:sz="4" w:space="0" w:color="8EAADB"/>
              <w:right w:val="single" w:sz="4" w:space="0" w:color="8EAADB"/>
            </w:tcBorders>
            <w:hideMark/>
          </w:tcPr>
          <w:p w14:paraId="33B009B4"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6.4</w:t>
            </w:r>
          </w:p>
        </w:tc>
        <w:tc>
          <w:tcPr>
            <w:tcW w:w="0" w:type="auto"/>
            <w:tcBorders>
              <w:top w:val="single" w:sz="4" w:space="0" w:color="8EAADB"/>
              <w:left w:val="single" w:sz="4" w:space="0" w:color="8EAADB"/>
              <w:bottom w:val="single" w:sz="4" w:space="0" w:color="8EAADB"/>
              <w:right w:val="single" w:sz="4" w:space="0" w:color="8EAADB"/>
            </w:tcBorders>
            <w:hideMark/>
          </w:tcPr>
          <w:p w14:paraId="03710427"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7.0</w:t>
            </w:r>
          </w:p>
        </w:tc>
        <w:tc>
          <w:tcPr>
            <w:tcW w:w="1147" w:type="dxa"/>
            <w:tcBorders>
              <w:top w:val="single" w:sz="4" w:space="0" w:color="8EAADB"/>
              <w:left w:val="single" w:sz="4" w:space="0" w:color="8EAADB"/>
              <w:bottom w:val="single" w:sz="4" w:space="0" w:color="8EAADB"/>
              <w:right w:val="single" w:sz="4" w:space="0" w:color="8EAADB"/>
            </w:tcBorders>
            <w:hideMark/>
          </w:tcPr>
          <w:p w14:paraId="21B903C4"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2.5</w:t>
            </w:r>
          </w:p>
        </w:tc>
        <w:tc>
          <w:tcPr>
            <w:tcW w:w="0" w:type="auto"/>
            <w:tcBorders>
              <w:top w:val="single" w:sz="4" w:space="0" w:color="8EAADB"/>
              <w:left w:val="single" w:sz="4" w:space="0" w:color="8EAADB"/>
              <w:bottom w:val="single" w:sz="4" w:space="0" w:color="8EAADB"/>
              <w:right w:val="single" w:sz="4" w:space="0" w:color="8EAADB"/>
            </w:tcBorders>
            <w:hideMark/>
          </w:tcPr>
          <w:p w14:paraId="51D24780"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3.5</w:t>
            </w:r>
          </w:p>
        </w:tc>
        <w:tc>
          <w:tcPr>
            <w:tcW w:w="1416" w:type="dxa"/>
            <w:tcBorders>
              <w:top w:val="single" w:sz="4" w:space="0" w:color="8EAADB"/>
              <w:left w:val="single" w:sz="4" w:space="0" w:color="8EAADB"/>
              <w:bottom w:val="single" w:sz="4" w:space="0" w:color="8EAADB"/>
              <w:right w:val="single" w:sz="4" w:space="0" w:color="8EAADB"/>
            </w:tcBorders>
            <w:hideMark/>
          </w:tcPr>
          <w:p w14:paraId="0B0DD66A"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hy-AM"/>
              </w:rPr>
              <w:t>4.</w:t>
            </w:r>
            <w:r w:rsidRPr="00A83C94">
              <w:rPr>
                <w:rFonts w:eastAsia="Calibri"/>
                <w:b w:val="0"/>
                <w:sz w:val="20"/>
                <w:szCs w:val="20"/>
                <w:lang w:val="en-US"/>
              </w:rPr>
              <w:t>9</w:t>
            </w:r>
          </w:p>
        </w:tc>
      </w:tr>
      <w:tr w:rsidR="00C34A4E" w:rsidRPr="00A83C94" w14:paraId="78CBCFD8" w14:textId="77777777" w:rsidTr="00733935">
        <w:trPr>
          <w:trHeight w:val="14"/>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2E6ACB3" w14:textId="77777777" w:rsidR="00C34A4E" w:rsidRPr="00A83C94" w:rsidRDefault="00C34A4E" w:rsidP="00733935">
            <w:pPr>
              <w:spacing w:before="0" w:line="276" w:lineRule="auto"/>
              <w:ind w:firstLine="0"/>
              <w:jc w:val="left"/>
              <w:rPr>
                <w:rFonts w:eastAsia="Calibri" w:cs="Sylfaen"/>
                <w:b w:val="0"/>
                <w:bCs/>
                <w:sz w:val="16"/>
                <w:szCs w:val="16"/>
              </w:rPr>
            </w:pPr>
            <w:r w:rsidRPr="00A83C94">
              <w:rPr>
                <w:rFonts w:eastAsia="Calibri"/>
                <w:bCs/>
                <w:color w:val="000000"/>
                <w:sz w:val="16"/>
                <w:szCs w:val="16"/>
              </w:rPr>
              <w:t>Համաշխարհային առևտ</w:t>
            </w:r>
            <w:r w:rsidRPr="00A83C94">
              <w:rPr>
                <w:rFonts w:eastAsia="Calibri"/>
                <w:bCs/>
                <w:color w:val="000000"/>
                <w:sz w:val="16"/>
                <w:szCs w:val="16"/>
                <w:lang w:val="hy-AM"/>
              </w:rPr>
              <w:t xml:space="preserve">րի աճ, </w:t>
            </w:r>
            <w:r w:rsidRPr="00A83C94">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267C2C9D"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4C857DC"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14DF37B7"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8.4</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52692213"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9.7</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264D0E64" w14:textId="77777777" w:rsidR="00C34A4E" w:rsidRPr="00A83C94" w:rsidRDefault="00C34A4E" w:rsidP="00733935">
            <w:pPr>
              <w:spacing w:before="0" w:line="276" w:lineRule="auto"/>
              <w:ind w:firstLine="0"/>
              <w:jc w:val="center"/>
              <w:rPr>
                <w:rFonts w:eastAsia="Calibri"/>
                <w:b w:val="0"/>
                <w:sz w:val="20"/>
                <w:szCs w:val="20"/>
                <w:lang w:val="en-US"/>
              </w:rPr>
            </w:pPr>
            <w:r w:rsidRPr="00A83C94">
              <w:rPr>
                <w:rFonts w:eastAsia="Calibri"/>
                <w:b w:val="0"/>
                <w:sz w:val="20"/>
                <w:szCs w:val="20"/>
                <w:lang w:val="en-US"/>
              </w:rPr>
              <w:t>6.3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752DE3D9" w14:textId="77777777" w:rsidR="00C34A4E" w:rsidRPr="00A83C94" w:rsidRDefault="00C34A4E" w:rsidP="00733935">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6.5</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7C8AEDA5" w14:textId="77777777" w:rsidR="00C34A4E" w:rsidRPr="00A83C94" w:rsidRDefault="00C34A4E" w:rsidP="00733935">
            <w:pPr>
              <w:spacing w:before="0" w:line="276" w:lineRule="auto"/>
              <w:ind w:firstLine="0"/>
              <w:jc w:val="center"/>
              <w:rPr>
                <w:rFonts w:eastAsia="Calibri" w:cs="Sylfaen"/>
                <w:b w:val="0"/>
                <w:sz w:val="20"/>
                <w:szCs w:val="20"/>
              </w:rPr>
            </w:pPr>
            <w:r w:rsidRPr="00A83C94">
              <w:rPr>
                <w:rFonts w:eastAsia="Calibri"/>
                <w:b w:val="0"/>
                <w:sz w:val="20"/>
                <w:szCs w:val="20"/>
                <w:lang w:val="en-US"/>
              </w:rPr>
              <w:t>7</w:t>
            </w:r>
            <w:r w:rsidRPr="00A83C94">
              <w:rPr>
                <w:rFonts w:eastAsia="Calibri"/>
                <w:b w:val="0"/>
                <w:sz w:val="20"/>
                <w:szCs w:val="20"/>
              </w:rPr>
              <w:t>.0</w:t>
            </w:r>
          </w:p>
        </w:tc>
      </w:tr>
    </w:tbl>
    <w:p w14:paraId="3DF189E1" w14:textId="77777777" w:rsidR="00C34A4E" w:rsidRPr="00A83C94" w:rsidRDefault="00C34A4E" w:rsidP="00C34A4E">
      <w:pPr>
        <w:spacing w:before="0" w:line="276" w:lineRule="auto"/>
        <w:rPr>
          <w:rFonts w:cs="Sylfaen"/>
          <w:i/>
          <w:sz w:val="16"/>
          <w:szCs w:val="16"/>
          <w:lang w:val="hy-AM"/>
        </w:rPr>
      </w:pPr>
      <w:r w:rsidRPr="00A83C94">
        <w:rPr>
          <w:rFonts w:cs="Sylfaen"/>
          <w:i/>
          <w:sz w:val="16"/>
          <w:szCs w:val="16"/>
        </w:rPr>
        <w:t>Աղբյուրը</w:t>
      </w:r>
      <w:r w:rsidRPr="00A83C94">
        <w:rPr>
          <w:rFonts w:cs="Sylfaen"/>
          <w:i/>
          <w:sz w:val="16"/>
          <w:szCs w:val="16"/>
          <w:lang w:val="en-US"/>
        </w:rPr>
        <w:t xml:space="preserve">` </w:t>
      </w:r>
      <w:r w:rsidRPr="00A83C94">
        <w:rPr>
          <w:rFonts w:cs="Sylfaen"/>
          <w:i/>
          <w:sz w:val="16"/>
          <w:szCs w:val="16"/>
          <w:lang w:val="hy-AM"/>
        </w:rPr>
        <w:t>ԱՄՀ «</w:t>
      </w:r>
      <w:r w:rsidRPr="00A83C94">
        <w:rPr>
          <w:rFonts w:cs="Sylfaen"/>
          <w:i/>
          <w:sz w:val="16"/>
          <w:szCs w:val="16"/>
          <w:lang w:val="en-US"/>
        </w:rPr>
        <w:t>World Economic Outlook</w:t>
      </w:r>
      <w:r w:rsidRPr="00A83C94">
        <w:rPr>
          <w:rFonts w:cs="Sylfaen"/>
          <w:i/>
          <w:sz w:val="16"/>
          <w:szCs w:val="16"/>
          <w:lang w:val="hy-AM"/>
        </w:rPr>
        <w:t>»</w:t>
      </w:r>
    </w:p>
    <w:p w14:paraId="764352AE" w14:textId="77777777" w:rsidR="00C34A4E" w:rsidRPr="00A83C94" w:rsidRDefault="00C34A4E" w:rsidP="00C34A4E">
      <w:pPr>
        <w:spacing w:before="0" w:line="276" w:lineRule="auto"/>
        <w:rPr>
          <w:rFonts w:cs="Sylfaen"/>
          <w:i/>
          <w:sz w:val="16"/>
          <w:szCs w:val="16"/>
          <w:lang w:val="hy-AM"/>
        </w:rPr>
      </w:pPr>
    </w:p>
    <w:p w14:paraId="0FC7C42A" w14:textId="77777777" w:rsidR="00C34A4E" w:rsidRPr="00A83C94" w:rsidRDefault="00C34A4E" w:rsidP="00C34A4E">
      <w:pPr>
        <w:spacing w:before="0" w:line="276" w:lineRule="auto"/>
        <w:rPr>
          <w:rFonts w:eastAsia="Calibri"/>
          <w:b w:val="0"/>
          <w:bCs/>
          <w:color w:val="FF0000"/>
          <w:szCs w:val="22"/>
          <w:lang w:val="hy-AM"/>
        </w:rPr>
      </w:pPr>
      <w:bookmarkStart w:id="117" w:name="_Toc51947414"/>
      <w:bookmarkStart w:id="118" w:name="_Toc52452087"/>
      <w:r w:rsidRPr="00A83C94">
        <w:rPr>
          <w:rFonts w:eastAsia="Calibri"/>
          <w:szCs w:val="22"/>
          <w:lang w:val="hy-AM"/>
        </w:rPr>
        <w:t xml:space="preserve">Հումքային ապրանքների համաշխարհային գները կտրուկ աճում են։ </w:t>
      </w:r>
      <w:r w:rsidRPr="00A83C94">
        <w:rPr>
          <w:rFonts w:eastAsia="Calibri"/>
          <w:b w:val="0"/>
          <w:bCs/>
          <w:szCs w:val="22"/>
          <w:lang w:val="hy-AM"/>
        </w:rPr>
        <w:t>Համավարակով պայմանավորված` ամբողջ աշխարհում պահանջարկի անկումը, անորոշության բարձրացումը և նավթի շուկայում հիմնական խաղացողների միջև տարաձայնությունները 2020թ</w:t>
      </w:r>
      <w:r w:rsidRPr="00A83C94">
        <w:rPr>
          <w:rFonts w:ascii="Cambria Math" w:eastAsia="Calibri" w:hAnsi="Cambria Math" w:cs="Cambria Math"/>
          <w:b w:val="0"/>
          <w:bCs/>
          <w:szCs w:val="22"/>
          <w:lang w:val="hy-AM"/>
        </w:rPr>
        <w:t>․</w:t>
      </w:r>
      <w:r w:rsidRPr="00A83C94">
        <w:rPr>
          <w:rFonts w:eastAsia="Calibri"/>
          <w:b w:val="0"/>
          <w:bCs/>
          <w:szCs w:val="22"/>
          <w:lang w:val="hy-AM"/>
        </w:rPr>
        <w:t xml:space="preserve"> հանգեցրել են նավթի միջազգային գների շուրջ 34% նվազման, մինչդեռ պղնձի միջազգային գները, պայմանավորված երկրորդ կիսամյակի զարգացումներով, աճել են 2.7%-ով: </w:t>
      </w:r>
      <w:r w:rsidRPr="00A83C94">
        <w:rPr>
          <w:rFonts w:eastAsia="Calibri"/>
          <w:b w:val="0"/>
          <w:bCs/>
          <w:color w:val="FF0000"/>
          <w:szCs w:val="22"/>
          <w:lang w:val="hy-AM"/>
        </w:rPr>
        <w:t xml:space="preserve"> </w:t>
      </w:r>
    </w:p>
    <w:p w14:paraId="7DBD48E9" w14:textId="77777777" w:rsidR="00C34A4E" w:rsidRPr="00A83C94" w:rsidRDefault="00C34A4E" w:rsidP="00C34A4E">
      <w:pPr>
        <w:spacing w:before="0" w:line="276" w:lineRule="auto"/>
        <w:rPr>
          <w:rFonts w:eastAsia="Calibri"/>
          <w:b w:val="0"/>
          <w:szCs w:val="22"/>
          <w:lang w:val="hy-AM"/>
        </w:rPr>
      </w:pPr>
      <w:r w:rsidRPr="00A83C94">
        <w:rPr>
          <w:rFonts w:eastAsia="Calibri"/>
          <w:b w:val="0"/>
          <w:szCs w:val="22"/>
          <w:lang w:val="hy-AM"/>
        </w:rPr>
        <w:t>2021թ. հունվար-օգոստոս ամիսներին նավթի միջազգային գներն աճել են 59.8%-ով, պղնձի գները՝ 60.1%-ով: Վերջին կանխատեսումներով</w:t>
      </w:r>
      <w:r w:rsidRPr="00A83C94">
        <w:rPr>
          <w:rStyle w:val="FootnoteReference"/>
          <w:rFonts w:eastAsia="Calibri"/>
          <w:b w:val="0"/>
          <w:lang w:val="hy-AM"/>
        </w:rPr>
        <w:footnoteReference w:id="2"/>
      </w:r>
      <w:r w:rsidRPr="00A83C94">
        <w:rPr>
          <w:rFonts w:eastAsia="Calibri"/>
          <w:b w:val="0"/>
          <w:szCs w:val="22"/>
          <w:lang w:val="hy-AM"/>
        </w:rPr>
        <w:t xml:space="preserve"> 2021թ. նավթի բորսային գները կաճեն 62.4%-ով, իսկ պղնձի գները՝ 52.2%</w:t>
      </w:r>
      <w:r w:rsidRPr="00A83C94">
        <w:rPr>
          <w:rFonts w:eastAsia="Calibri"/>
          <w:b w:val="0"/>
          <w:szCs w:val="22"/>
          <w:lang w:val="hy-AM"/>
        </w:rPr>
        <w:noBreakHyphen/>
        <w:t>ով, ընդ որում՝ 2022թ. պղնձի գները կշարունակեն աճել, իսկ նավթի գները՝ կսկսեն նվազել, համամապատասխանաբար՝ 1</w:t>
      </w:r>
      <w:r w:rsidRPr="00A83C94">
        <w:rPr>
          <w:rFonts w:ascii="Cambria Math" w:eastAsia="Calibri" w:hAnsi="Cambria Math"/>
          <w:b w:val="0"/>
          <w:szCs w:val="22"/>
          <w:lang w:val="hy-AM"/>
        </w:rPr>
        <w:t>․</w:t>
      </w:r>
      <w:r w:rsidRPr="00A83C94">
        <w:rPr>
          <w:rFonts w:eastAsia="Calibri"/>
          <w:b w:val="0"/>
          <w:szCs w:val="22"/>
          <w:lang w:val="hy-AM"/>
        </w:rPr>
        <w:t>5% և -2</w:t>
      </w:r>
      <w:r w:rsidRPr="00A83C94">
        <w:rPr>
          <w:rFonts w:ascii="Cambria Math" w:eastAsia="Calibri" w:hAnsi="Cambria Math"/>
          <w:b w:val="0"/>
          <w:szCs w:val="22"/>
          <w:lang w:val="hy-AM"/>
        </w:rPr>
        <w:t>․</w:t>
      </w:r>
      <w:r w:rsidRPr="00A83C94">
        <w:rPr>
          <w:rFonts w:eastAsia="Calibri"/>
          <w:b w:val="0"/>
          <w:szCs w:val="22"/>
          <w:lang w:val="hy-AM"/>
        </w:rPr>
        <w:t>9%-ով։</w:t>
      </w:r>
    </w:p>
    <w:p w14:paraId="61A301B0" w14:textId="77777777" w:rsidR="00C34A4E" w:rsidRPr="00A83C94" w:rsidRDefault="00C34A4E" w:rsidP="00C34A4E">
      <w:pPr>
        <w:spacing w:line="276" w:lineRule="auto"/>
        <w:rPr>
          <w:rFonts w:eastAsia="Calibri"/>
          <w:b w:val="0"/>
          <w:szCs w:val="22"/>
          <w:lang w:val="hy-AM" w:eastAsia="en-US"/>
        </w:rPr>
      </w:pPr>
      <w:r w:rsidRPr="00A83C94">
        <w:rPr>
          <w:rFonts w:eastAsia="Calibri"/>
          <w:szCs w:val="22"/>
          <w:lang w:val="hy-AM" w:eastAsia="en-US"/>
        </w:rPr>
        <w:t>Զարգացող երկրներում ազգային արժույթները թուլացել են, իսկ երկրների ռիսկի հավելավճարները՝ որոշակի կտրուկ բարձրացումից հետո նվազել և կայունացել են:</w:t>
      </w:r>
      <w:r w:rsidRPr="00A83C94" w:rsidDel="00F227B8">
        <w:rPr>
          <w:rFonts w:eastAsia="Calibri"/>
          <w:szCs w:val="22"/>
          <w:lang w:val="hy-AM" w:eastAsia="en-US"/>
        </w:rPr>
        <w:t xml:space="preserve"> </w:t>
      </w:r>
      <w:r w:rsidRPr="00A83C94">
        <w:rPr>
          <w:rFonts w:eastAsia="Calibri"/>
          <w:b w:val="0"/>
          <w:szCs w:val="22"/>
          <w:lang w:val="hy-AM" w:eastAsia="en-US"/>
        </w:rPr>
        <w:t>Համավարակն իր բացասական ազդեցությունն է թողել նաև միջազգային ֆինանսական շուկաների վրա, երկրների միջև առևտրային սահմանափակումները, ներդրումային միջավայրի բարձր անորոշությունը թուլացրել են զարգացող երկրների ազգային արժույթները,  երկրների ռիսկի հավելավճարներն՝ անցած տարվա կտրուկ բարձրացումից հետո նվազել են և կայունացել</w:t>
      </w:r>
      <w:r w:rsidRPr="00A83C94">
        <w:rPr>
          <w:rFonts w:eastAsia="Calibri"/>
          <w:b w:val="0"/>
          <w:szCs w:val="22"/>
          <w:vertAlign w:val="superscript"/>
          <w:lang w:val="hy-AM" w:eastAsia="en-US"/>
        </w:rPr>
        <w:footnoteReference w:id="3"/>
      </w:r>
      <w:r w:rsidRPr="00A83C94">
        <w:rPr>
          <w:rFonts w:eastAsia="Calibri"/>
          <w:b w:val="0"/>
          <w:szCs w:val="22"/>
          <w:lang w:val="hy-AM" w:eastAsia="en-US"/>
        </w:rPr>
        <w:t>։</w:t>
      </w:r>
    </w:p>
    <w:p w14:paraId="45849E45" w14:textId="77777777" w:rsidR="00C34A4E" w:rsidRPr="00A83C94" w:rsidRDefault="00C34A4E" w:rsidP="00C34A4E">
      <w:pPr>
        <w:keepNext/>
        <w:keepLines/>
        <w:spacing w:before="0" w:line="276" w:lineRule="auto"/>
        <w:rPr>
          <w:rFonts w:eastAsia="Calibri"/>
          <w:b w:val="0"/>
          <w:color w:val="000000"/>
          <w:szCs w:val="22"/>
          <w:lang w:val="hy-AM"/>
        </w:rPr>
      </w:pPr>
      <w:r w:rsidRPr="00A83C94">
        <w:rPr>
          <w:rFonts w:eastAsia="Calibri"/>
          <w:color w:val="000000"/>
          <w:szCs w:val="22"/>
          <w:lang w:val="hy-AM"/>
        </w:rPr>
        <w:t>Միջազգային տնտեսական և ֆինանսական զարգացումները և կանխատեսումները</w:t>
      </w:r>
    </w:p>
    <w:tbl>
      <w:tblPr>
        <w:tblStyle w:val="TableGrid2214"/>
        <w:tblW w:w="10184"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76"/>
        <w:gridCol w:w="5108"/>
      </w:tblGrid>
      <w:tr w:rsidR="00C34A4E" w:rsidRPr="00813A99" w14:paraId="2DC58120" w14:textId="77777777" w:rsidTr="00733935">
        <w:trPr>
          <w:trHeight w:val="3799"/>
        </w:trPr>
        <w:tc>
          <w:tcPr>
            <w:tcW w:w="5076" w:type="dxa"/>
            <w:tcBorders>
              <w:top w:val="single" w:sz="6" w:space="0" w:color="4F81BD"/>
              <w:left w:val="single" w:sz="6" w:space="0" w:color="4F81BD"/>
              <w:bottom w:val="single" w:sz="6" w:space="0" w:color="4F81BD"/>
              <w:right w:val="single" w:sz="6" w:space="0" w:color="4F81BD"/>
            </w:tcBorders>
            <w:hideMark/>
          </w:tcPr>
          <w:p w14:paraId="0BB89509" w14:textId="77777777" w:rsidR="00C34A4E" w:rsidRPr="00A83C94" w:rsidRDefault="00C34A4E" w:rsidP="00733935">
            <w:pPr>
              <w:spacing w:line="240" w:lineRule="auto"/>
              <w:ind w:firstLine="0"/>
              <w:rPr>
                <w:lang w:val="hy-AM"/>
              </w:rPr>
            </w:pPr>
            <w:r w:rsidRPr="00A83C94">
              <w:rPr>
                <w:bCs/>
                <w:i/>
                <w:noProof/>
                <w:sz w:val="18"/>
                <w:szCs w:val="18"/>
                <w:lang w:val="en-US" w:eastAsia="en-US"/>
              </w:rPr>
              <w:drawing>
                <wp:anchor distT="0" distB="0" distL="114300" distR="114300" simplePos="0" relativeHeight="251865088" behindDoc="1" locked="0" layoutInCell="1" allowOverlap="1" wp14:anchorId="6802F5D4" wp14:editId="549DAD0B">
                  <wp:simplePos x="0" y="0"/>
                  <wp:positionH relativeFrom="column">
                    <wp:posOffset>-13970</wp:posOffset>
                  </wp:positionH>
                  <wp:positionV relativeFrom="paragraph">
                    <wp:posOffset>537845</wp:posOffset>
                  </wp:positionV>
                  <wp:extent cx="3145790" cy="1810385"/>
                  <wp:effectExtent l="0" t="0" r="16510" b="18415"/>
                  <wp:wrapTight wrapText="bothSides">
                    <wp:wrapPolygon edited="0">
                      <wp:start x="0" y="0"/>
                      <wp:lineTo x="0" y="21592"/>
                      <wp:lineTo x="21583" y="21592"/>
                      <wp:lineTo x="21583"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A83C94">
              <w:rPr>
                <w:bCs/>
                <w:i/>
                <w:sz w:val="18"/>
                <w:szCs w:val="18"/>
                <w:lang w:val="hy-AM"/>
              </w:rPr>
              <w:t>Գծապատկեր 1.1. Համաշխարհային խոր անկումից հետո տնտեսությունները</w:t>
            </w:r>
            <w:r w:rsidRPr="00A83C94">
              <w:rPr>
                <w:lang w:val="hy-AM"/>
              </w:rPr>
              <w:t xml:space="preserve"> </w:t>
            </w:r>
            <w:r w:rsidRPr="00A83C94">
              <w:rPr>
                <w:bCs/>
                <w:i/>
                <w:sz w:val="18"/>
                <w:szCs w:val="18"/>
                <w:lang w:val="hy-AM"/>
              </w:rPr>
              <w:t>վերականգնվում են (տնտեսական աճեր, %)</w:t>
            </w:r>
          </w:p>
          <w:p w14:paraId="433A3730" w14:textId="77777777" w:rsidR="00C34A4E" w:rsidRPr="00A83C94" w:rsidRDefault="00C34A4E" w:rsidP="00733935">
            <w:pPr>
              <w:spacing w:before="0" w:line="240" w:lineRule="auto"/>
              <w:ind w:firstLine="0"/>
              <w:jc w:val="left"/>
              <w:rPr>
                <w:b w:val="0"/>
                <w:i/>
                <w:sz w:val="16"/>
                <w:szCs w:val="16"/>
                <w:lang w:val="hy-AM"/>
              </w:rPr>
            </w:pPr>
            <w:r w:rsidRPr="00A83C94">
              <w:rPr>
                <w:i/>
                <w:sz w:val="16"/>
                <w:szCs w:val="16"/>
                <w:lang w:val="hy-AM"/>
              </w:rPr>
              <w:t xml:space="preserve"> </w:t>
            </w:r>
            <w:r w:rsidRPr="00A83C94">
              <w:rPr>
                <w:b w:val="0"/>
                <w:i/>
                <w:sz w:val="16"/>
                <w:szCs w:val="16"/>
                <w:lang w:val="hy-AM"/>
              </w:rPr>
              <w:t>Աղբյուրը՝ ԱՄՀ</w:t>
            </w:r>
          </w:p>
        </w:tc>
        <w:tc>
          <w:tcPr>
            <w:tcW w:w="5108" w:type="dxa"/>
            <w:tcBorders>
              <w:top w:val="single" w:sz="6" w:space="0" w:color="4F81BD"/>
              <w:left w:val="single" w:sz="6" w:space="0" w:color="4F81BD"/>
              <w:bottom w:val="single" w:sz="6" w:space="0" w:color="4F81BD"/>
              <w:right w:val="single" w:sz="6" w:space="0" w:color="4F81BD"/>
            </w:tcBorders>
            <w:hideMark/>
          </w:tcPr>
          <w:p w14:paraId="2B63F9C4" w14:textId="77777777" w:rsidR="00C34A4E" w:rsidRPr="00A83C94" w:rsidRDefault="00C34A4E" w:rsidP="00733935">
            <w:pPr>
              <w:spacing w:before="0" w:line="240" w:lineRule="auto"/>
              <w:ind w:firstLine="0"/>
              <w:rPr>
                <w:i/>
                <w:sz w:val="18"/>
                <w:szCs w:val="18"/>
                <w:lang w:val="hy-AM"/>
              </w:rPr>
            </w:pPr>
            <w:r w:rsidRPr="00A83C94">
              <w:rPr>
                <w:bCs/>
                <w:i/>
                <w:sz w:val="18"/>
                <w:szCs w:val="18"/>
                <w:lang w:val="hy-AM"/>
              </w:rPr>
              <w:t xml:space="preserve">Գծապատկեր 1.2 </w:t>
            </w:r>
            <w:r w:rsidRPr="00A83C94">
              <w:rPr>
                <w:i/>
                <w:sz w:val="18"/>
                <w:szCs w:val="18"/>
                <w:lang w:val="hy-AM"/>
              </w:rPr>
              <w:t>Հումքային ապրանքների գների դինամիկան</w:t>
            </w:r>
          </w:p>
          <w:p w14:paraId="35719910" w14:textId="77777777" w:rsidR="00C34A4E" w:rsidRPr="00A83C94" w:rsidRDefault="00C34A4E" w:rsidP="00733935">
            <w:pPr>
              <w:spacing w:before="0" w:line="240" w:lineRule="auto"/>
              <w:rPr>
                <w:bCs/>
                <w:i/>
                <w:sz w:val="18"/>
                <w:szCs w:val="18"/>
                <w:lang w:val="hy-AM"/>
              </w:rPr>
            </w:pPr>
            <w:r w:rsidRPr="00A83C94">
              <w:rPr>
                <w:noProof/>
                <w:lang w:val="en-US" w:eastAsia="en-US"/>
              </w:rPr>
              <w:drawing>
                <wp:anchor distT="0" distB="0" distL="114300" distR="114300" simplePos="0" relativeHeight="251866112" behindDoc="1" locked="0" layoutInCell="1" allowOverlap="1" wp14:anchorId="40044F78" wp14:editId="00698B95">
                  <wp:simplePos x="0" y="0"/>
                  <wp:positionH relativeFrom="column">
                    <wp:posOffset>-70485</wp:posOffset>
                  </wp:positionH>
                  <wp:positionV relativeFrom="paragraph">
                    <wp:posOffset>175895</wp:posOffset>
                  </wp:positionV>
                  <wp:extent cx="3181985" cy="1810385"/>
                  <wp:effectExtent l="0" t="0" r="18415" b="18415"/>
                  <wp:wrapTight wrapText="bothSides">
                    <wp:wrapPolygon edited="0">
                      <wp:start x="0" y="0"/>
                      <wp:lineTo x="0" y="21592"/>
                      <wp:lineTo x="21596" y="21592"/>
                      <wp:lineTo x="21596"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209D1E1" w14:textId="77777777" w:rsidR="00C34A4E" w:rsidRPr="00A83C94" w:rsidRDefault="00C34A4E" w:rsidP="00733935">
            <w:pPr>
              <w:spacing w:before="0" w:line="240" w:lineRule="auto"/>
              <w:ind w:firstLine="0"/>
              <w:rPr>
                <w:b w:val="0"/>
                <w:sz w:val="16"/>
                <w:szCs w:val="16"/>
                <w:lang w:val="hy-AM"/>
              </w:rPr>
            </w:pPr>
            <w:r w:rsidRPr="00A83C94">
              <w:rPr>
                <w:b w:val="0"/>
                <w:i/>
                <w:sz w:val="16"/>
                <w:szCs w:val="16"/>
                <w:lang w:val="hy-AM"/>
              </w:rPr>
              <w:t xml:space="preserve">Աղբյուրը՝ կանխատեսումները ըստ Բլումբերգի </w:t>
            </w:r>
          </w:p>
        </w:tc>
      </w:tr>
      <w:tr w:rsidR="00C34A4E" w:rsidRPr="00813A99" w14:paraId="636A1246" w14:textId="77777777" w:rsidTr="00733935">
        <w:trPr>
          <w:trHeight w:val="204"/>
        </w:trPr>
        <w:tc>
          <w:tcPr>
            <w:tcW w:w="5076" w:type="dxa"/>
            <w:tcBorders>
              <w:top w:val="single" w:sz="6" w:space="0" w:color="4F81BD"/>
              <w:left w:val="single" w:sz="6" w:space="0" w:color="4F81BD"/>
              <w:bottom w:val="single" w:sz="6" w:space="0" w:color="4F81BD"/>
              <w:right w:val="single" w:sz="6" w:space="0" w:color="4F81BD"/>
            </w:tcBorders>
            <w:hideMark/>
          </w:tcPr>
          <w:p w14:paraId="0CF7810B" w14:textId="77777777" w:rsidR="00C34A4E" w:rsidRPr="00A83C94" w:rsidRDefault="00C34A4E" w:rsidP="00733935">
            <w:pPr>
              <w:spacing w:line="240" w:lineRule="auto"/>
              <w:ind w:firstLine="0"/>
              <w:rPr>
                <w:bCs/>
                <w:i/>
                <w:sz w:val="18"/>
                <w:szCs w:val="18"/>
                <w:lang w:val="hy-AM"/>
              </w:rPr>
            </w:pPr>
            <w:r w:rsidRPr="00A83C94">
              <w:rPr>
                <w:bCs/>
                <w:i/>
                <w:sz w:val="18"/>
                <w:szCs w:val="18"/>
                <w:lang w:val="hy-AM"/>
              </w:rPr>
              <w:t xml:space="preserve">Գծապատկեր 1.3. Համաշխարհային առևտուրը վերականգնվում է </w:t>
            </w:r>
          </w:p>
          <w:p w14:paraId="0E1E435D" w14:textId="77777777" w:rsidR="00C34A4E" w:rsidRPr="00A83C94" w:rsidRDefault="00C34A4E" w:rsidP="00733935">
            <w:pPr>
              <w:spacing w:before="0" w:line="240" w:lineRule="auto"/>
              <w:ind w:firstLine="0"/>
              <w:rPr>
                <w:b w:val="0"/>
                <w:i/>
                <w:sz w:val="16"/>
                <w:szCs w:val="16"/>
                <w:lang w:val="hy-AM"/>
              </w:rPr>
            </w:pPr>
            <w:r w:rsidRPr="00A83C94">
              <w:rPr>
                <w:noProof/>
                <w:lang w:val="en-US" w:eastAsia="en-US"/>
              </w:rPr>
              <w:drawing>
                <wp:anchor distT="0" distB="0" distL="114300" distR="114300" simplePos="0" relativeHeight="251869184" behindDoc="1" locked="0" layoutInCell="1" allowOverlap="1" wp14:anchorId="6C1C9690" wp14:editId="1FC8FE70">
                  <wp:simplePos x="0" y="0"/>
                  <wp:positionH relativeFrom="column">
                    <wp:posOffset>-6985</wp:posOffset>
                  </wp:positionH>
                  <wp:positionV relativeFrom="paragraph">
                    <wp:posOffset>140335</wp:posOffset>
                  </wp:positionV>
                  <wp:extent cx="3096260" cy="1748790"/>
                  <wp:effectExtent l="0" t="0" r="8890" b="3810"/>
                  <wp:wrapTight wrapText="bothSides">
                    <wp:wrapPolygon edited="0">
                      <wp:start x="0" y="0"/>
                      <wp:lineTo x="0" y="21412"/>
                      <wp:lineTo x="21529" y="21412"/>
                      <wp:lineTo x="21529" y="0"/>
                      <wp:lineTo x="0" y="0"/>
                    </wp:wrapPolygon>
                  </wp:wrapTight>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3A0AFB63" w14:textId="77777777" w:rsidR="00C34A4E" w:rsidRPr="00A83C94" w:rsidRDefault="00C34A4E" w:rsidP="00733935">
            <w:pPr>
              <w:spacing w:before="0" w:line="240" w:lineRule="auto"/>
              <w:ind w:firstLine="0"/>
              <w:rPr>
                <w:b w:val="0"/>
                <w:i/>
                <w:sz w:val="16"/>
                <w:szCs w:val="16"/>
                <w:lang w:val="hy-AM"/>
              </w:rPr>
            </w:pPr>
            <w:r w:rsidRPr="00A83C94">
              <w:rPr>
                <w:b w:val="0"/>
                <w:i/>
                <w:sz w:val="16"/>
                <w:szCs w:val="16"/>
                <w:lang w:val="hy-AM"/>
              </w:rPr>
              <w:t>Աղբյուրը՝ ԱՄՀ</w:t>
            </w:r>
          </w:p>
        </w:tc>
        <w:tc>
          <w:tcPr>
            <w:tcW w:w="5108" w:type="dxa"/>
            <w:tcBorders>
              <w:top w:val="single" w:sz="6" w:space="0" w:color="4F81BD"/>
              <w:left w:val="single" w:sz="6" w:space="0" w:color="4F81BD"/>
              <w:bottom w:val="single" w:sz="6" w:space="0" w:color="4F81BD"/>
              <w:right w:val="single" w:sz="6" w:space="0" w:color="4F81BD"/>
            </w:tcBorders>
          </w:tcPr>
          <w:p w14:paraId="525ACC12" w14:textId="77777777" w:rsidR="00C34A4E" w:rsidRPr="00A83C94" w:rsidRDefault="00C34A4E" w:rsidP="00733935">
            <w:pPr>
              <w:spacing w:line="240" w:lineRule="auto"/>
              <w:ind w:firstLine="0"/>
              <w:rPr>
                <w:bCs/>
                <w:i/>
                <w:sz w:val="18"/>
                <w:szCs w:val="18"/>
                <w:lang w:val="hy-AM"/>
              </w:rPr>
            </w:pPr>
            <w:r w:rsidRPr="00A83C94">
              <w:rPr>
                <w:bCs/>
                <w:i/>
                <w:sz w:val="18"/>
                <w:szCs w:val="18"/>
                <w:lang w:val="hy-AM"/>
              </w:rPr>
              <w:t>Գծապատկեր 1.4. Զարգացող երկրներում ազգային արժույթները  դոլարի նկատմամբ կայունացել են</w:t>
            </w:r>
          </w:p>
          <w:p w14:paraId="0053B6D8" w14:textId="77777777" w:rsidR="00C34A4E" w:rsidRPr="00A83C94" w:rsidRDefault="00C34A4E" w:rsidP="00733935">
            <w:pPr>
              <w:spacing w:before="0" w:line="240" w:lineRule="auto"/>
              <w:ind w:firstLine="0"/>
              <w:rPr>
                <w:b w:val="0"/>
                <w:i/>
                <w:sz w:val="16"/>
                <w:szCs w:val="16"/>
                <w:lang w:val="hy-AM"/>
              </w:rPr>
            </w:pPr>
          </w:p>
          <w:p w14:paraId="269A29F4" w14:textId="77777777" w:rsidR="00C34A4E" w:rsidRPr="00A83C94" w:rsidRDefault="00C34A4E" w:rsidP="00733935">
            <w:pPr>
              <w:spacing w:before="0" w:line="240" w:lineRule="auto"/>
              <w:ind w:firstLine="0"/>
              <w:jc w:val="left"/>
              <w:rPr>
                <w:b w:val="0"/>
                <w:i/>
                <w:sz w:val="16"/>
                <w:szCs w:val="16"/>
                <w:lang w:val="hy-AM"/>
              </w:rPr>
            </w:pPr>
            <w:r w:rsidRPr="00A83C94">
              <w:rPr>
                <w:b w:val="0"/>
                <w:noProof/>
                <w:lang w:val="en-US" w:eastAsia="en-US"/>
              </w:rPr>
              <w:drawing>
                <wp:inline distT="0" distB="0" distL="0" distR="0" wp14:anchorId="7CD5D4BE" wp14:editId="324F76DC">
                  <wp:extent cx="3124200" cy="17621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4832F0" w14:textId="77777777" w:rsidR="00C34A4E" w:rsidRPr="00A83C94" w:rsidRDefault="00C34A4E" w:rsidP="00733935">
            <w:pPr>
              <w:spacing w:before="0" w:line="240" w:lineRule="auto"/>
              <w:ind w:firstLine="0"/>
              <w:jc w:val="left"/>
              <w:rPr>
                <w:b w:val="0"/>
                <w:i/>
                <w:sz w:val="16"/>
                <w:szCs w:val="16"/>
                <w:lang w:val="hy-AM"/>
              </w:rPr>
            </w:pPr>
            <w:r w:rsidRPr="00A83C94">
              <w:rPr>
                <w:b w:val="0"/>
                <w:i/>
                <w:sz w:val="16"/>
                <w:szCs w:val="16"/>
                <w:lang w:val="hy-AM"/>
              </w:rPr>
              <w:t>Աղբյուրը՝ Բլումբերգ, ՀՀ ԿԲ, ՀՀ ՖՆ հաշվարկներ</w:t>
            </w:r>
          </w:p>
          <w:p w14:paraId="03D6D305" w14:textId="77777777" w:rsidR="00C34A4E" w:rsidRPr="00A83C94" w:rsidRDefault="00C34A4E" w:rsidP="00733935">
            <w:pPr>
              <w:spacing w:before="0" w:line="240" w:lineRule="auto"/>
              <w:ind w:firstLine="0"/>
              <w:rPr>
                <w:b w:val="0"/>
                <w:i/>
                <w:sz w:val="16"/>
                <w:szCs w:val="16"/>
                <w:lang w:val="hy-AM"/>
              </w:rPr>
            </w:pPr>
          </w:p>
        </w:tc>
      </w:tr>
      <w:tr w:rsidR="00C34A4E" w:rsidRPr="00A83C94" w14:paraId="68DC6DD9" w14:textId="77777777" w:rsidTr="00733935">
        <w:trPr>
          <w:trHeight w:val="3556"/>
        </w:trPr>
        <w:tc>
          <w:tcPr>
            <w:tcW w:w="5076" w:type="dxa"/>
            <w:tcBorders>
              <w:top w:val="single" w:sz="6" w:space="0" w:color="4F81BD"/>
              <w:left w:val="single" w:sz="6" w:space="0" w:color="4F81BD"/>
              <w:bottom w:val="single" w:sz="6" w:space="0" w:color="4F81BD"/>
              <w:right w:val="single" w:sz="6" w:space="0" w:color="4F81BD"/>
            </w:tcBorders>
            <w:hideMark/>
          </w:tcPr>
          <w:p w14:paraId="774C05BF" w14:textId="77777777" w:rsidR="00C34A4E" w:rsidRPr="00A83C94" w:rsidRDefault="00C34A4E" w:rsidP="00733935">
            <w:pPr>
              <w:spacing w:line="240" w:lineRule="auto"/>
              <w:ind w:firstLine="0"/>
              <w:rPr>
                <w:bCs/>
                <w:i/>
                <w:sz w:val="18"/>
                <w:szCs w:val="18"/>
                <w:lang w:val="hy-AM"/>
              </w:rPr>
            </w:pPr>
            <w:r w:rsidRPr="00A83C94">
              <w:rPr>
                <w:bCs/>
                <w:i/>
                <w:sz w:val="18"/>
                <w:szCs w:val="18"/>
                <w:lang w:val="hy-AM"/>
              </w:rPr>
              <w:t>Գծապատկեր 1.5. Բաժնետոմսերի միջազգային շուկան  վերականգնվել է</w:t>
            </w:r>
          </w:p>
          <w:p w14:paraId="3A856ABF" w14:textId="77777777" w:rsidR="00C34A4E" w:rsidRPr="00A83C94" w:rsidRDefault="00C34A4E" w:rsidP="00733935">
            <w:pPr>
              <w:spacing w:before="0" w:line="240" w:lineRule="auto"/>
              <w:ind w:firstLine="0"/>
              <w:rPr>
                <w:i/>
                <w:sz w:val="18"/>
                <w:szCs w:val="18"/>
                <w:lang w:val="hy-AM"/>
              </w:rPr>
            </w:pPr>
            <w:r w:rsidRPr="00A83C94">
              <w:rPr>
                <w:b w:val="0"/>
                <w:noProof/>
                <w:lang w:val="en-US" w:eastAsia="en-US"/>
              </w:rPr>
              <w:drawing>
                <wp:inline distT="0" distB="0" distL="0" distR="0" wp14:anchorId="2D8F96E3" wp14:editId="789C4872">
                  <wp:extent cx="3095625" cy="1977292"/>
                  <wp:effectExtent l="0" t="0" r="9525" b="444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5CECB1" w14:textId="77777777" w:rsidR="00C34A4E" w:rsidRPr="00A83C94" w:rsidRDefault="00C34A4E" w:rsidP="00733935">
            <w:pPr>
              <w:spacing w:before="0" w:line="240" w:lineRule="auto"/>
              <w:ind w:firstLine="0"/>
              <w:rPr>
                <w:b w:val="0"/>
                <w:bCs/>
                <w:i/>
                <w:sz w:val="18"/>
                <w:szCs w:val="18"/>
                <w:lang w:val="hy-AM"/>
              </w:rPr>
            </w:pPr>
          </w:p>
          <w:p w14:paraId="26F10AD5" w14:textId="77777777" w:rsidR="00C34A4E" w:rsidRPr="00A83C94" w:rsidRDefault="00C34A4E" w:rsidP="00733935">
            <w:pPr>
              <w:spacing w:before="0" w:line="240" w:lineRule="auto"/>
              <w:ind w:firstLine="0"/>
              <w:jc w:val="left"/>
              <w:rPr>
                <w:b w:val="0"/>
                <w:bCs/>
                <w:i/>
                <w:sz w:val="18"/>
                <w:szCs w:val="18"/>
                <w:lang w:val="hy-AM"/>
              </w:rPr>
            </w:pPr>
            <w:r w:rsidRPr="00A83C94">
              <w:rPr>
                <w:b w:val="0"/>
                <w:i/>
                <w:sz w:val="16"/>
                <w:szCs w:val="16"/>
                <w:lang w:val="hy-AM"/>
              </w:rPr>
              <w:t>Աղբյուրը՝ Բլումբերգ, ՀՀ ՖՆ հաշվարկներ</w:t>
            </w:r>
          </w:p>
        </w:tc>
        <w:tc>
          <w:tcPr>
            <w:tcW w:w="5108" w:type="dxa"/>
            <w:tcBorders>
              <w:top w:val="single" w:sz="6" w:space="0" w:color="4F81BD"/>
              <w:left w:val="single" w:sz="6" w:space="0" w:color="4F81BD"/>
              <w:bottom w:val="single" w:sz="6" w:space="0" w:color="4F81BD"/>
              <w:right w:val="single" w:sz="6" w:space="0" w:color="4F81BD"/>
            </w:tcBorders>
            <w:hideMark/>
          </w:tcPr>
          <w:p w14:paraId="083960A1" w14:textId="77777777" w:rsidR="00C34A4E" w:rsidRPr="00A83C94" w:rsidRDefault="00C34A4E" w:rsidP="00733935">
            <w:pPr>
              <w:spacing w:line="240" w:lineRule="auto"/>
              <w:ind w:firstLine="0"/>
              <w:rPr>
                <w:bCs/>
                <w:i/>
                <w:sz w:val="18"/>
                <w:szCs w:val="18"/>
                <w:lang w:val="hy-AM"/>
              </w:rPr>
            </w:pPr>
            <w:r w:rsidRPr="00A83C94">
              <w:rPr>
                <w:bCs/>
                <w:i/>
                <w:sz w:val="18"/>
                <w:szCs w:val="18"/>
                <w:lang w:val="hy-AM"/>
              </w:rPr>
              <w:t>Գծապատկեր 1.6. Զարգացող երկրներում ռիսկի հավելավճարները</w:t>
            </w:r>
            <w:r w:rsidRPr="00A83C94">
              <w:rPr>
                <w:bCs/>
                <w:i/>
                <w:sz w:val="18"/>
                <w:szCs w:val="18"/>
                <w:lang w:val="hy-AM"/>
              </w:rPr>
              <w:footnoteReference w:id="4"/>
            </w:r>
            <w:r w:rsidRPr="00A83C94">
              <w:rPr>
                <w:bCs/>
                <w:i/>
                <w:sz w:val="18"/>
                <w:szCs w:val="18"/>
                <w:lang w:val="hy-AM"/>
              </w:rPr>
              <w:t xml:space="preserve"> կայունացել են։ </w:t>
            </w:r>
          </w:p>
          <w:p w14:paraId="1C3CAC66" w14:textId="77777777" w:rsidR="00C34A4E" w:rsidRPr="00A83C94" w:rsidRDefault="00C34A4E" w:rsidP="00733935">
            <w:pPr>
              <w:rPr>
                <w:lang w:val="hy-AM"/>
              </w:rPr>
            </w:pPr>
            <w:r w:rsidRPr="00A83C94">
              <w:rPr>
                <w:b w:val="0"/>
                <w:noProof/>
                <w:lang w:val="en-US" w:eastAsia="en-US"/>
              </w:rPr>
              <w:drawing>
                <wp:inline distT="0" distB="0" distL="0" distR="0" wp14:anchorId="1E943048" wp14:editId="360CFF2B">
                  <wp:extent cx="3181350" cy="2035534"/>
                  <wp:effectExtent l="0" t="0" r="0" b="317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AE8976" w14:textId="77777777" w:rsidR="00C34A4E" w:rsidRPr="00A83C94" w:rsidRDefault="00C34A4E" w:rsidP="00733935">
            <w:pPr>
              <w:spacing w:before="0" w:line="240" w:lineRule="auto"/>
              <w:ind w:firstLine="0"/>
              <w:jc w:val="left"/>
              <w:rPr>
                <w:b w:val="0"/>
                <w:bCs/>
                <w:i/>
                <w:sz w:val="16"/>
                <w:szCs w:val="16"/>
                <w:lang w:val="en-US"/>
              </w:rPr>
            </w:pPr>
            <w:r w:rsidRPr="00A83C94">
              <w:rPr>
                <w:b w:val="0"/>
                <w:i/>
                <w:sz w:val="16"/>
                <w:szCs w:val="16"/>
                <w:lang w:val="hy-AM"/>
              </w:rPr>
              <w:t>Աղբյուրը՝ Բլումբերգ</w:t>
            </w:r>
            <w:r w:rsidRPr="00A83C94" w:rsidDel="00E34D0C">
              <w:rPr>
                <w:b w:val="0"/>
                <w:bCs/>
                <w:i/>
                <w:sz w:val="18"/>
                <w:szCs w:val="18"/>
                <w:lang w:val="hy-AM"/>
              </w:rPr>
              <w:t xml:space="preserve"> </w:t>
            </w:r>
          </w:p>
        </w:tc>
      </w:tr>
    </w:tbl>
    <w:p w14:paraId="6B6F12F1" w14:textId="77777777" w:rsidR="00C34A4E" w:rsidRPr="00A83C94" w:rsidRDefault="00C34A4E" w:rsidP="00C34A4E">
      <w:pPr>
        <w:spacing w:before="0" w:line="276" w:lineRule="auto"/>
        <w:rPr>
          <w:rFonts w:eastAsia="Calibri"/>
          <w:szCs w:val="22"/>
          <w:lang w:val="hy-AM"/>
        </w:rPr>
      </w:pPr>
    </w:p>
    <w:p w14:paraId="1F36A415" w14:textId="77777777" w:rsidR="00C34A4E" w:rsidRPr="00A83C94" w:rsidRDefault="00C34A4E" w:rsidP="00C34A4E">
      <w:pPr>
        <w:spacing w:line="276" w:lineRule="auto"/>
        <w:rPr>
          <w:b w:val="0"/>
          <w:bCs/>
          <w:szCs w:val="22"/>
          <w:lang w:val="hy-AM" w:eastAsia="en-US"/>
        </w:rPr>
      </w:pPr>
      <w:r w:rsidRPr="00A83C94">
        <w:rPr>
          <w:bCs/>
          <w:lang w:val="hy-AM"/>
        </w:rPr>
        <w:t>Առողջապահական և տնտեսական ճգնաժամին հակազդելու համար աշխարհում Կառավարությունները և Կենտրոնական բանկերը ավելի «ագրեսիվ» են խթանում տնտեսություններին, քան իրականացրել են համաշխարհային ֆինանսական ճգնաժամի ժամանակ։</w:t>
      </w:r>
      <w:r w:rsidRPr="00A83C94">
        <w:rPr>
          <w:lang w:val="hy-AM"/>
        </w:rPr>
        <w:t xml:space="preserve"> </w:t>
      </w:r>
      <w:r w:rsidRPr="00A83C94">
        <w:rPr>
          <w:b w:val="0"/>
          <w:bCs/>
          <w:lang w:val="hy-AM"/>
        </w:rPr>
        <w:t>COVID-19 համարավարակի հետևանքները հաղթահարելու համար հարկաբյուջետային քաղաքականությունը առանցքային դերակատարում ունի։ Ընդհանուր առմամբ, համավարակին հակազդելու համար մշակված հարկաբյուջետային փաթեթներն աշխարհի մակարդակով գնահատվում են 16.5 տրիլիոն դոլար (վերաբերում է ինչպես 2020, այնպես էլ 2021թ</w:t>
      </w:r>
      <w:r w:rsidRPr="00A83C94">
        <w:rPr>
          <w:rFonts w:ascii="Cambria Math" w:hAnsi="Cambria Math" w:cs="Cambria Math"/>
          <w:b w:val="0"/>
          <w:bCs/>
          <w:lang w:val="hy-AM"/>
        </w:rPr>
        <w:t>․</w:t>
      </w:r>
      <w:r w:rsidRPr="00A83C94">
        <w:rPr>
          <w:b w:val="0"/>
          <w:bCs/>
          <w:lang w:val="hy-AM"/>
        </w:rPr>
        <w:t xml:space="preserve"> համար նախատեսված միջոցառումներին)</w:t>
      </w:r>
      <w:r w:rsidRPr="00A83C94">
        <w:rPr>
          <w:b w:val="0"/>
          <w:bCs/>
          <w:vertAlign w:val="superscript"/>
        </w:rPr>
        <w:footnoteReference w:id="5"/>
      </w:r>
      <w:r w:rsidRPr="00A83C94">
        <w:rPr>
          <w:b w:val="0"/>
          <w:bCs/>
          <w:lang w:val="hy-AM"/>
        </w:rPr>
        <w:t>։ Վերջինից 10 տրիլիոնը վերաբերում է ծախսային և հարկային միջոցառումներին (բյուջեի վրա ուղղակի ազդեցություն ունեցող), իսկ 6 տրիլիոնը՝ պետական վարկերի, կապիտալի ներարկումների և վարկային երաշխիքների տրամադրմանը։ Կենտրոնական բանկերը ևս խթանող դրամավարկային քաղաքականությամբ (տոկոսադրույքների նվազեցում և ֆինանսական շուկայից ակտիվների ձեռք բերման աննախադեպ ծրագրերի իրականացում) հակազդել են համավարակի տարածման տնտեսական ազդեցություններին։</w:t>
      </w:r>
    </w:p>
    <w:p w14:paraId="0E418F46" w14:textId="77777777" w:rsidR="00C34A4E" w:rsidRPr="00A83C94" w:rsidRDefault="00C34A4E" w:rsidP="00C34A4E">
      <w:pPr>
        <w:spacing w:line="276" w:lineRule="auto"/>
        <w:rPr>
          <w:b w:val="0"/>
          <w:bCs/>
          <w:lang w:val="hy-AM"/>
        </w:rPr>
      </w:pPr>
      <w:r w:rsidRPr="00A83C94">
        <w:rPr>
          <w:b w:val="0"/>
          <w:bCs/>
          <w:lang w:val="hy-AM"/>
        </w:rPr>
        <w:t>Խթանող հարկաբյուջետային քաղաքականության պայմաններում 2020թ. աշխարհում գրանցվել է պետական բյուջեի պակասուրդի և պարտքի բեռի էական աճ: 2021թ. սպասվող վերականգնման պայմաններում Կառավարությունները սկսել են իրականացնել հարկաբյուջետային կոնսոլիդացիա՝ պետական պարտքի բեռի աճը մեղմելու և հետագայում կայունացնելու նպատակադրմամբ:</w:t>
      </w:r>
    </w:p>
    <w:p w14:paraId="04223B83" w14:textId="77777777" w:rsidR="00C34A4E" w:rsidRPr="00A83C94" w:rsidRDefault="00C34A4E" w:rsidP="00C34A4E">
      <w:pPr>
        <w:spacing w:line="276" w:lineRule="auto"/>
        <w:rPr>
          <w:b w:val="0"/>
          <w:bCs/>
          <w:lang w:val="hy-AM"/>
        </w:rPr>
      </w:pPr>
    </w:p>
    <w:p w14:paraId="3051C437" w14:textId="77777777" w:rsidR="00C34A4E" w:rsidRPr="00A83C94" w:rsidRDefault="00C34A4E" w:rsidP="00C34A4E">
      <w:pPr>
        <w:spacing w:line="276" w:lineRule="auto"/>
        <w:rPr>
          <w:b w:val="0"/>
          <w:bCs/>
          <w:lang w:val="hy-AM"/>
        </w:rPr>
      </w:pPr>
    </w:p>
    <w:p w14:paraId="4BE15197" w14:textId="77777777" w:rsidR="00C34A4E" w:rsidRPr="00A83C94" w:rsidRDefault="00C34A4E" w:rsidP="00C34A4E">
      <w:pPr>
        <w:spacing w:line="276" w:lineRule="auto"/>
        <w:rPr>
          <w:b w:val="0"/>
          <w:bCs/>
          <w:lang w:val="hy-AM"/>
        </w:rPr>
      </w:pPr>
    </w:p>
    <w:p w14:paraId="1E03DF01" w14:textId="77777777" w:rsidR="00C34A4E" w:rsidRPr="00A83C94" w:rsidRDefault="00C34A4E" w:rsidP="00C34A4E">
      <w:pPr>
        <w:pStyle w:val="af3"/>
      </w:pPr>
      <w:r w:rsidRPr="00A83C94">
        <w:t xml:space="preserve">Գծապատկեր 1.7. Համաշխարհային տնտեսության և հարկաբյուջետային քաղաքականության արձագանքը (% ՀՆԱ-ում) ճգնաժամերի և հաջորդող տարիներին </w:t>
      </w:r>
    </w:p>
    <w:p w14:paraId="158EF857" w14:textId="77777777" w:rsidR="00C34A4E" w:rsidRPr="00A83C94" w:rsidRDefault="00C34A4E" w:rsidP="00C34A4E">
      <w:pPr>
        <w:spacing w:before="0" w:line="276" w:lineRule="auto"/>
        <w:rPr>
          <w:rFonts w:eastAsia="Calibri"/>
          <w:szCs w:val="22"/>
          <w:lang w:val="hy-AM"/>
        </w:rPr>
      </w:pPr>
    </w:p>
    <w:p w14:paraId="28D9E651" w14:textId="77777777" w:rsidR="00C34A4E" w:rsidRPr="00A83C94" w:rsidRDefault="00C34A4E" w:rsidP="00C34A4E">
      <w:pPr>
        <w:keepNext/>
        <w:keepLines/>
        <w:spacing w:before="0" w:line="276" w:lineRule="auto"/>
        <w:jc w:val="left"/>
        <w:outlineLvl w:val="2"/>
        <w:rPr>
          <w:rFonts w:cs="Sylfaen"/>
          <w:i/>
          <w:sz w:val="16"/>
          <w:szCs w:val="16"/>
          <w:lang w:val="hy-AM"/>
        </w:rPr>
      </w:pPr>
    </w:p>
    <w:tbl>
      <w:tblPr>
        <w:tblW w:w="9619"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159"/>
        <w:gridCol w:w="3273"/>
        <w:gridCol w:w="3187"/>
      </w:tblGrid>
      <w:tr w:rsidR="00C34A4E" w:rsidRPr="00A83C94" w14:paraId="5CA7C1ED" w14:textId="77777777" w:rsidTr="00733935">
        <w:trPr>
          <w:trHeight w:val="3593"/>
        </w:trPr>
        <w:tc>
          <w:tcPr>
            <w:tcW w:w="3159" w:type="dxa"/>
            <w:tcBorders>
              <w:top w:val="single" w:sz="6" w:space="0" w:color="4472C4"/>
              <w:left w:val="single" w:sz="6" w:space="0" w:color="4472C4"/>
              <w:bottom w:val="single" w:sz="6" w:space="0" w:color="4472C4"/>
              <w:right w:val="single" w:sz="6" w:space="0" w:color="4472C4"/>
            </w:tcBorders>
            <w:hideMark/>
          </w:tcPr>
          <w:p w14:paraId="4A657A8E" w14:textId="77777777" w:rsidR="00C34A4E" w:rsidRPr="00A83C94" w:rsidRDefault="00C34A4E" w:rsidP="00733935">
            <w:pPr>
              <w:ind w:right="-29" w:firstLine="0"/>
              <w:rPr>
                <w:b w:val="0"/>
                <w:noProof/>
                <w:lang w:val="en-US"/>
              </w:rPr>
            </w:pPr>
            <w:r w:rsidRPr="00A83C94">
              <w:rPr>
                <w:b w:val="0"/>
                <w:noProof/>
                <w:lang w:val="en-US" w:eastAsia="en-US"/>
              </w:rPr>
              <w:drawing>
                <wp:inline distT="0" distB="0" distL="0" distR="0" wp14:anchorId="2BA5D343" wp14:editId="13A6857D">
                  <wp:extent cx="1844431" cy="2562860"/>
                  <wp:effectExtent l="0" t="0" r="381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1B7E37" w14:textId="77777777" w:rsidR="00C34A4E" w:rsidRPr="00A83C94" w:rsidRDefault="00C34A4E" w:rsidP="00733935">
            <w:pPr>
              <w:ind w:firstLine="0"/>
            </w:pPr>
            <w:r w:rsidRPr="00A83C94">
              <w:rPr>
                <w:rFonts w:eastAsia="Calibri"/>
                <w:b w:val="0"/>
                <w:i/>
                <w:sz w:val="16"/>
                <w:szCs w:val="16"/>
                <w:lang w:val="hy-AM"/>
              </w:rPr>
              <w:t>Աղբյուրը՝ ԱՄՀ, 2021թ. կանխատեսում:</w:t>
            </w:r>
          </w:p>
        </w:tc>
        <w:tc>
          <w:tcPr>
            <w:tcW w:w="3273" w:type="dxa"/>
            <w:tcBorders>
              <w:top w:val="single" w:sz="6" w:space="0" w:color="4472C4"/>
              <w:left w:val="single" w:sz="6" w:space="0" w:color="4472C4"/>
              <w:bottom w:val="single" w:sz="6" w:space="0" w:color="4472C4"/>
              <w:right w:val="single" w:sz="6" w:space="0" w:color="4472C4"/>
            </w:tcBorders>
            <w:hideMark/>
          </w:tcPr>
          <w:p w14:paraId="63C5DBA5" w14:textId="77777777" w:rsidR="00C34A4E" w:rsidRPr="00A83C94" w:rsidRDefault="00C34A4E" w:rsidP="00733935">
            <w:pPr>
              <w:spacing w:before="0" w:line="276" w:lineRule="auto"/>
              <w:ind w:firstLine="0"/>
            </w:pPr>
            <w:r w:rsidRPr="00A83C94">
              <w:rPr>
                <w:b w:val="0"/>
                <w:noProof/>
                <w:lang w:val="en-US" w:eastAsia="en-US"/>
              </w:rPr>
              <w:drawing>
                <wp:inline distT="0" distB="0" distL="0" distR="0" wp14:anchorId="765BBF35" wp14:editId="38C35A4D">
                  <wp:extent cx="1866900" cy="27146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187" w:type="dxa"/>
            <w:tcBorders>
              <w:top w:val="single" w:sz="6" w:space="0" w:color="4472C4"/>
              <w:left w:val="single" w:sz="6" w:space="0" w:color="4472C4"/>
              <w:bottom w:val="single" w:sz="6" w:space="0" w:color="4472C4"/>
              <w:right w:val="single" w:sz="6" w:space="0" w:color="4472C4"/>
            </w:tcBorders>
            <w:hideMark/>
          </w:tcPr>
          <w:p w14:paraId="388836B6" w14:textId="77777777" w:rsidR="00C34A4E" w:rsidRPr="00A83C94" w:rsidRDefault="00C34A4E" w:rsidP="00733935">
            <w:pPr>
              <w:spacing w:before="0" w:line="276" w:lineRule="auto"/>
              <w:ind w:firstLine="0"/>
            </w:pPr>
            <w:r w:rsidRPr="00A83C94">
              <w:rPr>
                <w:b w:val="0"/>
                <w:noProof/>
                <w:lang w:val="en-US" w:eastAsia="en-US"/>
              </w:rPr>
              <w:drawing>
                <wp:inline distT="0" distB="0" distL="0" distR="0" wp14:anchorId="396C142A" wp14:editId="024E6115">
                  <wp:extent cx="1866900" cy="27527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2AC78AD3" w14:textId="77777777" w:rsidR="00C34A4E" w:rsidRPr="00A83C94" w:rsidRDefault="00C34A4E" w:rsidP="00C34A4E">
      <w:pPr>
        <w:keepNext/>
        <w:keepLines/>
        <w:spacing w:before="240" w:after="60" w:line="276" w:lineRule="auto"/>
        <w:ind w:firstLine="0"/>
        <w:outlineLvl w:val="2"/>
        <w:rPr>
          <w:bCs/>
          <w:sz w:val="24"/>
          <w:lang w:val="hy-AM" w:eastAsia="en-US"/>
        </w:rPr>
      </w:pPr>
      <w:r w:rsidRPr="00A83C94">
        <w:rPr>
          <w:bCs/>
          <w:sz w:val="28"/>
          <w:szCs w:val="28"/>
          <w:lang w:val="hy-AM"/>
        </w:rPr>
        <w:br w:type="page"/>
      </w:r>
      <w:bookmarkStart w:id="119" w:name="_Toc57559414"/>
      <w:bookmarkStart w:id="120" w:name="_Toc83663896"/>
      <w:bookmarkStart w:id="121" w:name="_Toc83996342"/>
      <w:bookmarkStart w:id="122" w:name="_Toc45705389"/>
      <w:bookmarkEnd w:id="117"/>
      <w:bookmarkEnd w:id="118"/>
      <w:r w:rsidRPr="00A83C94">
        <w:rPr>
          <w:bCs/>
          <w:sz w:val="24"/>
          <w:lang w:val="hy-AM" w:eastAsia="en-US"/>
        </w:rPr>
        <w:t>1.3. ՀՀ ՄԱԿՐՈՏՆՏԵՍԱԿԱՆ ԶԱՐԳԱՑՈՒՄՆԵՐ ԵՎ ԿԱՆԽԱՏԵՍՈՒՄՆԵՐ</w:t>
      </w:r>
      <w:bookmarkEnd w:id="119"/>
      <w:bookmarkEnd w:id="120"/>
      <w:bookmarkEnd w:id="121"/>
    </w:p>
    <w:p w14:paraId="44257F71"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bookmarkStart w:id="123" w:name="_Toc45705385"/>
      <w:bookmarkStart w:id="124" w:name="_Toc51360523"/>
      <w:r w:rsidRPr="00A83C94">
        <w:rPr>
          <w:rFonts w:eastAsia="Calibri"/>
          <w:bCs/>
          <w:sz w:val="24"/>
          <w:lang w:val="hy-AM" w:eastAsia="en-US"/>
        </w:rPr>
        <w:t>1.3.1. ՀՆԱ և տնտեսական աճ</w:t>
      </w:r>
      <w:bookmarkEnd w:id="123"/>
      <w:bookmarkEnd w:id="124"/>
    </w:p>
    <w:p w14:paraId="6D96F421" w14:textId="77777777" w:rsidR="00C34A4E" w:rsidRPr="00A83C94" w:rsidRDefault="00C34A4E" w:rsidP="00C34A4E">
      <w:pPr>
        <w:spacing w:before="40" w:after="60" w:line="276" w:lineRule="auto"/>
        <w:ind w:firstLine="634"/>
        <w:contextualSpacing w:val="0"/>
        <w:rPr>
          <w:rFonts w:cs="Sylfaen"/>
          <w:b w:val="0"/>
          <w:bCs/>
          <w:szCs w:val="22"/>
          <w:lang w:val="hy-AM" w:eastAsia="en-US"/>
        </w:rPr>
      </w:pPr>
      <w:r w:rsidRPr="00A83C94">
        <w:rPr>
          <w:rFonts w:cs="Sylfaen"/>
          <w:bCs/>
          <w:szCs w:val="22"/>
          <w:lang w:val="hy-AM" w:eastAsia="en-US"/>
        </w:rPr>
        <w:t xml:space="preserve">2020թ. Համավարակի և Արցախյան պատերազմի բացասական ազդեցություններով պայմանավորված գրանցվեց 7.4% տնտեսական անկում: </w:t>
      </w:r>
      <w:r w:rsidRPr="00A83C94">
        <w:rPr>
          <w:rFonts w:cs="Sylfaen"/>
          <w:b w:val="0"/>
          <w:bCs/>
          <w:szCs w:val="22"/>
          <w:lang w:val="hy-AM" w:eastAsia="en-US"/>
        </w:rPr>
        <w:t xml:space="preserve">Նվազեցին տնտեսության բոլոր ճյուղերը, սակայն տնտեսական անկմանը հիմնականում նպաստեց ծառայությունների ճյուղը։ Պահանջարկի տեսանկյունից տնտեսական անկումը պայմանավորեցին ներքին պահանջարկի (հատկապես՝ մասնավոր սպառման) և արտահանման նվազումները։ </w:t>
      </w:r>
    </w:p>
    <w:p w14:paraId="53208D46" w14:textId="77777777" w:rsidR="00C34A4E" w:rsidRPr="00A83C94" w:rsidRDefault="00C34A4E" w:rsidP="00C34A4E">
      <w:pPr>
        <w:spacing w:before="40" w:after="120" w:line="276" w:lineRule="auto"/>
        <w:ind w:firstLine="634"/>
        <w:contextualSpacing w:val="0"/>
        <w:rPr>
          <w:rFonts w:cs="Sylfaen"/>
          <w:b w:val="0"/>
          <w:szCs w:val="22"/>
          <w:lang w:val="hy-AM" w:eastAsia="en-US"/>
        </w:rPr>
      </w:pPr>
      <w:r w:rsidRPr="00A83C94">
        <w:rPr>
          <w:rFonts w:cs="Sylfaen"/>
          <w:szCs w:val="22"/>
          <w:lang w:val="hy-AM" w:eastAsia="en-US"/>
        </w:rPr>
        <w:t xml:space="preserve">2021թ. առաջին եռամսյակում տնտեսության անկման տեմպերը դանդաղեցին,  կիսամյակում տնտեսական աճի տեմպը վերականգնվեց և գրանցվեց 5.0% տնտեսական աճ։ </w:t>
      </w:r>
      <w:r w:rsidRPr="00A83C94">
        <w:rPr>
          <w:rFonts w:cs="Sylfaen"/>
          <w:b w:val="0"/>
          <w:szCs w:val="22"/>
          <w:lang w:val="hy-AM" w:eastAsia="en-US"/>
        </w:rPr>
        <w:t>Տնտեսության բոլոր ճյուղերն աճեցին, սակայն տնտեսական աճը պայմանավորվեց հիմնականում ծառայությունների աճով (նպաստումը՝ 3.1 տոկոսային կետ)։</w:t>
      </w:r>
    </w:p>
    <w:tbl>
      <w:tblPr>
        <w:tblW w:w="0" w:type="auto"/>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4845"/>
        <w:gridCol w:w="4901"/>
      </w:tblGrid>
      <w:tr w:rsidR="00C34A4E" w:rsidRPr="00813A99" w14:paraId="472F1C72" w14:textId="77777777" w:rsidTr="00733935">
        <w:trPr>
          <w:trHeight w:val="3430"/>
          <w:jc w:val="center"/>
        </w:trPr>
        <w:tc>
          <w:tcPr>
            <w:tcW w:w="4963" w:type="dxa"/>
          </w:tcPr>
          <w:p w14:paraId="22D896DD" w14:textId="77777777" w:rsidR="00C34A4E" w:rsidRPr="00A83C94" w:rsidRDefault="00C34A4E" w:rsidP="00733935">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1.8. ՀՆԱ աճ (%) և ճյուղերի նպաստում- ները ՀՆԱ աճին (տ.կ.)</w:t>
            </w:r>
          </w:p>
          <w:p w14:paraId="6A206D5B" w14:textId="77777777" w:rsidR="00C34A4E" w:rsidRPr="00A83C94" w:rsidRDefault="00C34A4E" w:rsidP="00733935">
            <w:pPr>
              <w:spacing w:before="0" w:line="276" w:lineRule="auto"/>
              <w:ind w:firstLine="29"/>
              <w:contextualSpacing w:val="0"/>
              <w:jc w:val="left"/>
              <w:rPr>
                <w:rFonts w:ascii="Times New Roman" w:hAnsi="Times New Roman"/>
                <w:b w:val="0"/>
                <w:sz w:val="24"/>
                <w:lang w:val="en-US" w:eastAsia="en-US"/>
              </w:rPr>
            </w:pPr>
            <w:r w:rsidRPr="00A83C94">
              <w:rPr>
                <w:rFonts w:ascii="Times New Roman" w:hAnsi="Times New Roman"/>
                <w:b w:val="0"/>
                <w:noProof/>
                <w:color w:val="1F4E79"/>
                <w:sz w:val="24"/>
                <w:lang w:val="en-US" w:eastAsia="en-US"/>
              </w:rPr>
              <w:drawing>
                <wp:inline distT="0" distB="0" distL="0" distR="0" wp14:anchorId="13EF2398" wp14:editId="58354434">
                  <wp:extent cx="2904134" cy="1675181"/>
                  <wp:effectExtent l="0" t="0" r="10795" b="20320"/>
                  <wp:docPr id="2073" name="Chart 2073">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102A6D" w14:textId="77777777" w:rsidR="00C34A4E" w:rsidRPr="00A83C94" w:rsidRDefault="00C34A4E" w:rsidP="00733935">
            <w:pPr>
              <w:spacing w:before="0" w:line="276" w:lineRule="auto"/>
              <w:ind w:firstLine="0"/>
              <w:jc w:val="left"/>
              <w:rPr>
                <w:b w:val="0"/>
                <w:i/>
                <w:sz w:val="16"/>
                <w:szCs w:val="16"/>
                <w:lang w:val="hy-AM" w:eastAsia="en-US"/>
              </w:rPr>
            </w:pPr>
            <w:r w:rsidRPr="00A83C94">
              <w:rPr>
                <w:rFonts w:eastAsia="Calibri"/>
                <w:b w:val="0"/>
                <w:i/>
                <w:sz w:val="16"/>
                <w:szCs w:val="16"/>
                <w:lang w:val="hy-AM"/>
              </w:rPr>
              <w:t>Աղբյուրը՝ ՀՀ ՎԿ, ՀՀ ՖՆ հաշվարկներ</w:t>
            </w:r>
            <w:r w:rsidRPr="00A83C94">
              <w:rPr>
                <w:b w:val="0"/>
                <w:i/>
                <w:sz w:val="18"/>
                <w:szCs w:val="16"/>
                <w:lang w:val="hy-AM" w:eastAsia="en-US"/>
              </w:rPr>
              <w:t xml:space="preserve"> </w:t>
            </w:r>
          </w:p>
        </w:tc>
        <w:tc>
          <w:tcPr>
            <w:tcW w:w="4963" w:type="dxa"/>
          </w:tcPr>
          <w:p w14:paraId="7C3886CA" w14:textId="77777777" w:rsidR="00C34A4E" w:rsidRPr="00A83C94" w:rsidRDefault="00C34A4E" w:rsidP="00733935">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1.9. ՀՆԱ աճ (%) և պահանջարկի բաղա- դրիչների նպաստումները ՀՆԱ աճին (տ.կ.)</w:t>
            </w:r>
          </w:p>
          <w:p w14:paraId="1F97E281" w14:textId="77777777" w:rsidR="00C34A4E" w:rsidRPr="00A83C94" w:rsidRDefault="00C34A4E" w:rsidP="00733935">
            <w:pPr>
              <w:spacing w:before="0" w:line="276" w:lineRule="auto"/>
              <w:ind w:firstLine="0"/>
              <w:rPr>
                <w:i/>
                <w:noProof/>
                <w:szCs w:val="22"/>
                <w:lang w:val="hy-AM" w:eastAsia="en-US"/>
              </w:rPr>
            </w:pPr>
            <w:r w:rsidRPr="00A83C94">
              <w:rPr>
                <w:i/>
                <w:noProof/>
                <w:color w:val="1F4E79"/>
                <w:szCs w:val="22"/>
                <w:lang w:val="en-US" w:eastAsia="en-US"/>
              </w:rPr>
              <w:drawing>
                <wp:inline distT="0" distB="0" distL="0" distR="0" wp14:anchorId="0E866266" wp14:editId="54799EEC">
                  <wp:extent cx="2962275" cy="1698984"/>
                  <wp:effectExtent l="0" t="0" r="9525" b="15875"/>
                  <wp:docPr id="2074" name="Chart 2074">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D930BA" w14:textId="77777777" w:rsidR="00C34A4E" w:rsidRPr="00A83C94" w:rsidRDefault="00C34A4E" w:rsidP="00733935">
            <w:pPr>
              <w:spacing w:before="40" w:line="276" w:lineRule="auto"/>
              <w:ind w:firstLine="0"/>
              <w:contextualSpacing w:val="0"/>
              <w:jc w:val="left"/>
              <w:rPr>
                <w:b w:val="0"/>
                <w:i/>
                <w:sz w:val="16"/>
                <w:szCs w:val="16"/>
                <w:lang w:val="hy-AM" w:eastAsia="en-US"/>
              </w:rPr>
            </w:pPr>
            <w:r w:rsidRPr="00A83C94">
              <w:rPr>
                <w:rFonts w:eastAsia="Calibri"/>
                <w:b w:val="0"/>
                <w:i/>
                <w:sz w:val="16"/>
                <w:szCs w:val="16"/>
                <w:lang w:val="hy-AM"/>
              </w:rPr>
              <w:t>Աղբյուրը՝ ՀՀ ՎԿ, ՀՀ ՖՆ հաշվարկներ</w:t>
            </w:r>
          </w:p>
        </w:tc>
      </w:tr>
    </w:tbl>
    <w:p w14:paraId="75632930" w14:textId="77777777" w:rsidR="00C34A4E" w:rsidRPr="00A83C94" w:rsidRDefault="00C34A4E" w:rsidP="00C34A4E">
      <w:pPr>
        <w:spacing w:after="120" w:line="276" w:lineRule="auto"/>
        <w:ind w:firstLine="634"/>
        <w:contextualSpacing w:val="0"/>
        <w:rPr>
          <w:rFonts w:cs="Sylfaen"/>
          <w:b w:val="0"/>
          <w:szCs w:val="22"/>
          <w:lang w:val="hy-AM" w:eastAsia="en-US"/>
        </w:rPr>
      </w:pPr>
    </w:p>
    <w:p w14:paraId="7830063A" w14:textId="77777777" w:rsidR="00C34A4E" w:rsidRPr="00A83C94" w:rsidRDefault="00C34A4E" w:rsidP="00C34A4E">
      <w:pPr>
        <w:spacing w:after="120" w:line="276" w:lineRule="auto"/>
        <w:ind w:firstLine="634"/>
        <w:contextualSpacing w:val="0"/>
        <w:rPr>
          <w:rFonts w:cs="Sylfaen"/>
          <w:b w:val="0"/>
          <w:szCs w:val="22"/>
          <w:lang w:val="hy-AM" w:eastAsia="en-US"/>
        </w:rPr>
      </w:pPr>
      <w:r w:rsidRPr="00A83C94">
        <w:rPr>
          <w:rFonts w:cs="Sylfaen"/>
          <w:b w:val="0"/>
          <w:szCs w:val="22"/>
          <w:lang w:val="hy-AM" w:eastAsia="en-US"/>
        </w:rPr>
        <w:t xml:space="preserve">Հուլիս-օգոստոս ամիսներին </w:t>
      </w:r>
      <w:r w:rsidRPr="00A83C94">
        <w:rPr>
          <w:rFonts w:cs="Sylfaen"/>
          <w:b w:val="0"/>
          <w:bCs/>
          <w:szCs w:val="22"/>
          <w:lang w:val="hy-AM" w:eastAsia="en-US"/>
        </w:rPr>
        <w:t>տնտեսական ակտիվության աճը շարունակվեց և</w:t>
      </w:r>
      <w:r w:rsidRPr="00A83C94">
        <w:rPr>
          <w:rFonts w:cs="Sylfaen"/>
          <w:bCs/>
          <w:szCs w:val="22"/>
          <w:lang w:val="hy-AM" w:eastAsia="en-US"/>
        </w:rPr>
        <w:t xml:space="preserve"> </w:t>
      </w:r>
      <w:r w:rsidRPr="00A83C94">
        <w:rPr>
          <w:rFonts w:cs="Sylfaen"/>
          <w:b w:val="0"/>
          <w:bCs/>
          <w:szCs w:val="22"/>
          <w:lang w:val="hy-AM" w:eastAsia="en-US"/>
        </w:rPr>
        <w:t>ա</w:t>
      </w:r>
      <w:r w:rsidRPr="00A83C94">
        <w:rPr>
          <w:rFonts w:cs="Sylfaen"/>
          <w:b w:val="0"/>
          <w:szCs w:val="22"/>
          <w:lang w:val="hy-AM" w:eastAsia="en-US"/>
        </w:rPr>
        <w:t>րդյունքում</w:t>
      </w:r>
      <w:r w:rsidRPr="00A83C94">
        <w:rPr>
          <w:rFonts w:cs="Sylfaen"/>
          <w:bCs/>
          <w:szCs w:val="22"/>
          <w:lang w:val="hy-AM" w:eastAsia="en-US"/>
        </w:rPr>
        <w:t xml:space="preserve"> </w:t>
      </w:r>
      <w:r w:rsidRPr="00A83C94">
        <w:rPr>
          <w:rFonts w:cs="Sylfaen"/>
          <w:b w:val="0"/>
          <w:szCs w:val="22"/>
          <w:lang w:val="hy-AM" w:eastAsia="en-US"/>
        </w:rPr>
        <w:t>2021թ. հունվար-օգոստոսին արձանագրվեց տնտեսական ակտիվության (ՏԱՑ) 4.9% աճ, ինչը պայմանավորված էր հիմնականում ծառայությունների աճով (2.5 տոկոսային կետ</w:t>
      </w:r>
      <w:r w:rsidRPr="00A83C94">
        <w:rPr>
          <w:rFonts w:cs="Sylfaen"/>
          <w:b w:val="0"/>
          <w:szCs w:val="22"/>
          <w:vertAlign w:val="superscript"/>
          <w:lang w:eastAsia="en-US"/>
        </w:rPr>
        <w:footnoteReference w:id="6"/>
      </w:r>
      <w:r w:rsidRPr="00A83C94">
        <w:rPr>
          <w:rFonts w:cs="Sylfaen"/>
          <w:b w:val="0"/>
          <w:szCs w:val="22"/>
          <w:lang w:val="hy-AM" w:eastAsia="en-US"/>
        </w:rPr>
        <w:t>)։ Մյուս ճյուղերի համախառն թողարկումների իրական աճերը ևս նպաստեցին տնտեսական ակտիվությանը։</w:t>
      </w:r>
    </w:p>
    <w:tbl>
      <w:tblPr>
        <w:tblStyle w:val="TableGrid1250"/>
        <w:tblW w:w="0" w:type="auto"/>
        <w:jc w:val="center"/>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4928"/>
        <w:gridCol w:w="4812"/>
      </w:tblGrid>
      <w:tr w:rsidR="00C34A4E" w:rsidRPr="00A83C94" w14:paraId="068BC797" w14:textId="77777777" w:rsidTr="00733935">
        <w:trPr>
          <w:trHeight w:val="4129"/>
          <w:jc w:val="center"/>
        </w:trPr>
        <w:tc>
          <w:tcPr>
            <w:tcW w:w="5069" w:type="dxa"/>
            <w:shd w:val="clear" w:color="auto" w:fill="auto"/>
          </w:tcPr>
          <w:p w14:paraId="656BDF92" w14:textId="77777777" w:rsidR="00C34A4E" w:rsidRPr="00A83C94" w:rsidRDefault="00C34A4E" w:rsidP="00733935">
            <w:pPr>
              <w:spacing w:before="0" w:after="60" w:line="240" w:lineRule="auto"/>
              <w:ind w:firstLine="0"/>
              <w:contextualSpacing w:val="0"/>
              <w:rPr>
                <w:rFonts w:eastAsia="Calibri"/>
                <w:i/>
                <w:noProof/>
                <w:sz w:val="18"/>
                <w:szCs w:val="18"/>
                <w:lang w:val="hy-AM" w:eastAsia="en-US"/>
              </w:rPr>
            </w:pPr>
            <w:r w:rsidRPr="00A83C94">
              <w:rPr>
                <w:rFonts w:eastAsia="Calibri"/>
                <w:i/>
                <w:noProof/>
                <w:sz w:val="18"/>
                <w:szCs w:val="18"/>
                <w:lang w:val="hy-AM" w:eastAsia="en-US"/>
              </w:rPr>
              <w:t>Գծապատկեր 1.10. ՏԱՑ և տնտեսության ճյուղերի իրա- կան աճերը նախորդ տարվա նույն ժամանակահատ- վածի նկատմամբ (%)</w:t>
            </w:r>
          </w:p>
          <w:p w14:paraId="766CD1A8" w14:textId="77777777" w:rsidR="00C34A4E" w:rsidRPr="00A83C94" w:rsidRDefault="00C34A4E" w:rsidP="00733935">
            <w:pPr>
              <w:spacing w:before="0" w:line="276" w:lineRule="auto"/>
              <w:ind w:firstLine="0"/>
              <w:rPr>
                <w:rFonts w:eastAsia="Calibri"/>
                <w:i/>
                <w:noProof/>
                <w:szCs w:val="22"/>
                <w:lang w:val="hy-AM" w:eastAsia="en-US"/>
              </w:rPr>
            </w:pPr>
            <w:r w:rsidRPr="00A83C94">
              <w:rPr>
                <w:rFonts w:eastAsia="Calibri"/>
                <w:i/>
                <w:noProof/>
                <w:szCs w:val="22"/>
                <w:lang w:val="en-US" w:eastAsia="en-US"/>
              </w:rPr>
              <w:drawing>
                <wp:inline distT="0" distB="0" distL="0" distR="0" wp14:anchorId="58D2A298" wp14:editId="23B47969">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7B41045" w14:textId="77777777" w:rsidR="00C34A4E" w:rsidRPr="00A83C94" w:rsidRDefault="00C34A4E" w:rsidP="00733935">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w:t>
            </w:r>
          </w:p>
        </w:tc>
        <w:tc>
          <w:tcPr>
            <w:tcW w:w="4949" w:type="dxa"/>
          </w:tcPr>
          <w:p w14:paraId="61E0F2D1" w14:textId="77777777" w:rsidR="00C34A4E" w:rsidRPr="00A83C94" w:rsidRDefault="00C34A4E" w:rsidP="00733935">
            <w:pPr>
              <w:spacing w:before="0" w:line="240" w:lineRule="auto"/>
              <w:ind w:firstLine="0"/>
              <w:rPr>
                <w:rFonts w:eastAsia="Calibri"/>
                <w:i/>
                <w:noProof/>
                <w:szCs w:val="22"/>
                <w:lang w:val="hy-AM" w:eastAsia="en-US"/>
              </w:rPr>
            </w:pPr>
            <w:r w:rsidRPr="00A83C94">
              <w:rPr>
                <w:rFonts w:eastAsia="Calibri"/>
                <w:i/>
                <w:noProof/>
                <w:sz w:val="18"/>
                <w:szCs w:val="18"/>
                <w:lang w:val="en-US" w:eastAsia="en-US"/>
              </w:rPr>
              <w:drawing>
                <wp:anchor distT="0" distB="0" distL="114300" distR="114300" simplePos="0" relativeHeight="251871232" behindDoc="1" locked="0" layoutInCell="1" allowOverlap="1" wp14:anchorId="5DA282F7" wp14:editId="3E87250F">
                  <wp:simplePos x="0" y="0"/>
                  <wp:positionH relativeFrom="column">
                    <wp:posOffset>-3810</wp:posOffset>
                  </wp:positionH>
                  <wp:positionV relativeFrom="paragraph">
                    <wp:posOffset>502920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A83C94">
              <w:rPr>
                <w:rFonts w:eastAsia="Calibri"/>
                <w:i/>
                <w:noProof/>
                <w:sz w:val="18"/>
                <w:szCs w:val="18"/>
                <w:lang w:val="hy-AM" w:eastAsia="en-US"/>
              </w:rPr>
              <w:t>Գծապատկեր 1.11. ՏԱՑ և տնտեսության ճյուղերի իրական աճերը նախորդ տարվա նույն ամսվա նկատ- մամբ (%)</w:t>
            </w:r>
          </w:p>
          <w:p w14:paraId="0DD02E45" w14:textId="77777777" w:rsidR="00C34A4E" w:rsidRPr="00A83C94" w:rsidRDefault="00C34A4E" w:rsidP="00733935">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w:t>
            </w:r>
            <w:r w:rsidRPr="00A83C94" w:rsidDel="00DA0563">
              <w:rPr>
                <w:rFonts w:eastAsia="Calibri"/>
                <w:b w:val="0"/>
                <w:i/>
                <w:sz w:val="18"/>
                <w:szCs w:val="16"/>
                <w:lang w:val="hy-AM" w:eastAsia="en-US"/>
              </w:rPr>
              <w:t xml:space="preserve"> </w:t>
            </w:r>
          </w:p>
        </w:tc>
      </w:tr>
      <w:tr w:rsidR="00C34A4E" w:rsidRPr="00813A99" w14:paraId="5D31CCA3" w14:textId="77777777" w:rsidTr="00733935">
        <w:trPr>
          <w:trHeight w:val="411"/>
          <w:jc w:val="center"/>
        </w:trPr>
        <w:tc>
          <w:tcPr>
            <w:tcW w:w="5069" w:type="dxa"/>
          </w:tcPr>
          <w:p w14:paraId="3B749A03" w14:textId="77777777" w:rsidR="00C34A4E" w:rsidRPr="00A83C94" w:rsidRDefault="00C34A4E" w:rsidP="00733935">
            <w:pPr>
              <w:spacing w:before="0" w:after="60" w:line="240" w:lineRule="auto"/>
              <w:ind w:firstLine="0"/>
              <w:contextualSpacing w:val="0"/>
              <w:jc w:val="left"/>
              <w:rPr>
                <w:rFonts w:eastAsia="Calibri"/>
                <w:i/>
                <w:noProof/>
                <w:szCs w:val="22"/>
                <w:lang w:val="hy-AM" w:eastAsia="en-US"/>
              </w:rPr>
            </w:pPr>
            <w:r w:rsidRPr="00A83C94">
              <w:rPr>
                <w:rFonts w:eastAsia="Calibri"/>
                <w:i/>
                <w:noProof/>
                <w:sz w:val="18"/>
                <w:szCs w:val="18"/>
                <w:lang w:val="hy-AM" w:eastAsia="en-US"/>
              </w:rPr>
              <w:t>Գծապատկեր 1.12. Տնտեսության ճյուղերի նպաստում- ները ՏԱՑ-ին (տ.կ.)</w:t>
            </w:r>
            <w:r w:rsidRPr="00A83C94">
              <w:rPr>
                <w:rFonts w:eastAsia="Calibri"/>
                <w:i/>
                <w:noProof/>
                <w:szCs w:val="22"/>
                <w:lang w:val="hy-AM" w:eastAsia="en-US"/>
              </w:rPr>
              <w:t xml:space="preserve"> </w:t>
            </w:r>
            <w:r w:rsidRPr="00A83C94">
              <w:rPr>
                <w:rFonts w:eastAsia="Calibri"/>
                <w:i/>
                <w:noProof/>
                <w:szCs w:val="22"/>
                <w:lang w:val="en-US" w:eastAsia="en-US"/>
              </w:rPr>
              <w:drawing>
                <wp:inline distT="0" distB="0" distL="0" distR="0" wp14:anchorId="61A5766E" wp14:editId="23BD4CD4">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453ABD" w14:textId="77777777" w:rsidR="00C34A4E" w:rsidRPr="00A83C94" w:rsidRDefault="00C34A4E" w:rsidP="00733935">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 ՀՀ ՖՆ հաշվարկներ</w:t>
            </w:r>
            <w:r w:rsidRPr="00A83C94">
              <w:rPr>
                <w:rFonts w:eastAsia="Calibri"/>
                <w:b w:val="0"/>
                <w:i/>
                <w:sz w:val="18"/>
                <w:szCs w:val="16"/>
                <w:lang w:val="hy-AM" w:eastAsia="en-US"/>
              </w:rPr>
              <w:t xml:space="preserve"> </w:t>
            </w:r>
          </w:p>
        </w:tc>
        <w:tc>
          <w:tcPr>
            <w:tcW w:w="4949" w:type="dxa"/>
          </w:tcPr>
          <w:p w14:paraId="11EB0961" w14:textId="77777777" w:rsidR="00C34A4E" w:rsidRPr="00A83C94" w:rsidRDefault="00C34A4E" w:rsidP="00733935">
            <w:pPr>
              <w:spacing w:before="0" w:line="240" w:lineRule="auto"/>
              <w:ind w:firstLine="0"/>
              <w:contextualSpacing w:val="0"/>
              <w:rPr>
                <w:rFonts w:eastAsia="Calibri"/>
                <w:i/>
                <w:noProof/>
                <w:sz w:val="18"/>
                <w:szCs w:val="18"/>
                <w:lang w:val="hy-AM" w:eastAsia="en-US"/>
              </w:rPr>
            </w:pPr>
            <w:r w:rsidRPr="00A83C94">
              <w:rPr>
                <w:rFonts w:eastAsia="Calibri"/>
                <w:i/>
                <w:noProof/>
                <w:sz w:val="18"/>
                <w:szCs w:val="18"/>
                <w:lang w:val="hy-AM" w:eastAsia="en-US"/>
              </w:rPr>
              <w:t>Գծապատկեր 1.13. Տնտեսության ճյուղերի նպաս-տումները ՏԱՑ-ին նախորդ տարվա նույն ամսվա նկատմամբ (տ.կ.)</w:t>
            </w:r>
          </w:p>
          <w:p w14:paraId="00D381DF" w14:textId="77777777" w:rsidR="00C34A4E" w:rsidRPr="00A83C94" w:rsidRDefault="00C34A4E" w:rsidP="00733935">
            <w:pPr>
              <w:spacing w:before="0" w:line="276" w:lineRule="auto"/>
              <w:ind w:firstLine="0"/>
              <w:rPr>
                <w:rFonts w:eastAsia="Calibri"/>
                <w:i/>
                <w:noProof/>
                <w:szCs w:val="22"/>
                <w:lang w:val="hy-AM" w:eastAsia="en-US"/>
              </w:rPr>
            </w:pPr>
            <w:r w:rsidRPr="00A83C94">
              <w:rPr>
                <w:rFonts w:eastAsia="Calibri"/>
                <w:i/>
                <w:noProof/>
                <w:szCs w:val="22"/>
                <w:lang w:val="en-US" w:eastAsia="en-US"/>
              </w:rPr>
              <w:drawing>
                <wp:inline distT="0" distB="0" distL="0" distR="0" wp14:anchorId="303925F3" wp14:editId="1B71B951">
                  <wp:extent cx="2941983" cy="1983740"/>
                  <wp:effectExtent l="0" t="0" r="10795" b="1651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29F1E5" w14:textId="77777777" w:rsidR="00C34A4E" w:rsidRPr="00A83C94" w:rsidRDefault="00C34A4E" w:rsidP="00733935">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 ՀՀ ՖՆ հաշվարկներ</w:t>
            </w:r>
          </w:p>
        </w:tc>
      </w:tr>
    </w:tbl>
    <w:p w14:paraId="5A84647A" w14:textId="77777777" w:rsidR="00C34A4E" w:rsidRPr="00A83C94" w:rsidRDefault="00C34A4E" w:rsidP="00C34A4E">
      <w:pPr>
        <w:spacing w:after="120" w:line="276" w:lineRule="auto"/>
        <w:ind w:firstLine="533"/>
        <w:contextualSpacing w:val="0"/>
        <w:rPr>
          <w:rFonts w:eastAsia="Calibri" w:cs="Sylfaen"/>
          <w:szCs w:val="22"/>
          <w:lang w:val="hy-AM" w:eastAsia="en-US"/>
        </w:rPr>
      </w:pPr>
      <w:r w:rsidRPr="00A83C94">
        <w:rPr>
          <w:rFonts w:eastAsia="Calibri" w:cs="Sylfaen"/>
          <w:bCs/>
          <w:szCs w:val="22"/>
          <w:lang w:val="hy-AM" w:eastAsia="en-US"/>
        </w:rPr>
        <w:t xml:space="preserve">2021թ. առաջին կիսամյակում </w:t>
      </w:r>
      <w:r w:rsidRPr="00A83C94">
        <w:rPr>
          <w:rFonts w:cs="Sylfaen"/>
          <w:bCs/>
          <w:noProof/>
          <w:szCs w:val="22"/>
          <w:lang w:val="hy-AM" w:eastAsia="en-US"/>
        </w:rPr>
        <w:t xml:space="preserve">վերականգնվեց նաև ներքին պահանջարկի աճը։ </w:t>
      </w:r>
      <w:r w:rsidRPr="00A83C94">
        <w:rPr>
          <w:rFonts w:cs="Sylfaen"/>
          <w:b w:val="0"/>
          <w:bCs/>
          <w:noProof/>
          <w:szCs w:val="22"/>
          <w:lang w:val="hy-AM" w:eastAsia="en-US"/>
        </w:rPr>
        <w:t>Ներքին</w:t>
      </w:r>
      <w:r w:rsidRPr="00A83C94">
        <w:rPr>
          <w:rFonts w:cs="Sylfaen"/>
          <w:bCs/>
          <w:noProof/>
          <w:szCs w:val="22"/>
          <w:lang w:val="hy-AM" w:eastAsia="en-US"/>
        </w:rPr>
        <w:t xml:space="preserve"> </w:t>
      </w:r>
      <w:r w:rsidRPr="00A83C94">
        <w:rPr>
          <w:rFonts w:cs="Sylfaen"/>
          <w:b w:val="0"/>
          <w:bCs/>
          <w:noProof/>
          <w:szCs w:val="22"/>
          <w:lang w:val="hy-AM" w:eastAsia="en-US"/>
        </w:rPr>
        <w:t xml:space="preserve">պահանջարկի աճը պայմանավորվեց հիմնականում վերջնական սպառման աճով, որի մեջ էական դեր խաղաց մասնավոր սպառման աճը։ </w:t>
      </w:r>
      <w:r w:rsidRPr="00A83C94">
        <w:rPr>
          <w:rFonts w:cs="Sylfaen"/>
          <w:b w:val="0"/>
          <w:noProof/>
          <w:szCs w:val="22"/>
          <w:lang w:val="hy-AM" w:eastAsia="en-US"/>
        </w:rPr>
        <w:t>Կ</w:t>
      </w:r>
      <w:r w:rsidRPr="00A83C94">
        <w:rPr>
          <w:rFonts w:eastAsia="Calibri" w:cs="Sylfaen"/>
          <w:b w:val="0"/>
          <w:szCs w:val="22"/>
          <w:lang w:val="hy-AM" w:eastAsia="en-US"/>
        </w:rPr>
        <w:t>ապիտալ ներդրումները ևս աճեցին՝ պայմանավորված պետական ներդրումների աճով։ Մինչդեռ արտահանումը և ներմուծումը նվազեցին, ընդ որում արտահանման նվազումը ներմուծման նկատմամբ առաջանցիկ էր, որի արդյունքում զուտ արտահանումը բացասաբար նպաստեց ՀՆԱ-ի իրական աճին։ Տնտեսության ներքին պահանջարկի աճի միտումները շարունակվեցին նաև հուլիս-օգոստոս ամիսներին, մասնավորապես՝ սպառման աճի մասին են վկայում առևտրի և ծառայությունների աճերը, իսկ կապիտալ ներդրումների աճի մասին՝ շինարարության աճը։</w:t>
      </w:r>
      <w:r w:rsidRPr="00A83C94">
        <w:rPr>
          <w:rFonts w:eastAsia="Calibri" w:cs="Sylfaen"/>
          <w:szCs w:val="22"/>
          <w:lang w:val="hy-AM" w:eastAsia="en-US"/>
        </w:rPr>
        <w:t xml:space="preserve"> </w:t>
      </w:r>
    </w:p>
    <w:p w14:paraId="240F7F4D" w14:textId="77777777" w:rsidR="00C34A4E" w:rsidRPr="00A83C94" w:rsidRDefault="00C34A4E" w:rsidP="00C34A4E">
      <w:pPr>
        <w:spacing w:after="120" w:line="276" w:lineRule="auto"/>
        <w:ind w:firstLine="533"/>
        <w:contextualSpacing w:val="0"/>
        <w:rPr>
          <w:rFonts w:eastAsia="Calibri" w:cs="Sylfaen"/>
          <w:szCs w:val="22"/>
          <w:lang w:val="hy-AM" w:eastAsia="en-US"/>
        </w:rPr>
      </w:pPr>
    </w:p>
    <w:p w14:paraId="019384CB" w14:textId="77777777" w:rsidR="00C34A4E" w:rsidRPr="00A83C94" w:rsidRDefault="00C34A4E" w:rsidP="00C34A4E">
      <w:pPr>
        <w:spacing w:after="120" w:line="276" w:lineRule="auto"/>
        <w:ind w:firstLine="533"/>
        <w:contextualSpacing w:val="0"/>
        <w:rPr>
          <w:rFonts w:eastAsia="Calibri" w:cs="Sylfaen"/>
          <w:szCs w:val="22"/>
          <w:lang w:val="hy-AM" w:eastAsia="en-US"/>
        </w:rPr>
      </w:pPr>
    </w:p>
    <w:p w14:paraId="135A0EBB" w14:textId="77777777" w:rsidR="00C34A4E" w:rsidRPr="00A83C94" w:rsidRDefault="00C34A4E" w:rsidP="00C34A4E">
      <w:pPr>
        <w:spacing w:after="120" w:line="276" w:lineRule="auto"/>
        <w:ind w:firstLine="533"/>
        <w:contextualSpacing w:val="0"/>
        <w:rPr>
          <w:rFonts w:eastAsia="Calibri" w:cs="Sylfaen"/>
          <w:szCs w:val="22"/>
          <w:lang w:val="hy-AM" w:eastAsia="en-US"/>
        </w:rPr>
      </w:pPr>
    </w:p>
    <w:p w14:paraId="00F3CB25" w14:textId="77777777" w:rsidR="00C34A4E" w:rsidRPr="00A83C94" w:rsidRDefault="00C34A4E" w:rsidP="00C34A4E">
      <w:pPr>
        <w:spacing w:after="120" w:line="276" w:lineRule="auto"/>
        <w:ind w:firstLine="533"/>
        <w:contextualSpacing w:val="0"/>
        <w:rPr>
          <w:rFonts w:eastAsia="Calibri" w:cs="Sylfaen"/>
          <w:szCs w:val="22"/>
          <w:lang w:val="hy-AM" w:eastAsia="en-US"/>
        </w:rPr>
      </w:pPr>
    </w:p>
    <w:p w14:paraId="23C4F3B1" w14:textId="77777777" w:rsidR="00C34A4E" w:rsidRPr="00A83C94" w:rsidRDefault="00C34A4E" w:rsidP="00C34A4E">
      <w:pPr>
        <w:spacing w:after="120" w:line="276" w:lineRule="auto"/>
        <w:ind w:firstLine="533"/>
        <w:contextualSpacing w:val="0"/>
        <w:rPr>
          <w:rFonts w:eastAsia="Calibri" w:cs="Sylfaen"/>
          <w:szCs w:val="22"/>
          <w:lang w:val="hy-AM" w:eastAsia="en-US"/>
        </w:rPr>
      </w:pPr>
    </w:p>
    <w:tbl>
      <w:tblPr>
        <w:tblpPr w:leftFromText="180" w:rightFromText="180" w:vertAnchor="text" w:horzAnchor="margin" w:tblpX="-5" w:tblpY="126"/>
        <w:tblW w:w="9923" w:type="dxa"/>
        <w:shd w:val="clear" w:color="auto" w:fill="DEEAF6"/>
        <w:tblLayout w:type="fixed"/>
        <w:tblLook w:val="04A0" w:firstRow="1" w:lastRow="0" w:firstColumn="1" w:lastColumn="0" w:noHBand="0" w:noVBand="1"/>
      </w:tblPr>
      <w:tblGrid>
        <w:gridCol w:w="5868"/>
        <w:gridCol w:w="4055"/>
      </w:tblGrid>
      <w:tr w:rsidR="00C34A4E" w:rsidRPr="00813A99" w14:paraId="17BFFED0" w14:textId="77777777" w:rsidTr="00733935">
        <w:tc>
          <w:tcPr>
            <w:tcW w:w="9923" w:type="dxa"/>
            <w:gridSpan w:val="2"/>
            <w:shd w:val="clear" w:color="auto" w:fill="DEEAF6"/>
          </w:tcPr>
          <w:p w14:paraId="55C593B2" w14:textId="77777777" w:rsidR="00C34A4E" w:rsidRPr="00A83C94" w:rsidRDefault="00C34A4E" w:rsidP="00733935">
            <w:pPr>
              <w:keepNext/>
              <w:keepLines/>
              <w:spacing w:before="60" w:after="40" w:line="276" w:lineRule="auto"/>
              <w:ind w:firstLine="0"/>
              <w:contextualSpacing w:val="0"/>
              <w:jc w:val="left"/>
              <w:rPr>
                <w:i/>
                <w:szCs w:val="22"/>
                <w:lang w:val="hy-AM" w:eastAsia="en-US"/>
              </w:rPr>
            </w:pPr>
            <w:r w:rsidRPr="00A83C94">
              <w:rPr>
                <w:i/>
                <w:szCs w:val="22"/>
                <w:lang w:val="hy-AM" w:eastAsia="en-US"/>
              </w:rPr>
              <w:t xml:space="preserve">Ներդիր 1. Կորոնավիրուսային համավարակի </w:t>
            </w:r>
            <w:r w:rsidRPr="00A83C94">
              <w:rPr>
                <w:i/>
                <w:szCs w:val="22"/>
                <w:lang w:val="sk-SK" w:eastAsia="en-US"/>
              </w:rPr>
              <w:t>(COVID-19)</w:t>
            </w:r>
            <w:r w:rsidRPr="00A83C94">
              <w:rPr>
                <w:i/>
                <w:szCs w:val="22"/>
                <w:lang w:val="hy-AM" w:eastAsia="en-US"/>
              </w:rPr>
              <w:t xml:space="preserve"> զարգացման դինամիկան ՀՀ-ում</w:t>
            </w:r>
          </w:p>
        </w:tc>
      </w:tr>
      <w:tr w:rsidR="00C34A4E" w:rsidRPr="00813A99" w14:paraId="67A6D0E6" w14:textId="77777777" w:rsidTr="00733935">
        <w:tc>
          <w:tcPr>
            <w:tcW w:w="9923" w:type="dxa"/>
            <w:gridSpan w:val="2"/>
            <w:shd w:val="clear" w:color="auto" w:fill="DEEAF6"/>
          </w:tcPr>
          <w:p w14:paraId="3B9F41A9" w14:textId="77777777" w:rsidR="00C34A4E" w:rsidRPr="00A83C94" w:rsidRDefault="00C34A4E" w:rsidP="00733935">
            <w:pPr>
              <w:spacing w:before="0" w:line="276" w:lineRule="auto"/>
              <w:ind w:firstLine="0"/>
              <w:contextualSpacing w:val="0"/>
              <w:jc w:val="left"/>
              <w:rPr>
                <w:b w:val="0"/>
                <w:sz w:val="18"/>
                <w:szCs w:val="18"/>
                <w:lang w:val="hy-AM" w:eastAsia="en-US"/>
              </w:rPr>
            </w:pPr>
            <w:r w:rsidRPr="00A83C94">
              <w:rPr>
                <w:b w:val="0"/>
                <w:sz w:val="18"/>
                <w:szCs w:val="18"/>
                <w:lang w:val="hy-AM" w:eastAsia="en-US"/>
              </w:rPr>
              <w:t>ՀՀ-ում կորոնավիրուսի համավարակի տարածումը շարունակվեց նաև 2021թ.:</w:t>
            </w:r>
          </w:p>
        </w:tc>
      </w:tr>
      <w:tr w:rsidR="00C34A4E" w:rsidRPr="00A83C94" w14:paraId="2B9E813A" w14:textId="77777777" w:rsidTr="00733935">
        <w:tc>
          <w:tcPr>
            <w:tcW w:w="5868" w:type="dxa"/>
            <w:shd w:val="clear" w:color="auto" w:fill="DEEAF6"/>
          </w:tcPr>
          <w:p w14:paraId="05A905F6" w14:textId="77777777" w:rsidR="00C34A4E" w:rsidRPr="00A83C94" w:rsidRDefault="00C34A4E" w:rsidP="00733935">
            <w:pPr>
              <w:spacing w:before="0" w:line="276" w:lineRule="auto"/>
              <w:ind w:firstLine="0"/>
              <w:contextualSpacing w:val="0"/>
              <w:jc w:val="left"/>
              <w:rPr>
                <w:b w:val="0"/>
                <w:sz w:val="18"/>
                <w:szCs w:val="18"/>
                <w:lang w:val="hy-AM" w:eastAsia="en-US"/>
              </w:rPr>
            </w:pPr>
            <w:r w:rsidRPr="00A83C94">
              <w:rPr>
                <w:rFonts w:ascii="Arial Armenian" w:hAnsi="Arial Armenian"/>
                <w:noProof/>
                <w:sz w:val="24"/>
                <w:shd w:val="clear" w:color="auto" w:fill="D9D9D9"/>
                <w:lang w:val="en-US" w:eastAsia="en-US"/>
              </w:rPr>
              <w:drawing>
                <wp:inline distT="0" distB="0" distL="0" distR="0" wp14:anchorId="74DF0A53" wp14:editId="2B9C114F">
                  <wp:extent cx="3562184" cy="2209800"/>
                  <wp:effectExtent l="0" t="0" r="635" b="0"/>
                  <wp:docPr id="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567241" w14:textId="77777777" w:rsidR="00C34A4E" w:rsidRPr="00A83C94" w:rsidRDefault="00C34A4E" w:rsidP="00733935">
            <w:pPr>
              <w:spacing w:before="0" w:line="240" w:lineRule="auto"/>
              <w:ind w:firstLine="0"/>
              <w:contextualSpacing w:val="0"/>
              <w:jc w:val="left"/>
              <w:rPr>
                <w:b w:val="0"/>
                <w:sz w:val="18"/>
                <w:szCs w:val="18"/>
                <w:lang w:val="hy-AM" w:eastAsia="en-US"/>
              </w:rPr>
            </w:pPr>
            <w:r w:rsidRPr="00A83C94">
              <w:rPr>
                <w:b w:val="0"/>
                <w:i/>
                <w:sz w:val="18"/>
                <w:szCs w:val="18"/>
                <w:lang w:val="en-US" w:eastAsia="en-US"/>
              </w:rPr>
              <w:t>Աղբյուրը՝ ՀՀ առողջապահության նախարարություն</w:t>
            </w:r>
          </w:p>
        </w:tc>
        <w:tc>
          <w:tcPr>
            <w:tcW w:w="4055" w:type="dxa"/>
            <w:shd w:val="clear" w:color="auto" w:fill="DEEAF6"/>
          </w:tcPr>
          <w:p w14:paraId="4F69F0D1" w14:textId="77777777" w:rsidR="00C34A4E" w:rsidRPr="00A83C94" w:rsidRDefault="00C34A4E" w:rsidP="00733935">
            <w:pPr>
              <w:spacing w:before="0" w:line="276" w:lineRule="auto"/>
              <w:ind w:firstLine="0"/>
              <w:contextualSpacing w:val="0"/>
              <w:jc w:val="left"/>
              <w:rPr>
                <w:b w:val="0"/>
                <w:sz w:val="18"/>
                <w:szCs w:val="18"/>
                <w:lang w:val="hy-AM" w:eastAsia="en-US"/>
              </w:rPr>
            </w:pPr>
            <w:r w:rsidRPr="00A83C94">
              <w:rPr>
                <w:rFonts w:ascii="Arial Armenian" w:hAnsi="Arial Armenian"/>
                <w:noProof/>
                <w:color w:val="1F4E79"/>
                <w:sz w:val="24"/>
                <w:lang w:val="en-US" w:eastAsia="en-US"/>
              </w:rPr>
              <w:drawing>
                <wp:inline distT="0" distB="0" distL="0" distR="0" wp14:anchorId="1D50C09E" wp14:editId="3DFA3ABA">
                  <wp:extent cx="2472690" cy="2209800"/>
                  <wp:effectExtent l="0" t="0" r="3810" b="0"/>
                  <wp:docPr id="153" name="Chart 34">
                    <a:extLst xmlns:a="http://schemas.openxmlformats.org/drawingml/2006/main">
                      <a:ext uri="{FF2B5EF4-FFF2-40B4-BE49-F238E27FC236}">
                        <a16:creationId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486D86" w14:textId="77777777" w:rsidR="00C34A4E" w:rsidRPr="00A83C94" w:rsidRDefault="00C34A4E" w:rsidP="00733935">
            <w:pPr>
              <w:spacing w:before="0" w:line="276" w:lineRule="auto"/>
              <w:ind w:firstLine="0"/>
              <w:contextualSpacing w:val="0"/>
              <w:jc w:val="left"/>
              <w:rPr>
                <w:b w:val="0"/>
                <w:sz w:val="18"/>
                <w:szCs w:val="18"/>
                <w:lang w:val="hy-AM" w:eastAsia="en-US"/>
              </w:rPr>
            </w:pPr>
          </w:p>
        </w:tc>
      </w:tr>
      <w:tr w:rsidR="00C34A4E" w:rsidRPr="00813A99" w14:paraId="2B1EFDE5" w14:textId="77777777" w:rsidTr="00733935">
        <w:tc>
          <w:tcPr>
            <w:tcW w:w="9923" w:type="dxa"/>
            <w:gridSpan w:val="2"/>
            <w:shd w:val="clear" w:color="auto" w:fill="DEEAF6"/>
          </w:tcPr>
          <w:p w14:paraId="7AD055D9" w14:textId="77777777" w:rsidR="00C34A4E" w:rsidRPr="00A83C94" w:rsidRDefault="00C34A4E" w:rsidP="00733935">
            <w:pPr>
              <w:tabs>
                <w:tab w:val="right" w:pos="0"/>
              </w:tabs>
              <w:spacing w:before="60" w:after="60" w:line="276" w:lineRule="auto"/>
              <w:ind w:firstLine="187"/>
              <w:contextualSpacing w:val="0"/>
              <w:rPr>
                <w:rFonts w:cs="Sylfaen"/>
                <w:b w:val="0"/>
                <w:sz w:val="18"/>
                <w:szCs w:val="18"/>
                <w:lang w:val="hy-AM" w:eastAsia="en-US"/>
              </w:rPr>
            </w:pPr>
            <w:r w:rsidRPr="00A83C94">
              <w:rPr>
                <w:b w:val="0"/>
                <w:sz w:val="18"/>
                <w:szCs w:val="18"/>
                <w:lang w:val="hy-AM" w:eastAsia="en-US"/>
              </w:rPr>
              <w:t>2021-2025թթ</w:t>
            </w:r>
            <w:r w:rsidRPr="00A83C94">
              <w:rPr>
                <w:rFonts w:cs="Cambria Math"/>
                <w:b w:val="0"/>
                <w:sz w:val="18"/>
                <w:szCs w:val="18"/>
                <w:lang w:val="hy-AM" w:eastAsia="en-US"/>
              </w:rPr>
              <w:t>.</w:t>
            </w:r>
            <w:r w:rsidRPr="00A83C94">
              <w:rPr>
                <w:b w:val="0"/>
                <w:sz w:val="18"/>
                <w:szCs w:val="18"/>
                <w:lang w:val="hy-AM" w:eastAsia="en-US"/>
              </w:rPr>
              <w:t xml:space="preserve"> իմունականխարգելման ազգային ծրագրով նախատեսվում է </w:t>
            </w:r>
            <w:r w:rsidRPr="00A83C94">
              <w:rPr>
                <w:rFonts w:cs="Sylfaen"/>
                <w:b w:val="0"/>
                <w:sz w:val="18"/>
                <w:szCs w:val="18"/>
                <w:lang w:val="hy-AM" w:eastAsia="en-US"/>
              </w:rPr>
              <w:t>կորոնավիրուսային</w:t>
            </w:r>
            <w:r w:rsidRPr="00A83C94">
              <w:rPr>
                <w:b w:val="0"/>
                <w:sz w:val="18"/>
                <w:szCs w:val="18"/>
                <w:lang w:val="hy-AM" w:eastAsia="en-US"/>
              </w:rPr>
              <w:t xml:space="preserve"> </w:t>
            </w:r>
            <w:r w:rsidRPr="00A83C94">
              <w:rPr>
                <w:rFonts w:cs="Sylfaen"/>
                <w:b w:val="0"/>
                <w:sz w:val="18"/>
                <w:szCs w:val="18"/>
                <w:lang w:val="hy-AM" w:eastAsia="en-US"/>
              </w:rPr>
              <w:t>հիվանդության</w:t>
            </w:r>
            <w:r w:rsidRPr="00A83C94">
              <w:rPr>
                <w:b w:val="0"/>
                <w:sz w:val="18"/>
                <w:szCs w:val="18"/>
                <w:lang w:val="hy-AM" w:eastAsia="en-US"/>
              </w:rPr>
              <w:t xml:space="preserve"> (COVID-19) </w:t>
            </w:r>
            <w:r w:rsidRPr="00A83C94">
              <w:rPr>
                <w:rFonts w:cs="Sylfaen"/>
                <w:b w:val="0"/>
                <w:sz w:val="18"/>
                <w:szCs w:val="18"/>
                <w:lang w:val="hy-AM" w:eastAsia="en-US"/>
              </w:rPr>
              <w:t>համաճարակային</w:t>
            </w:r>
            <w:r w:rsidRPr="00A83C94">
              <w:rPr>
                <w:b w:val="0"/>
                <w:sz w:val="18"/>
                <w:szCs w:val="18"/>
                <w:lang w:val="hy-AM" w:eastAsia="en-US"/>
              </w:rPr>
              <w:t xml:space="preserve"> </w:t>
            </w:r>
            <w:r w:rsidRPr="00A83C94">
              <w:rPr>
                <w:rFonts w:cs="Sylfaen"/>
                <w:b w:val="0"/>
                <w:sz w:val="18"/>
                <w:szCs w:val="18"/>
                <w:lang w:val="hy-AM" w:eastAsia="en-US"/>
              </w:rPr>
              <w:t>իրավիճակի</w:t>
            </w:r>
            <w:r w:rsidRPr="00A83C94">
              <w:rPr>
                <w:b w:val="0"/>
                <w:sz w:val="18"/>
                <w:szCs w:val="18"/>
                <w:lang w:val="hy-AM" w:eastAsia="en-US"/>
              </w:rPr>
              <w:t xml:space="preserve"> </w:t>
            </w:r>
            <w:r w:rsidRPr="00A83C94">
              <w:rPr>
                <w:rFonts w:cs="Sylfaen"/>
                <w:b w:val="0"/>
                <w:sz w:val="18"/>
                <w:szCs w:val="18"/>
                <w:lang w:val="hy-AM" w:eastAsia="en-US"/>
              </w:rPr>
              <w:t>գնահատում</w:t>
            </w:r>
            <w:r w:rsidRPr="00A83C94">
              <w:rPr>
                <w:b w:val="0"/>
                <w:sz w:val="18"/>
                <w:szCs w:val="18"/>
                <w:lang w:val="hy-AM" w:eastAsia="en-US"/>
              </w:rPr>
              <w:t xml:space="preserve"> </w:t>
            </w:r>
            <w:r w:rsidRPr="00A83C94">
              <w:rPr>
                <w:rFonts w:cs="Sylfaen"/>
                <w:b w:val="0"/>
                <w:sz w:val="18"/>
                <w:szCs w:val="18"/>
                <w:lang w:val="hy-AM" w:eastAsia="en-US"/>
              </w:rPr>
              <w:t>և</w:t>
            </w:r>
            <w:r w:rsidRPr="00A83C94">
              <w:rPr>
                <w:b w:val="0"/>
                <w:sz w:val="18"/>
                <w:szCs w:val="18"/>
                <w:lang w:val="hy-AM" w:eastAsia="en-US"/>
              </w:rPr>
              <w:t xml:space="preserve"> </w:t>
            </w:r>
            <w:r w:rsidRPr="00A83C94">
              <w:rPr>
                <w:rFonts w:cs="Sylfaen"/>
                <w:b w:val="0"/>
                <w:sz w:val="18"/>
                <w:szCs w:val="18"/>
                <w:lang w:val="hy-AM" w:eastAsia="en-US"/>
              </w:rPr>
              <w:t>բնակչության</w:t>
            </w:r>
            <w:r w:rsidRPr="00A83C94">
              <w:rPr>
                <w:b w:val="0"/>
                <w:sz w:val="18"/>
                <w:szCs w:val="18"/>
                <w:lang w:val="hy-AM" w:eastAsia="en-US"/>
              </w:rPr>
              <w:t xml:space="preserve"> </w:t>
            </w:r>
            <w:r w:rsidRPr="00A83C94">
              <w:rPr>
                <w:rFonts w:cs="Sylfaen"/>
                <w:b w:val="0"/>
                <w:sz w:val="18"/>
                <w:szCs w:val="18"/>
                <w:lang w:val="hy-AM" w:eastAsia="en-US"/>
              </w:rPr>
              <w:t>ռիսկի</w:t>
            </w:r>
            <w:r w:rsidRPr="00A83C94">
              <w:rPr>
                <w:b w:val="0"/>
                <w:sz w:val="18"/>
                <w:szCs w:val="18"/>
                <w:lang w:val="hy-AM" w:eastAsia="en-US"/>
              </w:rPr>
              <w:t xml:space="preserve"> </w:t>
            </w:r>
            <w:r w:rsidRPr="00A83C94">
              <w:rPr>
                <w:rFonts w:cs="Sylfaen"/>
                <w:b w:val="0"/>
                <w:sz w:val="18"/>
                <w:szCs w:val="18"/>
                <w:lang w:val="hy-AM" w:eastAsia="en-US"/>
              </w:rPr>
              <w:t>խմբերի</w:t>
            </w:r>
            <w:r w:rsidRPr="00A83C94">
              <w:rPr>
                <w:b w:val="0"/>
                <w:sz w:val="18"/>
                <w:szCs w:val="18"/>
                <w:lang w:val="hy-AM" w:eastAsia="en-US"/>
              </w:rPr>
              <w:t xml:space="preserve"> </w:t>
            </w:r>
            <w:r w:rsidRPr="00A83C94">
              <w:rPr>
                <w:rFonts w:cs="Sylfaen"/>
                <w:b w:val="0"/>
                <w:sz w:val="18"/>
                <w:szCs w:val="18"/>
                <w:lang w:val="hy-AM" w:eastAsia="en-US"/>
              </w:rPr>
              <w:t>շրջանում</w:t>
            </w:r>
            <w:r w:rsidRPr="00A83C94">
              <w:rPr>
                <w:b w:val="0"/>
                <w:sz w:val="18"/>
                <w:szCs w:val="18"/>
                <w:lang w:val="hy-AM" w:eastAsia="en-US"/>
              </w:rPr>
              <w:t xml:space="preserve"> </w:t>
            </w:r>
            <w:r w:rsidRPr="00A83C94">
              <w:rPr>
                <w:rFonts w:cs="Sylfaen"/>
                <w:b w:val="0"/>
                <w:sz w:val="18"/>
                <w:szCs w:val="18"/>
                <w:lang w:val="hy-AM" w:eastAsia="en-US"/>
              </w:rPr>
              <w:t>համաճարակաբանական</w:t>
            </w:r>
            <w:r w:rsidRPr="00A83C94">
              <w:rPr>
                <w:b w:val="0"/>
                <w:sz w:val="18"/>
                <w:szCs w:val="18"/>
                <w:lang w:val="hy-AM" w:eastAsia="en-US"/>
              </w:rPr>
              <w:t xml:space="preserve"> </w:t>
            </w:r>
            <w:r w:rsidRPr="00A83C94">
              <w:rPr>
                <w:rFonts w:cs="Sylfaen"/>
                <w:b w:val="0"/>
                <w:sz w:val="18"/>
                <w:szCs w:val="18"/>
                <w:lang w:val="hy-AM" w:eastAsia="en-US"/>
              </w:rPr>
              <w:t>ցուցումով</w:t>
            </w:r>
            <w:r w:rsidRPr="00A83C94">
              <w:rPr>
                <w:b w:val="0"/>
                <w:sz w:val="18"/>
                <w:szCs w:val="18"/>
                <w:lang w:val="hy-AM" w:eastAsia="en-US"/>
              </w:rPr>
              <w:t xml:space="preserve"> </w:t>
            </w:r>
            <w:r w:rsidRPr="00A83C94">
              <w:rPr>
                <w:rFonts w:cs="Sylfaen"/>
                <w:b w:val="0"/>
                <w:sz w:val="18"/>
                <w:szCs w:val="18"/>
                <w:lang w:val="hy-AM" w:eastAsia="en-US"/>
              </w:rPr>
              <w:t>զանգվածային</w:t>
            </w:r>
            <w:r w:rsidRPr="00A83C94">
              <w:rPr>
                <w:b w:val="0"/>
                <w:sz w:val="18"/>
                <w:szCs w:val="18"/>
                <w:lang w:val="hy-AM" w:eastAsia="en-US"/>
              </w:rPr>
              <w:t xml:space="preserve"> </w:t>
            </w:r>
            <w:r w:rsidRPr="00A83C94">
              <w:rPr>
                <w:rFonts w:cs="Sylfaen"/>
                <w:b w:val="0"/>
                <w:sz w:val="18"/>
                <w:szCs w:val="18"/>
                <w:lang w:val="hy-AM" w:eastAsia="en-US"/>
              </w:rPr>
              <w:t>պատվաստումների</w:t>
            </w:r>
            <w:r w:rsidRPr="00A83C94">
              <w:rPr>
                <w:b w:val="0"/>
                <w:sz w:val="18"/>
                <w:szCs w:val="18"/>
                <w:lang w:val="hy-AM" w:eastAsia="en-US"/>
              </w:rPr>
              <w:t xml:space="preserve"> </w:t>
            </w:r>
            <w:r w:rsidRPr="00A83C94">
              <w:rPr>
                <w:rFonts w:cs="Sylfaen"/>
                <w:b w:val="0"/>
                <w:sz w:val="18"/>
                <w:szCs w:val="18"/>
                <w:lang w:val="hy-AM" w:eastAsia="en-US"/>
              </w:rPr>
              <w:t xml:space="preserve">իրականացում, որն արդեն իսկ մեկնարկել է, ինչի շրջանակներում՝ </w:t>
            </w:r>
          </w:p>
          <w:p w14:paraId="257A667C"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Մարտի 28-ին ՀՀ ներկրվել է «AstraZeneca» պատվաստանյութի առաջին խմբաքանակը</w:t>
            </w:r>
            <w:r w:rsidRPr="00A83C94">
              <w:rPr>
                <w:rFonts w:cs="Segoe UI Historic"/>
                <w:b w:val="0"/>
                <w:sz w:val="18"/>
                <w:szCs w:val="18"/>
                <w:lang w:val="hy-AM" w:eastAsia="en-US"/>
              </w:rPr>
              <w:t>` 24</w:t>
            </w:r>
            <w:r w:rsidRPr="00A83C94">
              <w:rPr>
                <w:rFonts w:eastAsia="Calibri" w:cs="Segoe UI Historic"/>
                <w:b w:val="0"/>
                <w:sz w:val="18"/>
                <w:szCs w:val="18"/>
                <w:lang w:val="hy-AM" w:eastAsia="en-US"/>
              </w:rPr>
              <w:t xml:space="preserve">000 դեղաչափ: Նախատեսված է եղել </w:t>
            </w:r>
            <w:r w:rsidRPr="00A83C94">
              <w:rPr>
                <w:rFonts w:cs="Segoe UI Historic"/>
                <w:b w:val="0"/>
                <w:sz w:val="18"/>
                <w:szCs w:val="18"/>
                <w:lang w:val="hy-AM" w:eastAsia="en-US"/>
              </w:rPr>
              <w:t>65 և բարձր տարիքի մարդկանց, բուժաշխատողների, 16-54տ</w:t>
            </w:r>
            <w:r w:rsidRPr="00A83C94">
              <w:rPr>
                <w:rFonts w:ascii="Cambria Math" w:eastAsia="MS Mincho" w:hAnsi="Cambria Math" w:cs="Cambria Math"/>
                <w:b w:val="0"/>
                <w:sz w:val="18"/>
                <w:szCs w:val="18"/>
                <w:lang w:val="hy-AM" w:eastAsia="en-US"/>
              </w:rPr>
              <w:t>․</w:t>
            </w:r>
            <w:r w:rsidRPr="00A83C94">
              <w:rPr>
                <w:rFonts w:cs="Segoe UI Historic"/>
                <w:b w:val="0"/>
                <w:sz w:val="18"/>
                <w:szCs w:val="18"/>
                <w:lang w:val="hy-AM" w:eastAsia="en-US"/>
              </w:rPr>
              <w:t xml:space="preserve"> քրոնիկ հիվանդների և սոցիալական խնամքի կենտրոնի աշխատողների պատվաստման համար։</w:t>
            </w:r>
          </w:p>
          <w:p w14:paraId="63BA783D"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Ապրիլի 8-ին ներկրվել է «Sputnik-V» պատվաստանյութի առաջին խմբաքանակը՝ 15000 դեղաչափ` 7500 անձի համար։</w:t>
            </w:r>
            <w:r w:rsidRPr="00A83C94">
              <w:rPr>
                <w:rFonts w:ascii="Calibri" w:eastAsia="Calibri" w:hAnsi="Calibri" w:cs="Calibri"/>
                <w:b w:val="0"/>
                <w:sz w:val="18"/>
                <w:szCs w:val="18"/>
                <w:lang w:val="hy-AM" w:eastAsia="en-US"/>
              </w:rPr>
              <w:t> </w:t>
            </w:r>
          </w:p>
          <w:p w14:paraId="03A3AA29"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Ապրիլի 26-ին ներկրվել է «Sputnik-V» պատվաստանյութի նոր խմբաքանակ` 14000 անձի համար, իսկ 1000 մարդու պատվաստման համար Ռուսաստանը նվիրել է լրացուցիչ 2000 միավոր դեղաչափ։</w:t>
            </w:r>
          </w:p>
          <w:p w14:paraId="38C38CE2"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Մայիսի 1-ին ներկրվել է ՉԺՀ կառավարության կողմից ՀՀ-ին որպես նվիրատվություն տրամադրված «Կորոնավակ» պատվաստանյութը` 100 հազար դեղաչափ` 50 հազար անձի համար: Պատվաստանյութով կարող են պատվաստվել 18-ից բարձր բոլոր քաղաքացիները` ըստ դիմելիության և կամավորության սկզբունքի։</w:t>
            </w:r>
          </w:p>
          <w:p w14:paraId="41009776"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Մայիսի 12-ին ներկրվել է 14000 երկրորդ դեղաչափ «Sputnik-V» պատվաստանյութ: Դրանք նախատեսված են եղել 18-54 տարեկան բուժաշխատողների, քրոնիկ հիվանդների, սոցիալական խնամքի կենտրոնների բնակիչների և աշխատակիցների համար: </w:t>
            </w:r>
          </w:p>
          <w:p w14:paraId="4EBF7025" w14:textId="77777777" w:rsidR="00C34A4E" w:rsidRPr="00A83C94" w:rsidRDefault="00C34A4E" w:rsidP="00733935">
            <w:pPr>
              <w:numPr>
                <w:ilvl w:val="0"/>
                <w:numId w:val="51"/>
              </w:numPr>
              <w:tabs>
                <w:tab w:val="right" w:pos="0"/>
                <w:tab w:val="left" w:pos="360"/>
                <w:tab w:val="left" w:pos="687"/>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Մայիսի 17-ին ներկրվել է «AstraZeneca» պատվաստանյութի երկրորդ խմբաքանակը` 50 հազար դեղաչափ:</w:t>
            </w:r>
            <w:r w:rsidRPr="00A83C94">
              <w:rPr>
                <w:rFonts w:eastAsia="Calibri" w:cs="Segoe UI Historic"/>
                <w:b w:val="0"/>
                <w:sz w:val="18"/>
                <w:szCs w:val="18"/>
                <w:lang w:val="hy-AM" w:eastAsia="en-US"/>
              </w:rPr>
              <w:t xml:space="preserve"> </w:t>
            </w:r>
            <w:r w:rsidRPr="00A83C94">
              <w:rPr>
                <w:rFonts w:cs="Segoe UI Historic"/>
                <w:b w:val="0"/>
                <w:sz w:val="18"/>
                <w:szCs w:val="18"/>
                <w:lang w:val="hy-AM" w:eastAsia="en-US"/>
              </w:rPr>
              <w:t xml:space="preserve">«AstraZeneca»-ով կարող են պատվաստվել ՀՀ 18 տարեկանից բարձր բոլոր քաղաքացիները, ինչպես նաև օտարերկրացիները: </w:t>
            </w:r>
          </w:p>
          <w:p w14:paraId="213E12F6" w14:textId="77777777" w:rsidR="00C34A4E" w:rsidRPr="00A83C94" w:rsidRDefault="00C34A4E" w:rsidP="00733935">
            <w:pPr>
              <w:numPr>
                <w:ilvl w:val="0"/>
                <w:numId w:val="51"/>
              </w:numPr>
              <w:tabs>
                <w:tab w:val="right" w:pos="0"/>
                <w:tab w:val="left" w:pos="360"/>
                <w:tab w:val="left" w:pos="687"/>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Մայիսի 22-ին «Sputnik-V» պատվաստանյութից օգտվելու հնարավորություններն ընդլայնվել են, և քրոնիկ հիվանդների համար հանվել է պատվաստումների մինչև 54 տարիքային շեմը։ </w:t>
            </w:r>
          </w:p>
          <w:p w14:paraId="656A20D6"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Հունիսի 28-ից սկսած ՀՀ-ում 18 տարեկանից բարձր անձիք կարող են պատվաստվել առկա պատվաստանյութերից յուրաքանչյուրով՝ ըստ նախընտրության: </w:t>
            </w:r>
          </w:p>
          <w:p w14:paraId="337A97CC"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2021թ. հուլիսի 7-ի դրությամբ ընդհանուր առմամբ ՀՀ ներմուծվել էր 294,460 դեղաչափ պատվաստանյութ, որից 120,060 դեղաչափ «Sputnik-V», 100,000 դեղաչափ CoronaVac և 74,400 դեղաչափ «AstraZeneca»: Պատվաստումներն իրականացվում են առողջության առաջնային պահպանման կազմակերպություններում, ինչպես նաև շարժական պատվաստումային խմբերի կողմից հանրային վայրերում: Կարող են պատվաստվել նաև Հայաստանում բնակվող օտարերկրյա քաղաքացիները: Պատվաստումներն անվճար են բոլորի համար և իրականացվում են միայն կամավորության սկզբունքով:</w:t>
            </w:r>
          </w:p>
          <w:p w14:paraId="011E2FBA"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Հուլիսի 10-ին Հայաստանի Հանրապետությունում հայտարարված կարանտինի ժամկետը երկարաձգվել է մինչև 2021 թվականի դեկտեմբերի 20-ը:</w:t>
            </w:r>
          </w:p>
          <w:p w14:paraId="7E199209" w14:textId="77777777" w:rsidR="00C34A4E" w:rsidRPr="00A83C94" w:rsidRDefault="00C34A4E" w:rsidP="00733935">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3-ին ՀՀ ներկրվել է կորոնավիրուսային հիվանդության դեմ «ԱստրաԶենեկա/Վաքսզևրիա» պատվաստանյութի հերթական խմբաքանակը՝ 50400 դեղաչափ: Պատվաստանյութը ձեռք է բերվել «COVAX FACILITY» նախաձեռնության շրջանականերում: Այն նախատեսված է 18 տարեկան և բարձր տարիքի անձանց շրջանում կորոնավիրուսային հիվանդության դեմ պատվաստումներ իրականացնելու համար: Բացի այդ, Ֆրանսիայի կառավարությունը որոշում է կայացրել Հայաստանին նվիրաբերել է 200 հազար դեղաչափ պատվաստանյութ:</w:t>
            </w:r>
          </w:p>
          <w:p w14:paraId="36046E90"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18-ին ձեռք է բերվել</w:t>
            </w:r>
            <w:r w:rsidRPr="00A83C94">
              <w:rPr>
                <w:rFonts w:ascii="Times New Roman" w:hAnsi="Times New Roman"/>
                <w:b w:val="0"/>
                <w:sz w:val="24"/>
                <w:lang w:val="hy-AM" w:eastAsia="en-US"/>
              </w:rPr>
              <w:t xml:space="preserve"> </w:t>
            </w:r>
            <w:r w:rsidRPr="00A83C94">
              <w:rPr>
                <w:rFonts w:eastAsia="Calibri" w:cs="Segoe UI Historic"/>
                <w:b w:val="0"/>
                <w:sz w:val="18"/>
                <w:szCs w:val="18"/>
                <w:lang w:val="hy-AM" w:eastAsia="en-US"/>
              </w:rPr>
              <w:t>200 հազար դեղաչափ չինական «Սինոֆարմ» պատվաստանյութի խմբաքանակ` 100 հազար անձի համար։</w:t>
            </w:r>
          </w:p>
          <w:p w14:paraId="6312631A"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30-ին ձեռք է բերվել ռուսական «Սպուտնիկ-Վի» պատվաստանյութի երկրորդ դեղաչափի հերթական խմբաքանակը` 15000 անձի համար:</w:t>
            </w:r>
          </w:p>
          <w:p w14:paraId="5370BFA6"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3-ին Լիտվայի Հանրապետության կողմից Հայաստանի առողջապահության նախարարությանը, որպես նվիրատվություն, տրամադրվել է 27,500 դեղաչափ «ԱստրաԶենեկա» պատվաստանյութ:</w:t>
            </w:r>
          </w:p>
          <w:p w14:paraId="27753007"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6-ին Բելգիայի Թագավորության կողմից Հայաստանի առողջապահության նախարարությանը, որպես նվիրատվություն, տրամադրվել է «ԱստրաԶենեկա/Վաքսզևրիա» պատվաստանյութի հերթական խմբաքանակը՝ 187,200 դեղաչափ։</w:t>
            </w:r>
          </w:p>
          <w:p w14:paraId="55C04586"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ab/>
              <w:t>Սեպտեմբերի 14-ին Հայաստան է ներկրվել Ֆրանսիայի Հանրապետությունից Հայաստանի Հանրապետությանը նվիրաբերած «ԱստրաԶենեկա» պատվաստանյութի առաջին խմբաքանակը` 25 000 դեղաչափ:</w:t>
            </w:r>
          </w:p>
          <w:p w14:paraId="4C37FC5F"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19-ի դրությամբ կատարվել է 366,779 պատվաստում, որից առաջին դեղաչափ` 237,454, երկրորդ դեղաչափ` 129,325։</w:t>
            </w:r>
          </w:p>
          <w:p w14:paraId="1AD9A86C" w14:textId="77777777" w:rsidR="00C34A4E" w:rsidRPr="00A83C94" w:rsidRDefault="00C34A4E" w:rsidP="00733935">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2021թ. նախատեսվում է պատվաստել բնակչության 10%-ին։ Ներկայացված ցուցանիշը կարող է փոխվել՝ համաճարակային իրավիճակով պայմանավորված։</w:t>
            </w:r>
          </w:p>
        </w:tc>
      </w:tr>
    </w:tbl>
    <w:p w14:paraId="5EFEF8AE" w14:textId="77777777" w:rsidR="00C34A4E" w:rsidRPr="00A83C94" w:rsidRDefault="00C34A4E" w:rsidP="00C34A4E">
      <w:pPr>
        <w:spacing w:after="60" w:line="276" w:lineRule="auto"/>
        <w:ind w:firstLine="360"/>
        <w:contextualSpacing w:val="0"/>
        <w:rPr>
          <w:rFonts w:eastAsia="GHEA Grapalat" w:cs="GHEA Grapalat"/>
          <w:b w:val="0"/>
          <w:szCs w:val="22"/>
          <w:lang w:val="hy-AM" w:eastAsia="en-US"/>
        </w:rPr>
      </w:pPr>
      <w:r w:rsidRPr="00A83C94">
        <w:rPr>
          <w:rFonts w:cs="Sylfaen"/>
          <w:bCs/>
          <w:szCs w:val="22"/>
          <w:u w:val="single"/>
          <w:lang w:val="hy-AM" w:eastAsia="en-US"/>
        </w:rPr>
        <w:t>Կանխատեսում։</w:t>
      </w:r>
      <w:r w:rsidRPr="00A83C94">
        <w:rPr>
          <w:rFonts w:cs="Sylfaen"/>
          <w:bCs/>
          <w:szCs w:val="22"/>
          <w:lang w:val="hy-AM" w:eastAsia="en-US"/>
        </w:rPr>
        <w:t xml:space="preserve"> ՀՀ և գործընկեր երկրների ընթացիկ և կանխատեսված տնտեսական զարգացումների, Արցախյան պատերազմի գնահատվող ազդեցությունների, </w:t>
      </w:r>
      <w:r w:rsidRPr="00A83C94">
        <w:rPr>
          <w:rFonts w:cs="Sylfaen"/>
          <w:szCs w:val="22"/>
          <w:lang w:val="hy-AM" w:eastAsia="en-US"/>
        </w:rPr>
        <w:t xml:space="preserve">Համավարակի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Համավարակի համաշխարհային ճգնաժամի աստիճանական հաղթահարման պայմաններում 2021թ. տնտեսական աճը կվերականգնվի և կկազմի 6.5%: 2022թ. սպասվող </w:t>
      </w:r>
      <w:r w:rsidRPr="00A83C94">
        <w:rPr>
          <w:lang w:val="hy-AM"/>
        </w:rPr>
        <w:t>արտաքին տնտեսական բարենպաստ միջավայրի և ՀՀ կառավարության նպատակադրած տնտեսության ներուժի բարձրացմանն ուղղված միջոցառումների (առավել մանրամասն տես 1.4 բաժնում) պայմաններում կանխատեսվում է 7</w:t>
      </w:r>
      <w:r w:rsidRPr="00A83C94">
        <w:rPr>
          <w:rFonts w:ascii="Cambria Math" w:hAnsi="Cambria Math" w:cs="Cambria Math"/>
          <w:lang w:val="hy-AM"/>
        </w:rPr>
        <w:t>․</w:t>
      </w:r>
      <w:r w:rsidRPr="00A83C94">
        <w:rPr>
          <w:rFonts w:cs="Sylfaen"/>
          <w:szCs w:val="22"/>
          <w:lang w:val="hy-AM" w:eastAsia="en-US"/>
        </w:rPr>
        <w:t>0% տնտեսական աճ:</w:t>
      </w:r>
      <w:r w:rsidRPr="00A83C94">
        <w:rPr>
          <w:rFonts w:eastAsia="Calibri" w:cs="Sylfaen"/>
          <w:szCs w:val="22"/>
          <w:lang w:val="hy-AM" w:eastAsia="en-US"/>
        </w:rPr>
        <w:t xml:space="preserve"> </w:t>
      </w:r>
      <w:r w:rsidRPr="00A83C94">
        <w:rPr>
          <w:rFonts w:eastAsia="Calibri" w:cs="Sylfaen"/>
          <w:b w:val="0"/>
          <w:szCs w:val="22"/>
          <w:lang w:val="hy-AM" w:eastAsia="en-US"/>
        </w:rPr>
        <w:t>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 </w:t>
      </w:r>
      <w:r w:rsidRPr="00A83C94">
        <w:rPr>
          <w:rFonts w:eastAsia="Calibri" w:cs="Sylfaen"/>
          <w:b w:val="0"/>
          <w:szCs w:val="22"/>
          <w:lang w:val="hy-AM" w:eastAsia="en-US"/>
        </w:rPr>
        <w:t xml:space="preserve"> տ</w:t>
      </w:r>
      <w:r w:rsidRPr="00A83C94">
        <w:rPr>
          <w:rFonts w:eastAsia="GHEA Grapalat" w:cs="GHEA Grapalat"/>
          <w:b w:val="0"/>
          <w:szCs w:val="22"/>
          <w:lang w:val="hy-AM" w:eastAsia="en-US"/>
        </w:rPr>
        <w:t>նտեսական աճը պայմանավորված կլինի հիմնականում ծառայությունների աճերով, իսկ 2022 թ</w:t>
      </w:r>
      <w:r w:rsidRPr="00A83C94">
        <w:rPr>
          <w:rFonts w:ascii="Cambria Math" w:eastAsia="GHEA Grapalat" w:hAnsi="Cambria Math" w:cs="Cambria Math"/>
          <w:b w:val="0"/>
          <w:szCs w:val="22"/>
          <w:lang w:val="hy-AM" w:eastAsia="en-US"/>
        </w:rPr>
        <w:t>․</w:t>
      </w:r>
      <w:r w:rsidRPr="00A83C94">
        <w:rPr>
          <w:rFonts w:eastAsia="GHEA Grapalat"/>
          <w:b w:val="0"/>
          <w:szCs w:val="22"/>
          <w:lang w:val="hy-AM" w:eastAsia="en-US"/>
        </w:rPr>
        <w:t xml:space="preserve"> աճի արագացումը կապահովեն արդյունաբերության և շինարարության ճյուղերը</w:t>
      </w:r>
      <w:r w:rsidRPr="00A83C94">
        <w:rPr>
          <w:rFonts w:eastAsia="GHEA Grapalat" w:cs="GHEA Grapalat"/>
          <w:b w:val="0"/>
          <w:szCs w:val="22"/>
          <w:lang w:val="hy-AM" w:eastAsia="en-US"/>
        </w:rPr>
        <w:t xml:space="preserve">: Տնտեսության մյուս ճյուղերը նույնպես դրական ազդեցություն կունենան տնտեսական աճի վրա: Ամբողջական պահանջարկը նույնպես կաճի՝ պայմանավորված ներքին պահանջարկի աճով: </w:t>
      </w:r>
    </w:p>
    <w:p w14:paraId="769717C7" w14:textId="77777777" w:rsidR="00C34A4E" w:rsidRPr="00A83C94" w:rsidRDefault="00C34A4E" w:rsidP="00C34A4E">
      <w:pPr>
        <w:spacing w:before="40" w:after="60" w:line="276" w:lineRule="auto"/>
        <w:ind w:firstLine="634"/>
        <w:contextualSpacing w:val="0"/>
        <w:rPr>
          <w:rFonts w:cs="Sylfaen"/>
          <w:b w:val="0"/>
          <w:szCs w:val="22"/>
          <w:lang w:val="hy-AM" w:eastAsia="en-US"/>
        </w:rPr>
      </w:pPr>
      <w:r w:rsidRPr="00A83C94">
        <w:rPr>
          <w:rFonts w:cs="Sylfaen"/>
          <w:b w:val="0"/>
          <w:szCs w:val="22"/>
          <w:lang w:val="it-IT" w:eastAsia="en-US"/>
        </w:rPr>
        <w:t>202</w:t>
      </w:r>
      <w:r w:rsidRPr="00A83C94">
        <w:rPr>
          <w:rFonts w:cs="Sylfaen"/>
          <w:b w:val="0"/>
          <w:szCs w:val="22"/>
          <w:lang w:val="hy-AM" w:eastAsia="en-US"/>
        </w:rPr>
        <w:t>1թ.</w:t>
      </w:r>
      <w:r w:rsidRPr="00A83C94">
        <w:rPr>
          <w:rFonts w:cs="Sylfaen"/>
          <w:b w:val="0"/>
          <w:szCs w:val="22"/>
          <w:lang w:val="it-IT" w:eastAsia="en-US"/>
        </w:rPr>
        <w:t xml:space="preserve"> </w:t>
      </w:r>
      <w:r w:rsidRPr="00A83C94">
        <w:rPr>
          <w:rFonts w:cs="Times Armenian"/>
          <w:b w:val="0"/>
          <w:szCs w:val="22"/>
          <w:lang w:val="it-IT" w:eastAsia="en-US"/>
        </w:rPr>
        <w:t>դեֆլյատորը կաճի</w:t>
      </w:r>
      <w:r w:rsidRPr="00A83C94">
        <w:rPr>
          <w:rFonts w:cs="Times Armenian"/>
          <w:b w:val="0"/>
          <w:szCs w:val="22"/>
          <w:lang w:val="hy-AM" w:eastAsia="en-US"/>
        </w:rPr>
        <w:t>՝</w:t>
      </w:r>
      <w:r w:rsidRPr="00A83C94">
        <w:rPr>
          <w:rFonts w:cs="Times Armenian"/>
          <w:b w:val="0"/>
          <w:szCs w:val="22"/>
          <w:lang w:val="it-IT" w:eastAsia="en-US"/>
        </w:rPr>
        <w:t xml:space="preserve"> </w:t>
      </w:r>
      <w:r w:rsidRPr="00A83C94">
        <w:rPr>
          <w:rFonts w:cs="Times Armenian"/>
          <w:b w:val="0"/>
          <w:szCs w:val="22"/>
          <w:lang w:val="hy-AM" w:eastAsia="en-US"/>
        </w:rPr>
        <w:t>պայմանավորված</w:t>
      </w:r>
      <w:r w:rsidRPr="00A83C94">
        <w:rPr>
          <w:rFonts w:cs="Sylfaen"/>
          <w:b w:val="0"/>
          <w:szCs w:val="22"/>
          <w:lang w:val="hy-AM" w:eastAsia="en-US"/>
        </w:rPr>
        <w:t xml:space="preserve"> ՍԳԻ-ի և</w:t>
      </w:r>
      <w:r w:rsidRPr="00A83C94">
        <w:rPr>
          <w:rFonts w:cs="Sylfaen"/>
          <w:b w:val="0"/>
          <w:szCs w:val="22"/>
          <w:lang w:val="it-IT" w:eastAsia="en-US"/>
        </w:rPr>
        <w:t xml:space="preserve"> </w:t>
      </w:r>
      <w:r w:rsidRPr="00A83C94">
        <w:rPr>
          <w:rFonts w:cs="Sylfaen"/>
          <w:b w:val="0"/>
          <w:szCs w:val="22"/>
          <w:lang w:val="hy-AM" w:eastAsia="en-US"/>
        </w:rPr>
        <w:t>ապրանքների միջազգային գների զարգացումներով, իսկ 2022թ.՝ ՍԳԻ-ին համահունչ կդանդաղի:</w:t>
      </w:r>
    </w:p>
    <w:p w14:paraId="1D783511" w14:textId="77777777" w:rsidR="00C34A4E" w:rsidRPr="00A83C94" w:rsidRDefault="00C34A4E" w:rsidP="00C34A4E">
      <w:pPr>
        <w:tabs>
          <w:tab w:val="right" w:pos="0"/>
        </w:tabs>
        <w:spacing w:before="40" w:after="120" w:line="276" w:lineRule="auto"/>
        <w:ind w:firstLine="562"/>
        <w:contextualSpacing w:val="0"/>
        <w:rPr>
          <w:rFonts w:cs="Sylfaen"/>
          <w:szCs w:val="22"/>
          <w:lang w:val="hy-AM" w:eastAsia="en-US"/>
        </w:rPr>
      </w:pPr>
      <w:r w:rsidRPr="00A83C94">
        <w:rPr>
          <w:rFonts w:cs="Sylfaen"/>
          <w:szCs w:val="22"/>
          <w:lang w:val="hy-AM" w:eastAsia="en-US"/>
        </w:rPr>
        <w:t>Վերոնշյալ զարգացումների պայմաններում անվանական ՀՆԱ-ն 2021թ. կկազմի 7,031.2 մլրդ դրամ՝ 635.9 մլրդ դրամով ավելին լինելով 2021թ. պետական բյուջեով ծրագրված ցուցանիշից, և 151.0 մլրդ դրամով` 2022-2024թթ. ՄԺԾԾ ցուցանիշից: Իսկ 2022թ. անվանական ՀՆԱ-ն կաճի՝ կազմելով 7,869.4 մլրդ դրամ։</w:t>
      </w:r>
    </w:p>
    <w:p w14:paraId="279885C0" w14:textId="77777777" w:rsidR="00C34A4E" w:rsidRPr="00A83C94" w:rsidRDefault="00C34A4E" w:rsidP="00C34A4E">
      <w:pPr>
        <w:spacing w:after="60" w:line="276" w:lineRule="auto"/>
        <w:ind w:firstLine="360"/>
        <w:contextualSpacing w:val="0"/>
        <w:rPr>
          <w:rFonts w:cs="Sylfaen"/>
          <w:bCs/>
          <w:szCs w:val="22"/>
          <w:u w:val="single"/>
          <w:lang w:val="hy-AM" w:eastAsia="en-US"/>
        </w:rPr>
      </w:pPr>
    </w:p>
    <w:tbl>
      <w:tblPr>
        <w:tblStyle w:val="TableGrid713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841"/>
        <w:gridCol w:w="4899"/>
      </w:tblGrid>
      <w:tr w:rsidR="00C34A4E" w:rsidRPr="00813A99" w14:paraId="17B17953" w14:textId="77777777" w:rsidTr="00733935">
        <w:trPr>
          <w:trHeight w:val="3489"/>
        </w:trPr>
        <w:tc>
          <w:tcPr>
            <w:tcW w:w="4841" w:type="dxa"/>
          </w:tcPr>
          <w:p w14:paraId="214FCF8C" w14:textId="77777777" w:rsidR="00C34A4E" w:rsidRPr="00A83C94" w:rsidRDefault="00C34A4E" w:rsidP="00733935">
            <w:pPr>
              <w:spacing w:before="0" w:line="240" w:lineRule="auto"/>
              <w:ind w:firstLine="0"/>
              <w:rPr>
                <w:i/>
                <w:noProof/>
                <w:sz w:val="18"/>
                <w:szCs w:val="18"/>
                <w:lang w:val="hy-AM" w:eastAsia="en-US"/>
              </w:rPr>
            </w:pPr>
            <w:r w:rsidRPr="00A83C94">
              <w:rPr>
                <w:i/>
                <w:noProof/>
                <w:szCs w:val="22"/>
                <w:lang w:val="en-US" w:eastAsia="en-US"/>
              </w:rPr>
              <w:drawing>
                <wp:anchor distT="0" distB="0" distL="114300" distR="114300" simplePos="0" relativeHeight="251872256" behindDoc="0" locked="0" layoutInCell="1" allowOverlap="1" wp14:anchorId="43ABB66E" wp14:editId="2D827107">
                  <wp:simplePos x="0" y="0"/>
                  <wp:positionH relativeFrom="column">
                    <wp:posOffset>-41275</wp:posOffset>
                  </wp:positionH>
                  <wp:positionV relativeFrom="paragraph">
                    <wp:posOffset>339090</wp:posOffset>
                  </wp:positionV>
                  <wp:extent cx="3076575" cy="1876425"/>
                  <wp:effectExtent l="0" t="0" r="9525" b="9525"/>
                  <wp:wrapSquare wrapText="bothSides"/>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A83C94">
              <w:rPr>
                <w:i/>
                <w:noProof/>
                <w:sz w:val="18"/>
                <w:szCs w:val="18"/>
                <w:lang w:val="hy-AM" w:eastAsia="en-US"/>
              </w:rPr>
              <w:t>Գծապատկեր 1.14. Անվանական ՀՆԱ և տնտեսական աճ</w:t>
            </w:r>
          </w:p>
          <w:p w14:paraId="0DD9FB90" w14:textId="77777777" w:rsidR="00C34A4E" w:rsidRPr="00A83C94" w:rsidRDefault="00C34A4E" w:rsidP="00733935">
            <w:pPr>
              <w:spacing w:before="0" w:line="276" w:lineRule="auto"/>
              <w:ind w:firstLine="0"/>
              <w:jc w:val="left"/>
              <w:rPr>
                <w:i/>
                <w:sz w:val="16"/>
                <w:szCs w:val="16"/>
                <w:lang w:val="hy-AM" w:eastAsia="en-US"/>
              </w:rPr>
            </w:pPr>
            <w:r w:rsidRPr="00A83C94">
              <w:rPr>
                <w:rFonts w:eastAsia="Calibri"/>
                <w:b w:val="0"/>
                <w:i/>
                <w:sz w:val="16"/>
                <w:szCs w:val="16"/>
                <w:lang w:val="hy-AM"/>
              </w:rPr>
              <w:t>Աղբյուրը՝ ՀՀ ՎԿ, ՀՀ ՖՆ հաշվարկներ և կանխատեսումներ</w:t>
            </w:r>
          </w:p>
        </w:tc>
        <w:tc>
          <w:tcPr>
            <w:tcW w:w="4899" w:type="dxa"/>
          </w:tcPr>
          <w:p w14:paraId="7E9484A5" w14:textId="77777777" w:rsidR="00C34A4E" w:rsidRPr="00A83C94" w:rsidRDefault="00C34A4E" w:rsidP="00733935">
            <w:pPr>
              <w:spacing w:before="0" w:line="240" w:lineRule="auto"/>
              <w:ind w:firstLine="0"/>
              <w:rPr>
                <w:i/>
                <w:noProof/>
                <w:sz w:val="18"/>
                <w:szCs w:val="18"/>
                <w:lang w:val="hy-AM" w:eastAsia="en-US"/>
              </w:rPr>
            </w:pPr>
            <w:r w:rsidRPr="00A83C94">
              <w:rPr>
                <w:i/>
                <w:noProof/>
                <w:sz w:val="18"/>
                <w:szCs w:val="18"/>
                <w:lang w:val="hy-AM" w:eastAsia="en-US"/>
              </w:rPr>
              <w:t>Գծապատկեր 1.15.</w:t>
            </w:r>
            <w:r w:rsidRPr="00A83C94">
              <w:rPr>
                <w:i/>
                <w:noProof/>
                <w:color w:val="FF0000"/>
                <w:sz w:val="18"/>
                <w:szCs w:val="18"/>
                <w:lang w:val="hy-AM" w:eastAsia="en-US"/>
              </w:rPr>
              <w:t xml:space="preserve"> </w:t>
            </w:r>
            <w:r w:rsidRPr="00A83C94">
              <w:rPr>
                <w:i/>
                <w:noProof/>
                <w:sz w:val="18"/>
                <w:szCs w:val="18"/>
                <w:lang w:val="hy-AM" w:eastAsia="en-US"/>
              </w:rPr>
              <w:t xml:space="preserve">Իրական ՀՆԱ անկումը/աճը տնտե- սական ճգնաժամերի և հաջորդող տարիներին </w:t>
            </w:r>
          </w:p>
          <w:p w14:paraId="22B1BD22" w14:textId="77777777" w:rsidR="00C34A4E" w:rsidRPr="00A83C94" w:rsidRDefault="00C34A4E" w:rsidP="00733935">
            <w:pPr>
              <w:spacing w:before="40" w:after="160" w:line="276" w:lineRule="auto"/>
              <w:ind w:firstLine="0"/>
              <w:contextualSpacing w:val="0"/>
              <w:jc w:val="left"/>
              <w:rPr>
                <w:b w:val="0"/>
                <w:i/>
                <w:szCs w:val="16"/>
                <w:lang w:val="hy-AM" w:eastAsia="en-US"/>
              </w:rPr>
            </w:pPr>
            <w:r w:rsidRPr="00A83C94">
              <w:rPr>
                <w:b w:val="0"/>
                <w:i/>
                <w:noProof/>
                <w:sz w:val="18"/>
                <w:szCs w:val="16"/>
                <w:lang w:val="en-US" w:eastAsia="en-US"/>
              </w:rPr>
              <w:drawing>
                <wp:inline distT="0" distB="0" distL="0" distR="0" wp14:anchorId="0036F5EF" wp14:editId="578583E0">
                  <wp:extent cx="3092450" cy="1876425"/>
                  <wp:effectExtent l="0" t="0" r="12700" b="952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A83C94">
              <w:rPr>
                <w:rFonts w:eastAsia="Calibri"/>
                <w:b w:val="0"/>
                <w:i/>
                <w:sz w:val="16"/>
                <w:szCs w:val="16"/>
                <w:lang w:val="hy-AM"/>
              </w:rPr>
              <w:t>Աղբյուրը՝ ՀՀ ՎԿ, ՀՀ ՖՆ կանխատեսում</w:t>
            </w:r>
          </w:p>
        </w:tc>
      </w:tr>
      <w:tr w:rsidR="00C34A4E" w:rsidRPr="00813A99" w14:paraId="727F2012" w14:textId="77777777" w:rsidTr="00733935">
        <w:trPr>
          <w:trHeight w:val="628"/>
        </w:trPr>
        <w:tc>
          <w:tcPr>
            <w:tcW w:w="4841" w:type="dxa"/>
          </w:tcPr>
          <w:p w14:paraId="0E8832EE" w14:textId="77777777" w:rsidR="00C34A4E" w:rsidRPr="00A83C94" w:rsidRDefault="00C34A4E" w:rsidP="00733935">
            <w:pPr>
              <w:spacing w:before="0" w:after="60" w:line="240" w:lineRule="auto"/>
              <w:ind w:firstLine="0"/>
              <w:contextualSpacing w:val="0"/>
              <w:rPr>
                <w:i/>
                <w:noProof/>
                <w:sz w:val="18"/>
                <w:szCs w:val="18"/>
                <w:lang w:val="hy-AM" w:eastAsia="en-US"/>
              </w:rPr>
            </w:pPr>
            <w:r w:rsidRPr="00A83C94">
              <w:rPr>
                <w:i/>
                <w:noProof/>
                <w:sz w:val="18"/>
                <w:szCs w:val="18"/>
                <w:lang w:val="hy-AM" w:eastAsia="en-US"/>
              </w:rPr>
              <w:t xml:space="preserve">Գծապատկեր 1.16. Տնտեսության առանձին ճյուղերի նպաստումները տնտեսական աճին </w:t>
            </w:r>
          </w:p>
          <w:p w14:paraId="1A169CC5" w14:textId="77777777" w:rsidR="00C34A4E" w:rsidRPr="00A83C94" w:rsidRDefault="00C34A4E" w:rsidP="00733935">
            <w:pPr>
              <w:spacing w:before="0" w:line="276" w:lineRule="auto"/>
              <w:ind w:firstLine="29"/>
              <w:contextualSpacing w:val="0"/>
              <w:jc w:val="left"/>
              <w:rPr>
                <w:rFonts w:ascii="Times New Roman" w:hAnsi="Times New Roman"/>
                <w:sz w:val="24"/>
                <w:lang w:val="en-US" w:eastAsia="en-US"/>
              </w:rPr>
            </w:pPr>
            <w:r w:rsidRPr="00A83C94">
              <w:rPr>
                <w:rFonts w:ascii="Times New Roman" w:hAnsi="Times New Roman"/>
                <w:b w:val="0"/>
                <w:noProof/>
                <w:sz w:val="24"/>
                <w:shd w:val="clear" w:color="auto" w:fill="B4C6E7"/>
                <w:lang w:val="en-US" w:eastAsia="en-US"/>
              </w:rPr>
              <w:drawing>
                <wp:inline distT="0" distB="0" distL="0" distR="0" wp14:anchorId="38210F1B" wp14:editId="674D41CB">
                  <wp:extent cx="3021330" cy="1868170"/>
                  <wp:effectExtent l="0" t="0" r="762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88EFE7" w14:textId="77777777" w:rsidR="00C34A4E" w:rsidRPr="00A83C94" w:rsidRDefault="00C34A4E" w:rsidP="00733935">
            <w:pPr>
              <w:spacing w:before="40" w:line="276" w:lineRule="auto"/>
              <w:ind w:firstLine="0"/>
              <w:jc w:val="left"/>
              <w:rPr>
                <w:b w:val="0"/>
                <w:i/>
                <w:sz w:val="16"/>
                <w:szCs w:val="16"/>
                <w:lang w:val="hy-AM" w:eastAsia="en-US"/>
              </w:rPr>
            </w:pPr>
            <w:r w:rsidRPr="00A83C94">
              <w:rPr>
                <w:b w:val="0"/>
                <w:i/>
                <w:sz w:val="16"/>
                <w:szCs w:val="16"/>
                <w:lang w:val="hy-AM" w:eastAsia="en-US"/>
              </w:rPr>
              <w:t xml:space="preserve">Աղբյուրը՝ </w:t>
            </w:r>
            <w:r w:rsidRPr="00A83C94">
              <w:rPr>
                <w:rFonts w:eastAsia="Calibri"/>
                <w:b w:val="0"/>
                <w:i/>
                <w:sz w:val="16"/>
                <w:szCs w:val="16"/>
                <w:lang w:val="hy-AM"/>
              </w:rPr>
              <w:t>ՀՀ ՎԿ, ՀՀ ՖՆ հաշվարկներ և կանխատեսումներ</w:t>
            </w:r>
          </w:p>
        </w:tc>
        <w:tc>
          <w:tcPr>
            <w:tcW w:w="4899" w:type="dxa"/>
          </w:tcPr>
          <w:p w14:paraId="506875EA" w14:textId="77777777" w:rsidR="00C34A4E" w:rsidRPr="00A83C94" w:rsidRDefault="00C34A4E" w:rsidP="00733935">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1.17. Տնտեսական աճին պահանջարկի բաղադրիչների նպաստումները</w:t>
            </w:r>
          </w:p>
          <w:p w14:paraId="52807BBB" w14:textId="77777777" w:rsidR="00C34A4E" w:rsidRPr="00A83C94" w:rsidRDefault="00C34A4E" w:rsidP="00733935">
            <w:pPr>
              <w:spacing w:before="0" w:line="276" w:lineRule="auto"/>
              <w:ind w:firstLine="0"/>
              <w:contextualSpacing w:val="0"/>
              <w:jc w:val="left"/>
              <w:rPr>
                <w:rFonts w:ascii="Times New Roman" w:hAnsi="Times New Roman"/>
                <w:b w:val="0"/>
                <w:sz w:val="24"/>
                <w:lang w:val="en-US" w:eastAsia="en-US"/>
              </w:rPr>
            </w:pPr>
            <w:r w:rsidRPr="00A83C94">
              <w:rPr>
                <w:rFonts w:ascii="Times New Roman" w:hAnsi="Times New Roman" w:cs="Sylfaen"/>
                <w:noProof/>
                <w:sz w:val="24"/>
                <w:lang w:val="en-US" w:eastAsia="en-US"/>
              </w:rPr>
              <w:drawing>
                <wp:inline distT="0" distB="0" distL="0" distR="0" wp14:anchorId="19E1F16C" wp14:editId="0BF78C90">
                  <wp:extent cx="3123565" cy="1868446"/>
                  <wp:effectExtent l="0" t="0" r="635" b="1778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6179A17" w14:textId="77777777" w:rsidR="00C34A4E" w:rsidRPr="00A83C94" w:rsidRDefault="00C34A4E" w:rsidP="00733935">
            <w:pPr>
              <w:spacing w:before="40" w:line="276" w:lineRule="auto"/>
              <w:ind w:firstLine="0"/>
              <w:jc w:val="left"/>
              <w:rPr>
                <w:b w:val="0"/>
                <w:i/>
                <w:szCs w:val="22"/>
                <w:lang w:val="hy-AM" w:eastAsia="en-US"/>
              </w:rPr>
            </w:pPr>
            <w:r w:rsidRPr="00A83C94">
              <w:rPr>
                <w:b w:val="0"/>
                <w:i/>
                <w:sz w:val="16"/>
                <w:szCs w:val="16"/>
                <w:lang w:val="hy-AM" w:eastAsia="en-US"/>
              </w:rPr>
              <w:t xml:space="preserve">Աղբյուրը՝ ՀՀ ՎԿ, ՀՀ </w:t>
            </w:r>
            <w:r w:rsidRPr="00A83C94">
              <w:rPr>
                <w:b w:val="0"/>
                <w:i/>
                <w:sz w:val="18"/>
                <w:szCs w:val="16"/>
                <w:lang w:val="hy-AM" w:eastAsia="en-US"/>
              </w:rPr>
              <w:t>ՖՆ</w:t>
            </w:r>
            <w:r w:rsidRPr="00A83C94">
              <w:rPr>
                <w:b w:val="0"/>
                <w:i/>
                <w:sz w:val="16"/>
                <w:szCs w:val="16"/>
                <w:lang w:val="hy-AM" w:eastAsia="en-US"/>
              </w:rPr>
              <w:t xml:space="preserve"> հաշվարկներ և կանխատեսումներ</w:t>
            </w:r>
          </w:p>
        </w:tc>
      </w:tr>
    </w:tbl>
    <w:p w14:paraId="11FE49D4" w14:textId="77777777" w:rsidR="00C34A4E" w:rsidRPr="00A83C94" w:rsidRDefault="00C34A4E" w:rsidP="00C34A4E">
      <w:pPr>
        <w:spacing w:after="60" w:line="276" w:lineRule="auto"/>
        <w:ind w:firstLine="562"/>
        <w:contextualSpacing w:val="0"/>
        <w:rPr>
          <w:rFonts w:cs="Sylfaen"/>
          <w:bCs/>
          <w:noProof/>
          <w:szCs w:val="22"/>
          <w:u w:val="single"/>
          <w:lang w:val="hy-AM" w:eastAsia="en-US"/>
        </w:rPr>
      </w:pPr>
    </w:p>
    <w:p w14:paraId="63630415" w14:textId="77777777" w:rsidR="00C34A4E" w:rsidRPr="00A83C94" w:rsidRDefault="00C34A4E" w:rsidP="00C34A4E">
      <w:pPr>
        <w:spacing w:after="60" w:line="276" w:lineRule="auto"/>
        <w:ind w:firstLine="562"/>
        <w:contextualSpacing w:val="0"/>
        <w:rPr>
          <w:rFonts w:cs="Sylfaen"/>
          <w:b w:val="0"/>
          <w:szCs w:val="22"/>
          <w:lang w:val="hy-AM" w:eastAsia="en-US"/>
        </w:rPr>
      </w:pPr>
      <w:r w:rsidRPr="00A83C94">
        <w:rPr>
          <w:rFonts w:cs="Sylfaen"/>
          <w:bCs/>
          <w:noProof/>
          <w:szCs w:val="22"/>
          <w:u w:val="single"/>
          <w:lang w:val="hy-AM" w:eastAsia="en-US"/>
        </w:rPr>
        <w:t>Համախառն առաջարկի կանխատեսում</w:t>
      </w:r>
      <w:r w:rsidRPr="00A83C94">
        <w:rPr>
          <w:rFonts w:cs="Sylfaen"/>
          <w:bCs/>
          <w:noProof/>
          <w:szCs w:val="22"/>
          <w:lang w:val="hy-AM" w:eastAsia="en-US"/>
        </w:rPr>
        <w:t xml:space="preserve">. </w:t>
      </w:r>
      <w:r w:rsidRPr="00A83C94">
        <w:rPr>
          <w:rFonts w:cs="Sylfaen"/>
          <w:b w:val="0"/>
          <w:noProof/>
          <w:szCs w:val="22"/>
          <w:lang w:val="hy-AM" w:eastAsia="en-US"/>
        </w:rPr>
        <w:t xml:space="preserve">2021թ. համավարակի և Արցախյան պատերազմի բացասական ազդեցությունների աստիճանական չեզոքացման արդյունքում՝ ներքին և արտաքին պահանջարկի վերականգնմամբ պայմանավորված սպասվում է տնտեսության աճի տեմպերի վերականգնում։ </w:t>
      </w:r>
      <w:r w:rsidRPr="00A83C94">
        <w:rPr>
          <w:rFonts w:cs="Sylfaen"/>
          <w:b w:val="0"/>
          <w:szCs w:val="22"/>
          <w:lang w:val="hy-AM" w:eastAsia="en-US"/>
        </w:rPr>
        <w:t>Տնտեսական աճը պայմանավորված կլինի հիմնականում ծառայությունների (ներառյալ առևտուրը) առաջանցիկ աճով (8.1%):  Արդյունաբերության, գյուղատնտեսության և շինարարության ճյուղերը նույնպես կաճեն (համապատասխանաբար՝ 4</w:t>
      </w:r>
      <w:r w:rsidRPr="00A83C94">
        <w:rPr>
          <w:rFonts w:ascii="Cambria Math" w:hAnsi="Cambria Math" w:cs="Cambria Math"/>
          <w:b w:val="0"/>
          <w:szCs w:val="22"/>
          <w:lang w:val="hy-AM" w:eastAsia="en-US"/>
        </w:rPr>
        <w:t>․</w:t>
      </w:r>
      <w:r w:rsidRPr="00A83C94">
        <w:rPr>
          <w:b w:val="0"/>
          <w:szCs w:val="22"/>
          <w:lang w:val="hy-AM" w:eastAsia="en-US"/>
        </w:rPr>
        <w:t>3</w:t>
      </w:r>
      <w:r w:rsidRPr="00A83C94">
        <w:rPr>
          <w:rFonts w:cs="Sylfaen"/>
          <w:b w:val="0"/>
          <w:szCs w:val="22"/>
          <w:lang w:val="hy-AM" w:eastAsia="en-US"/>
        </w:rPr>
        <w:t>%, 5.6% և 1.5%)` դրական նպաստելով տնտեսական աճին:</w:t>
      </w:r>
    </w:p>
    <w:p w14:paraId="68A09110" w14:textId="77777777" w:rsidR="00C34A4E" w:rsidRPr="00A83C94" w:rsidRDefault="00C34A4E" w:rsidP="00C34A4E">
      <w:pPr>
        <w:spacing w:after="60" w:line="276" w:lineRule="auto"/>
        <w:ind w:firstLine="562"/>
        <w:contextualSpacing w:val="0"/>
        <w:rPr>
          <w:rFonts w:cs="Sylfaen"/>
          <w:bCs/>
          <w:noProof/>
          <w:szCs w:val="22"/>
          <w:u w:val="single"/>
          <w:lang w:val="hy-AM" w:eastAsia="en-US"/>
        </w:rPr>
      </w:pPr>
      <w:r w:rsidRPr="00A83C94">
        <w:rPr>
          <w:rFonts w:eastAsia="Calibri" w:cs="Sylfaen"/>
          <w:b w:val="0"/>
          <w:bCs/>
          <w:szCs w:val="22"/>
          <w:lang w:val="hy-AM" w:eastAsia="en-US"/>
        </w:rPr>
        <w:t xml:space="preserve">2022թ. համավարակի և Արցախյան պատերազմի բացասական ազդեցությունների չեզոքացման հետ մեկտեղ, պայմանավորված ներքին և արտաքին պահանջարկի վերականգնմամբ, պղնձի գների բարձր մակարդակով, </w:t>
      </w:r>
      <w:r w:rsidRPr="00A83C94">
        <w:rPr>
          <w:rFonts w:cs="Sylfaen"/>
          <w:b w:val="0"/>
          <w:bCs/>
          <w:noProof/>
          <w:szCs w:val="22"/>
          <w:lang w:val="hy-AM" w:eastAsia="en-US"/>
        </w:rPr>
        <w:t xml:space="preserve">ինչպես նաև </w:t>
      </w:r>
      <w:r w:rsidRPr="00A83C94">
        <w:rPr>
          <w:rFonts w:eastAsia="Calibri" w:cs="Sylfaen"/>
          <w:b w:val="0"/>
          <w:bCs/>
          <w:szCs w:val="22"/>
          <w:lang w:val="hy-AM" w:eastAsia="en-US"/>
        </w:rPr>
        <w:t>ՀՀ կառավարության կողմից նախատեսված մասնավոր ներդրումների խթանման,</w:t>
      </w:r>
      <w:r w:rsidRPr="00A83C94">
        <w:rPr>
          <w:rFonts w:cs="Sylfaen"/>
          <w:b w:val="0"/>
          <w:bCs/>
          <w:noProof/>
          <w:szCs w:val="22"/>
          <w:lang w:val="hy-AM" w:eastAsia="en-US"/>
        </w:rPr>
        <w:t xml:space="preserve"> գործարար միջավայրի բարելավման, տեխնոլոգիական առաջընթացի ապահովման, տնտեսության արտահանելի հատվածի և արտահաննամ խթանմանն ուղղված քաղաքականություններով, մեծածավալ պետական ներդրումների իրականացմամբ</w:t>
      </w:r>
      <w:r w:rsidRPr="00A83C94">
        <w:rPr>
          <w:rFonts w:eastAsia="Calibri" w:cs="Sylfaen"/>
          <w:b w:val="0"/>
          <w:bCs/>
          <w:szCs w:val="22"/>
          <w:lang w:val="hy-AM" w:eastAsia="en-US"/>
        </w:rPr>
        <w:t>` արդյունաբերությունը կաճի 8</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0%-ով, շինարարության ճյուղը՝ 18</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0%-ով, իսկ ծառայությունները և գյուղատնտեսությունը՝ համապատասխանաբար 5.9%-ով և 3.9%-ով:  </w:t>
      </w:r>
    </w:p>
    <w:tbl>
      <w:tblPr>
        <w:tblStyle w:val="TableGrid8130"/>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4887"/>
        <w:gridCol w:w="4859"/>
      </w:tblGrid>
      <w:tr w:rsidR="00C34A4E" w:rsidRPr="00813A99" w14:paraId="380C3725" w14:textId="77777777" w:rsidTr="00733935">
        <w:trPr>
          <w:trHeight w:val="3783"/>
        </w:trPr>
        <w:tc>
          <w:tcPr>
            <w:tcW w:w="4887" w:type="dxa"/>
          </w:tcPr>
          <w:p w14:paraId="72EA012E" w14:textId="77777777" w:rsidR="00C34A4E" w:rsidRPr="00A83C94" w:rsidRDefault="00C34A4E" w:rsidP="00733935">
            <w:pPr>
              <w:spacing w:before="0" w:line="240" w:lineRule="auto"/>
              <w:ind w:firstLine="0"/>
              <w:rPr>
                <w:i/>
                <w:noProof/>
                <w:sz w:val="18"/>
                <w:szCs w:val="18"/>
                <w:lang w:val="hy-AM" w:eastAsia="en-US"/>
              </w:rPr>
            </w:pPr>
            <w:r w:rsidRPr="00A83C94">
              <w:rPr>
                <w:i/>
                <w:noProof/>
                <w:szCs w:val="22"/>
                <w:lang w:val="en-US" w:eastAsia="en-US"/>
              </w:rPr>
              <w:drawing>
                <wp:anchor distT="0" distB="0" distL="114300" distR="114300" simplePos="0" relativeHeight="251873280" behindDoc="0" locked="0" layoutInCell="1" allowOverlap="1" wp14:anchorId="32D81900" wp14:editId="2743E0AE">
                  <wp:simplePos x="0" y="0"/>
                  <wp:positionH relativeFrom="column">
                    <wp:posOffset>-5137</wp:posOffset>
                  </wp:positionH>
                  <wp:positionV relativeFrom="paragraph">
                    <wp:posOffset>373901</wp:posOffset>
                  </wp:positionV>
                  <wp:extent cx="3112135" cy="1807845"/>
                  <wp:effectExtent l="0" t="0" r="12065" b="190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A83C94">
              <w:rPr>
                <w:i/>
                <w:noProof/>
                <w:sz w:val="18"/>
                <w:szCs w:val="18"/>
                <w:lang w:val="hy-AM" w:eastAsia="en-US"/>
              </w:rPr>
              <w:t>Գծապատկեր 1.18. Ճյուղերի տեսակարար կշիռները ՀՆԱ-ի կազմում</w:t>
            </w:r>
          </w:p>
          <w:p w14:paraId="163C30E8" w14:textId="77777777" w:rsidR="00C34A4E" w:rsidRPr="00A83C94" w:rsidRDefault="00C34A4E" w:rsidP="00733935">
            <w:pPr>
              <w:spacing w:before="40" w:line="276" w:lineRule="auto"/>
              <w:ind w:firstLine="0"/>
              <w:contextualSpacing w:val="0"/>
              <w:jc w:val="left"/>
              <w:rPr>
                <w:b w:val="0"/>
                <w:i/>
                <w:sz w:val="16"/>
                <w:szCs w:val="16"/>
                <w:lang w:val="hy-AM" w:eastAsia="en-US"/>
              </w:rPr>
            </w:pPr>
            <w:r w:rsidRPr="00A83C94">
              <w:rPr>
                <w:b w:val="0"/>
                <w:i/>
                <w:sz w:val="16"/>
                <w:szCs w:val="16"/>
                <w:lang w:val="hy-AM" w:eastAsia="en-US"/>
              </w:rPr>
              <w:t>Աղբյուրը՝ ՀՀ ՎԿ, ՀՀ ՖՆ հաշվարկներ և կանխատեսումներ</w:t>
            </w:r>
          </w:p>
        </w:tc>
        <w:tc>
          <w:tcPr>
            <w:tcW w:w="4859" w:type="dxa"/>
          </w:tcPr>
          <w:p w14:paraId="1E2CFD0A" w14:textId="77777777" w:rsidR="00C34A4E" w:rsidRPr="00A83C94" w:rsidRDefault="00C34A4E" w:rsidP="00733935">
            <w:pPr>
              <w:spacing w:before="0" w:line="240" w:lineRule="auto"/>
              <w:ind w:firstLine="0"/>
              <w:rPr>
                <w:i/>
                <w:noProof/>
                <w:sz w:val="18"/>
                <w:szCs w:val="18"/>
                <w:lang w:val="hy-AM" w:eastAsia="en-US"/>
              </w:rPr>
            </w:pPr>
            <w:r w:rsidRPr="00A83C94">
              <w:rPr>
                <w:i/>
                <w:noProof/>
                <w:sz w:val="18"/>
                <w:szCs w:val="18"/>
                <w:lang w:val="en-US" w:eastAsia="en-US"/>
              </w:rPr>
              <w:drawing>
                <wp:anchor distT="0" distB="0" distL="114300" distR="114300" simplePos="0" relativeHeight="251870208" behindDoc="0" locked="0" layoutInCell="1" allowOverlap="1" wp14:anchorId="720F3838" wp14:editId="4CECA159">
                  <wp:simplePos x="0" y="0"/>
                  <wp:positionH relativeFrom="column">
                    <wp:posOffset>32963</wp:posOffset>
                  </wp:positionH>
                  <wp:positionV relativeFrom="paragraph">
                    <wp:posOffset>378317</wp:posOffset>
                  </wp:positionV>
                  <wp:extent cx="3102610" cy="1807845"/>
                  <wp:effectExtent l="0" t="0" r="2540" b="190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A83C94">
              <w:rPr>
                <w:i/>
                <w:noProof/>
                <w:sz w:val="18"/>
                <w:szCs w:val="18"/>
                <w:lang w:val="hy-AM" w:eastAsia="en-US"/>
              </w:rPr>
              <w:t>Գծապատկեր 1.19. Ծախսային բաղադրիչների տեսա- կարար կշիռները ՀՆԱ-ի կազմում</w:t>
            </w:r>
          </w:p>
          <w:p w14:paraId="3EF42A6C" w14:textId="77777777" w:rsidR="00C34A4E" w:rsidRPr="00A83C94" w:rsidRDefault="00C34A4E" w:rsidP="00733935">
            <w:pPr>
              <w:spacing w:before="40" w:line="276" w:lineRule="auto"/>
              <w:ind w:firstLine="0"/>
              <w:contextualSpacing w:val="0"/>
              <w:jc w:val="left"/>
              <w:rPr>
                <w:b w:val="0"/>
                <w:i/>
                <w:sz w:val="16"/>
                <w:szCs w:val="16"/>
                <w:lang w:val="hy-AM" w:eastAsia="en-US"/>
              </w:rPr>
            </w:pPr>
            <w:r w:rsidRPr="00A83C94">
              <w:rPr>
                <w:b w:val="0"/>
                <w:i/>
                <w:sz w:val="16"/>
                <w:szCs w:val="16"/>
                <w:lang w:val="hy-AM" w:eastAsia="en-US"/>
              </w:rPr>
              <w:t>Աղբյուրը՝ ՀՀ ՎԿ, ՀՀ ՖՆ հաշվարկներ և կանխատեսումներ</w:t>
            </w:r>
          </w:p>
        </w:tc>
      </w:tr>
    </w:tbl>
    <w:p w14:paraId="47AC4BFA" w14:textId="77777777" w:rsidR="00C34A4E" w:rsidRPr="00A83C94" w:rsidRDefault="00C34A4E" w:rsidP="00C34A4E">
      <w:pPr>
        <w:spacing w:after="60" w:line="276" w:lineRule="auto"/>
        <w:ind w:firstLine="562"/>
        <w:contextualSpacing w:val="0"/>
        <w:rPr>
          <w:rFonts w:eastAsia="Calibri" w:cs="Sylfaen"/>
          <w:b w:val="0"/>
          <w:bCs/>
          <w:szCs w:val="22"/>
          <w:lang w:val="hy-AM" w:eastAsia="en-US"/>
        </w:rPr>
      </w:pPr>
      <w:r w:rsidRPr="00A83C94">
        <w:rPr>
          <w:rFonts w:eastAsia="Calibri"/>
          <w:bCs/>
          <w:szCs w:val="22"/>
          <w:u w:val="single"/>
          <w:lang w:val="hy-AM" w:eastAsia="en-US"/>
        </w:rPr>
        <w:t>Համախառն պահանջարկ</w:t>
      </w:r>
      <w:r w:rsidRPr="00A83C94">
        <w:rPr>
          <w:rFonts w:eastAsia="Calibri" w:cs="Times Armenian"/>
          <w:szCs w:val="22"/>
          <w:u w:val="single"/>
          <w:lang w:val="hy-AM" w:eastAsia="en-US"/>
        </w:rPr>
        <w:t xml:space="preserve">ի </w:t>
      </w:r>
      <w:r w:rsidRPr="00A83C94">
        <w:rPr>
          <w:rFonts w:eastAsia="Calibri" w:cs="Sylfaen"/>
          <w:szCs w:val="22"/>
          <w:u w:val="single"/>
          <w:lang w:val="hy-AM" w:eastAsia="en-US"/>
        </w:rPr>
        <w:t>կանխատեսում.</w:t>
      </w:r>
      <w:r w:rsidRPr="00A83C94">
        <w:rPr>
          <w:rFonts w:eastAsia="Calibri" w:cs="Sylfaen"/>
          <w:szCs w:val="22"/>
          <w:lang w:val="hy-AM" w:eastAsia="en-US"/>
        </w:rPr>
        <w:t xml:space="preserve"> </w:t>
      </w:r>
      <w:r w:rsidRPr="00A83C94">
        <w:rPr>
          <w:rFonts w:eastAsia="Calibri" w:cs="Sylfaen"/>
          <w:b w:val="0"/>
          <w:bCs/>
          <w:szCs w:val="22"/>
          <w:lang w:val="hy-AM" w:eastAsia="en-US"/>
        </w:rPr>
        <w:t xml:space="preserve">Համավարակի և Արցախյան պատերազմի բացասական ազդեցությունների աստիճանական թուլացման պայմաններում 2021թ. վերջնական սպառումը </w:t>
      </w:r>
      <w:r>
        <w:rPr>
          <w:rFonts w:eastAsia="Calibri" w:cs="Sylfaen"/>
          <w:b w:val="0"/>
          <w:bCs/>
          <w:szCs w:val="22"/>
          <w:lang w:val="hy-AM" w:eastAsia="en-US"/>
        </w:rPr>
        <w:t xml:space="preserve">իրական արտահայտությամբ </w:t>
      </w:r>
      <w:r w:rsidRPr="00A83C94">
        <w:rPr>
          <w:rFonts w:eastAsia="Calibri" w:cs="Sylfaen"/>
          <w:b w:val="0"/>
          <w:bCs/>
          <w:szCs w:val="22"/>
          <w:lang w:val="hy-AM" w:eastAsia="en-US"/>
        </w:rPr>
        <w:t>կաճի 7.7%-ով, իսկ ներդրումները՝ 3.6%-ով։ Սպառման և ներդրումների աճին կնպաստեն տնօրինվող եկամտի աճը, նախորդ տարի մասնավոր հատվածում կուտակված խնայողությունների օգտագործումը, ինչպես նաև 2020թ. իրականացված և 2021թ. շարունակվող  ՀՀ կառավարության կողմից վարվող համավարակի և Արցախյան պատերազմի հետևանքների մեղմանն ու ներդրումային միջավայրի բարելավմանն ուղղված քաղաքականությունները։ 2022թ. սպառումը կաճի 4.</w:t>
      </w:r>
      <w:r w:rsidRPr="005427C8">
        <w:rPr>
          <w:rFonts w:eastAsia="Calibri" w:cs="Sylfaen"/>
          <w:b w:val="0"/>
          <w:bCs/>
          <w:szCs w:val="22"/>
          <w:lang w:val="hy-AM" w:eastAsia="en-US"/>
        </w:rPr>
        <w:t>7</w:t>
      </w:r>
      <w:r w:rsidRPr="00A83C94">
        <w:rPr>
          <w:rFonts w:eastAsia="Calibri" w:cs="Sylfaen"/>
          <w:b w:val="0"/>
          <w:bCs/>
          <w:szCs w:val="22"/>
          <w:lang w:val="hy-AM" w:eastAsia="en-US"/>
        </w:rPr>
        <w:t>%-ով, իսկ ներդրումները՝ 22.5%-ով: Ներդրումների աճը կպայմանավորվի ՀՀ կառավարության կողմից ենթակառուցվածքներում խոշոր պետական ներդրումներով (</w:t>
      </w:r>
      <w:r w:rsidRPr="005427C8">
        <w:rPr>
          <w:rFonts w:eastAsia="Calibri" w:cs="Sylfaen"/>
          <w:b w:val="0"/>
          <w:bCs/>
          <w:szCs w:val="22"/>
          <w:lang w:val="hy-AM" w:eastAsia="en-US"/>
        </w:rPr>
        <w:t>46.2</w:t>
      </w:r>
      <w:r w:rsidRPr="00A83C94">
        <w:rPr>
          <w:rFonts w:eastAsia="Calibri" w:cs="Sylfaen"/>
          <w:b w:val="0"/>
          <w:bCs/>
          <w:szCs w:val="22"/>
          <w:lang w:val="hy-AM" w:eastAsia="en-US"/>
        </w:rPr>
        <w:t>% պետական ներդրումների աճ), ինչպես նաև ՀՀ կառավարության կողմից մասնավոր ներդրումների խթանման քաղաքականության իրականացման արդյունքում ներքին և օտարերկրյա միջոցներով ֆինանսավորվող մասնավոր ներդրումներով (</w:t>
      </w:r>
      <w:r w:rsidRPr="005427C8">
        <w:rPr>
          <w:rFonts w:eastAsia="Calibri" w:cs="Sylfaen"/>
          <w:b w:val="0"/>
          <w:bCs/>
          <w:szCs w:val="22"/>
          <w:lang w:val="hy-AM" w:eastAsia="en-US"/>
        </w:rPr>
        <w:t>15.</w:t>
      </w:r>
      <w:r w:rsidRPr="00AF2ED1">
        <w:rPr>
          <w:rFonts w:eastAsia="Calibri" w:cs="Sylfaen"/>
          <w:b w:val="0"/>
          <w:bCs/>
          <w:szCs w:val="22"/>
          <w:lang w:val="hy-AM" w:eastAsia="en-US"/>
        </w:rPr>
        <w:t>6</w:t>
      </w:r>
      <w:r w:rsidRPr="00A83C94">
        <w:rPr>
          <w:rFonts w:eastAsia="Calibri" w:cs="Sylfaen"/>
          <w:b w:val="0"/>
          <w:bCs/>
          <w:szCs w:val="22"/>
          <w:lang w:val="hy-AM" w:eastAsia="en-US"/>
        </w:rPr>
        <w:t>% մասնավոր ներդրումների աճ)։</w:t>
      </w:r>
    </w:p>
    <w:p w14:paraId="37EB7EE0" w14:textId="77777777" w:rsidR="00C34A4E" w:rsidRPr="00A83C94" w:rsidRDefault="00C34A4E" w:rsidP="00C34A4E">
      <w:pPr>
        <w:spacing w:before="40" w:after="60" w:line="276" w:lineRule="auto"/>
        <w:ind w:firstLine="562"/>
        <w:contextualSpacing w:val="0"/>
        <w:rPr>
          <w:rFonts w:eastAsia="Calibri" w:cs="Sylfaen"/>
          <w:b w:val="0"/>
          <w:bCs/>
          <w:szCs w:val="22"/>
          <w:lang w:val="hy-AM" w:eastAsia="en-US"/>
        </w:rPr>
      </w:pPr>
      <w:r w:rsidRPr="00A83C94">
        <w:rPr>
          <w:rFonts w:eastAsia="Calibri" w:cs="Sylfaen"/>
          <w:b w:val="0"/>
          <w:bCs/>
          <w:szCs w:val="22"/>
          <w:lang w:val="hy-AM" w:eastAsia="en-US"/>
        </w:rPr>
        <w:t>2021թ. արտահանումը և ներմուծումը կաճեն համապատասխանաբար 7.6%-ով և 8.2%-ով՝ պայմանավորված ներքին և արտաքին պահանջարկի, ինչպես նաև տնտեսական ակտիվության վերականգմամբ։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2022թ. արտահանումն ու ներմուծումը կաճեն համապատասխանաբար` 14.3%-ով և 15.3%-ով:</w:t>
      </w:r>
    </w:p>
    <w:p w14:paraId="606F3509" w14:textId="77777777" w:rsidR="00C34A4E" w:rsidRPr="00A83C94" w:rsidRDefault="00C34A4E" w:rsidP="00C34A4E">
      <w:pPr>
        <w:spacing w:before="40" w:after="60" w:line="276" w:lineRule="auto"/>
        <w:ind w:firstLine="562"/>
        <w:contextualSpacing w:val="0"/>
        <w:rPr>
          <w:rFonts w:eastAsia="Calibri" w:cs="Sylfaen"/>
          <w:b w:val="0"/>
          <w:bCs/>
          <w:szCs w:val="22"/>
          <w:lang w:val="hy-AM" w:eastAsia="en-US"/>
        </w:rPr>
      </w:pPr>
    </w:p>
    <w:p w14:paraId="2552760F"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bookmarkStart w:id="125" w:name="_Toc51360524"/>
      <w:r w:rsidRPr="00A83C94">
        <w:rPr>
          <w:rFonts w:eastAsia="Calibri"/>
          <w:bCs/>
          <w:sz w:val="24"/>
          <w:lang w:val="hy-AM" w:eastAsia="en-US"/>
        </w:rPr>
        <w:t>1.3.2. Աշխատանքի շուկա</w:t>
      </w:r>
      <w:bookmarkEnd w:id="125"/>
    </w:p>
    <w:p w14:paraId="6787E47B" w14:textId="77777777" w:rsidR="00C34A4E" w:rsidRPr="00A83C94" w:rsidRDefault="00C34A4E" w:rsidP="00C34A4E">
      <w:pPr>
        <w:tabs>
          <w:tab w:val="num" w:pos="720"/>
          <w:tab w:val="left" w:pos="9450"/>
        </w:tabs>
        <w:spacing w:before="40" w:after="60" w:line="276" w:lineRule="auto"/>
        <w:ind w:firstLine="630"/>
        <w:contextualSpacing w:val="0"/>
        <w:rPr>
          <w:rFonts w:cs="Times Armenian"/>
          <w:szCs w:val="22"/>
          <w:lang w:val="hy-AM" w:eastAsia="en-US"/>
        </w:rPr>
      </w:pPr>
      <w:r w:rsidRPr="00A83C94">
        <w:rPr>
          <w:rFonts w:cs="Times Armenian"/>
          <w:bCs/>
          <w:szCs w:val="22"/>
          <w:lang w:val="hy-AM" w:eastAsia="en-US"/>
        </w:rPr>
        <w:t>Տնտեսական անկման պայմաններում 2020թ. գործազրկության մակարդակն աճել է՝ 17.9%-ից հասնելով 18.1%-ի, իսկ աշխատուժի մասնակցության մակարդակը նվազել՝ 58.9%-ից հասնելով 57.7%-ի:</w:t>
      </w:r>
      <w:r w:rsidRPr="00A83C94">
        <w:rPr>
          <w:rFonts w:cs="Times Armenian"/>
          <w:b w:val="0"/>
          <w:szCs w:val="22"/>
          <w:lang w:val="hy-AM" w:eastAsia="en-US"/>
        </w:rPr>
        <w:t xml:space="preserve"> Նույն ժամանակաշրջանում և΄ զբաղվածների, և΄ գործազուրկների թիվը նվազել է՝ համապատասխանաբար 1.9%-ով և 0.1%-ով: Միջին ամսական աշխատավարձը 2020թ. աճել է 3.9%-ով, միաժամանակ իրական աշխատավարձը` 1.2% միջին գնաճի պայմաններում ավելացել է 2.7%-ով:</w:t>
      </w:r>
    </w:p>
    <w:p w14:paraId="63552403" w14:textId="77777777" w:rsidR="00C34A4E" w:rsidRPr="00A83C94" w:rsidRDefault="00C34A4E" w:rsidP="00C34A4E">
      <w:pPr>
        <w:spacing w:before="40" w:after="60" w:line="276" w:lineRule="auto"/>
        <w:ind w:firstLine="634"/>
        <w:contextualSpacing w:val="0"/>
        <w:rPr>
          <w:rFonts w:eastAsiaTheme="majorEastAsia"/>
          <w:b w:val="0"/>
          <w:lang w:val="hy-AM"/>
        </w:rPr>
      </w:pPr>
      <w:r w:rsidRPr="00A83C94">
        <w:rPr>
          <w:rFonts w:eastAsiaTheme="majorEastAsia"/>
          <w:bCs/>
          <w:lang w:val="hy-AM"/>
        </w:rPr>
        <w:t>2021թ. I եռամսյակում գործազրկության մակարդակը նախորդ տարվա նույն եռամսյակի նկատմամբ նվազել է 2.7 տոկոսային կետով՝ կազմելով 17.0%:</w:t>
      </w:r>
      <w:r w:rsidRPr="00A83C94">
        <w:rPr>
          <w:rFonts w:eastAsiaTheme="majorEastAsia"/>
          <w:lang w:val="hy-AM"/>
        </w:rPr>
        <w:t xml:space="preserve"> </w:t>
      </w:r>
      <w:r w:rsidRPr="00A83C94">
        <w:rPr>
          <w:rFonts w:eastAsiaTheme="majorEastAsia"/>
          <w:b w:val="0"/>
          <w:lang w:val="hy-AM"/>
        </w:rPr>
        <w:t>Գործազուրկների թիվը նվազել է 17.1%-ով՝ կազմելով 193.0 հազար մարդ: Նշենք, որ միաժամանակ 0.2%-ով նվազել է նաև զբաղվածների թիվը՝ կազմելով 943.8 հազ. մարդ: Աշխատուժի առաջարկը (տնտեսապես ակտիվ բնակչություն) ևս նվազել է 3.6%-ով՝ կազմելով 1136.8 հազար մարդ: Աշխատանքի շուկայի ցուցանիշների շարժընթացը հիմնականում բացատրվում է 2020թ. տեղի ունեցած ժողովրդագրական տեղաշարժով:</w:t>
      </w:r>
    </w:p>
    <w:p w14:paraId="5453856B" w14:textId="77777777" w:rsidR="00C34A4E" w:rsidRPr="00A83C94" w:rsidRDefault="00C34A4E" w:rsidP="00C34A4E">
      <w:pPr>
        <w:spacing w:after="120" w:line="276" w:lineRule="auto"/>
        <w:ind w:firstLine="562"/>
        <w:rPr>
          <w:rFonts w:eastAsiaTheme="majorEastAsia"/>
          <w:lang w:val="hy-AM"/>
        </w:rPr>
      </w:pPr>
      <w:r w:rsidRPr="00A83C94">
        <w:rPr>
          <w:rFonts w:eastAsiaTheme="majorEastAsia"/>
          <w:bCs/>
          <w:lang w:val="hy-AM"/>
        </w:rPr>
        <w:t>2021թ. տնտեսական վերականգնման պայմաններում աշխատանքի շուկայում կդրսևորվեն դրական զարգացումներ։</w:t>
      </w:r>
      <w:r w:rsidRPr="00A83C94">
        <w:rPr>
          <w:rFonts w:eastAsiaTheme="majorEastAsia"/>
          <w:lang w:val="hy-AM"/>
        </w:rPr>
        <w:t xml:space="preserve"> </w:t>
      </w:r>
      <w:r w:rsidRPr="00A83C94">
        <w:rPr>
          <w:rFonts w:eastAsiaTheme="majorEastAsia"/>
          <w:b w:val="0"/>
          <w:lang w:val="hy-AM"/>
        </w:rPr>
        <w:t xml:space="preserve">Այս պայմաններում ակնկալվում է զբաղվածության աճ և գործազրկության նվազում։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063"/>
        <w:gridCol w:w="4961"/>
      </w:tblGrid>
      <w:tr w:rsidR="00C34A4E" w:rsidRPr="00A83C94" w14:paraId="4EDE2A73" w14:textId="77777777" w:rsidTr="00733935">
        <w:trPr>
          <w:trHeight w:val="3144"/>
        </w:trPr>
        <w:tc>
          <w:tcPr>
            <w:tcW w:w="5063" w:type="dxa"/>
          </w:tcPr>
          <w:p w14:paraId="23323D27" w14:textId="77777777" w:rsidR="00C34A4E" w:rsidRPr="00A83C94" w:rsidRDefault="00C34A4E" w:rsidP="00733935">
            <w:pPr>
              <w:spacing w:before="40" w:after="60" w:line="240" w:lineRule="auto"/>
              <w:ind w:left="158" w:firstLine="0"/>
              <w:contextualSpacing w:val="0"/>
              <w:rPr>
                <w:rFonts w:cs="Times Armenian"/>
                <w:bCs/>
                <w:i/>
                <w:sz w:val="18"/>
                <w:szCs w:val="18"/>
                <w:lang w:val="hy-AM" w:eastAsia="en-US"/>
              </w:rPr>
            </w:pPr>
            <w:r w:rsidRPr="00A83C94">
              <w:rPr>
                <w:rFonts w:cs="Times Armenian"/>
                <w:bCs/>
                <w:i/>
                <w:sz w:val="18"/>
                <w:szCs w:val="18"/>
                <w:lang w:val="hy-AM" w:eastAsia="en-US"/>
              </w:rPr>
              <w:t>Գծապատկեր 1.</w:t>
            </w:r>
            <w:r w:rsidRPr="00A83C94">
              <w:rPr>
                <w:rFonts w:cs="Times Armenian"/>
                <w:bCs/>
                <w:i/>
                <w:sz w:val="18"/>
                <w:szCs w:val="18"/>
                <w:lang w:val="en-US" w:eastAsia="en-US"/>
              </w:rPr>
              <w:t>20.</w:t>
            </w:r>
            <w:r w:rsidRPr="00A83C94">
              <w:rPr>
                <w:rFonts w:cs="Times Armenian"/>
                <w:bCs/>
                <w:i/>
                <w:sz w:val="18"/>
                <w:szCs w:val="18"/>
                <w:lang w:val="hy-AM" w:eastAsia="en-US"/>
              </w:rPr>
              <w:t xml:space="preserve"> Գործազրկություն և զբաղվածություն </w:t>
            </w:r>
          </w:p>
          <w:p w14:paraId="5960CE7E" w14:textId="77777777" w:rsidR="00C34A4E" w:rsidRPr="00A83C94" w:rsidRDefault="00C34A4E" w:rsidP="00733935">
            <w:pPr>
              <w:spacing w:before="40" w:after="60" w:line="240" w:lineRule="auto"/>
              <w:ind w:firstLine="0"/>
              <w:contextualSpacing w:val="0"/>
              <w:jc w:val="left"/>
              <w:rPr>
                <w:rFonts w:cs="Times Armenian"/>
                <w:b w:val="0"/>
                <w:bCs/>
                <w:szCs w:val="22"/>
                <w:lang w:val="en-US" w:eastAsia="en-US"/>
              </w:rPr>
            </w:pPr>
            <w:r w:rsidRPr="00A83C94">
              <w:rPr>
                <w:rFonts w:cs="Times Armenian"/>
                <w:b w:val="0"/>
                <w:bCs/>
                <w:noProof/>
                <w:szCs w:val="22"/>
                <w:lang w:val="en-US" w:eastAsia="en-US"/>
              </w:rPr>
              <w:drawing>
                <wp:inline distT="0" distB="0" distL="0" distR="0" wp14:anchorId="2CF6A77A" wp14:editId="0D83CC7D">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DEA2FE" w14:textId="77777777" w:rsidR="00C34A4E" w:rsidRPr="00A83C94" w:rsidRDefault="00C34A4E" w:rsidP="00733935">
            <w:pPr>
              <w:spacing w:before="40" w:after="60" w:line="240" w:lineRule="auto"/>
              <w:ind w:left="155" w:firstLine="0"/>
              <w:contextualSpacing w:val="0"/>
              <w:jc w:val="left"/>
              <w:rPr>
                <w:rFonts w:cs="Times Armenian"/>
                <w:bCs/>
                <w:i/>
                <w:sz w:val="16"/>
                <w:szCs w:val="16"/>
                <w:lang w:val="hy-AM" w:eastAsia="en-US"/>
              </w:rPr>
            </w:pPr>
            <w:r w:rsidRPr="00A83C94">
              <w:rPr>
                <w:rFonts w:cs="Times Armenian"/>
                <w:b w:val="0"/>
                <w:i/>
                <w:sz w:val="16"/>
                <w:szCs w:val="16"/>
                <w:lang w:val="en-US" w:eastAsia="en-US"/>
              </w:rPr>
              <w:t>Աղբյուրը՝ ՀՀ ՎԿ</w:t>
            </w:r>
          </w:p>
        </w:tc>
        <w:tc>
          <w:tcPr>
            <w:tcW w:w="4961" w:type="dxa"/>
          </w:tcPr>
          <w:p w14:paraId="051FE7B5" w14:textId="77777777" w:rsidR="00C34A4E" w:rsidRPr="00A83C94" w:rsidRDefault="00C34A4E" w:rsidP="00733935">
            <w:pPr>
              <w:spacing w:before="40" w:line="240" w:lineRule="auto"/>
              <w:ind w:left="173" w:firstLine="0"/>
              <w:contextualSpacing w:val="0"/>
              <w:jc w:val="left"/>
              <w:rPr>
                <w:rFonts w:cs="Times Armenian"/>
                <w:noProof/>
                <w:sz w:val="18"/>
                <w:szCs w:val="18"/>
                <w:lang w:val="hy-AM" w:eastAsia="en-US"/>
              </w:rPr>
            </w:pPr>
            <w:r w:rsidRPr="00A83C94">
              <w:rPr>
                <w:rFonts w:cs="Times Armenian"/>
                <w:b w:val="0"/>
                <w:noProof/>
                <w:szCs w:val="22"/>
                <w:lang w:val="en-US" w:eastAsia="en-US"/>
              </w:rPr>
              <w:drawing>
                <wp:anchor distT="0" distB="0" distL="114300" distR="114300" simplePos="0" relativeHeight="251874304" behindDoc="1" locked="0" layoutInCell="1" allowOverlap="1" wp14:anchorId="144890BC" wp14:editId="3EE52E0D">
                  <wp:simplePos x="0" y="0"/>
                  <wp:positionH relativeFrom="column">
                    <wp:posOffset>-6985</wp:posOffset>
                  </wp:positionH>
                  <wp:positionV relativeFrom="paragraph">
                    <wp:posOffset>372110</wp:posOffset>
                  </wp:positionV>
                  <wp:extent cx="2987040" cy="2105025"/>
                  <wp:effectExtent l="0" t="0" r="3810" b="9525"/>
                  <wp:wrapTight wrapText="bothSides">
                    <wp:wrapPolygon edited="0">
                      <wp:start x="0" y="0"/>
                      <wp:lineTo x="0" y="21502"/>
                      <wp:lineTo x="21490" y="21502"/>
                      <wp:lineTo x="21490" y="0"/>
                      <wp:lineTo x="0" y="0"/>
                    </wp:wrapPolygon>
                  </wp:wrapTight>
                  <wp:docPr id="15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Pr="00A83C94">
              <w:rPr>
                <w:rFonts w:cs="Times Armenian"/>
                <w:bCs/>
                <w:i/>
                <w:iCs/>
                <w:sz w:val="18"/>
                <w:szCs w:val="18"/>
                <w:lang w:val="hy-AM" w:eastAsia="en-US"/>
              </w:rPr>
              <w:t>Գծապատկեր 1.21. Միջին ամսական անվանական աշխատավարձի կուտակային աճ</w:t>
            </w:r>
            <w:r w:rsidRPr="00A83C94">
              <w:rPr>
                <w:rFonts w:cs="Times Armenian"/>
                <w:noProof/>
                <w:sz w:val="18"/>
                <w:szCs w:val="18"/>
                <w:lang w:val="hy-AM" w:eastAsia="en-US"/>
              </w:rPr>
              <w:t xml:space="preserve">, 2021թ., % </w:t>
            </w:r>
          </w:p>
          <w:p w14:paraId="3408C0EE" w14:textId="77777777" w:rsidR="00C34A4E" w:rsidRPr="00A83C94" w:rsidRDefault="00C34A4E" w:rsidP="00733935">
            <w:pPr>
              <w:spacing w:before="0" w:after="60" w:line="240" w:lineRule="auto"/>
              <w:ind w:left="173" w:firstLine="0"/>
              <w:contextualSpacing w:val="0"/>
              <w:jc w:val="left"/>
              <w:rPr>
                <w:rFonts w:cs="Times Armenian"/>
                <w:bCs/>
                <w:i/>
                <w:sz w:val="16"/>
                <w:szCs w:val="16"/>
                <w:lang w:val="hy-AM" w:eastAsia="en-US"/>
              </w:rPr>
            </w:pPr>
            <w:r w:rsidRPr="00A83C94">
              <w:rPr>
                <w:rFonts w:cs="Times Armenian"/>
                <w:b w:val="0"/>
                <w:i/>
                <w:sz w:val="16"/>
                <w:szCs w:val="16"/>
                <w:lang w:val="hy-AM" w:eastAsia="en-US"/>
              </w:rPr>
              <w:t>Աղբյուրը՝ ՀՀ ՎԿ</w:t>
            </w:r>
          </w:p>
        </w:tc>
      </w:tr>
    </w:tbl>
    <w:p w14:paraId="3C0F5C43" w14:textId="77777777" w:rsidR="00C34A4E" w:rsidRPr="00A83C94" w:rsidRDefault="00C34A4E" w:rsidP="00C34A4E">
      <w:pPr>
        <w:spacing w:after="60" w:line="276" w:lineRule="auto"/>
        <w:ind w:firstLine="634"/>
        <w:contextualSpacing w:val="0"/>
        <w:rPr>
          <w:rFonts w:cs="Times Armenian"/>
          <w:szCs w:val="22"/>
          <w:lang w:val="hy-AM" w:eastAsia="en-US"/>
        </w:rPr>
      </w:pPr>
      <w:r w:rsidRPr="00A83C94">
        <w:rPr>
          <w:rFonts w:cs="Times Armenian"/>
          <w:szCs w:val="22"/>
          <w:lang w:val="hy-AM" w:eastAsia="en-US"/>
        </w:rPr>
        <w:t>2021թ. տարեսկզբից</w:t>
      </w:r>
      <w:r w:rsidRPr="00A83C94">
        <w:rPr>
          <w:rFonts w:cs="Times Armenian"/>
          <w:szCs w:val="22"/>
          <w:lang w:eastAsia="en-US"/>
        </w:rPr>
        <w:t xml:space="preserve"> </w:t>
      </w:r>
      <w:r w:rsidRPr="00A83C94">
        <w:rPr>
          <w:rFonts w:cs="Times Armenian"/>
          <w:szCs w:val="22"/>
          <w:lang w:val="en-US" w:eastAsia="en-US"/>
        </w:rPr>
        <w:t>տնտեսության</w:t>
      </w:r>
      <w:r w:rsidRPr="00A83C94">
        <w:rPr>
          <w:rFonts w:cs="Times Armenian"/>
          <w:szCs w:val="22"/>
          <w:lang w:eastAsia="en-US"/>
        </w:rPr>
        <w:t xml:space="preserve"> </w:t>
      </w:r>
      <w:r w:rsidRPr="00A83C94">
        <w:rPr>
          <w:rFonts w:cs="Times Armenian"/>
          <w:szCs w:val="22"/>
          <w:lang w:val="en-US" w:eastAsia="en-US"/>
        </w:rPr>
        <w:t>վերականգնման</w:t>
      </w:r>
      <w:r w:rsidRPr="00A83C94">
        <w:rPr>
          <w:rFonts w:cs="Times Armenian"/>
          <w:szCs w:val="22"/>
          <w:lang w:eastAsia="en-US"/>
        </w:rPr>
        <w:t xml:space="preserve"> </w:t>
      </w:r>
      <w:r w:rsidRPr="00A83C94">
        <w:rPr>
          <w:rFonts w:cs="Times Armenian"/>
          <w:szCs w:val="22"/>
          <w:lang w:val="en-US" w:eastAsia="en-US"/>
        </w:rPr>
        <w:t>պայմաններում</w:t>
      </w:r>
      <w:r w:rsidRPr="00A83C94">
        <w:rPr>
          <w:rFonts w:cs="Times Armenian"/>
          <w:szCs w:val="22"/>
          <w:lang w:eastAsia="en-US"/>
        </w:rPr>
        <w:t xml:space="preserve"> </w:t>
      </w:r>
      <w:r w:rsidRPr="00A83C94">
        <w:rPr>
          <w:rFonts w:cs="Times Armenian"/>
          <w:szCs w:val="22"/>
          <w:lang w:val="hy-AM" w:eastAsia="en-US"/>
        </w:rPr>
        <w:t xml:space="preserve">միջին ամսական անվանական աշխատավարձի աճի տեմպը (հատկապես մասնավոր հատվածում) սկսեց աստիճանաբար </w:t>
      </w:r>
      <w:r w:rsidRPr="00A83C94">
        <w:rPr>
          <w:rFonts w:cs="Times Armenian"/>
          <w:szCs w:val="22"/>
          <w:lang w:val="en-US" w:eastAsia="en-US"/>
        </w:rPr>
        <w:t>արագանալ</w:t>
      </w:r>
      <w:r w:rsidRPr="00A83C94">
        <w:rPr>
          <w:rFonts w:cs="Times Armenian"/>
          <w:szCs w:val="22"/>
          <w:lang w:val="hy-AM" w:eastAsia="en-US"/>
        </w:rPr>
        <w:t xml:space="preserve">: </w:t>
      </w:r>
      <w:r w:rsidRPr="00A83C94">
        <w:rPr>
          <w:rFonts w:cs="Times Armenian"/>
          <w:b w:val="0"/>
          <w:szCs w:val="22"/>
          <w:lang w:val="hy-AM" w:eastAsia="en-US"/>
        </w:rPr>
        <w:t>2021թ. հունվար-հուլիսին միջին ամսական անվանական աշխատավարձն աճել է 5.7%-ով՝ կազմելով 197,881 դրամ: Միաժամանակ, սպառողական գների ինդեքսի 6.1% աճի պարագայում իրական աշխատավարձը նվազել է 0.4%-ով: Պետական հատվածում միջին ամսական անվանական աշխատավարձն աճել է 3.6%-ով՝ կազմելով  171,763 դրամ, իսկ մասնավոր հատվածում՝ 6.5%-ով՝ կազմելով 210,336 դրամ:</w:t>
      </w:r>
    </w:p>
    <w:p w14:paraId="3453520E" w14:textId="77777777" w:rsidR="00C34A4E" w:rsidRPr="00A83C94" w:rsidRDefault="00C34A4E" w:rsidP="00C34A4E">
      <w:pPr>
        <w:keepNext/>
        <w:keepLines/>
        <w:spacing w:before="0" w:line="276" w:lineRule="auto"/>
        <w:jc w:val="left"/>
        <w:outlineLvl w:val="2"/>
        <w:rPr>
          <w:rFonts w:cs="Times Armenian"/>
          <w:b w:val="0"/>
          <w:szCs w:val="22"/>
          <w:lang w:val="hy-AM" w:eastAsia="en-US"/>
        </w:rPr>
      </w:pPr>
    </w:p>
    <w:p w14:paraId="7B7FA325"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 xml:space="preserve">1.3.3. ՀՀ վճարային հաշվեկշիռ, արտահանում և ներմուծում </w:t>
      </w:r>
    </w:p>
    <w:p w14:paraId="6AA2CE41" w14:textId="77777777" w:rsidR="00C34A4E" w:rsidRPr="00A83C94" w:rsidRDefault="00C34A4E" w:rsidP="00C34A4E">
      <w:pPr>
        <w:spacing w:before="0" w:after="120" w:line="276" w:lineRule="auto"/>
        <w:ind w:left="5" w:firstLine="1"/>
        <w:contextualSpacing w:val="0"/>
        <w:rPr>
          <w:rFonts w:eastAsia="Calibri" w:cs="Sylfaen"/>
          <w:b w:val="0"/>
          <w:szCs w:val="22"/>
          <w:lang w:val="hy-AM" w:eastAsia="en-US"/>
        </w:rPr>
      </w:pPr>
      <w:r w:rsidRPr="00A83C94">
        <w:rPr>
          <w:rFonts w:cs="Times Armenian"/>
          <w:szCs w:val="22"/>
          <w:lang w:val="hy-AM" w:eastAsia="en-US"/>
        </w:rPr>
        <w:t xml:space="preserve">          2020</w:t>
      </w:r>
      <w:r w:rsidRPr="00A83C94">
        <w:rPr>
          <w:rFonts w:cs="Sylfaen"/>
          <w:lang w:val="hy-AM"/>
        </w:rPr>
        <w:t>թ</w:t>
      </w:r>
      <w:r w:rsidRPr="00A83C94">
        <w:rPr>
          <w:rFonts w:ascii="Cambria Math" w:eastAsia="Calibri" w:hAnsi="Cambria Math" w:cs="Cambria Math"/>
          <w:szCs w:val="22"/>
          <w:lang w:val="hy-AM" w:eastAsia="en-US"/>
        </w:rPr>
        <w:t>․</w:t>
      </w:r>
      <w:r w:rsidRPr="00A83C94">
        <w:rPr>
          <w:rFonts w:eastAsia="Calibri" w:cs="Sylfaen"/>
          <w:szCs w:val="22"/>
          <w:lang w:val="hy-AM" w:eastAsia="en-US"/>
        </w:rPr>
        <w:t xml:space="preserve"> ՀՀ վճարային հաշվեկշռի ընթացիկ հաշվի պակասուրդը նախորդ տարվա համեմատ բարելավվել է՝ կազմելով ՀՆԱ-ի 3.8%-ը: </w:t>
      </w:r>
      <w:r w:rsidRPr="00A83C94">
        <w:rPr>
          <w:rFonts w:eastAsia="Calibri" w:cs="Sylfaen"/>
          <w:b w:val="0"/>
          <w:szCs w:val="22"/>
          <w:lang w:val="hy-AM" w:eastAsia="en-US"/>
        </w:rPr>
        <w:t>Ընթացիկ հաշվի բարելավումը պայմանավորված է եղել ապրանքների և ծառայությունների բացասական հաշվեկշիռի կրճատմամբ՝ հիմնականում համավարակի պատճառով գլոբալ զբոսաշրջության կրճատման և ներքին թույլ պահանջարկի հետևանքով ապրանքների և ծառայությունների ներմուծման ավելի խորը անկման, ինչպես նաև անհատույց տրամադրվող դրամական փոխանցումների (երկրորդային եկամուտների) աճի արդյունքում:</w:t>
      </w:r>
    </w:p>
    <w:p w14:paraId="02CF91B9" w14:textId="77777777" w:rsidR="00C34A4E" w:rsidRPr="00A83C94" w:rsidRDefault="00C34A4E" w:rsidP="00C34A4E">
      <w:pPr>
        <w:spacing w:before="0" w:after="120" w:line="276" w:lineRule="auto"/>
        <w:ind w:left="8" w:firstLine="1"/>
        <w:contextualSpacing w:val="0"/>
        <w:rPr>
          <w:rFonts w:eastAsia="Calibri" w:cs="Sylfaen"/>
          <w:b w:val="0"/>
          <w:szCs w:val="22"/>
          <w:lang w:val="hy-AM" w:eastAsia="en-US"/>
        </w:rPr>
      </w:pPr>
      <w:r w:rsidRPr="00A83C94">
        <w:rPr>
          <w:rFonts w:cs="Sylfaen"/>
          <w:lang w:val="hy-AM"/>
        </w:rPr>
        <w:t xml:space="preserve">         2021թ</w:t>
      </w:r>
      <w:r w:rsidRPr="00A83C94">
        <w:rPr>
          <w:rFonts w:ascii="Cambria Math" w:hAnsi="Cambria Math" w:cs="Cambria Math"/>
          <w:lang w:val="hy-AM"/>
        </w:rPr>
        <w:t>․</w:t>
      </w:r>
      <w:r w:rsidRPr="00A83C94">
        <w:rPr>
          <w:rFonts w:cs="Sylfaen"/>
          <w:lang w:val="hy-AM"/>
        </w:rPr>
        <w:t xml:space="preserve"> </w:t>
      </w:r>
      <w:r w:rsidRPr="00A83C94">
        <w:rPr>
          <w:rFonts w:cs="GHEA Grapalat"/>
          <w:lang w:val="hy-AM"/>
        </w:rPr>
        <w:t>առաջին</w:t>
      </w:r>
      <w:r w:rsidRPr="00A83C94">
        <w:rPr>
          <w:rFonts w:cs="Sylfaen"/>
          <w:lang w:val="hy-AM"/>
        </w:rPr>
        <w:t xml:space="preserve"> </w:t>
      </w:r>
      <w:r w:rsidRPr="00A83C94">
        <w:rPr>
          <w:rFonts w:cs="GHEA Grapalat"/>
          <w:lang w:val="hy-AM"/>
        </w:rPr>
        <w:t>եռամսյակ</w:t>
      </w:r>
      <w:r w:rsidRPr="00A83C94">
        <w:rPr>
          <w:rFonts w:cs="Sylfaen"/>
          <w:lang w:val="hy-AM"/>
        </w:rPr>
        <w:t>ում ընթացիկ հաշվի պակասուրդը նախորդ</w:t>
      </w:r>
      <w:r w:rsidRPr="00A83C94">
        <w:rPr>
          <w:rFonts w:cs="Sylfaen"/>
          <w:lang w:val="it-IT"/>
        </w:rPr>
        <w:t xml:space="preserve"> </w:t>
      </w:r>
      <w:r w:rsidRPr="00A83C94">
        <w:rPr>
          <w:rFonts w:cs="Sylfaen"/>
          <w:lang w:val="hy-AM"/>
        </w:rPr>
        <w:t>տարվա</w:t>
      </w:r>
      <w:r w:rsidRPr="00A83C94">
        <w:rPr>
          <w:rFonts w:cs="Sylfaen"/>
          <w:lang w:val="it-IT"/>
        </w:rPr>
        <w:t xml:space="preserve"> </w:t>
      </w:r>
      <w:r w:rsidRPr="00A83C94">
        <w:rPr>
          <w:rFonts w:cs="Sylfaen"/>
          <w:lang w:val="hy-AM"/>
        </w:rPr>
        <w:t>առաջին եռամսյակի համեմատ բարելավվել է 5</w:t>
      </w:r>
      <w:r w:rsidRPr="00A83C94">
        <w:rPr>
          <w:rFonts w:cs="Sylfaen"/>
          <w:lang w:val="it-IT"/>
        </w:rPr>
        <w:t>.</w:t>
      </w:r>
      <w:r w:rsidRPr="00A83C94">
        <w:rPr>
          <w:rFonts w:cs="Sylfaen"/>
          <w:lang w:val="hy-AM"/>
        </w:rPr>
        <w:t>5 տոկոսային կետով՝ կազմելով ՀՆԱ-ի 3.4</w:t>
      </w:r>
      <w:r w:rsidRPr="00A83C94">
        <w:rPr>
          <w:rFonts w:cs="Sylfaen"/>
          <w:lang w:val="it-IT"/>
        </w:rPr>
        <w:t>%</w:t>
      </w:r>
      <w:r w:rsidRPr="00A83C94">
        <w:rPr>
          <w:rFonts w:cs="Sylfaen"/>
          <w:lang w:val="hy-AM"/>
        </w:rPr>
        <w:t xml:space="preserve">, </w:t>
      </w:r>
      <w:r w:rsidRPr="00A83C94">
        <w:rPr>
          <w:rFonts w:cs="Sylfaen"/>
          <w:b w:val="0"/>
          <w:lang w:val="hy-AM"/>
        </w:rPr>
        <w:t>որը հիմնականում պայմանավորված էր ապրանքների և ծառայությունների բացասական հաշվեկշիռի կրճատմամբ և տնային տնտեսություններին անհատույց տրամադրվող դրամական փոխանցումների աճով: Մ</w:t>
      </w:r>
      <w:r w:rsidRPr="00A83C94">
        <w:rPr>
          <w:rFonts w:eastAsia="Calibri" w:cs="Sylfaen"/>
          <w:b w:val="0"/>
          <w:szCs w:val="22"/>
          <w:lang w:val="hy-AM" w:eastAsia="en-US"/>
        </w:rPr>
        <w:t>ասնավորապես՝ ը</w:t>
      </w:r>
      <w:r w:rsidRPr="00A83C94">
        <w:rPr>
          <w:rFonts w:cs="Sylfaen"/>
          <w:b w:val="0"/>
          <w:lang w:val="hy-AM"/>
        </w:rPr>
        <w:t xml:space="preserve">նթացիկ տարվա հունվար-հուլիս ամիսներին տեղի է ունեցել արտերկրից ստացված դրամական փոխանցումների զգալի աճ </w:t>
      </w:r>
      <w:r w:rsidRPr="00A83C94">
        <w:rPr>
          <w:rFonts w:cs="Sylfaen"/>
          <w:b w:val="0"/>
          <w:lang w:val="it-IT"/>
        </w:rPr>
        <w:t>(</w:t>
      </w:r>
      <w:r w:rsidRPr="00A83C94">
        <w:rPr>
          <w:rFonts w:cs="Sylfaen"/>
          <w:b w:val="0"/>
          <w:lang w:val="hy-AM"/>
        </w:rPr>
        <w:t>մոտ 79</w:t>
      </w:r>
      <w:r w:rsidRPr="00A83C94">
        <w:rPr>
          <w:rFonts w:cs="Sylfaen"/>
          <w:b w:val="0"/>
          <w:lang w:val="it-IT"/>
        </w:rPr>
        <w:t>%</w:t>
      </w:r>
      <w:r w:rsidRPr="00A83C94">
        <w:rPr>
          <w:rFonts w:cs="Sylfaen"/>
          <w:b w:val="0"/>
          <w:lang w:val="hy-AM"/>
        </w:rPr>
        <w:t>-ով</w:t>
      </w:r>
      <w:r w:rsidRPr="00A83C94">
        <w:rPr>
          <w:rStyle w:val="FootnoteReference"/>
          <w:rFonts w:cs="Sylfaen"/>
          <w:b w:val="0"/>
          <w:lang w:val="hy-AM"/>
        </w:rPr>
        <w:footnoteReference w:id="7"/>
      </w:r>
      <w:r w:rsidRPr="00A83C94">
        <w:rPr>
          <w:rFonts w:cs="Sylfaen"/>
          <w:b w:val="0"/>
          <w:lang w:val="it-IT"/>
        </w:rPr>
        <w:t>)</w:t>
      </w:r>
      <w:r w:rsidRPr="00A83C94">
        <w:rPr>
          <w:rFonts w:cs="Sylfaen"/>
          <w:b w:val="0"/>
          <w:lang w:val="hy-AM"/>
        </w:rPr>
        <w:t xml:space="preserve">։ </w:t>
      </w:r>
      <w:r w:rsidRPr="00A83C94">
        <w:rPr>
          <w:rFonts w:eastAsia="Calibri" w:cs="Sylfaen"/>
          <w:b w:val="0"/>
          <w:szCs w:val="22"/>
          <w:lang w:val="hy-AM" w:eastAsia="en-US"/>
        </w:rPr>
        <w:t xml:space="preserve">      </w:t>
      </w:r>
    </w:p>
    <w:p w14:paraId="70160E37" w14:textId="77777777" w:rsidR="00C34A4E" w:rsidRPr="00A83C94" w:rsidRDefault="00C34A4E" w:rsidP="00C34A4E">
      <w:pPr>
        <w:spacing w:before="0" w:after="120" w:line="276" w:lineRule="auto"/>
        <w:ind w:firstLine="0"/>
        <w:contextualSpacing w:val="0"/>
        <w:rPr>
          <w:b w:val="0"/>
          <w:lang w:val="hy-AM"/>
        </w:rPr>
      </w:pPr>
      <w:r w:rsidRPr="00A83C94">
        <w:rPr>
          <w:rFonts w:eastAsia="Calibri" w:cs="Sylfaen"/>
          <w:b w:val="0"/>
          <w:szCs w:val="22"/>
          <w:lang w:val="hy-AM" w:eastAsia="en-US"/>
        </w:rPr>
        <w:t xml:space="preserve">  </w:t>
      </w:r>
      <w:r w:rsidRPr="00A83C94">
        <w:rPr>
          <w:rFonts w:eastAsia="Calibri" w:cs="Sylfaen"/>
          <w:bCs/>
          <w:szCs w:val="22"/>
          <w:u w:val="single"/>
          <w:lang w:val="hy-AM" w:eastAsia="en-US"/>
        </w:rPr>
        <w:t>Կանխատեսում։</w:t>
      </w:r>
      <w:r w:rsidRPr="00A83C94">
        <w:rPr>
          <w:rFonts w:eastAsia="Calibri" w:cs="Sylfaen"/>
          <w:b w:val="0"/>
          <w:szCs w:val="22"/>
          <w:lang w:val="hy-AM" w:eastAsia="en-US"/>
        </w:rPr>
        <w:t xml:space="preserve"> </w:t>
      </w:r>
      <w:r w:rsidRPr="00A83C94">
        <w:rPr>
          <w:b w:val="0"/>
          <w:lang w:val="hy-AM"/>
        </w:rPr>
        <w:t>Ներքին պահանջարկի արագ վերականգնումը կարտացոլվի ներմուծման արագացմամբ, սակայն արտահանման առաջանցիկ աճն ու դրամական փոխանցումների բարձր մակարդակները կնպաստեն ընթացիկ հաշվի բարելավմանը, որը 2021թ</w:t>
      </w:r>
      <w:r w:rsidRPr="00A83C94">
        <w:rPr>
          <w:rFonts w:ascii="Cambria Math" w:hAnsi="Cambria Math" w:cs="Cambria Math"/>
          <w:b w:val="0"/>
          <w:lang w:val="hy-AM"/>
        </w:rPr>
        <w:t>․</w:t>
      </w:r>
      <w:r w:rsidRPr="00A83C94">
        <w:rPr>
          <w:rFonts w:eastAsiaTheme="majorEastAsia"/>
          <w:b w:val="0"/>
          <w:lang w:val="hy-AM"/>
        </w:rPr>
        <w:t xml:space="preserve"> կմոտենա</w:t>
      </w:r>
      <w:r w:rsidRPr="00A83C94">
        <w:rPr>
          <w:rFonts w:eastAsiaTheme="majorEastAsia"/>
          <w:b w:val="0"/>
          <w:lang w:val="it-IT"/>
        </w:rPr>
        <w:t xml:space="preserve"> </w:t>
      </w:r>
      <w:r w:rsidRPr="00A83C94">
        <w:rPr>
          <w:rFonts w:eastAsiaTheme="majorEastAsia"/>
          <w:b w:val="0"/>
          <w:lang w:val="hy-AM"/>
        </w:rPr>
        <w:t>ՀՆԱ</w:t>
      </w:r>
      <w:r w:rsidRPr="00A83C94">
        <w:rPr>
          <w:rFonts w:eastAsiaTheme="majorEastAsia"/>
          <w:b w:val="0"/>
          <w:lang w:val="it-IT"/>
        </w:rPr>
        <w:t>-</w:t>
      </w:r>
      <w:r w:rsidRPr="00A83C94">
        <w:rPr>
          <w:rFonts w:eastAsiaTheme="majorEastAsia"/>
          <w:b w:val="0"/>
          <w:lang w:val="hy-AM"/>
        </w:rPr>
        <w:t>ի</w:t>
      </w:r>
      <w:r w:rsidRPr="00A83C94">
        <w:rPr>
          <w:rFonts w:eastAsiaTheme="majorEastAsia"/>
          <w:b w:val="0"/>
          <w:lang w:val="it-IT"/>
        </w:rPr>
        <w:t xml:space="preserve"> </w:t>
      </w:r>
      <w:r w:rsidRPr="00A83C94">
        <w:rPr>
          <w:rFonts w:eastAsiaTheme="majorEastAsia"/>
          <w:b w:val="0"/>
          <w:lang w:val="hy-AM"/>
        </w:rPr>
        <w:t>1</w:t>
      </w:r>
      <w:r w:rsidRPr="00A83C94">
        <w:rPr>
          <w:rFonts w:eastAsiaTheme="majorEastAsia"/>
          <w:b w:val="0"/>
          <w:lang w:val="it-IT"/>
        </w:rPr>
        <w:t>.</w:t>
      </w:r>
      <w:r w:rsidRPr="00A83C94">
        <w:rPr>
          <w:rFonts w:eastAsiaTheme="majorEastAsia"/>
          <w:b w:val="0"/>
          <w:lang w:val="hy-AM"/>
        </w:rPr>
        <w:t>7</w:t>
      </w:r>
      <w:r w:rsidRPr="00A83C94">
        <w:rPr>
          <w:rFonts w:eastAsiaTheme="majorEastAsia"/>
          <w:b w:val="0"/>
          <w:lang w:val="it-IT"/>
        </w:rPr>
        <w:t xml:space="preserve">% </w:t>
      </w:r>
      <w:r w:rsidRPr="00A83C94">
        <w:rPr>
          <w:rFonts w:eastAsiaTheme="majorEastAsia"/>
          <w:b w:val="0"/>
          <w:lang w:val="hy-AM"/>
        </w:rPr>
        <w:t>մակարդակի</w:t>
      </w:r>
      <w:r w:rsidRPr="00A83C94">
        <w:rPr>
          <w:b w:val="0"/>
          <w:lang w:val="hy-AM"/>
        </w:rPr>
        <w:t>:</w:t>
      </w:r>
      <w:r w:rsidRPr="00A83C94">
        <w:rPr>
          <w:rFonts w:cs="Times Armenian"/>
          <w:b w:val="0"/>
          <w:bCs/>
          <w:szCs w:val="22"/>
          <w:lang w:val="hy-AM" w:eastAsia="en-US"/>
        </w:rPr>
        <w:t xml:space="preserve"> </w:t>
      </w:r>
      <w:r w:rsidRPr="00A83C94">
        <w:rPr>
          <w:rFonts w:eastAsiaTheme="majorEastAsia"/>
          <w:b w:val="0"/>
          <w:lang w:val="hy-AM"/>
        </w:rPr>
        <w:t>2022թ</w:t>
      </w:r>
      <w:r w:rsidRPr="00A83C94">
        <w:rPr>
          <w:rFonts w:ascii="Cambria Math" w:eastAsiaTheme="majorEastAsia" w:hAnsi="Cambria Math" w:cs="Cambria Math"/>
          <w:b w:val="0"/>
          <w:lang w:val="hy-AM"/>
        </w:rPr>
        <w:t xml:space="preserve">․ </w:t>
      </w:r>
      <w:r w:rsidRPr="00A83C94">
        <w:rPr>
          <w:rFonts w:eastAsiaTheme="majorEastAsia"/>
          <w:b w:val="0"/>
          <w:lang w:val="hy-AM"/>
        </w:rPr>
        <w:t>ընթացիկ</w:t>
      </w:r>
      <w:r w:rsidRPr="00A83C94">
        <w:rPr>
          <w:rFonts w:eastAsiaTheme="majorEastAsia"/>
          <w:b w:val="0"/>
          <w:lang w:val="it-IT"/>
        </w:rPr>
        <w:t xml:space="preserve"> </w:t>
      </w:r>
      <w:r w:rsidRPr="00A83C94">
        <w:rPr>
          <w:rFonts w:eastAsiaTheme="majorEastAsia"/>
          <w:b w:val="0"/>
          <w:lang w:val="hy-AM"/>
        </w:rPr>
        <w:t>հաշվի</w:t>
      </w:r>
      <w:r w:rsidRPr="00A83C94">
        <w:rPr>
          <w:rFonts w:eastAsiaTheme="majorEastAsia"/>
          <w:b w:val="0"/>
          <w:lang w:val="it-IT"/>
        </w:rPr>
        <w:t xml:space="preserve"> </w:t>
      </w:r>
      <w:r w:rsidRPr="00A83C94">
        <w:rPr>
          <w:rFonts w:eastAsiaTheme="majorEastAsia"/>
          <w:b w:val="0"/>
          <w:lang w:val="hy-AM"/>
        </w:rPr>
        <w:t>պակասուրդը</w:t>
      </w:r>
      <w:r w:rsidRPr="00A83C94">
        <w:rPr>
          <w:rFonts w:eastAsiaTheme="majorEastAsia"/>
          <w:b w:val="0"/>
          <w:lang w:val="it-IT"/>
        </w:rPr>
        <w:t xml:space="preserve"> </w:t>
      </w:r>
      <w:r w:rsidRPr="00A83C94">
        <w:rPr>
          <w:rFonts w:eastAsiaTheme="majorEastAsia"/>
          <w:b w:val="0"/>
          <w:lang w:val="hy-AM"/>
        </w:rPr>
        <w:t>կխորանա՝</w:t>
      </w:r>
      <w:r w:rsidRPr="00A83C94">
        <w:rPr>
          <w:rFonts w:eastAsiaTheme="majorEastAsia"/>
          <w:b w:val="0"/>
          <w:lang w:val="it-IT"/>
        </w:rPr>
        <w:t xml:space="preserve"> </w:t>
      </w:r>
      <w:r w:rsidRPr="00A83C94">
        <w:rPr>
          <w:rFonts w:eastAsiaTheme="majorEastAsia"/>
          <w:b w:val="0"/>
          <w:lang w:val="hy-AM"/>
        </w:rPr>
        <w:t>ձգտելով</w:t>
      </w:r>
      <w:r w:rsidRPr="00A83C94">
        <w:rPr>
          <w:rFonts w:eastAsiaTheme="majorEastAsia"/>
          <w:b w:val="0"/>
          <w:lang w:val="it-IT"/>
        </w:rPr>
        <w:t xml:space="preserve"> </w:t>
      </w:r>
      <w:r w:rsidRPr="00A83C94">
        <w:rPr>
          <w:rFonts w:eastAsiaTheme="majorEastAsia"/>
          <w:b w:val="0"/>
          <w:lang w:val="hy-AM"/>
        </w:rPr>
        <w:t>իր</w:t>
      </w:r>
      <w:r w:rsidRPr="00A83C94">
        <w:rPr>
          <w:rFonts w:eastAsiaTheme="majorEastAsia"/>
          <w:b w:val="0"/>
          <w:lang w:val="it-IT"/>
        </w:rPr>
        <w:t xml:space="preserve"> </w:t>
      </w:r>
      <w:r w:rsidRPr="00A83C94">
        <w:rPr>
          <w:rFonts w:eastAsiaTheme="majorEastAsia"/>
          <w:b w:val="0"/>
          <w:lang w:val="hy-AM"/>
        </w:rPr>
        <w:t>հավասարակշիռ</w:t>
      </w:r>
      <w:r w:rsidRPr="00A83C94">
        <w:rPr>
          <w:rFonts w:eastAsiaTheme="majorEastAsia"/>
          <w:b w:val="0"/>
          <w:lang w:val="it-IT"/>
        </w:rPr>
        <w:t xml:space="preserve"> </w:t>
      </w:r>
      <w:r w:rsidRPr="00A83C94">
        <w:rPr>
          <w:rFonts w:eastAsiaTheme="majorEastAsia"/>
          <w:b w:val="0"/>
          <w:lang w:val="hy-AM"/>
        </w:rPr>
        <w:t>մակարդակին</w:t>
      </w:r>
      <w:r w:rsidRPr="00A83C94">
        <w:rPr>
          <w:rFonts w:eastAsiaTheme="majorEastAsia"/>
          <w:b w:val="0"/>
          <w:lang w:val="it-IT"/>
        </w:rPr>
        <w:t>:</w:t>
      </w:r>
      <w:r w:rsidRPr="00A83C94">
        <w:rPr>
          <w:rFonts w:eastAsiaTheme="majorEastAsia"/>
          <w:b w:val="0"/>
          <w:lang w:val="hy-AM"/>
        </w:rPr>
        <w:t xml:space="preserve"> </w:t>
      </w:r>
      <w:r w:rsidRPr="00A83C94">
        <w:rPr>
          <w:b w:val="0"/>
          <w:lang w:val="hy-AM"/>
        </w:rPr>
        <w:t>Ընթացիկ հաշվի պակասուրդի ավելացումը մեծամասամբ պայմանավորված կլինի ՀՀ կառավարության կողմից պետական ներդրումների իրականացման և մասանվոր ներդրումների խթանման արդյունքում ակնկալվող ներդրումային բնույթի ապրանքների ներմուծման աճի հաշվին առևտրային բացասական հաշվեկշռի խորացմամբ:</w:t>
      </w:r>
    </w:p>
    <w:p w14:paraId="192C540A" w14:textId="77777777" w:rsidR="00C34A4E" w:rsidRPr="00A83C94" w:rsidRDefault="00C34A4E" w:rsidP="00C34A4E">
      <w:pPr>
        <w:keepNext/>
        <w:keepLines/>
        <w:tabs>
          <w:tab w:val="left" w:pos="0"/>
        </w:tabs>
        <w:spacing w:before="0" w:line="276" w:lineRule="auto"/>
        <w:ind w:firstLine="0"/>
        <w:contextualSpacing w:val="0"/>
        <w:jc w:val="left"/>
        <w:rPr>
          <w:rFonts w:eastAsia="Calibri"/>
          <w:b w:val="0"/>
          <w:i/>
          <w:sz w:val="18"/>
          <w:szCs w:val="18"/>
          <w:lang w:val="hy-AM" w:eastAsia="en-US"/>
        </w:rPr>
      </w:pPr>
      <w:r w:rsidRPr="00A83C94">
        <w:rPr>
          <w:rFonts w:eastAsia="Calibri"/>
          <w:b w:val="0"/>
          <w:i/>
          <w:noProof/>
          <w:sz w:val="18"/>
          <w:szCs w:val="18"/>
          <w:lang w:val="en-US" w:eastAsia="en-US"/>
        </w:rPr>
        <w:drawing>
          <wp:anchor distT="0" distB="0" distL="114300" distR="114300" simplePos="0" relativeHeight="251858944" behindDoc="1" locked="0" layoutInCell="1" allowOverlap="1" wp14:anchorId="79247393" wp14:editId="0672B9DA">
            <wp:simplePos x="0" y="0"/>
            <wp:positionH relativeFrom="column">
              <wp:posOffset>3073400</wp:posOffset>
            </wp:positionH>
            <wp:positionV relativeFrom="paragraph">
              <wp:posOffset>300355</wp:posOffset>
            </wp:positionV>
            <wp:extent cx="3115310" cy="2264410"/>
            <wp:effectExtent l="0" t="0" r="8890" b="2540"/>
            <wp:wrapTight wrapText="bothSides">
              <wp:wrapPolygon edited="0">
                <wp:start x="0" y="0"/>
                <wp:lineTo x="0" y="21443"/>
                <wp:lineTo x="21530" y="21443"/>
                <wp:lineTo x="2153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r w:rsidRPr="00A83C94">
        <w:rPr>
          <w:rFonts w:eastAsia="Calibri" w:cs="Sylfaen"/>
          <w:i/>
          <w:szCs w:val="22"/>
          <w:lang w:val="hy-AM" w:eastAsia="en-US"/>
        </w:rPr>
        <w:t>Գծապատկեր</w:t>
      </w:r>
      <w:r w:rsidRPr="00A83C94">
        <w:rPr>
          <w:rFonts w:eastAsia="Calibri" w:cs="Times Armenian"/>
          <w:i/>
          <w:szCs w:val="22"/>
          <w:lang w:val="hy-AM" w:eastAsia="en-US"/>
        </w:rPr>
        <w:t xml:space="preserve"> 1.22.</w:t>
      </w:r>
      <w:r w:rsidRPr="00A83C94">
        <w:rPr>
          <w:rFonts w:eastAsia="Calibri" w:cs="Times Armenian"/>
          <w:b w:val="0"/>
          <w:i/>
          <w:sz w:val="21"/>
          <w:szCs w:val="20"/>
          <w:lang w:val="hy-AM" w:eastAsia="en-US"/>
        </w:rPr>
        <w:t xml:space="preserve"> </w:t>
      </w:r>
      <w:r w:rsidRPr="00A83C94">
        <w:rPr>
          <w:rFonts w:eastAsia="Calibri" w:cs="Sylfaen"/>
          <w:b w:val="0"/>
          <w:i/>
          <w:sz w:val="20"/>
          <w:szCs w:val="20"/>
          <w:lang w:val="hy-AM" w:eastAsia="en-US"/>
        </w:rPr>
        <w:t>Ընթացիկ հաշվի պակասուրդը և բաղադրատարրերը (ՀՆԱ-ում %)</w:t>
      </w:r>
    </w:p>
    <w:p w14:paraId="54A0B802" w14:textId="77777777" w:rsidR="00C34A4E" w:rsidRPr="00A83C94" w:rsidRDefault="00C34A4E" w:rsidP="00C34A4E">
      <w:pPr>
        <w:spacing w:before="0" w:line="276" w:lineRule="auto"/>
        <w:ind w:firstLine="0"/>
        <w:contextualSpacing w:val="0"/>
        <w:rPr>
          <w:rFonts w:eastAsia="Calibri"/>
          <w:b w:val="0"/>
          <w:i/>
          <w:sz w:val="16"/>
          <w:szCs w:val="16"/>
          <w:lang w:val="hy-AM"/>
        </w:rPr>
      </w:pPr>
      <w:r w:rsidRPr="00A83C94">
        <w:rPr>
          <w:rFonts w:eastAsia="Calibri"/>
          <w:b w:val="0"/>
          <w:i/>
          <w:noProof/>
          <w:sz w:val="16"/>
          <w:szCs w:val="16"/>
          <w:lang w:val="en-US" w:eastAsia="en-US"/>
        </w:rPr>
        <w:drawing>
          <wp:anchor distT="0" distB="0" distL="114300" distR="114300" simplePos="0" relativeHeight="251857920" behindDoc="1" locked="0" layoutInCell="1" allowOverlap="1" wp14:anchorId="7A50A5F3" wp14:editId="02FB5F9B">
            <wp:simplePos x="0" y="0"/>
            <wp:positionH relativeFrom="column">
              <wp:posOffset>-8255</wp:posOffset>
            </wp:positionH>
            <wp:positionV relativeFrom="paragraph">
              <wp:posOffset>66675</wp:posOffset>
            </wp:positionV>
            <wp:extent cx="2934335" cy="2264410"/>
            <wp:effectExtent l="0" t="0" r="18415" b="21590"/>
            <wp:wrapTight wrapText="bothSides">
              <wp:wrapPolygon edited="0">
                <wp:start x="0" y="0"/>
                <wp:lineTo x="0" y="21624"/>
                <wp:lineTo x="21595" y="21624"/>
                <wp:lineTo x="21595"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r w:rsidRPr="00A83C94">
        <w:rPr>
          <w:rFonts w:eastAsia="Calibri"/>
          <w:b w:val="0"/>
          <w:i/>
          <w:sz w:val="16"/>
          <w:szCs w:val="16"/>
          <w:lang w:val="hy-AM"/>
        </w:rPr>
        <w:t>Աղբյուրը՝ ՀՀ ՎԿ, ՀՀ ՖՆ հաշվարկներ և  կանխատեսումներ</w:t>
      </w:r>
    </w:p>
    <w:p w14:paraId="34BFFD4B" w14:textId="77777777" w:rsidR="00C34A4E" w:rsidRPr="00A83C94" w:rsidRDefault="00C34A4E" w:rsidP="00C34A4E">
      <w:pPr>
        <w:spacing w:before="0" w:after="120" w:line="276" w:lineRule="auto"/>
        <w:ind w:firstLine="0"/>
        <w:contextualSpacing w:val="0"/>
        <w:rPr>
          <w:rFonts w:eastAsia="Calibri" w:cs="Sylfaen"/>
          <w:szCs w:val="22"/>
          <w:u w:val="single"/>
          <w:lang w:val="hy-AM" w:eastAsia="en-US"/>
        </w:rPr>
      </w:pPr>
    </w:p>
    <w:p w14:paraId="4464F48C" w14:textId="46F24B25" w:rsidR="00C34A4E" w:rsidRPr="00A83C94" w:rsidRDefault="00C34A4E" w:rsidP="00C34A4E">
      <w:pPr>
        <w:spacing w:before="0" w:after="120" w:line="276" w:lineRule="auto"/>
        <w:ind w:left="7" w:firstLine="1"/>
        <w:contextualSpacing w:val="0"/>
        <w:rPr>
          <w:rFonts w:eastAsia="Calibri" w:cs="Sylfaen"/>
          <w:b w:val="0"/>
          <w:szCs w:val="22"/>
          <w:lang w:val="hy-AM" w:eastAsia="en-US"/>
        </w:rPr>
      </w:pPr>
      <w:r w:rsidRPr="00A83C94">
        <w:rPr>
          <w:rFonts w:eastAsia="Calibri" w:cs="Sylfaen"/>
          <w:szCs w:val="22"/>
          <w:lang w:val="hy-AM" w:eastAsia="en-US"/>
        </w:rPr>
        <w:t xml:space="preserve">        </w:t>
      </w:r>
      <w:r w:rsidRPr="00A83C94">
        <w:rPr>
          <w:rFonts w:eastAsia="Calibri" w:cs="Sylfaen"/>
          <w:szCs w:val="22"/>
          <w:u w:val="single"/>
          <w:lang w:val="hy-AM" w:eastAsia="en-US"/>
        </w:rPr>
        <w:t>Արտահանում:</w:t>
      </w:r>
      <w:r w:rsidRPr="00A83C94">
        <w:rPr>
          <w:rFonts w:eastAsia="Calibri" w:cs="Sylfaen"/>
          <w:szCs w:val="22"/>
          <w:lang w:val="hy-AM" w:eastAsia="en-US"/>
        </w:rPr>
        <w:t xml:space="preserve"> 2020թ. արձանագրվել է ապրանքների և ծառայությունների դոլարային արտահանման 34.2% անկում: </w:t>
      </w:r>
      <w:r w:rsidRPr="00A83C94">
        <w:rPr>
          <w:rFonts w:eastAsia="Calibri" w:cs="Sylfaen"/>
          <w:b w:val="0"/>
          <w:bCs/>
          <w:szCs w:val="22"/>
          <w:lang w:val="hy-AM" w:eastAsia="en-US"/>
        </w:rPr>
        <w:t xml:space="preserve">Հիմնականում պայմանավորված համավարակի հետևանքով տնտեսությունում արտադրության կրճատմամբ, սահմանափակումներով և արտաքին պահանջարկի նվազմամբ ապրանքների </w:t>
      </w:r>
      <w:r w:rsidRPr="00A83C94">
        <w:rPr>
          <w:rFonts w:eastAsia="Calibri" w:cs="Sylfaen"/>
          <w:b w:val="0"/>
          <w:szCs w:val="22"/>
          <w:lang w:val="hy-AM" w:eastAsia="en-US"/>
        </w:rPr>
        <w:t>արտահանումը 2020թ</w:t>
      </w:r>
      <w:r w:rsidRPr="00A83C94">
        <w:rPr>
          <w:rFonts w:ascii="MS Gothic" w:eastAsia="MS Gothic" w:hAnsi="MS Gothic" w:cs="MS Gothic" w:hint="eastAsia"/>
          <w:b w:val="0"/>
          <w:szCs w:val="22"/>
          <w:lang w:val="hy-AM" w:eastAsia="en-US"/>
        </w:rPr>
        <w:t>․</w:t>
      </w:r>
      <w:r w:rsidR="006C6E30">
        <w:rPr>
          <w:rFonts w:ascii="MS Gothic" w:eastAsia="MS Gothic" w:hAnsi="MS Gothic" w:cs="MS Gothic" w:hint="eastAsia"/>
          <w:b w:val="0"/>
          <w:szCs w:val="22"/>
          <w:lang w:val="hy-AM" w:eastAsia="en-US"/>
        </w:rPr>
        <w:t xml:space="preserve"> </w:t>
      </w:r>
      <w:r w:rsidRPr="00A83C94">
        <w:rPr>
          <w:rFonts w:eastAsia="Calibri" w:cs="Sylfaen"/>
          <w:b w:val="0"/>
          <w:szCs w:val="22"/>
          <w:lang w:val="hy-AM" w:eastAsia="en-US"/>
        </w:rPr>
        <w:t>կրճատվել է 19.2%-ով: Համավարակի պայմաններում տուրիզմի կտրուկ անկման հետևանքով առավել մեծ վնասներ է կրել ծառայությունների արտահանումը՝ 2020թ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 կրճատվելով 54.5%-ով:</w:t>
      </w:r>
    </w:p>
    <w:p w14:paraId="70067194" w14:textId="77777777" w:rsidR="00C34A4E" w:rsidRPr="00A83C94" w:rsidRDefault="00C34A4E" w:rsidP="00C34A4E">
      <w:pPr>
        <w:spacing w:before="0" w:after="120" w:line="276" w:lineRule="auto"/>
        <w:ind w:firstLine="720"/>
        <w:contextualSpacing w:val="0"/>
        <w:rPr>
          <w:rFonts w:eastAsia="Calibri" w:cs="Sylfaen"/>
          <w:b w:val="0"/>
          <w:szCs w:val="22"/>
          <w:lang w:val="hy-AM" w:eastAsia="en-US"/>
        </w:rPr>
      </w:pPr>
      <w:r w:rsidRPr="00A83C94">
        <w:rPr>
          <w:rFonts w:eastAsia="Calibri" w:cs="Sylfaen"/>
          <w:szCs w:val="22"/>
          <w:lang w:val="hy-AM" w:eastAsia="en-US"/>
        </w:rPr>
        <w:t>Ծառայությունների նվազման նախորդ տարվա միտումները շարունակվում են</w:t>
      </w:r>
      <w:r w:rsidRPr="00A83C94">
        <w:rPr>
          <w:rFonts w:ascii="Cambria Math" w:eastAsia="Calibri" w:hAnsi="Cambria Math" w:cs="Cambria Math"/>
          <w:szCs w:val="22"/>
          <w:lang w:val="hy-AM" w:eastAsia="en-US"/>
        </w:rPr>
        <w:t>․</w:t>
      </w:r>
      <w:r w:rsidRPr="00A83C94">
        <w:rPr>
          <w:rFonts w:eastAsia="Calibri" w:cs="Sylfaen"/>
          <w:b w:val="0"/>
          <w:szCs w:val="22"/>
          <w:lang w:val="hy-AM" w:eastAsia="en-US"/>
        </w:rPr>
        <w:t xml:space="preserve"> </w:t>
      </w:r>
      <w:r w:rsidRPr="00A83C94">
        <w:rPr>
          <w:rFonts w:eastAsia="Calibri" w:cs="Sylfaen"/>
          <w:szCs w:val="22"/>
          <w:lang w:val="hy-AM" w:eastAsia="en-US"/>
        </w:rPr>
        <w:t xml:space="preserve">2021թ. նույնպես համավարակից առավել մեծ վնասներ է կրում ծառայությունների արտահանման ոլորտը։ </w:t>
      </w:r>
      <w:r w:rsidRPr="00A83C94">
        <w:rPr>
          <w:rFonts w:eastAsia="Calibri" w:cs="Sylfaen"/>
          <w:b w:val="0"/>
          <w:szCs w:val="22"/>
          <w:lang w:val="hy-AM" w:eastAsia="en-US"/>
        </w:rPr>
        <w:t>2021թ. առաջին կիսամյակում ծառայությունների արտահանումը կրճատվել է 14.9%-ով</w:t>
      </w:r>
      <w:r w:rsidRPr="00A83C94">
        <w:rPr>
          <w:rFonts w:eastAsia="Calibri" w:cs="Sylfaen"/>
          <w:b w:val="0"/>
          <w:szCs w:val="22"/>
          <w:vertAlign w:val="superscript"/>
          <w:lang w:val="hy-AM" w:eastAsia="en-US"/>
        </w:rPr>
        <w:footnoteReference w:id="8"/>
      </w:r>
      <w:r w:rsidRPr="00A83C94">
        <w:rPr>
          <w:rFonts w:eastAsia="Calibri" w:cs="Sylfaen"/>
          <w:b w:val="0"/>
          <w:szCs w:val="22"/>
          <w:lang w:val="hy-AM" w:eastAsia="en-US"/>
        </w:rPr>
        <w:t xml:space="preserve">, որին հիմնականում նպաստել է զբոսաշրջության արտահանման շուրջ 22% անկումը։ </w:t>
      </w:r>
    </w:p>
    <w:p w14:paraId="424028FC" w14:textId="77777777" w:rsidR="00C34A4E" w:rsidRPr="00A83C94" w:rsidRDefault="00C34A4E" w:rsidP="00C34A4E">
      <w:pPr>
        <w:spacing w:before="0" w:after="120" w:line="276" w:lineRule="auto"/>
        <w:ind w:left="7" w:firstLine="1"/>
        <w:contextualSpacing w:val="0"/>
        <w:rPr>
          <w:rFonts w:eastAsiaTheme="majorEastAsia"/>
          <w:b w:val="0"/>
          <w:lang w:val="hy-AM"/>
        </w:rPr>
      </w:pPr>
      <w:r w:rsidRPr="00A83C94">
        <w:rPr>
          <w:rFonts w:eastAsiaTheme="majorEastAsia"/>
          <w:bCs/>
          <w:lang w:val="hy-AM"/>
        </w:rPr>
        <w:t xml:space="preserve">          ՀՀ ապրանքների արտահանումը սկսել է արագ վերականգնվել</w:t>
      </w:r>
      <w:r w:rsidRPr="00A83C94">
        <w:rPr>
          <w:rFonts w:ascii="Cambria Math" w:eastAsiaTheme="majorEastAsia" w:hAnsi="Cambria Math" w:cs="Cambria Math"/>
          <w:bCs/>
          <w:lang w:val="hy-AM"/>
        </w:rPr>
        <w:t>․</w:t>
      </w:r>
      <w:r w:rsidRPr="00A83C94">
        <w:rPr>
          <w:rFonts w:eastAsiaTheme="majorEastAsia"/>
          <w:bCs/>
          <w:lang w:val="hy-AM"/>
        </w:rPr>
        <w:t xml:space="preserve"> 2021թ. հունվար-օգոստոս ամիսներին աճը կազմել է 21.8%</w:t>
      </w:r>
      <w:r w:rsidRPr="00A83C94">
        <w:rPr>
          <w:rFonts w:eastAsiaTheme="majorEastAsia"/>
          <w:lang w:val="hy-AM"/>
        </w:rPr>
        <w:t xml:space="preserve">, </w:t>
      </w:r>
      <w:r w:rsidRPr="00A83C94">
        <w:rPr>
          <w:rFonts w:eastAsiaTheme="majorEastAsia"/>
          <w:b w:val="0"/>
          <w:lang w:val="hy-AM"/>
        </w:rPr>
        <w:t xml:space="preserve">ինչը տեղի է ունեցել տնտեսական ակտիվության վերականգման, պղնձի համաշխարհային գների աճի և արտաքին պահանջարկի վերականգնման հաշվին: </w:t>
      </w:r>
    </w:p>
    <w:p w14:paraId="32712CE1" w14:textId="77777777" w:rsidR="00C34A4E" w:rsidRPr="00A83C94" w:rsidRDefault="00C34A4E" w:rsidP="00C34A4E">
      <w:pPr>
        <w:keepNext/>
        <w:keepLines/>
        <w:spacing w:before="0" w:line="276" w:lineRule="auto"/>
        <w:ind w:firstLine="0"/>
        <w:contextualSpacing w:val="0"/>
        <w:rPr>
          <w:rFonts w:eastAsia="Calibri" w:cs="Sylfaen"/>
          <w:b w:val="0"/>
          <w:bCs/>
          <w:i/>
          <w:sz w:val="20"/>
          <w:szCs w:val="20"/>
          <w:lang w:val="hy-AM" w:eastAsia="en-US"/>
        </w:rPr>
      </w:pPr>
      <w:r w:rsidRPr="00A83C94">
        <w:rPr>
          <w:rFonts w:eastAsia="Calibri"/>
          <w:i/>
          <w:noProof/>
          <w:color w:val="990033"/>
          <w:szCs w:val="22"/>
          <w:lang w:val="en-US" w:eastAsia="en-US"/>
        </w:rPr>
        <w:drawing>
          <wp:anchor distT="0" distB="0" distL="114300" distR="114300" simplePos="0" relativeHeight="251860992" behindDoc="1" locked="0" layoutInCell="1" allowOverlap="1" wp14:anchorId="008F6866" wp14:editId="18A4AF2E">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A83C94">
        <w:rPr>
          <w:rFonts w:eastAsia="Calibri"/>
          <w:i/>
          <w:noProof/>
          <w:szCs w:val="22"/>
          <w:lang w:val="en-US" w:eastAsia="en-US"/>
        </w:rPr>
        <w:drawing>
          <wp:anchor distT="0" distB="0" distL="114300" distR="114300" simplePos="0" relativeHeight="251862016" behindDoc="1" locked="0" layoutInCell="1" allowOverlap="1" wp14:anchorId="00E142F0" wp14:editId="5CD19F9F">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A83C94">
        <w:rPr>
          <w:rFonts w:eastAsia="Calibri" w:cs="Sylfaen"/>
          <w:i/>
          <w:szCs w:val="22"/>
          <w:lang w:val="hy-AM" w:eastAsia="en-US"/>
        </w:rPr>
        <w:t>Գծապատկեր 1.23</w:t>
      </w:r>
      <w:r w:rsidRPr="00A83C94">
        <w:rPr>
          <w:rFonts w:ascii="MS Gothic" w:eastAsia="MS Gothic" w:hAnsi="MS Gothic" w:cs="MS Gothic" w:hint="eastAsia"/>
          <w:i/>
          <w:szCs w:val="22"/>
          <w:lang w:val="hy-AM" w:eastAsia="en-US"/>
        </w:rPr>
        <w:t>․</w:t>
      </w:r>
      <w:r w:rsidRPr="00A83C94">
        <w:rPr>
          <w:rFonts w:eastAsia="Calibri" w:cs="Sylfaen"/>
          <w:b w:val="0"/>
          <w:bCs/>
          <w:i/>
          <w:sz w:val="20"/>
          <w:szCs w:val="20"/>
          <w:lang w:val="hy-AM" w:eastAsia="en-US"/>
        </w:rPr>
        <w:t xml:space="preserve"> 2021թ. ապրանքների արտահանման միտումները, %</w:t>
      </w:r>
    </w:p>
    <w:p w14:paraId="3AD38BB4" w14:textId="77777777" w:rsidR="00C34A4E" w:rsidRPr="00A83C94" w:rsidRDefault="00C34A4E" w:rsidP="00C34A4E">
      <w:pPr>
        <w:spacing w:before="0" w:line="276" w:lineRule="auto"/>
        <w:ind w:firstLine="540"/>
        <w:contextualSpacing w:val="0"/>
        <w:rPr>
          <w:rFonts w:eastAsia="Calibri"/>
          <w:b w:val="0"/>
          <w:i/>
          <w:sz w:val="16"/>
          <w:szCs w:val="16"/>
          <w:lang w:val="hy-AM"/>
        </w:rPr>
      </w:pPr>
      <w:r w:rsidRPr="00A83C94">
        <w:rPr>
          <w:rFonts w:eastAsia="Calibri"/>
          <w:b w:val="0"/>
          <w:i/>
          <w:sz w:val="16"/>
          <w:szCs w:val="16"/>
          <w:lang w:val="hy-AM"/>
        </w:rPr>
        <w:t>Աղբյուրը՝ ՀՀ ՎԿ և ՀՀ ՖՆ հաշվարկներ:</w:t>
      </w:r>
    </w:p>
    <w:p w14:paraId="60A35BAB" w14:textId="77777777" w:rsidR="00C34A4E" w:rsidRPr="00A83C94" w:rsidRDefault="00C34A4E" w:rsidP="00C34A4E">
      <w:pPr>
        <w:spacing w:before="0" w:line="276" w:lineRule="auto"/>
        <w:ind w:firstLine="0"/>
        <w:contextualSpacing w:val="0"/>
        <w:rPr>
          <w:rFonts w:eastAsia="Calibri" w:cs="Sylfaen"/>
          <w:szCs w:val="22"/>
          <w:u w:val="single"/>
          <w:lang w:val="hy-AM" w:eastAsia="en-US"/>
        </w:rPr>
      </w:pPr>
    </w:p>
    <w:p w14:paraId="7600A2CF" w14:textId="77777777" w:rsidR="00C34A4E" w:rsidRPr="00A83C94" w:rsidRDefault="00C34A4E" w:rsidP="00C34A4E">
      <w:pPr>
        <w:tabs>
          <w:tab w:val="left" w:pos="0"/>
        </w:tabs>
        <w:spacing w:before="0" w:after="120" w:line="276" w:lineRule="auto"/>
        <w:ind w:firstLine="539"/>
        <w:contextualSpacing w:val="0"/>
        <w:rPr>
          <w:rFonts w:eastAsia="Calibri" w:cs="Sylfaen"/>
          <w:b w:val="0"/>
          <w:color w:val="FF0000"/>
          <w:szCs w:val="22"/>
          <w:lang w:val="hy-AM" w:eastAsia="en-US"/>
        </w:rPr>
      </w:pPr>
      <w:r w:rsidRPr="00A83C94">
        <w:rPr>
          <w:rFonts w:eastAsiaTheme="majorEastAsia"/>
          <w:iCs/>
          <w:u w:val="single"/>
          <w:lang w:val="hy-AM"/>
        </w:rPr>
        <w:t>Կանխատեսում</w:t>
      </w:r>
      <w:r w:rsidRPr="00A83C94">
        <w:rPr>
          <w:rFonts w:eastAsiaTheme="majorEastAsia"/>
          <w:lang w:val="hy-AM"/>
        </w:rPr>
        <w:t xml:space="preserve">։ </w:t>
      </w:r>
      <w:r w:rsidRPr="00A83C94">
        <w:rPr>
          <w:rFonts w:eastAsiaTheme="majorEastAsia"/>
          <w:b w:val="0"/>
          <w:lang w:val="hy-AM"/>
        </w:rPr>
        <w:t>2021թ. սպասվում է մոտ 20.2% արտահանման աճ, ինչը պայմանավորված կլինելի արտաքին պահանջարկի վերականգմամբ, մետաղների միջազգային գների աճով և դեպի Հայաստան ժամանման սահմանափակումների որոշակի թուլացմամբ։ Այդուհանդերձ՝ Սոթքի հանքավայրի շահագործման մասշտաբների կրճատումը և դեպի Արցախ արտահանման հետ կապված կորուստները ապրանքների արտահանման զսպող գործոններ կհանդիսանան, իսկ տուրիզմի հաշվին ծառայությունների արտահանման վերականգնումը կլինի համեմատաբար դանդաղ: Համաշխարհային և ՀՀ տնտեսական ակտիվության, պղնձի գների բարձր մակարդակով, զբոսաշրջության աստիճանական վերականգնմամբ և արտահանելի հատվածի ներդրումների խթանմանն ուղղված ՀՀ կառավարության քաղաքականության ջանքերին համահունչ 2022թ. ակնկալվում է ապրանքների և ծառայությունների արտահանման 16.6% աճ:</w:t>
      </w:r>
      <w:r w:rsidRPr="00A83C94">
        <w:rPr>
          <w:rFonts w:eastAsia="Calibri" w:cs="Sylfaen"/>
          <w:b w:val="0"/>
          <w:color w:val="FF0000"/>
          <w:szCs w:val="22"/>
          <w:lang w:val="hy-AM" w:eastAsia="en-US"/>
        </w:rPr>
        <w:t xml:space="preserve"> </w:t>
      </w:r>
    </w:p>
    <w:p w14:paraId="1172CA6D" w14:textId="77777777" w:rsidR="00C34A4E" w:rsidRPr="00A83C94" w:rsidRDefault="00C34A4E" w:rsidP="00C34A4E">
      <w:pPr>
        <w:spacing w:line="276" w:lineRule="auto"/>
        <w:rPr>
          <w:rFonts w:eastAsiaTheme="majorEastAsia"/>
          <w:bCs/>
          <w:lang w:val="hy-AM"/>
        </w:rPr>
      </w:pPr>
      <w:r w:rsidRPr="00A83C94">
        <w:rPr>
          <w:rFonts w:eastAsia="Calibri" w:cs="Sylfaen"/>
          <w:szCs w:val="22"/>
          <w:u w:val="single"/>
          <w:lang w:val="hy-AM" w:eastAsia="en-US"/>
        </w:rPr>
        <w:t>Ներմուծում:</w:t>
      </w:r>
      <w:r w:rsidRPr="00A83C94">
        <w:rPr>
          <w:rFonts w:eastAsia="Calibri" w:cs="Sylfaen"/>
          <w:szCs w:val="22"/>
          <w:lang w:val="hy-AM" w:eastAsia="en-US"/>
        </w:rPr>
        <w:t xml:space="preserve"> </w:t>
      </w:r>
      <w:r w:rsidRPr="00A83C94">
        <w:rPr>
          <w:rFonts w:eastAsiaTheme="majorEastAsia"/>
          <w:bCs/>
          <w:lang w:val="hy-AM"/>
        </w:rPr>
        <w:t>2020թ. ապրանքների և ծառայությունների ներմուծումը նվազել է 33.2%-ով:</w:t>
      </w:r>
      <w:r w:rsidRPr="00A83C94">
        <w:rPr>
          <w:rFonts w:eastAsiaTheme="majorEastAsia"/>
          <w:b w:val="0"/>
          <w:bCs/>
          <w:lang w:val="hy-AM"/>
        </w:rPr>
        <w:t xml:space="preserve"> 2020թ</w:t>
      </w:r>
      <w:r w:rsidRPr="00A83C94">
        <w:rPr>
          <w:rFonts w:ascii="Cambria Math" w:eastAsiaTheme="majorEastAsia" w:hAnsi="Cambria Math" w:cs="Cambria Math"/>
          <w:b w:val="0"/>
          <w:bCs/>
          <w:lang w:val="hy-AM"/>
        </w:rPr>
        <w:t>․</w:t>
      </w:r>
      <w:r w:rsidRPr="00A83C94">
        <w:rPr>
          <w:rFonts w:eastAsiaTheme="majorEastAsia"/>
          <w:b w:val="0"/>
          <w:bCs/>
          <w:lang w:val="hy-AM"/>
        </w:rPr>
        <w:t xml:space="preserve"> արձանագրվել է ապրանքների ներմուծման 20% անկում`</w:t>
      </w:r>
      <w:r w:rsidRPr="00A83C94">
        <w:rPr>
          <w:rFonts w:eastAsiaTheme="majorEastAsia"/>
          <w:b w:val="0"/>
          <w:lang w:val="hy-AM"/>
        </w:rPr>
        <w:t xml:space="preserve"> պայմանավորված հիմնականում ավտոմեքենաների ներկրման մաքսատուրքերի բարձրացման հետևանքով դրանց ծավալների կտրուկ նվազմամբ, ինչպես նաև համավարակի, Արցախյան պատերազմի և տնտեսական ակտիվության անկման պայմաններում ներքին պահանջարկի նվազմամբ։ Ծառայությունների ներմուծման նվազումը 2020թ. կազմել է 59.8% և հիմնականում պայմանավորվել է սահմանափակումների հետևանքով ճանապարհորդության և դրա հետ կապված ծառայությունների կտրուկ անկմամբ (մոտ 80%):</w:t>
      </w:r>
    </w:p>
    <w:p w14:paraId="7BCC685F" w14:textId="77777777" w:rsidR="00C34A4E" w:rsidRPr="00A83C94" w:rsidRDefault="00C34A4E" w:rsidP="00C34A4E">
      <w:pPr>
        <w:tabs>
          <w:tab w:val="left" w:pos="0"/>
        </w:tabs>
        <w:spacing w:before="0" w:after="120" w:line="276" w:lineRule="auto"/>
        <w:ind w:firstLine="539"/>
        <w:contextualSpacing w:val="0"/>
        <w:rPr>
          <w:rFonts w:eastAsia="Calibri" w:cs="Sylfaen"/>
          <w:szCs w:val="22"/>
          <w:lang w:val="hy-AM" w:eastAsia="en-US"/>
        </w:rPr>
      </w:pPr>
      <w:r w:rsidRPr="00A83C94">
        <w:rPr>
          <w:rFonts w:eastAsia="Calibri" w:cs="Sylfaen"/>
          <w:szCs w:val="22"/>
          <w:lang w:val="hy-AM" w:eastAsia="en-US"/>
        </w:rPr>
        <w:t xml:space="preserve">Չնայած տարեսկզբի նվազման տեմպերին 2021թ. հունվար-օգոստոս ամիսներին արձանագրվել է ապրանքների ներմուծման 7.7% աճ՝ </w:t>
      </w:r>
      <w:r w:rsidRPr="00A83C94">
        <w:rPr>
          <w:rFonts w:eastAsia="Calibri" w:cs="Sylfaen"/>
          <w:b w:val="0"/>
          <w:szCs w:val="22"/>
          <w:lang w:val="hy-AM" w:eastAsia="en-US"/>
        </w:rPr>
        <w:t>հիմնականում տնտեսական ակտիվության աստիճանական վերականգնման պայմաններում ներքին պահանջարկի վերականգնմամբ պայմանավորված: 2021թ. առաջին կիսամյակի տվյալներով ծառայությունների ներմուծումը շարունակել է անկում</w:t>
      </w:r>
      <w:r w:rsidRPr="00A83C94">
        <w:rPr>
          <w:rFonts w:eastAsia="Calibri" w:cs="Sylfaen"/>
          <w:b w:val="0"/>
          <w:szCs w:val="22"/>
          <w:vertAlign w:val="superscript"/>
          <w:lang w:val="hy-AM" w:eastAsia="en-US"/>
        </w:rPr>
        <w:footnoteReference w:id="9"/>
      </w:r>
      <w:r w:rsidRPr="00A83C94">
        <w:rPr>
          <w:rFonts w:eastAsia="Calibri" w:cs="Sylfaen"/>
          <w:b w:val="0"/>
          <w:szCs w:val="22"/>
          <w:lang w:val="hy-AM" w:eastAsia="en-US"/>
        </w:rPr>
        <w:t xml:space="preserve"> ապրել՝ հիմնականում ճանապարհորդության խորը անկման հաշվին: </w:t>
      </w:r>
      <w:r w:rsidRPr="00A83C94">
        <w:rPr>
          <w:rFonts w:eastAsia="Calibri" w:cs="Sylfaen"/>
          <w:szCs w:val="22"/>
          <w:lang w:val="hy-AM" w:eastAsia="en-US"/>
        </w:rPr>
        <w:t xml:space="preserve"> </w:t>
      </w:r>
    </w:p>
    <w:p w14:paraId="6BCD0E3A" w14:textId="77777777" w:rsidR="00C34A4E" w:rsidRPr="00A83C94" w:rsidRDefault="00C34A4E" w:rsidP="00C34A4E">
      <w:pPr>
        <w:tabs>
          <w:tab w:val="left" w:pos="0"/>
        </w:tabs>
        <w:spacing w:before="0" w:after="120" w:line="276" w:lineRule="auto"/>
        <w:ind w:firstLine="539"/>
        <w:contextualSpacing w:val="0"/>
        <w:rPr>
          <w:rFonts w:eastAsia="Calibri" w:cs="Sylfaen"/>
          <w:b w:val="0"/>
          <w:bCs/>
          <w:i/>
          <w:iCs/>
          <w:szCs w:val="22"/>
          <w:lang w:val="hy-AM" w:eastAsia="en-US"/>
        </w:rPr>
      </w:pPr>
      <w:r w:rsidRPr="00A83C94">
        <w:rPr>
          <w:rFonts w:eastAsia="Calibri"/>
          <w:bCs/>
          <w:i/>
          <w:iCs/>
          <w:noProof/>
          <w:szCs w:val="22"/>
          <w:lang w:val="en-US" w:eastAsia="en-US"/>
        </w:rPr>
        <w:drawing>
          <wp:anchor distT="0" distB="0" distL="114300" distR="114300" simplePos="0" relativeHeight="251859968" behindDoc="1" locked="0" layoutInCell="1" allowOverlap="1" wp14:anchorId="70E59020" wp14:editId="31D712B0">
            <wp:simplePos x="0" y="0"/>
            <wp:positionH relativeFrom="margin">
              <wp:posOffset>3133559</wp:posOffset>
            </wp:positionH>
            <wp:positionV relativeFrom="paragraph">
              <wp:posOffset>370233</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Pr="00A83C94">
        <w:rPr>
          <w:rFonts w:eastAsia="Calibri" w:cs="Sylfaen"/>
          <w:bCs/>
          <w:i/>
          <w:iCs/>
          <w:noProof/>
          <w:szCs w:val="22"/>
          <w:lang w:val="en-US" w:eastAsia="en-US"/>
        </w:rPr>
        <w:drawing>
          <wp:anchor distT="0" distB="0" distL="114300" distR="114300" simplePos="0" relativeHeight="251856896" behindDoc="1" locked="0" layoutInCell="1" allowOverlap="1" wp14:anchorId="22F4B58B" wp14:editId="20E5538A">
            <wp:simplePos x="0" y="0"/>
            <wp:positionH relativeFrom="margin">
              <wp:posOffset>36195</wp:posOffset>
            </wp:positionH>
            <wp:positionV relativeFrom="paragraph">
              <wp:posOffset>376196</wp:posOffset>
            </wp:positionV>
            <wp:extent cx="3051175" cy="1966595"/>
            <wp:effectExtent l="0" t="0" r="15875" b="14605"/>
            <wp:wrapTight wrapText="bothSides">
              <wp:wrapPolygon edited="0">
                <wp:start x="0" y="0"/>
                <wp:lineTo x="0" y="21551"/>
                <wp:lineTo x="21578" y="21551"/>
                <wp:lineTo x="21578"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anchor>
        </w:drawing>
      </w:r>
      <w:r w:rsidRPr="00A83C94">
        <w:rPr>
          <w:rFonts w:eastAsia="Calibri" w:cs="Sylfaen"/>
          <w:bCs/>
          <w:i/>
          <w:iCs/>
          <w:szCs w:val="22"/>
          <w:lang w:val="hy-AM" w:eastAsia="en-US"/>
        </w:rPr>
        <w:t>Գծապատկեր 1.24</w:t>
      </w:r>
      <w:r w:rsidRPr="00A83C94">
        <w:rPr>
          <w:rFonts w:ascii="MS Gothic" w:eastAsia="MS Gothic" w:hAnsi="MS Gothic" w:cs="MS Gothic" w:hint="eastAsia"/>
          <w:bCs/>
          <w:i/>
          <w:iCs/>
          <w:szCs w:val="22"/>
          <w:lang w:val="hy-AM" w:eastAsia="en-US"/>
        </w:rPr>
        <w:t>․</w:t>
      </w:r>
      <w:r w:rsidRPr="00A83C94">
        <w:rPr>
          <w:rFonts w:eastAsia="Calibri" w:cs="Sylfaen"/>
          <w:b w:val="0"/>
          <w:bCs/>
          <w:i/>
          <w:iCs/>
          <w:sz w:val="21"/>
          <w:szCs w:val="21"/>
          <w:lang w:val="hy-AM" w:eastAsia="en-US"/>
        </w:rPr>
        <w:t xml:space="preserve"> </w:t>
      </w:r>
      <w:r w:rsidRPr="00A83C94">
        <w:rPr>
          <w:rFonts w:eastAsia="Calibri" w:cs="Sylfaen"/>
          <w:b w:val="0"/>
          <w:bCs/>
          <w:i/>
          <w:iCs/>
          <w:sz w:val="20"/>
          <w:szCs w:val="20"/>
          <w:lang w:val="hy-AM" w:eastAsia="en-US"/>
        </w:rPr>
        <w:t>2021թ. ապրանքների ներմուծման միտումները, %</w:t>
      </w:r>
    </w:p>
    <w:p w14:paraId="34A7C1E1" w14:textId="77777777" w:rsidR="00C34A4E" w:rsidRPr="00A83C94" w:rsidRDefault="00C34A4E" w:rsidP="00C34A4E">
      <w:pPr>
        <w:tabs>
          <w:tab w:val="left" w:pos="0"/>
        </w:tabs>
        <w:spacing w:before="0" w:line="276" w:lineRule="auto"/>
        <w:ind w:firstLine="0"/>
        <w:contextualSpacing w:val="0"/>
        <w:rPr>
          <w:rFonts w:eastAsia="Calibri" w:cs="Sylfaen"/>
          <w:b w:val="0"/>
          <w:i/>
          <w:sz w:val="18"/>
          <w:szCs w:val="18"/>
          <w:lang w:val="hy-AM" w:eastAsia="en-US"/>
        </w:rPr>
      </w:pPr>
      <w:r w:rsidRPr="00A83C94">
        <w:rPr>
          <w:rFonts w:eastAsia="Calibri"/>
          <w:b w:val="0"/>
          <w:i/>
          <w:sz w:val="16"/>
          <w:szCs w:val="16"/>
          <w:lang w:val="hy-AM"/>
        </w:rPr>
        <w:t>Աղբյուրը՝ ՀՀ ՎԿ և ՀՀ ՖՆ հաշվարկներ</w:t>
      </w:r>
      <w:r w:rsidRPr="00A83C94">
        <w:rPr>
          <w:rFonts w:eastAsia="Calibri" w:cs="Sylfaen"/>
          <w:b w:val="0"/>
          <w:i/>
          <w:sz w:val="18"/>
          <w:szCs w:val="18"/>
          <w:lang w:val="hy-AM" w:eastAsia="en-US"/>
        </w:rPr>
        <w:t xml:space="preserve">:  </w:t>
      </w:r>
    </w:p>
    <w:p w14:paraId="22C5A37D" w14:textId="77777777" w:rsidR="00C34A4E" w:rsidRPr="00A83C94" w:rsidRDefault="00C34A4E" w:rsidP="00C34A4E">
      <w:pPr>
        <w:spacing w:line="276" w:lineRule="auto"/>
        <w:rPr>
          <w:rFonts w:eastAsiaTheme="majorEastAsia"/>
          <w:iCs/>
          <w:u w:val="single"/>
          <w:lang w:val="hy-AM"/>
        </w:rPr>
      </w:pPr>
    </w:p>
    <w:p w14:paraId="131DC895" w14:textId="77777777" w:rsidR="00C34A4E" w:rsidRPr="00A83C94" w:rsidRDefault="00C34A4E" w:rsidP="00C34A4E">
      <w:pPr>
        <w:spacing w:line="276" w:lineRule="auto"/>
        <w:rPr>
          <w:rFonts w:eastAsiaTheme="majorEastAsia"/>
          <w:b w:val="0"/>
          <w:lang w:val="hy-AM"/>
        </w:rPr>
      </w:pPr>
      <w:r w:rsidRPr="00A83C94">
        <w:rPr>
          <w:rFonts w:eastAsiaTheme="majorEastAsia"/>
          <w:iCs/>
          <w:u w:val="single"/>
          <w:lang w:val="hy-AM"/>
        </w:rPr>
        <w:t>Կանխատեսում</w:t>
      </w:r>
      <w:r w:rsidRPr="00A83C94">
        <w:rPr>
          <w:rFonts w:eastAsiaTheme="majorEastAsia"/>
          <w:lang w:val="hy-AM"/>
        </w:rPr>
        <w:t xml:space="preserve">։ </w:t>
      </w:r>
      <w:r w:rsidRPr="00A83C94">
        <w:rPr>
          <w:rFonts w:eastAsiaTheme="majorEastAsia"/>
          <w:b w:val="0"/>
          <w:lang w:val="hy-AM"/>
        </w:rPr>
        <w:t>Ապրանքների և ծառայությունների նկատմամբ ներքին պահանջարկի աստիճանական վերականգնմամբ պայմանավորված 2021թ. սպասվում է շուրջ 16.7% ներմուծման աճ: Բարձր տնտեսական աճի,  երկրների միջև սահմանափակումների վերացմանը զուգընթաց զբոսաշրջության վերականգման, ինչպես նաև ներդրուների խթանմանն ուղղված ՀՀ կառավարության քաղաքականության ջանքերին համահունչ ներդրումային բնույթի ապրանքների աճի հաշվին` 2022թ. ներմուծման աճը կկազմի մոտ 18.3%:</w:t>
      </w:r>
    </w:p>
    <w:p w14:paraId="78A4AB41" w14:textId="77777777" w:rsidR="00C34A4E" w:rsidRPr="00A83C94" w:rsidRDefault="00C34A4E" w:rsidP="00C34A4E">
      <w:pPr>
        <w:tabs>
          <w:tab w:val="left" w:pos="0"/>
          <w:tab w:val="num" w:pos="720"/>
        </w:tabs>
        <w:spacing w:before="0" w:after="120" w:line="276" w:lineRule="auto"/>
        <w:ind w:firstLine="539"/>
        <w:contextualSpacing w:val="0"/>
        <w:rPr>
          <w:rFonts w:eastAsia="Calibri" w:cs="Sylfaen"/>
          <w:b w:val="0"/>
          <w:szCs w:val="22"/>
          <w:lang w:val="hy-AM" w:eastAsia="en-US"/>
        </w:rPr>
      </w:pPr>
    </w:p>
    <w:p w14:paraId="604AE67B" w14:textId="77777777" w:rsidR="00C34A4E" w:rsidRPr="00A83C94" w:rsidRDefault="00C34A4E" w:rsidP="00C34A4E">
      <w:pPr>
        <w:tabs>
          <w:tab w:val="left" w:pos="0"/>
        </w:tabs>
        <w:spacing w:before="0" w:line="276" w:lineRule="auto"/>
        <w:ind w:firstLine="0"/>
        <w:rPr>
          <w:rFonts w:eastAsia="Calibri" w:cs="Sylfaen"/>
          <w:b w:val="0"/>
          <w:i/>
          <w:sz w:val="18"/>
          <w:szCs w:val="18"/>
          <w:lang w:val="hy-AM" w:eastAsia="en-US"/>
        </w:rPr>
      </w:pPr>
      <w:r w:rsidRPr="00A83C94">
        <w:rPr>
          <w:rFonts w:eastAsia="Calibri" w:cs="Sylfaen"/>
          <w:b w:val="0"/>
          <w:noProof/>
          <w:szCs w:val="22"/>
          <w:lang w:val="en-US" w:eastAsia="en-US"/>
        </w:rPr>
        <w:drawing>
          <wp:anchor distT="0" distB="0" distL="114300" distR="114300" simplePos="0" relativeHeight="251864064" behindDoc="1" locked="0" layoutInCell="1" allowOverlap="1" wp14:anchorId="18C297E6" wp14:editId="1995C215">
            <wp:simplePos x="0" y="0"/>
            <wp:positionH relativeFrom="margin">
              <wp:align>left</wp:align>
            </wp:positionH>
            <wp:positionV relativeFrom="paragraph">
              <wp:posOffset>477851</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A83C94">
        <w:rPr>
          <w:rFonts w:eastAsia="Calibri" w:cs="Sylfaen"/>
          <w:b w:val="0"/>
          <w:noProof/>
          <w:color w:val="C00000"/>
          <w:szCs w:val="22"/>
          <w:lang w:val="en-US" w:eastAsia="en-US"/>
        </w:rPr>
        <w:drawing>
          <wp:anchor distT="0" distB="0" distL="114300" distR="114300" simplePos="0" relativeHeight="251863040" behindDoc="1" locked="0" layoutInCell="1" allowOverlap="1" wp14:anchorId="3DED5D0E" wp14:editId="13281536">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A83C94">
        <w:rPr>
          <w:rFonts w:eastAsia="Calibri" w:cs="Sylfaen"/>
          <w:i/>
          <w:szCs w:val="22"/>
          <w:lang w:val="hy-AM" w:eastAsia="en-US"/>
        </w:rPr>
        <w:t>Գծապարկեր 1.25</w:t>
      </w:r>
      <w:r w:rsidRPr="00A83C94">
        <w:rPr>
          <w:rFonts w:ascii="MS Gothic" w:eastAsia="MS Gothic" w:hAnsi="MS Gothic" w:cs="MS Gothic" w:hint="eastAsia"/>
          <w:i/>
          <w:szCs w:val="22"/>
          <w:lang w:val="hy-AM" w:eastAsia="en-US"/>
        </w:rPr>
        <w:t>․</w:t>
      </w:r>
      <w:r w:rsidRPr="00A83C94">
        <w:rPr>
          <w:rFonts w:eastAsia="Calibri" w:cs="Sylfaen"/>
          <w:b w:val="0"/>
          <w:bCs/>
          <w:sz w:val="21"/>
          <w:szCs w:val="21"/>
          <w:lang w:val="hy-AM" w:eastAsia="en-US"/>
        </w:rPr>
        <w:t xml:space="preserve"> </w:t>
      </w:r>
      <w:r w:rsidRPr="00A83C94">
        <w:rPr>
          <w:rFonts w:eastAsia="Calibri" w:cs="Sylfaen"/>
          <w:b w:val="0"/>
          <w:bCs/>
          <w:i/>
          <w:sz w:val="20"/>
          <w:szCs w:val="20"/>
          <w:lang w:val="hy-AM" w:eastAsia="en-US"/>
        </w:rPr>
        <w:t>ՀՀ ապրանքների և ծառայությունների արտահանման և ներմուծման միտումները ՀՖՃ տարիներին և 2018-2022թթ., %</w:t>
      </w:r>
      <w:r w:rsidRPr="00A83C94">
        <w:rPr>
          <w:rFonts w:eastAsia="Calibri" w:cs="Sylfaen"/>
          <w:b w:val="0"/>
          <w:bCs/>
          <w:sz w:val="21"/>
          <w:szCs w:val="21"/>
          <w:lang w:val="hy-AM" w:eastAsia="en-US"/>
        </w:rPr>
        <w:t xml:space="preserve">  </w:t>
      </w:r>
    </w:p>
    <w:p w14:paraId="3478DEEA" w14:textId="77777777" w:rsidR="00C34A4E" w:rsidRPr="00A83C94" w:rsidRDefault="00C34A4E" w:rsidP="00C34A4E">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Աղբյուր՝ ՀՀ ՎԿ և  ՀՀ ՖՆ հաշվարկներ և կանխաեսումներ:</w:t>
      </w:r>
    </w:p>
    <w:p w14:paraId="1C0C95DF"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p>
    <w:p w14:paraId="29DE3DD7"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p>
    <w:p w14:paraId="4DF732ED"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p>
    <w:p w14:paraId="1F69956D"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1.3.4. Փոխարժեքներ</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7"/>
        <w:gridCol w:w="222"/>
      </w:tblGrid>
      <w:tr w:rsidR="00C34A4E" w:rsidRPr="00813A99" w14:paraId="0CDC8152" w14:textId="77777777" w:rsidTr="00733935">
        <w:trPr>
          <w:trHeight w:val="309"/>
        </w:trPr>
        <w:tc>
          <w:tcPr>
            <w:tcW w:w="5181" w:type="dxa"/>
          </w:tcPr>
          <w:p w14:paraId="30963C95" w14:textId="77777777" w:rsidR="00C34A4E" w:rsidRPr="00A83C94" w:rsidRDefault="00C34A4E" w:rsidP="00733935">
            <w:pPr>
              <w:spacing w:before="0" w:after="120" w:line="276" w:lineRule="auto"/>
              <w:ind w:right="-31" w:firstLine="539"/>
              <w:contextualSpacing w:val="0"/>
              <w:rPr>
                <w:rFonts w:cs="Sylfaen"/>
                <w:b w:val="0"/>
                <w:szCs w:val="22"/>
                <w:lang w:val="hy-AM" w:eastAsia="en-US"/>
              </w:rPr>
            </w:pPr>
            <w:r w:rsidRPr="00A83C94">
              <w:rPr>
                <w:rFonts w:cs="Sylfaen"/>
                <w:szCs w:val="22"/>
                <w:lang w:val="hy-AM" w:eastAsia="en-US"/>
              </w:rPr>
              <w:t xml:space="preserve">Համավարակով պայմանավորված 2020թ. </w:t>
            </w:r>
            <w:r w:rsidRPr="00A83C94">
              <w:rPr>
                <w:rFonts w:cs="Sylfaen"/>
                <w:szCs w:val="22"/>
                <w:lang w:val="hy-AM"/>
              </w:rPr>
              <w:t xml:space="preserve">ՀՀ փոխարժեքի շուկայում </w:t>
            </w:r>
            <w:r w:rsidRPr="00A83C94">
              <w:rPr>
                <w:rFonts w:cs="Sylfaen"/>
                <w:szCs w:val="22"/>
                <w:lang w:val="hy-AM" w:eastAsia="en-US"/>
              </w:rPr>
              <w:t xml:space="preserve">նկատվել են արժեզրկման միտումներ: </w:t>
            </w:r>
            <w:r w:rsidRPr="00A83C94">
              <w:rPr>
                <w:rFonts w:cs="Sylfaen"/>
                <w:b w:val="0"/>
                <w:szCs w:val="22"/>
                <w:lang w:val="hy-AM" w:eastAsia="en-US"/>
              </w:rPr>
              <w:t xml:space="preserve">Նախորդ տարվա միջինի համեմատ դրամն արժեզրկվել է </w:t>
            </w:r>
            <w:r w:rsidRPr="00A83C94">
              <w:rPr>
                <w:rFonts w:eastAsiaTheme="majorEastAsia"/>
                <w:b w:val="0"/>
                <w:lang w:val="hy-AM"/>
              </w:rPr>
              <w:t>ԱՄՆ</w:t>
            </w:r>
            <w:r w:rsidRPr="00A83C94">
              <w:rPr>
                <w:rFonts w:cs="Sylfaen"/>
                <w:b w:val="0"/>
                <w:szCs w:val="22"/>
                <w:lang w:val="hy-AM" w:eastAsia="en-US"/>
              </w:rPr>
              <w:t xml:space="preserve"> դոլարի և եվրոյի նկատմամբ (համապատասխանաբար՝ 1.8% և 3</w:t>
            </w:r>
            <w:r w:rsidRPr="00A83C94">
              <w:rPr>
                <w:rFonts w:ascii="Cambria Math" w:hAnsi="Cambria Math" w:cs="Sylfaen"/>
                <w:b w:val="0"/>
                <w:szCs w:val="22"/>
                <w:lang w:val="hy-AM" w:eastAsia="en-US"/>
              </w:rPr>
              <w:t>․</w:t>
            </w:r>
            <w:r w:rsidRPr="00A83C94">
              <w:rPr>
                <w:rFonts w:cs="Sylfaen"/>
                <w:b w:val="0"/>
                <w:szCs w:val="22"/>
                <w:lang w:val="hy-AM" w:eastAsia="en-US"/>
              </w:rPr>
              <w:t>6%), մինչդեռ աժեվորվել՝ ռուսական ռուբլու նկատմամբ (9</w:t>
            </w:r>
            <w:r w:rsidRPr="00A83C94">
              <w:rPr>
                <w:rFonts w:ascii="Cambria Math" w:hAnsi="Cambria Math" w:cs="Cambria Math"/>
                <w:b w:val="0"/>
                <w:szCs w:val="22"/>
                <w:lang w:val="hy-AM" w:eastAsia="en-US"/>
              </w:rPr>
              <w:t>․</w:t>
            </w:r>
            <w:r w:rsidRPr="00A83C94">
              <w:rPr>
                <w:rFonts w:cs="Sylfaen"/>
                <w:b w:val="0"/>
                <w:szCs w:val="22"/>
                <w:lang w:val="hy-AM" w:eastAsia="en-US"/>
              </w:rPr>
              <w:t xml:space="preserve">4%)։ </w:t>
            </w:r>
          </w:p>
          <w:p w14:paraId="0E9EECA2" w14:textId="692A3BB5" w:rsidR="00C34A4E" w:rsidRPr="00A83C94" w:rsidRDefault="00C34A4E" w:rsidP="00733935">
            <w:pPr>
              <w:spacing w:before="0" w:after="120" w:line="276" w:lineRule="auto"/>
              <w:ind w:firstLine="539"/>
              <w:contextualSpacing w:val="0"/>
              <w:rPr>
                <w:rFonts w:cs="Sylfaen"/>
                <w:b w:val="0"/>
                <w:szCs w:val="22"/>
                <w:lang w:val="hy-AM" w:eastAsia="en-US"/>
              </w:rPr>
            </w:pPr>
            <w:r w:rsidRPr="00A83C94">
              <w:rPr>
                <w:rFonts w:cs="Sylfaen"/>
                <w:bCs/>
                <w:szCs w:val="22"/>
                <w:lang w:val="hy-AM" w:eastAsia="en-US"/>
              </w:rPr>
              <w:t xml:space="preserve">ՀՀ դրամը շարունակել է արժեզրկվել նաև 2021թ. ընթացքում՝ հիմնականում պայմանավորված համավարակի և Արցախյան պատերազմի հետևանքով ձևավորված սպասումներով։ </w:t>
            </w:r>
            <w:r w:rsidRPr="00A83C94">
              <w:rPr>
                <w:rFonts w:cs="Sylfaen"/>
                <w:b w:val="0"/>
                <w:szCs w:val="22"/>
                <w:lang w:val="hy-AM" w:eastAsia="en-US"/>
              </w:rPr>
              <w:t>2021թ. հունվար-օգոստոս ամիսներին ՀՀ դրամի միջին փոխարժեքը կազմել է մոտ 514</w:t>
            </w:r>
            <w:r w:rsidRPr="00A83C94">
              <w:rPr>
                <w:rFonts w:ascii="Cambria Math" w:hAnsi="Cambria Math" w:cs="Sylfaen"/>
                <w:b w:val="0"/>
                <w:szCs w:val="22"/>
                <w:lang w:val="hy-AM" w:eastAsia="en-US"/>
              </w:rPr>
              <w:t>․</w:t>
            </w:r>
            <w:r w:rsidRPr="00A83C94">
              <w:rPr>
                <w:rFonts w:cs="Sylfaen"/>
                <w:b w:val="0"/>
                <w:szCs w:val="22"/>
                <w:lang w:val="hy-AM" w:eastAsia="en-US"/>
              </w:rPr>
              <w:t>4.0 ՀՀ դրամ ԱՄՆ դոլարի դիմաց՝ նախորդ տարվա նույն ժամանակահատվածի միջինի նկատմամբ արժեզրկվելով 5.9%-ով: ՀՀ փոխարժեքի շուկայում սկսած հունիսից նկատվել են արժևորման միտումներ, որն իր առավելագույն արժեքին հասել է հուլիսի 27-ին՝ կազմելով 482</w:t>
            </w:r>
            <w:r w:rsidRPr="00A83C94">
              <w:rPr>
                <w:rFonts w:ascii="Cambria Math" w:hAnsi="Cambria Math" w:cs="Sylfaen"/>
                <w:b w:val="0"/>
                <w:szCs w:val="22"/>
                <w:lang w:val="hy-AM" w:eastAsia="en-US"/>
              </w:rPr>
              <w:t>․</w:t>
            </w:r>
            <w:r w:rsidRPr="00A83C94">
              <w:rPr>
                <w:rFonts w:cs="Sylfaen"/>
                <w:b w:val="0"/>
                <w:szCs w:val="22"/>
                <w:lang w:val="hy-AM" w:eastAsia="en-US"/>
              </w:rPr>
              <w:t>3 ՀՀ դրամ մեկ ԱՄՆ դոլարի դիմաց, որից հետո ԱՄՆ դոլարի նկատմամբ ՀՀ դրամը դրսևորել է հարաբերականորեն կայուն վարքագիծ: 2021թ. հունվար-օգոստոս ամիսներին ՀՀ դրամն եվրոյի նկատմամբ արժեզրկվել է շուրջ 12.3%-ով, իսկ ռուսական ռուբլու նկատմամբ՝ 0.3%-ով:</w:t>
            </w:r>
            <w:r w:rsidRPr="00A83C94">
              <w:rPr>
                <w:rFonts w:eastAsiaTheme="majorEastAsia"/>
                <w:lang w:val="hy-AM"/>
              </w:rPr>
              <w:t xml:space="preserve"> </w:t>
            </w:r>
          </w:p>
          <w:p w14:paraId="01E8C7CA" w14:textId="77777777" w:rsidR="00C34A4E" w:rsidRPr="00A83C94" w:rsidRDefault="00C34A4E" w:rsidP="00733935">
            <w:pPr>
              <w:spacing w:before="0" w:after="120" w:line="276" w:lineRule="auto"/>
              <w:ind w:firstLine="539"/>
              <w:contextualSpacing w:val="0"/>
              <w:rPr>
                <w:rFonts w:eastAsia="Times New Roman"/>
                <w:b w:val="0"/>
                <w:szCs w:val="22"/>
                <w:lang w:val="hy-AM" w:eastAsia="en-US"/>
              </w:rPr>
            </w:pPr>
            <w:r w:rsidRPr="00A83C94">
              <w:rPr>
                <w:bCs/>
                <w:szCs w:val="22"/>
                <w:lang w:val="hy-AM" w:eastAsia="en-US"/>
              </w:rPr>
              <w:t>ՀՀ արտաքին առևտրի տեսանկյունից առավել կարևոր արժույթներից բաղկացած զամբյուղի նկատմամբ ՀՀ ազգային արժույթն</w:t>
            </w:r>
            <w:r w:rsidRPr="00A83C94">
              <w:rPr>
                <w:rFonts w:cs="Sylfaen"/>
                <w:bCs/>
                <w:szCs w:val="22"/>
                <w:lang w:val="hy-AM" w:eastAsia="en-US"/>
              </w:rPr>
              <w:t xml:space="preserve"> իրական արտահայտությամբ 2020թ. արժևորվել է 1.7%-ով</w:t>
            </w:r>
            <w:r w:rsidRPr="00A83C94">
              <w:rPr>
                <w:rFonts w:cs="Sylfaen"/>
                <w:b w:val="0"/>
                <w:szCs w:val="22"/>
                <w:lang w:val="hy-AM" w:eastAsia="en-US"/>
              </w:rPr>
              <w:t>, իսկ անվանական արտահայտությամբ՝ 4.2%-ով: 2021թ. հունվար-հուլիս ամիսներին ՀՀ դրամի իրական արդյունավետ փոխարժեքի արժեզրկումը կազմել է 5.0%, իսկ անվանականի արժեզրկումը՝ 5.1%՝ իր</w:t>
            </w:r>
            <w:r w:rsidRPr="00A83C94">
              <w:rPr>
                <w:b w:val="0"/>
                <w:szCs w:val="22"/>
                <w:lang w:val="hy-AM" w:eastAsia="en-US"/>
              </w:rPr>
              <w:t xml:space="preserve"> դրական ազդեցությունը թողնելով տեղական ապրանքների արտաքին մրցունակության վրա: </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C34A4E" w:rsidRPr="00813A99" w14:paraId="3471B7BD" w14:textId="77777777" w:rsidTr="00733935">
              <w:trPr>
                <w:trHeight w:val="309"/>
              </w:trPr>
              <w:tc>
                <w:tcPr>
                  <w:tcW w:w="5181" w:type="dxa"/>
                </w:tcPr>
                <w:p w14:paraId="5A45480E" w14:textId="77777777" w:rsidR="00C34A4E" w:rsidRPr="00A83C94" w:rsidRDefault="00C34A4E" w:rsidP="00733935">
                  <w:pPr>
                    <w:spacing w:before="0" w:line="240" w:lineRule="auto"/>
                    <w:ind w:right="-267" w:firstLine="0"/>
                    <w:contextualSpacing w:val="0"/>
                    <w:rPr>
                      <w:rFonts w:cs="Sylfaen"/>
                      <w:b w:val="0"/>
                      <w:i/>
                      <w:sz w:val="18"/>
                      <w:szCs w:val="18"/>
                      <w:lang w:val="hy-AM" w:eastAsia="en-US"/>
                    </w:rPr>
                  </w:pPr>
                  <w:r w:rsidRPr="00A83C94">
                    <w:rPr>
                      <w:rFonts w:cs="Sylfaen"/>
                      <w:i/>
                      <w:sz w:val="18"/>
                      <w:szCs w:val="18"/>
                      <w:lang w:val="hy-AM" w:eastAsia="en-US"/>
                    </w:rPr>
                    <w:t xml:space="preserve">Գծապատկեր 1.26. </w:t>
                  </w:r>
                  <w:r w:rsidRPr="00A83C94">
                    <w:rPr>
                      <w:rFonts w:cs="Sylfaen"/>
                      <w:b w:val="0"/>
                      <w:i/>
                      <w:sz w:val="18"/>
                      <w:szCs w:val="18"/>
                      <w:lang w:val="hy-AM" w:eastAsia="en-US"/>
                    </w:rPr>
                    <w:t xml:space="preserve">ՀՀ դրամի անվանական </w:t>
                  </w:r>
                </w:p>
                <w:p w14:paraId="2EEA195B" w14:textId="77777777" w:rsidR="00C34A4E" w:rsidRPr="00A83C94" w:rsidRDefault="00C34A4E" w:rsidP="00733935">
                  <w:pPr>
                    <w:spacing w:before="0" w:line="240" w:lineRule="auto"/>
                    <w:ind w:right="-267" w:firstLine="0"/>
                    <w:contextualSpacing w:val="0"/>
                    <w:rPr>
                      <w:rFonts w:cs="Sylfaen"/>
                      <w:b w:val="0"/>
                      <w:i/>
                      <w:sz w:val="18"/>
                      <w:szCs w:val="18"/>
                      <w:lang w:val="hy-AM" w:eastAsia="en-US"/>
                    </w:rPr>
                  </w:pPr>
                  <w:r w:rsidRPr="00A83C94">
                    <w:rPr>
                      <w:rFonts w:cs="Sylfaen"/>
                      <w:b w:val="0"/>
                      <w:i/>
                      <w:sz w:val="18"/>
                      <w:szCs w:val="18"/>
                      <w:lang w:val="hy-AM" w:eastAsia="en-US"/>
                    </w:rPr>
                    <w:t xml:space="preserve">փոխարժեքի օրական դինամիկան </w:t>
                  </w:r>
                </w:p>
                <w:p w14:paraId="65DB817D" w14:textId="77777777" w:rsidR="00C34A4E" w:rsidRPr="00A83C94" w:rsidRDefault="00C34A4E" w:rsidP="00733935">
                  <w:pPr>
                    <w:spacing w:before="0" w:line="240" w:lineRule="auto"/>
                    <w:ind w:right="-267" w:firstLine="0"/>
                    <w:contextualSpacing w:val="0"/>
                    <w:rPr>
                      <w:rFonts w:cs="Sylfaen"/>
                      <w:b w:val="0"/>
                      <w:i/>
                      <w:sz w:val="18"/>
                      <w:szCs w:val="18"/>
                      <w:lang w:val="hy-AM" w:eastAsia="en-US"/>
                    </w:rPr>
                  </w:pPr>
                  <w:r w:rsidRPr="00A83C94">
                    <w:rPr>
                      <w:rFonts w:cs="Sylfaen"/>
                      <w:b w:val="0"/>
                      <w:i/>
                      <w:noProof/>
                      <w:sz w:val="18"/>
                      <w:szCs w:val="18"/>
                      <w:lang w:val="en-US" w:eastAsia="en-US"/>
                    </w:rPr>
                    <w:drawing>
                      <wp:anchor distT="0" distB="0" distL="114300" distR="114300" simplePos="0" relativeHeight="251867136" behindDoc="1" locked="0" layoutInCell="1" allowOverlap="1" wp14:anchorId="65CB1933" wp14:editId="3B92B83B">
                        <wp:simplePos x="0" y="0"/>
                        <wp:positionH relativeFrom="margin">
                          <wp:posOffset>-26670</wp:posOffset>
                        </wp:positionH>
                        <wp:positionV relativeFrom="paragraph">
                          <wp:posOffset>230505</wp:posOffset>
                        </wp:positionV>
                        <wp:extent cx="3133725" cy="2114550"/>
                        <wp:effectExtent l="0" t="0" r="9525" b="0"/>
                        <wp:wrapTight wrapText="bothSides">
                          <wp:wrapPolygon edited="0">
                            <wp:start x="0" y="0"/>
                            <wp:lineTo x="0" y="21405"/>
                            <wp:lineTo x="21534" y="21405"/>
                            <wp:lineTo x="21534"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A83C94">
                    <w:rPr>
                      <w:rFonts w:cs="Sylfaen"/>
                      <w:b w:val="0"/>
                      <w:i/>
                      <w:sz w:val="18"/>
                      <w:szCs w:val="18"/>
                      <w:lang w:val="hy-AM" w:eastAsia="en-US"/>
                    </w:rPr>
                    <w:t>հիմնական արժույթների նկատմամբ</w:t>
                  </w:r>
                </w:p>
                <w:p w14:paraId="3103728D" w14:textId="77777777" w:rsidR="00C34A4E" w:rsidRPr="00A83C94" w:rsidRDefault="00C34A4E" w:rsidP="00733935">
                  <w:pPr>
                    <w:tabs>
                      <w:tab w:val="left" w:pos="0"/>
                      <w:tab w:val="num" w:pos="720"/>
                    </w:tabs>
                    <w:spacing w:before="0" w:line="276" w:lineRule="auto"/>
                    <w:ind w:firstLine="0"/>
                    <w:rPr>
                      <w:rFonts w:cs="Sylfaen"/>
                      <w:b w:val="0"/>
                      <w:i/>
                      <w:sz w:val="18"/>
                      <w:szCs w:val="18"/>
                      <w:lang w:val="hy-AM" w:eastAsia="en-US"/>
                    </w:rPr>
                  </w:pPr>
                  <w:r w:rsidRPr="00A83C94">
                    <w:rPr>
                      <w:b w:val="0"/>
                      <w:i/>
                      <w:sz w:val="16"/>
                      <w:szCs w:val="16"/>
                      <w:lang w:val="hy-AM"/>
                    </w:rPr>
                    <w:t>Աղբյուրը՝ ՀՀ ԿԲ, ՀՀ ՖՆ հաշվարկներ</w:t>
                  </w:r>
                </w:p>
              </w:tc>
              <w:tc>
                <w:tcPr>
                  <w:tcW w:w="5090" w:type="dxa"/>
                </w:tcPr>
                <w:p w14:paraId="6C4E5267" w14:textId="77777777" w:rsidR="00C34A4E" w:rsidRPr="00A83C94" w:rsidRDefault="00C34A4E" w:rsidP="00733935">
                  <w:pPr>
                    <w:spacing w:before="0" w:line="240" w:lineRule="auto"/>
                    <w:ind w:right="217" w:firstLine="0"/>
                    <w:contextualSpacing w:val="0"/>
                    <w:rPr>
                      <w:rFonts w:cs="Sylfaen"/>
                      <w:b w:val="0"/>
                      <w:i/>
                      <w:sz w:val="18"/>
                      <w:szCs w:val="18"/>
                      <w:lang w:val="hy-AM" w:eastAsia="en-US"/>
                    </w:rPr>
                  </w:pPr>
                  <w:r w:rsidRPr="00A83C94">
                    <w:rPr>
                      <w:rFonts w:cs="Sylfaen"/>
                      <w:b w:val="0"/>
                      <w:i/>
                      <w:noProof/>
                      <w:sz w:val="18"/>
                      <w:szCs w:val="18"/>
                      <w:lang w:val="en-US" w:eastAsia="en-US"/>
                    </w:rPr>
                    <w:drawing>
                      <wp:anchor distT="0" distB="0" distL="114300" distR="114300" simplePos="0" relativeHeight="251868160" behindDoc="1" locked="0" layoutInCell="1" allowOverlap="1" wp14:anchorId="06B28F32" wp14:editId="0B2C29E3">
                        <wp:simplePos x="0" y="0"/>
                        <wp:positionH relativeFrom="column">
                          <wp:posOffset>-27940</wp:posOffset>
                        </wp:positionH>
                        <wp:positionV relativeFrom="paragraph">
                          <wp:posOffset>546735</wp:posOffset>
                        </wp:positionV>
                        <wp:extent cx="3076575" cy="2114550"/>
                        <wp:effectExtent l="0" t="0" r="9525" b="0"/>
                        <wp:wrapTight wrapText="bothSides">
                          <wp:wrapPolygon edited="0">
                            <wp:start x="0" y="0"/>
                            <wp:lineTo x="0" y="21405"/>
                            <wp:lineTo x="21533" y="21405"/>
                            <wp:lineTo x="21533"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A83C94">
                    <w:rPr>
                      <w:rFonts w:cs="Sylfaen"/>
                      <w:i/>
                      <w:sz w:val="18"/>
                      <w:szCs w:val="18"/>
                      <w:lang w:val="hy-AM" w:eastAsia="en-US"/>
                    </w:rPr>
                    <w:t>Գծապատկեր 1.27.</w:t>
                  </w:r>
                  <w:r w:rsidRPr="00A83C94">
                    <w:rPr>
                      <w:rFonts w:cs="Sylfaen"/>
                      <w:b w:val="0"/>
                      <w:i/>
                      <w:sz w:val="18"/>
                      <w:szCs w:val="18"/>
                      <w:lang w:val="hy-AM" w:eastAsia="en-US"/>
                    </w:rPr>
                    <w:t xml:space="preserve"> ՀՀ իրական և անվանական արդյունավետ փոխարժեքների կուտակային տ/տ աճերի դինամիկան</w:t>
                  </w:r>
                </w:p>
                <w:p w14:paraId="13BC28B1" w14:textId="77777777" w:rsidR="00C34A4E" w:rsidRPr="00A83C94" w:rsidRDefault="00C34A4E" w:rsidP="00733935">
                  <w:pPr>
                    <w:tabs>
                      <w:tab w:val="left" w:pos="0"/>
                      <w:tab w:val="num" w:pos="720"/>
                    </w:tabs>
                    <w:spacing w:before="0" w:line="276" w:lineRule="auto"/>
                    <w:ind w:firstLine="0"/>
                    <w:rPr>
                      <w:rFonts w:cs="Sylfaen"/>
                      <w:b w:val="0"/>
                      <w:sz w:val="16"/>
                      <w:szCs w:val="16"/>
                      <w:lang w:val="hy-AM" w:eastAsia="en-US"/>
                    </w:rPr>
                  </w:pPr>
                  <w:r w:rsidRPr="00A83C94">
                    <w:rPr>
                      <w:b w:val="0"/>
                      <w:i/>
                      <w:sz w:val="16"/>
                      <w:szCs w:val="16"/>
                      <w:lang w:val="hy-AM"/>
                    </w:rPr>
                    <w:t>Աղբյուրը՝ ՀՀ ԿԲ, ՀՀ ՖՆ հաշվարկներ</w:t>
                  </w:r>
                </w:p>
              </w:tc>
            </w:tr>
          </w:tbl>
          <w:p w14:paraId="09A2924C" w14:textId="77777777" w:rsidR="00C34A4E" w:rsidRPr="00A83C94" w:rsidRDefault="00C34A4E" w:rsidP="00733935">
            <w:pPr>
              <w:spacing w:before="0" w:line="240" w:lineRule="auto"/>
              <w:ind w:firstLine="0"/>
              <w:contextualSpacing w:val="0"/>
              <w:jc w:val="left"/>
              <w:rPr>
                <w:rFonts w:cs="Sylfaen"/>
                <w:b w:val="0"/>
                <w:sz w:val="18"/>
                <w:szCs w:val="18"/>
                <w:lang w:val="hy-AM" w:eastAsia="en-US"/>
              </w:rPr>
            </w:pPr>
          </w:p>
        </w:tc>
        <w:tc>
          <w:tcPr>
            <w:tcW w:w="5090" w:type="dxa"/>
          </w:tcPr>
          <w:p w14:paraId="3CD32FC6" w14:textId="77777777" w:rsidR="00C34A4E" w:rsidRPr="00A83C94" w:rsidRDefault="00C34A4E" w:rsidP="00733935">
            <w:pPr>
              <w:spacing w:before="0" w:line="240" w:lineRule="auto"/>
              <w:ind w:right="217" w:firstLine="0"/>
              <w:contextualSpacing w:val="0"/>
              <w:rPr>
                <w:rFonts w:cs="Sylfaen"/>
                <w:b w:val="0"/>
                <w:i/>
                <w:noProof/>
                <w:sz w:val="18"/>
                <w:szCs w:val="18"/>
                <w:lang w:val="hy-AM" w:eastAsia="en-US"/>
              </w:rPr>
            </w:pPr>
          </w:p>
        </w:tc>
      </w:tr>
    </w:tbl>
    <w:p w14:paraId="0259D7B9"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p>
    <w:p w14:paraId="4BB578C6" w14:textId="77777777" w:rsidR="00C34A4E" w:rsidRPr="00A83C94" w:rsidRDefault="00C34A4E" w:rsidP="00C34A4E">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 xml:space="preserve">1.3.5. Գնաճ և դրամավարկային քաղաքականություն </w:t>
      </w:r>
    </w:p>
    <w:p w14:paraId="0BE70FFD" w14:textId="77777777" w:rsidR="00C34A4E" w:rsidRPr="00A83C94" w:rsidRDefault="00C34A4E" w:rsidP="00C34A4E">
      <w:pPr>
        <w:spacing w:after="120" w:line="276" w:lineRule="auto"/>
        <w:rPr>
          <w:rFonts w:eastAsia="Calibri" w:cs="Sylfaen"/>
          <w:b w:val="0"/>
          <w:szCs w:val="22"/>
          <w:lang w:val="hy-AM" w:eastAsia="en-US"/>
        </w:rPr>
      </w:pPr>
      <w:r w:rsidRPr="00A83C94">
        <w:rPr>
          <w:rFonts w:eastAsia="Calibri" w:cs="Sylfaen"/>
          <w:bCs/>
          <w:szCs w:val="22"/>
          <w:lang w:val="hy-AM"/>
        </w:rPr>
        <w:t>2020 թվականին ՀՀ սպառողական շուկայում ցածր գնաճային միջավայրը պահպանվել է մինչև նոյեմբեր ամիսը, իսկ դեկտեմբերին գնաճը մոտեցել է իր նպատակային ցուցանիշին:</w:t>
      </w:r>
      <w:r w:rsidRPr="00A83C94">
        <w:rPr>
          <w:rFonts w:eastAsia="Calibri" w:cs="Sylfaen"/>
          <w:b w:val="0"/>
          <w:szCs w:val="22"/>
          <w:lang w:val="hy-AM"/>
        </w:rPr>
        <w:t xml:space="preserve"> 12-ամսյա գնաճը դեկտեմբերին կազմել է 3.7%, իսկ միջին գնաճը՝ 1.2%։ 2020թ դեկտեմբերի գնաճի կտրուկ արագացումը հիմնականում պայմանավորված էր առաջարկի գործոններով՝  մեծամասամբ ՀՀ դրամի արժեզրկմամբ և միջազգային գների աճով:</w:t>
      </w:r>
    </w:p>
    <w:p w14:paraId="3A5D0F0A" w14:textId="77777777" w:rsidR="00C34A4E" w:rsidRPr="00A83C94" w:rsidRDefault="00C34A4E" w:rsidP="00C34A4E">
      <w:pPr>
        <w:spacing w:before="0" w:after="120" w:line="276" w:lineRule="auto"/>
        <w:ind w:firstLine="720"/>
        <w:contextualSpacing w:val="0"/>
        <w:rPr>
          <w:sz w:val="24"/>
          <w:lang w:val="hy-AM"/>
        </w:rPr>
      </w:pPr>
      <w:r w:rsidRPr="00A83C94">
        <w:rPr>
          <w:rFonts w:cs="Sylfaen"/>
          <w:bCs/>
          <w:szCs w:val="22"/>
          <w:lang w:val="hy-AM" w:eastAsia="en-US"/>
        </w:rPr>
        <w:t>2021թ. հունվար-օգոստոս ամիսներին գնաճը նախորդ տարվա նույն ժամանակահատվածի համեմատ արագացել է՝ կազմելով 8.8%, 1.8%-ի համեմատ։</w:t>
      </w:r>
      <w:r w:rsidRPr="00A83C94">
        <w:rPr>
          <w:rFonts w:cs="Sylfaen"/>
          <w:b w:val="0"/>
          <w:szCs w:val="22"/>
          <w:lang w:val="hy-AM" w:eastAsia="en-US"/>
        </w:rPr>
        <w:t xml:space="preserve"> Տարվա ընթացքում բարձր գնաճային միջավայրը պայմանավորված էր հիմնականում պարենային և հումքային ապրանքների միջազգային գների բարձրացումով, ՀՀ դրամի արժեզրկմամբ և որոշ սեզոնային ապրանքների (մասնավորապես բանջարեղենի) գների աճի արագացմամբ:</w:t>
      </w:r>
    </w:p>
    <w:p w14:paraId="1F16B9F8" w14:textId="77777777" w:rsidR="00C34A4E" w:rsidRPr="00A83C94" w:rsidRDefault="00C34A4E" w:rsidP="00C34A4E">
      <w:pPr>
        <w:spacing w:before="0" w:after="120" w:line="276" w:lineRule="auto"/>
        <w:ind w:firstLine="720"/>
        <w:contextualSpacing w:val="0"/>
        <w:rPr>
          <w:rFonts w:eastAsia="Calibri"/>
          <w:b w:val="0"/>
          <w:szCs w:val="22"/>
          <w:lang w:val="hy-AM" w:eastAsia="en-US"/>
        </w:rPr>
      </w:pPr>
      <w:r w:rsidRPr="00A83C94">
        <w:rPr>
          <w:rFonts w:eastAsia="Calibri"/>
          <w:szCs w:val="22"/>
          <w:lang w:val="hy-AM" w:eastAsia="en-US"/>
        </w:rPr>
        <w:t>2020թ</w:t>
      </w:r>
      <w:r w:rsidRPr="00A83C94">
        <w:rPr>
          <w:rFonts w:eastAsia="Calibri" w:cs="Cambria Math"/>
          <w:szCs w:val="22"/>
          <w:lang w:val="hy-AM" w:eastAsia="en-US"/>
        </w:rPr>
        <w:t>.</w:t>
      </w:r>
      <w:r w:rsidRPr="00A83C94">
        <w:rPr>
          <w:rFonts w:eastAsia="Calibri"/>
          <w:szCs w:val="22"/>
          <w:lang w:val="hy-AM" w:eastAsia="en-US"/>
        </w:rPr>
        <w:t xml:space="preserve"> ՀՀ կենտրոնական բանկի դրամավարկային քաղաքականությունն ունեցել է խթանող ուղղվածություն։ </w:t>
      </w:r>
      <w:r w:rsidRPr="00A83C94">
        <w:rPr>
          <w:rFonts w:eastAsia="Calibri" w:cs="Sylfaen"/>
          <w:b w:val="0"/>
          <w:szCs w:val="22"/>
          <w:lang w:val="hy-AM"/>
        </w:rPr>
        <w:t xml:space="preserve">2020 թվականին գնաճի դանդաղմանը և համավարակի տարածման բացասական ազդեցություներին հակազդելու նպատակով ՀՀ Կենտրոնական բանկն իջեցրել է վերաֆինանսավորման տոկոսադրույքը ընդհանուր առմամբ 1.25 տոկոսային կետով՝ իրականացնելով խթանող դրամավարկային քաղաքականություն: Սակայն 2020թ. դեկտեմբերի 15-ին, պայմանավորված գնաճի և գնաճային սպասումների արագացմամբ, ինչպես նաև արտաքին հատվածից սպասվող գնաճային զարգացումներով ՀՀ ԿԲ-ն կտրուկ բարձրացրել է վերաֆինանսավորման տոկոսադրույքը 1.0 տոկոսային կետով՝ սահմանելով այն 5.25%: </w:t>
      </w:r>
    </w:p>
    <w:p w14:paraId="45E90F93" w14:textId="77777777" w:rsidR="00C34A4E" w:rsidRPr="00A83C94" w:rsidRDefault="00C34A4E" w:rsidP="00C34A4E">
      <w:pPr>
        <w:spacing w:before="40" w:after="120" w:line="276" w:lineRule="auto"/>
        <w:contextualSpacing w:val="0"/>
        <w:rPr>
          <w:rFonts w:eastAsia="Calibri"/>
          <w:b w:val="0"/>
          <w:szCs w:val="22"/>
          <w:lang w:val="hy-AM" w:eastAsia="en-US"/>
        </w:rPr>
      </w:pPr>
      <w:r w:rsidRPr="00A83C94">
        <w:rPr>
          <w:rFonts w:eastAsia="Calibri"/>
          <w:bCs/>
          <w:szCs w:val="22"/>
          <w:lang w:val="hy-AM" w:eastAsia="en-US"/>
        </w:rPr>
        <w:t>Գնաճի արագացմանը հակազդելու նպատակով 2021թ. ընթացքում ՀՀ ԿԲ-ն խստացրել է դրամավարկային պայմանները։</w:t>
      </w:r>
      <w:r w:rsidRPr="00A83C94">
        <w:rPr>
          <w:rFonts w:eastAsia="Calibri"/>
          <w:b w:val="0"/>
          <w:szCs w:val="22"/>
          <w:lang w:val="hy-AM" w:eastAsia="en-US"/>
        </w:rPr>
        <w:t xml:space="preserve"> 2021թ. հունվար–սեպտեմբեր ամիսներին ՀՀ ԿԲ-ը շարունակել է բարձրացնել վերաֆինանսավորման տոկոսադրույքը ընդհանուր առմամբ 2 տոկոսային կետով` բարձր գնաճային սպասումները և հասարակության մոտ ձևավորված անորոշությունը նվազեցնելու նպատակով: Բացի դրանից ՀՀ առևտային բանկերի համար բարձրացվել է ՀՀ դրամով պարտադիր պահուստավորման նորմատիվը (որը 0 տոկոսից սահմանվել է 2 տոկոս), </w:t>
      </w:r>
      <w:r w:rsidRPr="00A83C94">
        <w:rPr>
          <w:b w:val="0"/>
          <w:szCs w:val="22"/>
          <w:lang w:val="hy-AM" w:eastAsia="en-US"/>
        </w:rPr>
        <w:t>ինչպես նաև իրականացրել մակրոպրուդենցիալ քաղաքականության այլ միջոցառումներ</w:t>
      </w:r>
      <w:r w:rsidRPr="00A83C94">
        <w:rPr>
          <w:rFonts w:eastAsia="Calibri"/>
          <w:b w:val="0"/>
          <w:szCs w:val="22"/>
          <w:lang w:val="hy-AM" w:eastAsia="en-US"/>
        </w:rPr>
        <w:t>։</w:t>
      </w:r>
    </w:p>
    <w:p w14:paraId="190741E3" w14:textId="77777777" w:rsidR="00C34A4E" w:rsidRPr="00A83C94" w:rsidRDefault="00C34A4E" w:rsidP="00C34A4E">
      <w:pPr>
        <w:spacing w:before="40" w:after="120" w:line="276" w:lineRule="auto"/>
        <w:contextualSpacing w:val="0"/>
        <w:rPr>
          <w:b w:val="0"/>
          <w:szCs w:val="22"/>
          <w:lang w:val="hy-AM" w:eastAsia="en-US"/>
        </w:rPr>
      </w:pPr>
      <w:r w:rsidRPr="00A83C94">
        <w:rPr>
          <w:rFonts w:eastAsia="Calibri"/>
          <w:b w:val="0"/>
          <w:szCs w:val="22"/>
          <w:lang w:val="hy-AM" w:eastAsia="en-US"/>
        </w:rPr>
        <w:t xml:space="preserve">Փողի շուկայի տոկոսադրույքների ձևավորումը վերաֆինանսավորման տոկոսադրույքի շուրջ ապահովելու համար ԿԲ-ն շարունակել է բավարարել իրացվելիության նկատմամբ բանկային համակարգի պահանջարկը՝ ռեպո գործարքների միջոցով ավելացնելով զուտ իրացվելիության ներարկման չափը։ </w:t>
      </w:r>
      <w:r w:rsidRPr="00A83C94">
        <w:rPr>
          <w:b w:val="0"/>
          <w:szCs w:val="22"/>
          <w:lang w:val="hy-AM" w:eastAsia="en-US"/>
        </w:rPr>
        <w:t xml:space="preserve"> </w:t>
      </w:r>
    </w:p>
    <w:p w14:paraId="46775FE1" w14:textId="77777777" w:rsidR="00C34A4E" w:rsidRPr="00A83C94" w:rsidRDefault="00C34A4E" w:rsidP="00C34A4E">
      <w:pPr>
        <w:spacing w:before="0" w:after="120" w:line="276" w:lineRule="auto"/>
        <w:contextualSpacing w:val="0"/>
        <w:rPr>
          <w:rFonts w:ascii="Times New Roman" w:eastAsiaTheme="minorHAnsi" w:hAnsi="Times New Roman"/>
          <w:b w:val="0"/>
          <w:sz w:val="24"/>
          <w:lang w:val="hy-AM" w:eastAsia="hy-AM"/>
        </w:rPr>
      </w:pPr>
      <w:r w:rsidRPr="00A83C94">
        <w:rPr>
          <w:rFonts w:eastAsia="Calibri" w:cs="Sylfaen"/>
          <w:szCs w:val="22"/>
          <w:u w:val="single"/>
          <w:lang w:val="hy-AM" w:eastAsia="en-US"/>
        </w:rPr>
        <w:t>Կանխատեսում.</w:t>
      </w:r>
      <w:r w:rsidRPr="00A83C94">
        <w:rPr>
          <w:rFonts w:eastAsia="Calibri" w:cs="Sylfaen"/>
          <w:b w:val="0"/>
          <w:szCs w:val="22"/>
          <w:lang w:val="hy-AM" w:eastAsia="en-US"/>
        </w:rPr>
        <w:t xml:space="preserve"> ԿԲ-ն կարճաժամկետ հատվածում անհրաժեշտ է համարում շարունակել որդեգրած դրամավարկային քաղաքականությունը, որն ուղղված կլինի գնաճային սպասումների արագացման ռիսկերի չեզոքացմանը՝ միևնույն ժամանակ ապահովելով հնարավորին նպաստավոր պայմաններ ամբողջական պահանջարկի վերականգնման համար, իսկ ցանկացած ռիսկերի դրսևորման պարագայում պատրաստ է համապատասխանորեն արձագանքել՝ միջնաժամկետ հատվածում գնաճի նպատակային ցուցանիշին հասնելու նպատակով</w:t>
      </w:r>
      <w:r w:rsidRPr="00A83C94">
        <w:rPr>
          <w:rFonts w:eastAsia="Calibri" w:cs="Sylfaen"/>
          <w:vertAlign w:val="superscript"/>
          <w:lang w:val="hy-AM"/>
        </w:rPr>
        <w:footnoteReference w:id="10"/>
      </w:r>
      <w:r w:rsidRPr="00A83C94">
        <w:rPr>
          <w:rFonts w:eastAsia="Calibri" w:cs="Sylfaen"/>
          <w:lang w:val="hy-AM"/>
        </w:rPr>
        <w:t>:</w:t>
      </w:r>
      <w:r w:rsidRPr="00A83C94">
        <w:rPr>
          <w:rFonts w:eastAsiaTheme="minorHAnsi"/>
          <w:lang w:val="hy-AM" w:eastAsia="hy-AM"/>
        </w:rPr>
        <w:t xml:space="preserve"> </w:t>
      </w:r>
    </w:p>
    <w:p w14:paraId="6CA62057" w14:textId="77777777" w:rsidR="00C34A4E" w:rsidRPr="00A83C94" w:rsidRDefault="00C34A4E" w:rsidP="00C34A4E">
      <w:pPr>
        <w:spacing w:before="0" w:after="120" w:line="276" w:lineRule="auto"/>
        <w:contextualSpacing w:val="0"/>
        <w:rPr>
          <w:rFonts w:eastAsia="Calibri" w:cs="Sylfaen"/>
          <w:b w:val="0"/>
          <w:szCs w:val="22"/>
          <w:lang w:val="hy-AM" w:eastAsia="en-US"/>
        </w:rPr>
      </w:pPr>
    </w:p>
    <w:p w14:paraId="3C338F22" w14:textId="77777777" w:rsidR="00C34A4E" w:rsidRPr="00A83C94" w:rsidRDefault="00C34A4E" w:rsidP="00C34A4E">
      <w:pPr>
        <w:keepNext/>
        <w:keepLines/>
        <w:spacing w:before="0" w:after="120" w:line="276" w:lineRule="auto"/>
        <w:ind w:firstLine="0"/>
        <w:contextualSpacing w:val="0"/>
        <w:rPr>
          <w:rFonts w:cs="Sylfaen"/>
          <w:b w:val="0"/>
          <w:i/>
          <w:sz w:val="20"/>
          <w:szCs w:val="20"/>
          <w:lang w:val="hy-AM" w:eastAsia="en-US"/>
        </w:rPr>
      </w:pPr>
      <w:r w:rsidRPr="00A83C94">
        <w:rPr>
          <w:rFonts w:cs="Sylfaen"/>
          <w:i/>
          <w:szCs w:val="22"/>
          <w:lang w:val="hy-AM" w:eastAsia="en-US"/>
        </w:rPr>
        <w:t>Գծապատկեր 1.28.</w:t>
      </w:r>
      <w:r w:rsidRPr="00A83C94">
        <w:rPr>
          <w:rFonts w:cs="Sylfaen"/>
          <w:i/>
          <w:sz w:val="21"/>
          <w:szCs w:val="21"/>
          <w:lang w:val="hy-AM" w:eastAsia="en-US"/>
        </w:rPr>
        <w:t xml:space="preserve"> </w:t>
      </w:r>
      <w:r w:rsidRPr="00A83C94">
        <w:rPr>
          <w:rFonts w:cs="Sylfaen"/>
          <w:b w:val="0"/>
          <w:i/>
          <w:sz w:val="20"/>
          <w:szCs w:val="20"/>
          <w:lang w:val="hy-AM" w:eastAsia="en-US"/>
        </w:rPr>
        <w:t>Սպառողական գների աճը, դրամավարկային քաղաքականության հիմնական ցուցանիշները 2017-2021թթ. և գնաճի կանխատեսումները 2020-2022թթ.</w:t>
      </w:r>
    </w:p>
    <w:p w14:paraId="2106E9FD" w14:textId="77777777" w:rsidR="00C34A4E" w:rsidRPr="00A83C94" w:rsidRDefault="00C34A4E" w:rsidP="00C34A4E">
      <w:pPr>
        <w:spacing w:before="0" w:line="240" w:lineRule="auto"/>
        <w:ind w:firstLine="0"/>
        <w:contextualSpacing w:val="0"/>
        <w:jc w:val="left"/>
        <w:rPr>
          <w:rFonts w:cs="Sylfaen"/>
          <w:noProof/>
          <w:sz w:val="24"/>
          <w:lang w:val="hy-AM" w:eastAsia="en-US"/>
        </w:rPr>
      </w:pPr>
      <w:r w:rsidRPr="00A83C94">
        <w:rPr>
          <w:rFonts w:cs="Sylfaen"/>
          <w:noProof/>
          <w:sz w:val="24"/>
          <w:lang w:val="en-US" w:eastAsia="en-US"/>
        </w:rPr>
        <w:drawing>
          <wp:inline distT="0" distB="0" distL="0" distR="0" wp14:anchorId="384FB033" wp14:editId="642759FC">
            <wp:extent cx="3024000" cy="1980000"/>
            <wp:effectExtent l="0" t="0" r="508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83C94">
        <w:rPr>
          <w:rFonts w:cs="Sylfaen"/>
          <w:noProof/>
          <w:sz w:val="24"/>
          <w:lang w:val="hy-AM" w:eastAsia="en-US"/>
        </w:rPr>
        <w:t xml:space="preserve"> </w:t>
      </w:r>
      <w:r w:rsidRPr="00A83C94">
        <w:rPr>
          <w:rFonts w:cs="Sylfaen"/>
          <w:noProof/>
          <w:sz w:val="24"/>
          <w:lang w:val="en-US" w:eastAsia="en-US"/>
        </w:rPr>
        <w:drawing>
          <wp:inline distT="0" distB="0" distL="0" distR="0" wp14:anchorId="54B400FF" wp14:editId="1897186C">
            <wp:extent cx="3024000" cy="1980000"/>
            <wp:effectExtent l="0" t="0" r="508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83C94">
        <w:rPr>
          <w:rFonts w:cs="Sylfaen"/>
          <w:noProof/>
          <w:sz w:val="24"/>
          <w:lang w:val="en-US" w:eastAsia="en-US"/>
        </w:rPr>
        <w:drawing>
          <wp:inline distT="0" distB="0" distL="0" distR="0" wp14:anchorId="77909C48" wp14:editId="01C86714">
            <wp:extent cx="6102000" cy="485775"/>
            <wp:effectExtent l="0" t="0" r="1333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4B5233" w14:textId="77777777" w:rsidR="00C34A4E" w:rsidRPr="00A83C94" w:rsidRDefault="00C34A4E" w:rsidP="00C34A4E">
      <w:pPr>
        <w:spacing w:before="0" w:line="240" w:lineRule="auto"/>
        <w:ind w:firstLine="0"/>
        <w:contextualSpacing w:val="0"/>
        <w:jc w:val="left"/>
        <w:rPr>
          <w:rFonts w:eastAsia="Calibri" w:cs="Sylfaen"/>
          <w:b w:val="0"/>
          <w:i/>
          <w:sz w:val="24"/>
          <w:lang w:val="hy-AM" w:eastAsia="en-US"/>
        </w:rPr>
      </w:pPr>
      <w:r w:rsidRPr="00A83C94">
        <w:rPr>
          <w:rFonts w:cs="Sylfaen"/>
          <w:noProof/>
          <w:sz w:val="24"/>
          <w:lang w:val="en-US" w:eastAsia="en-US"/>
        </w:rPr>
        <w:drawing>
          <wp:inline distT="0" distB="0" distL="0" distR="0" wp14:anchorId="0027138E" wp14:editId="7625E548">
            <wp:extent cx="6102000" cy="2160000"/>
            <wp:effectExtent l="0" t="0" r="13335"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9D2659" w14:textId="77777777" w:rsidR="00C34A4E" w:rsidRPr="00A83C94" w:rsidRDefault="00C34A4E" w:rsidP="00C34A4E">
      <w:pPr>
        <w:spacing w:before="0" w:line="240" w:lineRule="auto"/>
        <w:ind w:firstLine="0"/>
        <w:contextualSpacing w:val="0"/>
        <w:jc w:val="left"/>
        <w:rPr>
          <w:rFonts w:eastAsia="Calibri" w:cs="Sylfaen"/>
          <w:b w:val="0"/>
          <w:i/>
          <w:sz w:val="24"/>
          <w:lang w:val="hy-AM" w:eastAsia="en-US"/>
        </w:rPr>
      </w:pPr>
      <w:r w:rsidRPr="00A83C94">
        <w:rPr>
          <w:rFonts w:ascii="Times New Roman" w:hAnsi="Times New Roman"/>
          <w:b w:val="0"/>
          <w:noProof/>
          <w:sz w:val="24"/>
          <w:lang w:val="en-US" w:eastAsia="en-US"/>
        </w:rPr>
        <w:drawing>
          <wp:inline distT="0" distB="0" distL="0" distR="0" wp14:anchorId="26DA02EC" wp14:editId="14AEE67D">
            <wp:extent cx="3024000" cy="1980000"/>
            <wp:effectExtent l="0" t="0" r="5080"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A83C94">
        <w:rPr>
          <w:rFonts w:eastAsia="Calibri" w:cs="Sylfaen"/>
          <w:b w:val="0"/>
          <w:i/>
          <w:sz w:val="24"/>
          <w:lang w:val="hy-AM" w:eastAsia="en-US"/>
        </w:rPr>
        <w:t xml:space="preserve"> </w:t>
      </w:r>
      <w:r w:rsidRPr="00A83C94">
        <w:rPr>
          <w:rFonts w:ascii="Times New Roman" w:hAnsi="Times New Roman"/>
          <w:b w:val="0"/>
          <w:noProof/>
          <w:sz w:val="24"/>
          <w:lang w:val="en-US" w:eastAsia="en-US"/>
        </w:rPr>
        <w:drawing>
          <wp:inline distT="0" distB="0" distL="0" distR="0" wp14:anchorId="14CCF938" wp14:editId="1681887A">
            <wp:extent cx="3024000" cy="1980000"/>
            <wp:effectExtent l="0" t="0" r="5080"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4D50A88" w14:textId="77777777" w:rsidR="00C34A4E" w:rsidRPr="00A83C94" w:rsidRDefault="00C34A4E" w:rsidP="00C34A4E">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 xml:space="preserve">Աղբյուրը՝ ՀՀ ԿԲ, ՀՀ ՖՆ հաշվարկներ և կանխատեսումներ </w:t>
      </w:r>
    </w:p>
    <w:p w14:paraId="5C01FA51" w14:textId="77777777" w:rsidR="00C34A4E" w:rsidRPr="00A83C94" w:rsidRDefault="00C34A4E" w:rsidP="00C34A4E">
      <w:pPr>
        <w:spacing w:before="0"/>
        <w:rPr>
          <w:rFonts w:eastAsia="Calibri" w:cs="Sylfaen"/>
          <w:b w:val="0"/>
          <w:i/>
          <w:sz w:val="18"/>
          <w:szCs w:val="18"/>
          <w:lang w:val="hy-AM"/>
        </w:rPr>
      </w:pPr>
      <w:r w:rsidRPr="00A83C94">
        <w:rPr>
          <w:rFonts w:eastAsia="Calibri"/>
          <w:b w:val="0"/>
          <w:bCs/>
          <w:lang w:val="hy-AM"/>
        </w:rPr>
        <w:br w:type="page"/>
      </w:r>
    </w:p>
    <w:p w14:paraId="52ECD961" w14:textId="77777777" w:rsidR="00C34A4E" w:rsidRPr="00A83C94" w:rsidRDefault="00C34A4E" w:rsidP="00C34A4E">
      <w:pPr>
        <w:keepNext/>
        <w:keepLines/>
        <w:spacing w:before="0" w:line="276" w:lineRule="auto"/>
        <w:outlineLvl w:val="2"/>
        <w:rPr>
          <w:b w:val="0"/>
          <w:bCs/>
          <w:sz w:val="24"/>
          <w:lang w:val="hy-AM"/>
        </w:rPr>
      </w:pPr>
      <w:bookmarkStart w:id="126" w:name="_Toc46760406"/>
      <w:bookmarkStart w:id="127" w:name="_Toc51947415"/>
      <w:bookmarkStart w:id="128" w:name="_Toc52452088"/>
      <w:bookmarkStart w:id="129" w:name="_Toc57559415"/>
      <w:bookmarkStart w:id="130" w:name="_Toc83663897"/>
      <w:bookmarkStart w:id="131" w:name="_Toc83996343"/>
      <w:bookmarkEnd w:id="122"/>
      <w:r w:rsidRPr="00A83C94">
        <w:rPr>
          <w:bCs/>
          <w:sz w:val="24"/>
          <w:lang w:val="hy-AM"/>
        </w:rPr>
        <w:t>1.4. ԿԱՆԽԱՏԵՍՈՒՄՆԵՐԻ ՀԻՄՔՈՒՄ ԸՆԿԱԾ ԵՆԹԱԴՐՈՒԹՅՈՒՆՆԵՐԸ</w:t>
      </w:r>
      <w:bookmarkEnd w:id="126"/>
      <w:bookmarkEnd w:id="127"/>
      <w:bookmarkEnd w:id="128"/>
      <w:bookmarkEnd w:id="129"/>
      <w:bookmarkEnd w:id="130"/>
      <w:bookmarkEnd w:id="131"/>
    </w:p>
    <w:p w14:paraId="635C43EA" w14:textId="77777777" w:rsidR="00C34A4E" w:rsidRPr="00A83C94" w:rsidRDefault="00C34A4E" w:rsidP="00C34A4E">
      <w:pPr>
        <w:spacing w:after="120" w:line="276" w:lineRule="auto"/>
        <w:ind w:firstLine="709"/>
        <w:contextualSpacing w:val="0"/>
        <w:rPr>
          <w:rFonts w:eastAsia="Calibri" w:cs="Sylfaen"/>
          <w:b w:val="0"/>
          <w:bCs/>
          <w:szCs w:val="22"/>
          <w:lang w:val="hy-AM" w:eastAsia="en-US"/>
        </w:rPr>
      </w:pPr>
      <w:r w:rsidRPr="00A83C94">
        <w:rPr>
          <w:rFonts w:eastAsia="Calibri" w:cs="Sylfaen"/>
          <w:b w:val="0"/>
          <w:bCs/>
          <w:szCs w:val="22"/>
          <w:lang w:val="hy-AM" w:eastAsia="en-US"/>
        </w:rPr>
        <w:t>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Բյուջեի</w:t>
      </w:r>
      <w:r w:rsidRPr="00A83C94">
        <w:rPr>
          <w:rFonts w:eastAsia="Calibri" w:cs="Sylfaen"/>
          <w:b w:val="0"/>
          <w:bCs/>
          <w:szCs w:val="22"/>
          <w:lang w:val="hy-AM" w:eastAsia="en-US"/>
        </w:rPr>
        <w:t xml:space="preserve">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հարկաբյուջետային քաղաքականության դինամիկ ստոխաստիկ ընդհանուր հավասարակշռության (The Fiscal Strategy Model: A Structural Framework for Fiscal Policy Analysis in Armenia) մոդելը</w:t>
      </w:r>
      <w:r w:rsidRPr="00A83C94">
        <w:rPr>
          <w:rFonts w:eastAsia="Calibri"/>
          <w:b w:val="0"/>
          <w:szCs w:val="22"/>
          <w:vertAlign w:val="superscript"/>
          <w:lang w:val="es-ES" w:eastAsia="en-US"/>
        </w:rPr>
        <w:footnoteReference w:id="11"/>
      </w:r>
      <w:r w:rsidRPr="00A83C94">
        <w:rPr>
          <w:rFonts w:eastAsia="Calibri"/>
          <w:b w:val="0"/>
          <w:szCs w:val="22"/>
          <w:vertAlign w:val="superscript"/>
          <w:lang w:val="es-ES" w:eastAsia="en-US"/>
        </w:rPr>
        <w:t xml:space="preserve">, </w:t>
      </w:r>
      <w:r w:rsidRPr="00A83C94">
        <w:rPr>
          <w:rFonts w:eastAsia="Calibri" w:cs="Sylfaen"/>
          <w:b w:val="0"/>
          <w:bCs/>
          <w:szCs w:val="22"/>
          <w:lang w:val="hy-AM" w:eastAsia="en-US"/>
        </w:rPr>
        <w:t>որոնց համար տեղեկատվական հիմք են հանդիսացել նեքին և արտաքին ընթացիկ տնտեսական և ֆինանսական զարգացումները, ՀՀ կառավարության 2021-2026թթ. ծրագրով նախատեսված բարձր տնտեսական աճի ապահովմանն ուղղված քաղաքականությունները,  Արցախյան պատերազմի տնտեսական հետևանքների վերաբերյալ ՀՀ ՖՆ գնահատականները,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Մասնավորապես՝</w:t>
      </w:r>
    </w:p>
    <w:p w14:paraId="65A65481" w14:textId="77777777" w:rsidR="00C34A4E" w:rsidRPr="00A83C94" w:rsidRDefault="00C34A4E" w:rsidP="00C34A4E">
      <w:pPr>
        <w:numPr>
          <w:ilvl w:val="0"/>
          <w:numId w:val="54"/>
        </w:numPr>
        <w:spacing w:before="0" w:line="276" w:lineRule="auto"/>
        <w:ind w:left="426"/>
        <w:contextualSpacing w:val="0"/>
        <w:jc w:val="left"/>
        <w:rPr>
          <w:rFonts w:eastAsia="Calibri" w:cs="Sylfaen"/>
          <w:bCs/>
          <w:szCs w:val="22"/>
          <w:lang w:val="hy-AM" w:eastAsia="en-US"/>
        </w:rPr>
      </w:pPr>
      <w:r w:rsidRPr="00A83C94">
        <w:rPr>
          <w:rFonts w:eastAsia="Calibri" w:cs="Sylfaen"/>
          <w:bCs/>
          <w:szCs w:val="22"/>
          <w:lang w:val="hy-AM" w:eastAsia="en-US"/>
        </w:rPr>
        <w:t>Արտաքին  գործոններ.</w:t>
      </w:r>
    </w:p>
    <w:p w14:paraId="3904B34D" w14:textId="77777777" w:rsidR="00C34A4E" w:rsidRPr="00A83C94" w:rsidRDefault="00C34A4E" w:rsidP="00C34A4E">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2021թ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համար հայտարարված խոշոր հարկաբյուջետային աջակցությունը կխթանի զարգացած երկրների տնտեսական ակտիվությունը, ինչը կստեղծի դրական երկրորդային ազդեցություններ առևտրային գործընկերների համար: </w:t>
      </w:r>
      <w:r w:rsidRPr="00A83C94">
        <w:rPr>
          <w:rFonts w:cs="Courier New"/>
          <w:b w:val="0"/>
          <w:szCs w:val="22"/>
          <w:lang w:val="hy-AM" w:eastAsia="en-US"/>
        </w:rPr>
        <w:t>Համավարակի հաղթահարման նպատակով կիրառվող</w:t>
      </w:r>
      <w:r w:rsidRPr="00A83C94">
        <w:rPr>
          <w:rFonts w:eastAsia="Calibri" w:cs="Sylfaen"/>
          <w:b w:val="0"/>
          <w:bCs/>
          <w:szCs w:val="22"/>
          <w:lang w:val="hy-AM" w:eastAsia="en-US"/>
        </w:rPr>
        <w:t xml:space="preserve"> պատվաստանյութերը լայնորեն մատչելի կլինեն զարգացած, ինչպես նաև որոշ զարգացող երկրներում,</w:t>
      </w:r>
      <w:r w:rsidRPr="00A83C94">
        <w:rPr>
          <w:rFonts w:cs="Courier New"/>
          <w:b w:val="0"/>
          <w:szCs w:val="22"/>
          <w:lang w:val="hy-AM" w:eastAsia="en-US"/>
        </w:rPr>
        <w:t xml:space="preserve"> տնտեսական սահմանափակումներն աստիճանաբար կհանվեն:</w:t>
      </w:r>
      <w:r w:rsidRPr="00A83C94">
        <w:rPr>
          <w:rFonts w:eastAsia="Calibri" w:cs="Sylfaen"/>
          <w:b w:val="0"/>
          <w:bCs/>
          <w:szCs w:val="22"/>
          <w:lang w:val="hy-AM" w:eastAsia="en-US"/>
        </w:rPr>
        <w:t xml:space="preserve"> Այս պայմաններում ԱՄՀ կանխատեսումների համաձայն 2021թ.  ՀՀ հիմ</w:t>
      </w:r>
      <w:r w:rsidRPr="00A83C94">
        <w:rPr>
          <w:rFonts w:eastAsia="Calibri" w:cs="Sylfaen"/>
          <w:b w:val="0"/>
          <w:bCs/>
          <w:szCs w:val="22"/>
          <w:lang w:val="hy-AM" w:eastAsia="en-US"/>
        </w:rPr>
        <w:softHyphen/>
        <w:t>նական գործընկեր երկրների արտաքին պահանջարկը կաճի 4.9%-ով</w:t>
      </w:r>
      <w:r w:rsidRPr="00A83C94">
        <w:rPr>
          <w:rFonts w:eastAsia="Calibri"/>
          <w:b w:val="0"/>
          <w:sz w:val="24"/>
          <w:vertAlign w:val="superscript"/>
          <w:lang w:val="es-ES" w:eastAsia="en-US"/>
        </w:rPr>
        <w:footnoteReference w:id="12"/>
      </w:r>
      <w:r w:rsidRPr="00A83C94">
        <w:rPr>
          <w:rFonts w:eastAsia="Calibri" w:cs="Sylfaen"/>
          <w:b w:val="0"/>
          <w:bCs/>
          <w:szCs w:val="22"/>
          <w:lang w:val="hy-AM" w:eastAsia="en-US"/>
        </w:rPr>
        <w:t>:</w:t>
      </w:r>
    </w:p>
    <w:p w14:paraId="045F7408" w14:textId="77777777" w:rsidR="00C34A4E" w:rsidRPr="00A83C94" w:rsidRDefault="00C34A4E" w:rsidP="00C34A4E">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2022թ. պատվաստանյութերը լայնորեն հասանելի կլինեն նաև զարգացող երկրների մեծամասնությունում, արդյունքում մինչև 2022թ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ավարտը վարակի տարածումն ամենուր կնվազի՝ հասնելով ցածր մակարդակի: Այս համատեքստում, և 2021թ.-ից փոխանցվող դրական տենտեսական և հակաբյուջետային միջոցառումների ազդեցությունների պայմաններում, 2022թ. ՀՀ գործընկեր երկրների տնտեսությունների համար կանխատեսվում  է իրենց նախաճգնաժամային պոտենցիալ աճերից բարձր տնտեսական աճեր՝ նախանշելով վերականգման գործընթացը: Արդյունքում, 2022թ. վերջում տեղի կունենա ՀՀ արտաքին պահանջարկի վերականգնումը, սակայն  նոր՝ նախաճգնաժամային մակարդակից ցածր ներուժային մակարդակի պայմաններում։</w:t>
      </w:r>
    </w:p>
    <w:p w14:paraId="5CF30F53" w14:textId="77777777" w:rsidR="00C34A4E" w:rsidRPr="00A83C94" w:rsidRDefault="00C34A4E" w:rsidP="00C34A4E">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b w:val="0"/>
          <w:szCs w:val="22"/>
          <w:lang w:val="hy-AM" w:eastAsia="en-US"/>
        </w:rPr>
        <w:t>2021թ. նավթի և պղնձի բորսային գները կգրանցեն բարձր աճեր, պայմանավորված հիմնականում համաշխարհային պահանջարկի վերականգմամբ, նավթի գների բարձրացմանը կնպաստի նաև OPEC+ անդամների միջև առաջարկի շուրջ պայմանավորվածությունները: Ըստ «Բլումբերգ» միջազգային հեղինակավոր կազմակերպության օգոստոսի դրությամբ ամփոփած  կանխատեսումների 2021թ. նավթի միջազգային գները կաճեն 62.3</w:t>
      </w:r>
      <w:r w:rsidRPr="00A83C94">
        <w:rPr>
          <w:rFonts w:eastAsia="Calibri" w:cs="Sylfaen"/>
          <w:b w:val="0"/>
          <w:bCs/>
          <w:szCs w:val="22"/>
          <w:lang w:val="hy-AM" w:eastAsia="en-US"/>
        </w:rPr>
        <w:t>%-ով, իսկ պղնձի գները՝ 52.2%</w:t>
      </w:r>
      <w:r w:rsidRPr="00A83C94">
        <w:rPr>
          <w:rFonts w:eastAsia="Calibri"/>
          <w:b w:val="0"/>
          <w:szCs w:val="22"/>
          <w:lang w:val="hy-AM" w:eastAsia="en-US"/>
        </w:rPr>
        <w:t>: 2022թ. նավթի և պղնձի գների փոփոխությունը կլինեն ոչ նշանակալի:</w:t>
      </w:r>
    </w:p>
    <w:p w14:paraId="739FDABC" w14:textId="77777777" w:rsidR="00C34A4E" w:rsidRPr="00A83C94" w:rsidRDefault="00C34A4E" w:rsidP="00C34A4E">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szCs w:val="22"/>
          <w:lang w:val="hy-AM" w:eastAsia="en-US"/>
        </w:rPr>
        <w:t xml:space="preserve">Աշխարհում տուրիզմի վերականգնումը տեղի կունենա թույլ տեմպերով, պայմանավորված համավարակի հաղթահարման անորոշություններով: Ըստ </w:t>
      </w:r>
      <w:r w:rsidRPr="00A83C94">
        <w:rPr>
          <w:rFonts w:eastAsia="+mn-ea" w:cs="+mn-cs"/>
          <w:b w:val="0"/>
          <w:color w:val="000000"/>
          <w:kern w:val="24"/>
          <w:szCs w:val="22"/>
          <w:lang w:val="hy-AM" w:eastAsia="en-US"/>
        </w:rPr>
        <w:t>տուրիզմի համաշխարհային կազմակերպության (</w:t>
      </w:r>
      <w:r w:rsidRPr="00A83C94">
        <w:rPr>
          <w:rFonts w:eastAsia="Calibri" w:cs="Sylfaen"/>
          <w:b w:val="0"/>
          <w:szCs w:val="22"/>
          <w:lang w:val="es-ES" w:eastAsia="en-US"/>
        </w:rPr>
        <w:t xml:space="preserve">UNWTO) </w:t>
      </w:r>
      <w:r w:rsidRPr="00A83C94">
        <w:rPr>
          <w:rFonts w:eastAsia="Calibri" w:cs="Sylfaen"/>
          <w:b w:val="0"/>
          <w:szCs w:val="22"/>
          <w:lang w:val="hy-AM" w:eastAsia="en-US"/>
        </w:rPr>
        <w:t>հարցումների վրա հիմնված գնահատականների</w:t>
      </w:r>
      <w:r w:rsidRPr="00A83C94">
        <w:rPr>
          <w:rStyle w:val="FootnoteReference"/>
          <w:rFonts w:eastAsia="Calibri" w:cs="Sylfaen"/>
          <w:b w:val="0"/>
          <w:szCs w:val="22"/>
          <w:lang w:val="hy-AM" w:eastAsia="en-US"/>
        </w:rPr>
        <w:footnoteReference w:id="13"/>
      </w:r>
      <w:r w:rsidRPr="00A83C94">
        <w:rPr>
          <w:rFonts w:eastAsia="Calibri" w:cs="Sylfaen"/>
          <w:b w:val="0"/>
          <w:szCs w:val="22"/>
          <w:lang w:val="hy-AM" w:eastAsia="en-US"/>
        </w:rPr>
        <w:t xml:space="preserve"> համաշխարհային զբոսաշրջությունը 2019թ</w:t>
      </w:r>
      <w:r w:rsidRPr="00A83C94">
        <w:rPr>
          <w:rFonts w:eastAsia="Calibri" w:cs="Sylfaen"/>
          <w:b w:val="0"/>
          <w:szCs w:val="22"/>
          <w:lang w:val="es-ES" w:eastAsia="en-US"/>
        </w:rPr>
        <w:t>.</w:t>
      </w:r>
      <w:r w:rsidRPr="00A83C94">
        <w:rPr>
          <w:rFonts w:eastAsia="Calibri" w:cs="Sylfaen"/>
          <w:b w:val="0"/>
          <w:szCs w:val="22"/>
          <w:lang w:val="hy-AM" w:eastAsia="en-US"/>
        </w:rPr>
        <w:t xml:space="preserve"> մակարդակին կհասնի միայն 2024թ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-ին:  ՀՀ համար՝ հաշվի առնելով հետպատերազմյան ազդեցությունների և </w:t>
      </w:r>
      <w:r w:rsidRPr="00A83C94">
        <w:rPr>
          <w:rFonts w:eastAsia="Calibri" w:cs="Sylfaen"/>
          <w:b w:val="0"/>
          <w:bCs/>
          <w:szCs w:val="22"/>
          <w:lang w:val="hy-AM" w:eastAsia="en-US"/>
        </w:rPr>
        <w:t>այլ երկրների զգուշավոր քաղաքականությունների արդյունքում</w:t>
      </w:r>
      <w:r w:rsidRPr="00A83C94">
        <w:rPr>
          <w:rFonts w:eastAsia="Calibri" w:cs="Sylfaen"/>
          <w:b w:val="0"/>
          <w:szCs w:val="22"/>
          <w:lang w:val="hy-AM" w:eastAsia="en-US"/>
        </w:rPr>
        <w:t xml:space="preserve"> համաշխարհային տնտեսության նկատմամաբ ավելի դանդաղ վերականգնումը, ենթադրվել է, որ ծառայությունների արտահանումը 2019թ. մակարդակին կհասնի 2024թ.-ին, իսկ ներմուծումը հետ կմնա՝ վերականգնվելով  միայն 2025թ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-ին։ </w:t>
      </w:r>
    </w:p>
    <w:p w14:paraId="56975A9A" w14:textId="77777777" w:rsidR="00C34A4E" w:rsidRPr="00A83C94" w:rsidRDefault="00C34A4E" w:rsidP="00C34A4E">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szCs w:val="22"/>
          <w:lang w:val="hy-AM" w:eastAsia="en-US"/>
        </w:rPr>
        <w:t>Դ</w:t>
      </w:r>
      <w:r w:rsidRPr="00A83C94">
        <w:rPr>
          <w:rFonts w:eastAsia="Calibri" w:cs="Sylfaen"/>
          <w:b w:val="0"/>
          <w:szCs w:val="22"/>
          <w:lang w:val="es-ES" w:eastAsia="en-US"/>
        </w:rPr>
        <w:t>րամական փոխանցումներ</w:t>
      </w:r>
      <w:r w:rsidRPr="00A83C94">
        <w:rPr>
          <w:rFonts w:eastAsia="Calibri" w:cs="Sylfaen"/>
          <w:b w:val="0"/>
          <w:szCs w:val="22"/>
          <w:lang w:val="hy-AM" w:eastAsia="en-US"/>
        </w:rPr>
        <w:t>ի</w:t>
      </w:r>
      <w:r w:rsidRPr="00A83C94">
        <w:rPr>
          <w:rFonts w:eastAsia="Calibri" w:cs="Sylfaen"/>
          <w:b w:val="0"/>
          <w:szCs w:val="22"/>
          <w:lang w:val="es-ES" w:eastAsia="en-US"/>
        </w:rPr>
        <w:t xml:space="preserve"> ԱՄՆ-ից դեպի Հայաստան 2020թ</w:t>
      </w:r>
      <w:r w:rsidRPr="00A83C94">
        <w:rPr>
          <w:rFonts w:ascii="Cambria Math" w:eastAsia="Calibri" w:hAnsi="Cambria Math" w:cs="Cambria Math"/>
          <w:b w:val="0"/>
          <w:szCs w:val="22"/>
          <w:lang w:val="es-ES" w:eastAsia="en-US"/>
        </w:rPr>
        <w:t>․</w:t>
      </w:r>
      <w:r w:rsidRPr="00A83C94">
        <w:rPr>
          <w:rFonts w:eastAsia="Calibri" w:cs="Sylfaen"/>
          <w:b w:val="0"/>
          <w:szCs w:val="22"/>
          <w:lang w:val="es-ES" w:eastAsia="en-US"/>
        </w:rPr>
        <w:t xml:space="preserve"> հունիս ամսից սկսված աննախադեպ բարձր աճը</w:t>
      </w:r>
      <w:r w:rsidRPr="00A83C94">
        <w:rPr>
          <w:rFonts w:eastAsia="Calibri" w:cs="Sylfaen"/>
          <w:b w:val="0"/>
          <w:szCs w:val="22"/>
          <w:lang w:val="hy-AM" w:eastAsia="en-US"/>
        </w:rPr>
        <w:t>, ենթադրվում է, որ</w:t>
      </w:r>
      <w:r w:rsidRPr="00A83C94">
        <w:rPr>
          <w:rFonts w:eastAsia="Calibri" w:cs="Sylfaen"/>
          <w:b w:val="0"/>
          <w:szCs w:val="22"/>
          <w:lang w:val="es-ES" w:eastAsia="en-US"/>
        </w:rPr>
        <w:t xml:space="preserve"> կրելու է ժամանակավոր բնույթ և 2021թ</w:t>
      </w:r>
      <w:r w:rsidRPr="00A83C94">
        <w:rPr>
          <w:rFonts w:ascii="Cambria Math" w:eastAsia="Calibri" w:hAnsi="Cambria Math" w:cs="Cambria Math"/>
          <w:b w:val="0"/>
          <w:szCs w:val="22"/>
          <w:lang w:val="es-ES" w:eastAsia="en-US"/>
        </w:rPr>
        <w:t>․</w:t>
      </w:r>
      <w:r w:rsidRPr="00A83C94">
        <w:rPr>
          <w:rFonts w:eastAsia="Calibri" w:cs="Sylfaen"/>
          <w:b w:val="0"/>
          <w:szCs w:val="22"/>
          <w:lang w:val="es-ES" w:eastAsia="en-US"/>
        </w:rPr>
        <w:t xml:space="preserve"> ընթացքում տեղի է ունենալու աստիճանական վերադարձ նախորդ զարգացումներին</w:t>
      </w:r>
      <w:r w:rsidRPr="00A83C94">
        <w:rPr>
          <w:rFonts w:ascii="Cambria Math" w:eastAsia="Calibri" w:hAnsi="Cambria Math" w:cs="Cambria Math"/>
          <w:b w:val="0"/>
          <w:szCs w:val="22"/>
          <w:lang w:val="hy-AM" w:eastAsia="en-US"/>
        </w:rPr>
        <w:t>․</w:t>
      </w:r>
      <w:r w:rsidRPr="00A83C94">
        <w:rPr>
          <w:rFonts w:eastAsia="Calibri" w:cs="Sylfaen"/>
          <w:b w:val="0"/>
          <w:szCs w:val="22"/>
          <w:lang w:val="es-ES" w:eastAsia="en-US"/>
        </w:rPr>
        <w:t xml:space="preserve"> </w:t>
      </w:r>
      <w:r w:rsidRPr="00A83C94">
        <w:rPr>
          <w:rFonts w:eastAsia="Calibri" w:cs="Sylfaen"/>
          <w:b w:val="0"/>
          <w:szCs w:val="22"/>
          <w:lang w:val="af-ZA" w:eastAsia="en-US"/>
        </w:rPr>
        <w:t>2021</w:t>
      </w:r>
      <w:r w:rsidRPr="00A83C94">
        <w:rPr>
          <w:rFonts w:eastAsia="Calibri" w:cs="Sylfaen"/>
          <w:b w:val="0"/>
          <w:szCs w:val="22"/>
          <w:lang w:val="hy-AM" w:eastAsia="en-US"/>
        </w:rPr>
        <w:t>թ</w:t>
      </w:r>
      <w:r w:rsidRPr="00A83C94">
        <w:rPr>
          <w:rFonts w:eastAsia="Calibri" w:cs="Sylfaen"/>
          <w:b w:val="0"/>
          <w:szCs w:val="22"/>
          <w:lang w:val="af-ZA" w:eastAsia="en-US"/>
        </w:rPr>
        <w:t xml:space="preserve">. </w:t>
      </w:r>
      <w:r w:rsidRPr="00A83C94">
        <w:rPr>
          <w:rFonts w:eastAsia="Calibri" w:cs="Sylfaen"/>
          <w:b w:val="0"/>
          <w:szCs w:val="22"/>
          <w:lang w:val="hy-AM" w:eastAsia="en-US"/>
        </w:rPr>
        <w:t>գնահատվում է</w:t>
      </w:r>
      <w:r w:rsidRPr="00A83C94">
        <w:rPr>
          <w:rFonts w:eastAsia="Calibri" w:cs="Sylfaen"/>
          <w:b w:val="0"/>
          <w:szCs w:val="22"/>
          <w:lang w:val="af-ZA" w:eastAsia="en-US"/>
        </w:rPr>
        <w:t xml:space="preserve"> </w:t>
      </w:r>
      <w:r w:rsidRPr="00A83C94">
        <w:rPr>
          <w:rFonts w:eastAsia="Calibri" w:cs="Sylfaen"/>
          <w:b w:val="0"/>
          <w:szCs w:val="22"/>
          <w:lang w:val="hy-AM" w:eastAsia="en-US"/>
        </w:rPr>
        <w:t>ԱՄՆ-ից դրամական</w:t>
      </w:r>
      <w:r w:rsidRPr="00A83C94">
        <w:rPr>
          <w:rFonts w:eastAsia="Calibri" w:cs="Sylfaen"/>
          <w:b w:val="0"/>
          <w:szCs w:val="22"/>
          <w:lang w:val="af-ZA" w:eastAsia="en-US"/>
        </w:rPr>
        <w:t xml:space="preserve"> </w:t>
      </w:r>
      <w:r w:rsidRPr="00A83C94">
        <w:rPr>
          <w:rFonts w:eastAsia="Calibri" w:cs="Sylfaen"/>
          <w:b w:val="0"/>
          <w:szCs w:val="22"/>
          <w:lang w:val="hy-AM" w:eastAsia="en-US"/>
        </w:rPr>
        <w:t>փոխանցումների</w:t>
      </w:r>
      <w:r w:rsidRPr="00A83C94">
        <w:rPr>
          <w:rFonts w:eastAsia="Calibri" w:cs="Sylfaen"/>
          <w:b w:val="0"/>
          <w:szCs w:val="22"/>
          <w:lang w:val="af-ZA" w:eastAsia="en-US"/>
        </w:rPr>
        <w:t xml:space="preserve"> </w:t>
      </w:r>
      <w:r w:rsidRPr="00A83C94">
        <w:rPr>
          <w:rFonts w:eastAsia="Calibri" w:cs="Sylfaen"/>
          <w:b w:val="0"/>
          <w:szCs w:val="22"/>
          <w:lang w:val="hy-AM" w:eastAsia="en-US"/>
        </w:rPr>
        <w:t>աճի տեմպի դանդաղում</w:t>
      </w:r>
      <w:r w:rsidRPr="00A83C94">
        <w:rPr>
          <w:rFonts w:eastAsia="Calibri" w:cs="Sylfaen"/>
          <w:b w:val="0"/>
          <w:szCs w:val="22"/>
          <w:lang w:val="af-ZA" w:eastAsia="en-US"/>
        </w:rPr>
        <w:t>,</w:t>
      </w:r>
      <w:r w:rsidRPr="00A83C94">
        <w:rPr>
          <w:rFonts w:eastAsia="Calibri" w:cs="Sylfaen"/>
          <w:b w:val="0"/>
          <w:szCs w:val="22"/>
          <w:lang w:val="hy-AM" w:eastAsia="en-US"/>
        </w:rPr>
        <w:t xml:space="preserve"> իսկ </w:t>
      </w:r>
      <w:r w:rsidRPr="00A83C94">
        <w:rPr>
          <w:rFonts w:eastAsia="Calibri" w:cs="Sylfaen"/>
          <w:b w:val="0"/>
          <w:szCs w:val="22"/>
          <w:lang w:val="es-ES" w:eastAsia="en-US"/>
        </w:rPr>
        <w:t>ՌԴ–ից դրամական փոխանցումներ</w:t>
      </w:r>
      <w:r w:rsidRPr="00A83C94">
        <w:rPr>
          <w:rFonts w:eastAsia="Calibri" w:cs="Sylfaen"/>
          <w:b w:val="0"/>
          <w:szCs w:val="22"/>
          <w:lang w:val="hy-AM" w:eastAsia="en-US"/>
        </w:rPr>
        <w:t>ի բարձր</w:t>
      </w:r>
      <w:r w:rsidRPr="00A83C94">
        <w:rPr>
          <w:rFonts w:eastAsia="Calibri" w:cs="Sylfaen"/>
          <w:b w:val="0"/>
          <w:szCs w:val="22"/>
          <w:lang w:val="es-ES" w:eastAsia="en-US"/>
        </w:rPr>
        <w:t xml:space="preserve"> աճ՝ պայմանավորված սահմանափակումների վերացման հետևանքով դեպի ՌԴ սեզոնային արտագնա աշխատանքի մեկնողների թվի աճով</w:t>
      </w:r>
      <w:r w:rsidRPr="00A83C94">
        <w:rPr>
          <w:rFonts w:eastAsia="Calibri" w:cs="Sylfaen"/>
          <w:b w:val="0"/>
          <w:szCs w:val="22"/>
          <w:lang w:val="hy-AM" w:eastAsia="en-US"/>
        </w:rPr>
        <w:t xml:space="preserve"> և ՌԴ տնտեսական դրական զարգացումներով:</w:t>
      </w:r>
    </w:p>
    <w:p w14:paraId="077BACFA" w14:textId="77777777" w:rsidR="00C34A4E" w:rsidRPr="00A83C94" w:rsidRDefault="00C34A4E" w:rsidP="00C34A4E">
      <w:pPr>
        <w:spacing w:before="40" w:after="120" w:line="276" w:lineRule="auto"/>
        <w:rPr>
          <w:rFonts w:eastAsia="Calibri" w:cs="Sylfaen"/>
          <w:b w:val="0"/>
          <w:szCs w:val="22"/>
          <w:lang w:val="hy-AM" w:eastAsia="en-US"/>
        </w:rPr>
      </w:pPr>
    </w:p>
    <w:p w14:paraId="2EA79CEE" w14:textId="77777777" w:rsidR="00C34A4E" w:rsidRPr="00A83C94" w:rsidRDefault="00C34A4E" w:rsidP="00C34A4E">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COVID-19 համավարակային իրավիճակ: </w:t>
      </w:r>
      <w:r w:rsidRPr="00A83C94">
        <w:rPr>
          <w:rFonts w:eastAsia="Calibri" w:cs="Sylfaen"/>
          <w:b w:val="0"/>
          <w:bCs/>
          <w:szCs w:val="22"/>
          <w:lang w:val="hy-AM" w:eastAsia="en-US"/>
        </w:rPr>
        <w:t>Իմունականխարգելման 2021-2025թթ. ազգային ծրագրով նախատեսվում է կորոնավիրուսային հիվանդության բնակչության ռիսկային խմբերի շրջանում զանգվածային պատվաստումների իրականացում, 2021թ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համավարակի աստիճանական չեզոքացում, իսկ միջնաժամկետում՝ կայուն համաճարակային իրավիճակ (լաբորատոր հաստատված եզակի դեպքեր)։ Ընդ որում՝ զանգվածային պատվաստումների իրականացումն արդեն իսկ մեկնարկել է, ինչի շրջանակներում՝ մարտ ամսից սկսած Հայաստան է ներկրվել «AstraZeneca», «Sputnik-V», «Կորոնավակ» պատվաստանյութերը: 2021թ. նախատեսվում է պատվաստել բնակչության 10%-ին, ինչի արդյունքում 2021թ. համավարակի բացասական ազդեցությունները աստիճանաբար կթուլանան, իսկ միջնաժամկետում լրացուցիչ բացասական ազդեցություններ չեն սպասվում: </w:t>
      </w:r>
    </w:p>
    <w:p w14:paraId="6F3C3372" w14:textId="77777777" w:rsidR="00C34A4E" w:rsidRPr="00A83C94" w:rsidRDefault="00C34A4E" w:rsidP="00C34A4E">
      <w:pPr>
        <w:spacing w:before="0" w:line="276" w:lineRule="auto"/>
        <w:ind w:left="426" w:firstLine="0"/>
        <w:rPr>
          <w:rFonts w:eastAsia="Calibri" w:cs="Sylfaen"/>
          <w:bCs/>
          <w:szCs w:val="22"/>
          <w:lang w:val="hy-AM" w:eastAsia="en-US"/>
        </w:rPr>
      </w:pPr>
    </w:p>
    <w:p w14:paraId="738E8636" w14:textId="77777777" w:rsidR="00C34A4E" w:rsidRPr="00A83C94" w:rsidRDefault="00C34A4E" w:rsidP="00C34A4E">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Արցախյան պատերազմի հիմնական տնտեսական հետևանքներ: </w:t>
      </w:r>
      <w:r w:rsidRPr="00A83C94">
        <w:rPr>
          <w:rFonts w:eastAsia="Calibri" w:cs="Sylfaen"/>
          <w:b w:val="0"/>
          <w:bCs/>
          <w:szCs w:val="22"/>
          <w:lang w:val="hy-AM" w:eastAsia="en-US"/>
        </w:rPr>
        <w:t xml:space="preserve">Արցախյան պատերազմի  հետևանքով տնտեսություն փոխանցվող բացասական հետևանքները գնահատվել են հաշվի առնելով հետևյալ հանգամանքները՝ </w:t>
      </w:r>
    </w:p>
    <w:p w14:paraId="3DBFB1BD" w14:textId="77777777" w:rsidR="00C34A4E" w:rsidRPr="00A83C94" w:rsidRDefault="00C34A4E" w:rsidP="00C34A4E">
      <w:pPr>
        <w:numPr>
          <w:ilvl w:val="0"/>
          <w:numId w:val="55"/>
        </w:numPr>
        <w:spacing w:before="4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 xml:space="preserve">ՀՀ գյուղատնտեսական նշանակություն ունեցող հողատարածքների Ադրբեջանի վերահսկողության տակ անցնելու և Ադրբեջանի հետ սահմանամերձ դառնալու արդյունքում ՀՀ  Սյունիքի, Գեղարքունիքի և Վայոց ձորի  մարզերում գյուղատնտեսության ոլորտի, ինչպես նաև Սոթքի հանքավայրի շահագործման մասշտաբների կրճատման հետևանքով արտահանման, զբաղվածության, հարկային եկամուտների նվազման հետևանքով կրած և առաջացող վնասները: </w:t>
      </w:r>
    </w:p>
    <w:p w14:paraId="7E127DB1" w14:textId="77777777" w:rsidR="00C34A4E" w:rsidRPr="00A83C94" w:rsidRDefault="00C34A4E" w:rsidP="00C34A4E">
      <w:pPr>
        <w:numPr>
          <w:ilvl w:val="0"/>
          <w:numId w:val="55"/>
        </w:numPr>
        <w:spacing w:before="4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Արցախյան պատերազմի հետևանքով առաջացած նոր իրողությունների պայմաններում Արցախում ներքին պահանջարկի նվազման արդյունքում ՀՀ-ից դեպի Արցախ արտահանման ծավալների կրճատումը:</w:t>
      </w:r>
    </w:p>
    <w:p w14:paraId="266CEDEE" w14:textId="77777777" w:rsidR="00C34A4E" w:rsidRPr="00A83C94" w:rsidRDefault="00C34A4E" w:rsidP="00C34A4E">
      <w:pPr>
        <w:spacing w:before="40" w:after="120" w:line="276" w:lineRule="auto"/>
        <w:ind w:left="709" w:firstLine="0"/>
        <w:contextualSpacing w:val="0"/>
        <w:jc w:val="left"/>
        <w:rPr>
          <w:rFonts w:eastAsia="Calibri" w:cs="Sylfaen"/>
          <w:b w:val="0"/>
          <w:szCs w:val="22"/>
          <w:lang w:val="hy-AM" w:eastAsia="en-US"/>
        </w:rPr>
      </w:pPr>
    </w:p>
    <w:p w14:paraId="3BF09C67" w14:textId="77777777" w:rsidR="00C34A4E" w:rsidRPr="00A83C94" w:rsidRDefault="00C34A4E" w:rsidP="00C34A4E">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Կառավարության 2021-2026թթ. ծրագրից բխող թիրախներ և գործողություններ։ </w:t>
      </w:r>
      <w:r w:rsidRPr="00A83C94">
        <w:rPr>
          <w:rFonts w:eastAsia="Calibri" w:cs="Sylfaen"/>
          <w:b w:val="0"/>
          <w:bCs/>
          <w:szCs w:val="22"/>
          <w:lang w:val="hy-AM" w:eastAsia="en-US"/>
        </w:rPr>
        <w:t>ՀՀ կառավարության ծրագրում նպատակարդված թիրախներին համահունչ 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w:t>
      </w:r>
      <w:r w:rsidRPr="00A83C94">
        <w:rPr>
          <w:rFonts w:eastAsia="Calibri" w:cs="Sylfaen"/>
          <w:b w:val="0"/>
          <w:bCs/>
          <w:szCs w:val="22"/>
          <w:lang w:val="hy-AM" w:eastAsia="en-US"/>
        </w:rPr>
        <w:t>տնտեսական աճի կանխատեսումների հիմքում դրվել է հետևյալ ենթադրությունները</w:t>
      </w:r>
      <w:r w:rsidRPr="00A83C94">
        <w:rPr>
          <w:rFonts w:ascii="Cambria Math" w:eastAsia="Calibri" w:hAnsi="Cambria Math" w:cs="Cambria Math"/>
          <w:b w:val="0"/>
          <w:bCs/>
          <w:szCs w:val="22"/>
          <w:lang w:val="hy-AM" w:eastAsia="en-US"/>
        </w:rPr>
        <w:t>․</w:t>
      </w:r>
    </w:p>
    <w:p w14:paraId="18ACE633" w14:textId="77777777" w:rsidR="00C34A4E" w:rsidRPr="00A83C94" w:rsidRDefault="00C34A4E" w:rsidP="00C34A4E">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 xml:space="preserve">Գործարար միջավայրի բարելավման արդյունքում մասնավոր ներդրումների, այդ թվում օտարերկրյա ուղղակի ներդրումների մակարդակի բարձրացում, </w:t>
      </w:r>
    </w:p>
    <w:p w14:paraId="3C07F0A5" w14:textId="77777777" w:rsidR="00C34A4E" w:rsidRPr="00A83C94" w:rsidRDefault="00C34A4E" w:rsidP="00C34A4E">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Ենթակառուցվածքներում, տնտեսության արտադրողական ոլորտներում մեծածավալ պետական կապիտալ ներդրումների թիրախավորված իրականացում,</w:t>
      </w:r>
    </w:p>
    <w:p w14:paraId="17A7B3AC" w14:textId="77777777" w:rsidR="00C34A4E" w:rsidRPr="00A83C94" w:rsidRDefault="00C34A4E" w:rsidP="00C34A4E">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Տնտեսության արտահանելի հատվածի և արտահանման խթանմանն ուղղված քաղաքականության արդյունքում արտահանման ծավալների մեծացում,</w:t>
      </w:r>
    </w:p>
    <w:p w14:paraId="17A49D23" w14:textId="77777777" w:rsidR="00C34A4E" w:rsidRPr="00A83C94" w:rsidRDefault="00C34A4E" w:rsidP="00C34A4E">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Բարձր տեխնոլոգիական առաջընթացի ապահովմանն ուղղված քաղաքականության իրականացման արդյունքում մրցակցության և արտադրողականության բարձրացում։</w:t>
      </w:r>
    </w:p>
    <w:p w14:paraId="212CFE6A" w14:textId="77777777" w:rsidR="00C34A4E" w:rsidRPr="00A83C94" w:rsidRDefault="00C34A4E" w:rsidP="00C34A4E">
      <w:pPr>
        <w:pStyle w:val="ListParagraph"/>
        <w:spacing w:before="0" w:line="276" w:lineRule="auto"/>
        <w:ind w:left="1200" w:firstLine="0"/>
        <w:contextualSpacing w:val="0"/>
        <w:rPr>
          <w:rFonts w:eastAsia="Calibri" w:cs="Sylfaen"/>
          <w:b w:val="0"/>
          <w:szCs w:val="22"/>
          <w:lang w:val="hy-AM" w:eastAsia="en-US"/>
        </w:rPr>
      </w:pPr>
    </w:p>
    <w:p w14:paraId="5628F2E9" w14:textId="77777777" w:rsidR="00C34A4E" w:rsidRPr="00A83C94" w:rsidRDefault="00C34A4E" w:rsidP="00C34A4E">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Տնտեսության ներուժ և պաբերաշրջաններ: </w:t>
      </w:r>
      <w:r w:rsidRPr="00A83C94">
        <w:rPr>
          <w:rFonts w:eastAsia="Calibri" w:cs="Sylfaen"/>
          <w:b w:val="0"/>
          <w:szCs w:val="22"/>
          <w:lang w:val="hy-AM" w:eastAsia="en-US"/>
        </w:rPr>
        <w:t>2020թ.  համավարակի և Արցախյան պատերազմի հետևանքով առաջացած  տնտեսական անկման պայմաններում ՀՀ տնտեսությունը կրել է ոչ միայն ցիկլային բացասական զարգացումներ, այլ նաև նվազել է տնտեսության ներուժը և ներուժային աճը, պայմանավորված ինչպես արտադրողականության անկմամբ, այնպես էլ արտադրական գործոնների՝ աշխատուժի և կապիտալի, ներուժային մակարդակների նվազմամբ։  2022 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 պետական կապիտալ ծախսերի մակարդակի թիրախային բարձրացման, ներդրումային միջավայրի բարելավման և արտահանման առաջանցիկ աճի պայմաններում ներուժային աճն աստիճանաբար կվերականգնվի։ Իսկ ներքին պահանջարկի վերականգնման արդյունքում տնտեսությունում կփակվի ՀՆԱ բացասական ճեղքը:</w:t>
      </w:r>
    </w:p>
    <w:p w14:paraId="7BFBBCA4" w14:textId="77777777" w:rsidR="00C34A4E" w:rsidRPr="00A83C94" w:rsidRDefault="00C34A4E" w:rsidP="00C34A4E">
      <w:pPr>
        <w:spacing w:before="0" w:line="276" w:lineRule="auto"/>
        <w:ind w:left="426" w:firstLine="0"/>
        <w:rPr>
          <w:rFonts w:eastAsia="Calibri" w:cs="Sylfaen"/>
          <w:bCs/>
          <w:szCs w:val="22"/>
          <w:lang w:val="hy-AM" w:eastAsia="en-US"/>
        </w:rPr>
      </w:pPr>
    </w:p>
    <w:p w14:paraId="0380E448" w14:textId="77777777" w:rsidR="00C34A4E" w:rsidRPr="00A83C94" w:rsidRDefault="00C34A4E" w:rsidP="00C34A4E">
      <w:pPr>
        <w:numPr>
          <w:ilvl w:val="0"/>
          <w:numId w:val="54"/>
        </w:numPr>
        <w:spacing w:before="0" w:line="276" w:lineRule="auto"/>
        <w:ind w:left="426"/>
        <w:contextualSpacing w:val="0"/>
        <w:jc w:val="left"/>
        <w:rPr>
          <w:rFonts w:eastAsia="Calibri" w:cs="Sylfaen"/>
          <w:bCs/>
          <w:szCs w:val="22"/>
          <w:lang w:val="hy-AM" w:eastAsia="en-US"/>
        </w:rPr>
      </w:pPr>
      <w:r w:rsidRPr="00A83C94">
        <w:rPr>
          <w:rFonts w:eastAsia="Calibri" w:cs="Sylfaen"/>
          <w:bCs/>
          <w:szCs w:val="22"/>
          <w:lang w:val="hy-AM" w:eastAsia="en-US"/>
        </w:rPr>
        <w:t>Հարկաբյուջետային քաղաքականություն</w:t>
      </w:r>
      <w:r w:rsidRPr="00A83C94">
        <w:rPr>
          <w:rFonts w:eastAsia="Calibri" w:cs="Sylfaen"/>
          <w:bCs/>
          <w:szCs w:val="22"/>
          <w:lang w:val="en-US" w:eastAsia="en-US"/>
        </w:rPr>
        <w:t>.</w:t>
      </w:r>
    </w:p>
    <w:p w14:paraId="02C245A6" w14:textId="77777777" w:rsidR="00C34A4E" w:rsidRPr="00A83C94" w:rsidRDefault="00C34A4E" w:rsidP="00C34A4E">
      <w:pPr>
        <w:spacing w:before="0" w:line="276" w:lineRule="auto"/>
        <w:ind w:firstLine="0"/>
        <w:contextualSpacing w:val="0"/>
        <w:jc w:val="left"/>
        <w:rPr>
          <w:rFonts w:eastAsia="Calibri" w:cs="Sylfaen"/>
          <w:bCs/>
          <w:szCs w:val="22"/>
          <w:lang w:val="hy-AM" w:eastAsia="en-US"/>
        </w:rPr>
      </w:pPr>
    </w:p>
    <w:p w14:paraId="71F69A36" w14:textId="77777777" w:rsidR="00C34A4E" w:rsidRPr="00A83C94" w:rsidRDefault="00C34A4E" w:rsidP="00C34A4E">
      <w:pPr>
        <w:numPr>
          <w:ilvl w:val="0"/>
          <w:numId w:val="53"/>
        </w:numPr>
        <w:spacing w:before="40" w:after="120" w:line="276" w:lineRule="auto"/>
        <w:ind w:left="709"/>
        <w:contextualSpacing w:val="0"/>
        <w:rPr>
          <w:rFonts w:eastAsia="Calibri" w:cs="Sylfaen"/>
          <w:b w:val="0"/>
          <w:szCs w:val="22"/>
          <w:lang w:val="hy-AM" w:eastAsia="en-US"/>
        </w:rPr>
      </w:pPr>
      <w:r w:rsidRPr="00A83C94">
        <w:rPr>
          <w:rFonts w:eastAsia="Calibri" w:cs="Sylfaen"/>
          <w:b w:val="0"/>
          <w:szCs w:val="22"/>
          <w:lang w:val="hy-AM" w:eastAsia="en-US"/>
        </w:rPr>
        <w:t>2021թ. կշարունակվեն կառավարության հակաճգնաժամային միջոցառումները՝ ուղղված COVID-19 համավարակի և Արցախյան պատերազմի հետևանքների մեղմանը: Միաժամանակ, նպատակ ունենալով ապահովել հարկաբյուջետային կայունությունը և աջակցել տնտեսական վերականգնմանը` հարկաբյուջետային քաղաքականությունը 2021թ. կլինի զսպող, այնուհետև, 2022 թվականին հարկաբյուջետային քաղաքականության ազդեցությունն ամբողջական պահանջարկի վրա կլինի չեզոք:</w:t>
      </w:r>
    </w:p>
    <w:p w14:paraId="1C871091" w14:textId="77777777" w:rsidR="00C34A4E" w:rsidRPr="00A83C94" w:rsidRDefault="00C34A4E" w:rsidP="00C34A4E">
      <w:pPr>
        <w:numPr>
          <w:ilvl w:val="0"/>
          <w:numId w:val="53"/>
        </w:numPr>
        <w:spacing w:before="40" w:after="120" w:line="276" w:lineRule="auto"/>
        <w:ind w:left="709" w:firstLine="0"/>
        <w:contextualSpacing w:val="0"/>
        <w:rPr>
          <w:rFonts w:eastAsia="Calibri" w:cs="Sylfaen"/>
          <w:b w:val="0"/>
          <w:szCs w:val="22"/>
          <w:lang w:val="hy-AM" w:eastAsia="en-US"/>
        </w:rPr>
      </w:pPr>
      <w:r w:rsidRPr="00A83C94">
        <w:rPr>
          <w:rFonts w:eastAsia="Calibri" w:cs="Sylfaen"/>
          <w:b w:val="0"/>
          <w:szCs w:val="22"/>
          <w:lang w:val="hy-AM" w:eastAsia="en-US"/>
        </w:rPr>
        <w:t>2022թ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-ին ՀՀ Կառավարությունը թիրախավորում է պարտքի կայունության պահպանման պայմաններում նպաստել բարձր տնտեսական աճի ապահովմանը, միաժամանակ վերադարձ կատարելով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w:t>
      </w:r>
    </w:p>
    <w:p w14:paraId="04935A54" w14:textId="77777777" w:rsidR="00C34A4E" w:rsidRPr="00A83C94" w:rsidRDefault="00C34A4E" w:rsidP="00C34A4E">
      <w:pPr>
        <w:numPr>
          <w:ilvl w:val="0"/>
          <w:numId w:val="54"/>
        </w:numPr>
        <w:spacing w:before="0" w:line="276" w:lineRule="auto"/>
        <w:contextualSpacing w:val="0"/>
        <w:jc w:val="left"/>
        <w:rPr>
          <w:rFonts w:eastAsia="Calibri" w:cs="Sylfaen"/>
          <w:bCs/>
          <w:szCs w:val="22"/>
          <w:lang w:val="hy-AM" w:eastAsia="en-US"/>
        </w:rPr>
      </w:pPr>
      <w:r w:rsidRPr="00A83C94">
        <w:rPr>
          <w:rFonts w:eastAsia="Calibri" w:cs="Sylfaen"/>
          <w:bCs/>
          <w:szCs w:val="22"/>
          <w:lang w:eastAsia="en-US"/>
        </w:rPr>
        <w:t>Գնաճ և դ</w:t>
      </w:r>
      <w:r w:rsidRPr="00A83C94">
        <w:rPr>
          <w:rFonts w:eastAsia="Calibri" w:cs="Sylfaen"/>
          <w:bCs/>
          <w:szCs w:val="22"/>
          <w:lang w:val="hy-AM" w:eastAsia="en-US"/>
        </w:rPr>
        <w:t>րամավարկային քաղաքականություն</w:t>
      </w:r>
      <w:r w:rsidRPr="00A83C94">
        <w:rPr>
          <w:rFonts w:eastAsia="Calibri" w:cs="Sylfaen"/>
          <w:bCs/>
          <w:szCs w:val="22"/>
          <w:lang w:eastAsia="en-US"/>
        </w:rPr>
        <w:t>.</w:t>
      </w:r>
      <w:r w:rsidRPr="00A83C94">
        <w:rPr>
          <w:b w:val="0"/>
          <w:sz w:val="24"/>
          <w:lang w:val="hy-AM" w:eastAsia="en-US"/>
        </w:rPr>
        <w:t xml:space="preserve"> </w:t>
      </w:r>
    </w:p>
    <w:p w14:paraId="23FCFF37" w14:textId="77777777" w:rsidR="00C34A4E" w:rsidRPr="00A83C94" w:rsidRDefault="00C34A4E" w:rsidP="00C34A4E">
      <w:pPr>
        <w:numPr>
          <w:ilvl w:val="1"/>
          <w:numId w:val="56"/>
        </w:numPr>
        <w:spacing w:before="0" w:line="276" w:lineRule="auto"/>
        <w:ind w:left="709"/>
        <w:contextualSpacing w:val="0"/>
        <w:rPr>
          <w:rFonts w:eastAsia="Calibri" w:cs="Sylfaen"/>
          <w:b w:val="0"/>
          <w:bCs/>
          <w:szCs w:val="22"/>
          <w:lang w:val="hy-AM" w:eastAsia="en-US"/>
        </w:rPr>
      </w:pPr>
      <w:r w:rsidRPr="00A83C94">
        <w:rPr>
          <w:rFonts w:eastAsia="Calibri" w:cs="Sylfaen"/>
          <w:bCs/>
          <w:szCs w:val="22"/>
          <w:lang w:val="hy-AM" w:eastAsia="en-US"/>
        </w:rPr>
        <w:tab/>
      </w:r>
      <w:r w:rsidRPr="00A83C94">
        <w:rPr>
          <w:rFonts w:eastAsia="Calibri" w:cs="Sylfaen"/>
          <w:b w:val="0"/>
          <w:bCs/>
          <w:szCs w:val="22"/>
          <w:lang w:val="hy-AM" w:eastAsia="en-US"/>
        </w:rPr>
        <w:t>2020թ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դեկտմեբերից արձանագրված գնաճի արագացումը կշարունավի  նաև 2021թ-ին պայմանավորված՝ միջազգային պարենային ապրանքների գների աճով, փոխարժեքի արժեզրկմամբ, Արցախյան պատերազմի բացասական հետևանքներով, մաքսատուրքերի և ակցիզային հարկերի բարձրացմամբ, ինչպես նաև էլեկտրաէներգիայի սակագների փոփոխության հետևանքներով:</w:t>
      </w:r>
    </w:p>
    <w:p w14:paraId="3BD7AB63" w14:textId="77777777" w:rsidR="00C34A4E" w:rsidRPr="00A83C94" w:rsidRDefault="00C34A4E" w:rsidP="00C34A4E">
      <w:pPr>
        <w:numPr>
          <w:ilvl w:val="1"/>
          <w:numId w:val="56"/>
        </w:numPr>
        <w:spacing w:before="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2021թ. դրամավարկային քաղաքականությունըմիտված կլինի գնաճային սպասումների արագացման ռիսկերի չեզոքացմանը՝ միևնույն ժամանակ ապահովելով հնարավորին նպաստավոր պայմաններ ամբողջական պահանջարկի վերականգնման համար, իսկ 2022թ.-ին ԿԲ քաղաքականությունը ուղղված է լինելու գնաճի կայունացմանը թիրախի շուրջ:</w:t>
      </w:r>
    </w:p>
    <w:p w14:paraId="5BD6B69A" w14:textId="77777777" w:rsidR="00C34A4E" w:rsidRPr="00A83C94" w:rsidRDefault="00C34A4E" w:rsidP="00C34A4E">
      <w:pPr>
        <w:keepNext/>
        <w:keepLines/>
        <w:spacing w:before="0" w:line="276" w:lineRule="auto"/>
        <w:outlineLvl w:val="2"/>
        <w:rPr>
          <w:rFonts w:eastAsia="GHEA Grapalat" w:cs="GHEA Grapalat"/>
          <w:b w:val="0"/>
          <w:color w:val="000000"/>
          <w:szCs w:val="22"/>
          <w:lang w:val="hy-AM"/>
        </w:rPr>
      </w:pPr>
      <w:r w:rsidRPr="00A83C94">
        <w:rPr>
          <w:rFonts w:eastAsia="Calibri" w:cs="Sylfaen"/>
          <w:b w:val="0"/>
          <w:bCs/>
          <w:color w:val="C00000"/>
          <w:szCs w:val="22"/>
          <w:lang w:val="hy-AM"/>
        </w:rPr>
        <w:br w:type="page"/>
      </w:r>
    </w:p>
    <w:p w14:paraId="57281047" w14:textId="77777777" w:rsidR="00C34A4E" w:rsidRPr="00A83C94" w:rsidRDefault="00C34A4E" w:rsidP="00C34A4E">
      <w:pPr>
        <w:spacing w:before="0" w:line="240" w:lineRule="auto"/>
        <w:ind w:firstLine="0"/>
        <w:contextualSpacing w:val="0"/>
        <w:jc w:val="left"/>
        <w:rPr>
          <w:rFonts w:eastAsia="GHEA Grapalat" w:cs="GHEA Grapalat"/>
          <w:b w:val="0"/>
          <w:color w:val="000000"/>
          <w:szCs w:val="22"/>
          <w:lang w:val="hy-AM"/>
        </w:rPr>
      </w:pPr>
    </w:p>
    <w:p w14:paraId="370567EF" w14:textId="77777777" w:rsidR="00C34A4E" w:rsidRPr="00A83C94" w:rsidRDefault="00C34A4E" w:rsidP="00C34A4E">
      <w:pPr>
        <w:keepNext/>
        <w:keepLines/>
        <w:spacing w:before="240" w:after="60" w:line="276" w:lineRule="auto"/>
        <w:ind w:firstLine="0"/>
        <w:outlineLvl w:val="2"/>
        <w:rPr>
          <w:bCs/>
          <w:sz w:val="24"/>
          <w:lang w:val="hy-AM" w:eastAsia="en-US"/>
        </w:rPr>
      </w:pPr>
      <w:bookmarkStart w:id="132" w:name="_Toc46154348"/>
      <w:bookmarkStart w:id="133" w:name="_Toc51360534"/>
      <w:bookmarkStart w:id="134" w:name="_Toc51947417"/>
      <w:bookmarkStart w:id="135" w:name="_Toc52452090"/>
      <w:bookmarkStart w:id="136" w:name="_Toc57559417"/>
      <w:bookmarkStart w:id="137" w:name="_Toc83663898"/>
      <w:bookmarkStart w:id="138" w:name="_Toc83996344"/>
      <w:r w:rsidRPr="00A83C94">
        <w:rPr>
          <w:bCs/>
          <w:sz w:val="24"/>
          <w:lang w:val="hy-AM" w:eastAsia="en-US"/>
        </w:rPr>
        <w:t>1.5. ՄԱԿՐՈՏՆՏԵՍԱԿԱՆ ԿԱՆԽԱՏԵՍՈՒՄՆԵՐԻ ՌԻՍԿԵՐԸ</w:t>
      </w:r>
      <w:bookmarkEnd w:id="132"/>
      <w:bookmarkEnd w:id="133"/>
      <w:bookmarkEnd w:id="134"/>
      <w:bookmarkEnd w:id="135"/>
      <w:bookmarkEnd w:id="136"/>
      <w:bookmarkEnd w:id="137"/>
      <w:bookmarkEnd w:id="138"/>
    </w:p>
    <w:p w14:paraId="65710421" w14:textId="77777777" w:rsidR="00C34A4E" w:rsidRPr="00A83C94" w:rsidRDefault="00C34A4E" w:rsidP="00C34A4E">
      <w:pPr>
        <w:spacing w:before="0" w:after="120" w:line="276" w:lineRule="auto"/>
        <w:ind w:right="540" w:firstLine="360"/>
        <w:contextualSpacing w:val="0"/>
        <w:rPr>
          <w:rFonts w:eastAsia="Calibri"/>
          <w:b w:val="0"/>
          <w:szCs w:val="22"/>
          <w:lang w:val="hy-AM" w:eastAsia="en-US"/>
        </w:rPr>
      </w:pPr>
      <w:r w:rsidRPr="00A83C94">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A83C94">
        <w:rPr>
          <w:rFonts w:eastAsia="Calibri"/>
          <w:b w:val="0"/>
          <w:szCs w:val="22"/>
          <w:lang w:val="hy-AM" w:eastAsia="en-US"/>
        </w:rPr>
        <w:t xml:space="preserve"> </w:t>
      </w:r>
      <w:r w:rsidRPr="00A83C94">
        <w:rPr>
          <w:rFonts w:eastAsia="Calibri"/>
          <w:b w:val="0"/>
          <w:szCs w:val="22"/>
          <w:lang w:val="es-ES" w:eastAsia="en-US"/>
        </w:rPr>
        <w:t>կանխատեսումների համեմատ:</w:t>
      </w:r>
      <w:r w:rsidRPr="00A83C94">
        <w:rPr>
          <w:rFonts w:eastAsia="Calibri"/>
          <w:b w:val="0"/>
          <w:szCs w:val="22"/>
          <w:lang w:val="hy-AM" w:eastAsia="en-US"/>
        </w:rPr>
        <w:t xml:space="preserve"> Ռիսկերի տեղի ունենալու դեպքում շեղումներ կարձանագրվեն սույն փաստաթղթի </w:t>
      </w:r>
      <w:r w:rsidRPr="00A83C94">
        <w:rPr>
          <w:rFonts w:eastAsia="Calibri"/>
          <w:b w:val="0"/>
          <w:szCs w:val="22"/>
          <w:lang w:val="es-ES" w:eastAsia="en-US"/>
        </w:rPr>
        <w:t>1.4</w:t>
      </w:r>
      <w:r w:rsidRPr="00A83C94">
        <w:rPr>
          <w:rFonts w:eastAsia="Calibri"/>
          <w:b w:val="0"/>
          <w:szCs w:val="22"/>
          <w:lang w:val="hy-AM" w:eastAsia="en-US"/>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ՄԺԾԾ շրջանակից։</w:t>
      </w:r>
    </w:p>
    <w:p w14:paraId="3BB84AB1" w14:textId="77777777" w:rsidR="00C34A4E" w:rsidRPr="00A83C94" w:rsidRDefault="00C34A4E" w:rsidP="00C34A4E">
      <w:pPr>
        <w:spacing w:before="0" w:after="120" w:line="276" w:lineRule="auto"/>
        <w:ind w:right="540" w:firstLine="360"/>
        <w:contextualSpacing w:val="0"/>
        <w:rPr>
          <w:rFonts w:eastAsia="Calibri"/>
          <w:b w:val="0"/>
          <w:szCs w:val="22"/>
          <w:lang w:val="hy-AM" w:eastAsia="en-US"/>
        </w:rPr>
      </w:pPr>
      <w:r w:rsidRPr="00A83C94">
        <w:rPr>
          <w:rFonts w:cs="Times Armenian"/>
          <w:b w:val="0"/>
          <w:bCs/>
          <w:szCs w:val="22"/>
          <w:lang w:val="hy-AM" w:eastAsia="en-US"/>
        </w:rPr>
        <w:t>Հաշվի առնելով արտաքին տնտեսական միջավայրի՝ Համավարակի հետագա զարգացումներով պայմանավորված որոշակի անորոշությունները,  պետական կապիտալ ներդրումների իրականացման և տնտեսության կլանման հնարավորությունների սահմանափակումները, ինչպես նաև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դրսևորումները բյուջեի շրջանակում 2022թ</w:t>
      </w:r>
      <w:r w:rsidRPr="00A83C94">
        <w:rPr>
          <w:rFonts w:ascii="Cambria Math" w:hAnsi="Cambria Math" w:cs="Cambria Math"/>
          <w:b w:val="0"/>
          <w:bCs/>
          <w:szCs w:val="22"/>
          <w:lang w:val="hy-AM" w:eastAsia="en-US"/>
        </w:rPr>
        <w:t>․</w:t>
      </w:r>
      <w:r w:rsidRPr="00A83C94">
        <w:rPr>
          <w:rFonts w:cs="Times Armenian"/>
          <w:b w:val="0"/>
          <w:bCs/>
          <w:szCs w:val="22"/>
          <w:lang w:val="hy-AM" w:eastAsia="en-US"/>
        </w:rPr>
        <w:t xml:space="preserve"> ՀՀ տնտեսական աճի կանխատեսումների ռիսկերը գնահատվում են դեպի ներքև։</w:t>
      </w:r>
    </w:p>
    <w:p w14:paraId="281646F0" w14:textId="77777777" w:rsidR="00C34A4E" w:rsidRPr="00A83C94" w:rsidRDefault="00C34A4E" w:rsidP="00C34A4E">
      <w:pPr>
        <w:spacing w:before="0" w:after="120" w:line="480" w:lineRule="auto"/>
        <w:ind w:firstLine="0"/>
        <w:contextualSpacing w:val="0"/>
        <w:jc w:val="left"/>
        <w:rPr>
          <w:sz w:val="24"/>
          <w:lang w:val="hy-AM" w:eastAsia="en-US"/>
        </w:rPr>
      </w:pPr>
      <w:r w:rsidRPr="00A83C94">
        <w:rPr>
          <w:sz w:val="24"/>
          <w:lang w:val="hy-AM" w:eastAsia="en-US"/>
        </w:rPr>
        <w:t>1.5.1. ՀՀ տնտեսական աճի դեպի ներքև ուղղությամբ ռիսկեր</w:t>
      </w:r>
    </w:p>
    <w:p w14:paraId="79AC2878" w14:textId="77777777" w:rsidR="00C34A4E" w:rsidRPr="00A83C94" w:rsidRDefault="00C34A4E" w:rsidP="00C34A4E">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 xml:space="preserve">Արտաքին միջավայրից բխող դեպի ներքև ռիսկերը պայմանվորված են՝ </w:t>
      </w:r>
    </w:p>
    <w:p w14:paraId="5C998824"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Համաշխարհային տնտեսության, մասնավորապես ՀՀ գործընկեր երկրների տնտեսությունների սպասվածից ավելի դանդաղ վերականգմամբ,  </w:t>
      </w:r>
    </w:p>
    <w:p w14:paraId="0908B35C"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Համավարակի դեմ պատվաստանյութերի տարածման սպասվածից ավելի դանդաղ  ընթացքով, պատվաստումներ կատարելու նկատմամբ բնակչության թույլ պատրաստակամությամբ, երկրների սահմանների բացման և փոխադրումների սահմանափակումների վերացման սպասվածից ավելի դանդաղ ընթացքով, ինչպես նաև համավարակի դեմ պատվաստումների սպասվածից վատ արդյունքներով:</w:t>
      </w:r>
    </w:p>
    <w:p w14:paraId="2DD58194" w14:textId="77777777" w:rsidR="00C34A4E" w:rsidRPr="00A83C94" w:rsidRDefault="00C34A4E" w:rsidP="00C34A4E">
      <w:pPr>
        <w:spacing w:before="40" w:after="120" w:line="276" w:lineRule="auto"/>
        <w:ind w:left="1080" w:right="540" w:firstLine="0"/>
        <w:rPr>
          <w:rFonts w:eastAsia="Calibri" w:cs="Sylfaen"/>
          <w:b w:val="0"/>
          <w:bCs/>
          <w:szCs w:val="22"/>
          <w:lang w:val="hy-AM" w:eastAsia="en-US"/>
        </w:rPr>
      </w:pPr>
    </w:p>
    <w:p w14:paraId="72D8C43C" w14:textId="77777777" w:rsidR="00C34A4E" w:rsidRPr="00A83C94" w:rsidRDefault="00C34A4E" w:rsidP="00C34A4E">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Ներքին միջավայրից բխող դեպի ներքև ռիսկերը պայմանավորված են՝</w:t>
      </w:r>
    </w:p>
    <w:p w14:paraId="00ED17DA"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szCs w:val="22"/>
          <w:lang w:val="hy-AM" w:eastAsia="en-US"/>
        </w:rPr>
        <w:t>ՀՀ-ում</w:t>
      </w:r>
      <w:r w:rsidRPr="00A83C94">
        <w:rPr>
          <w:rFonts w:eastAsia="Calibri" w:cs="Sylfaen"/>
          <w:b w:val="0"/>
          <w:i/>
          <w:szCs w:val="22"/>
          <w:lang w:val="hy-AM" w:eastAsia="en-US"/>
        </w:rPr>
        <w:t xml:space="preserve"> </w:t>
      </w:r>
      <w:r w:rsidRPr="00A83C94">
        <w:rPr>
          <w:rFonts w:eastAsia="Calibri" w:cs="Sylfaen"/>
          <w:b w:val="0"/>
          <w:szCs w:val="22"/>
          <w:lang w:val="hy-AM" w:eastAsia="en-US"/>
        </w:rPr>
        <w:t xml:space="preserve">կորոնավիրուսի համավարակի տարածման անորոշություններով,  այդ թվում բնակչության պատվաստումների ավելի ցածր ցուցանիշով, ինչպես նաև </w:t>
      </w:r>
      <w:r w:rsidRPr="00A83C94">
        <w:rPr>
          <w:rFonts w:eastAsia="Calibri" w:cs="Sylfaen"/>
          <w:b w:val="0"/>
          <w:bCs/>
          <w:szCs w:val="22"/>
          <w:lang w:val="hy-AM" w:eastAsia="en-US"/>
        </w:rPr>
        <w:t>նոր</w:t>
      </w:r>
      <w:r w:rsidRPr="00A83C94">
        <w:rPr>
          <w:rFonts w:ascii="Calibri" w:eastAsia="Calibri" w:hAnsi="Calibri" w:cs="Calibri"/>
          <w:b w:val="0"/>
          <w:bCs/>
          <w:szCs w:val="22"/>
          <w:lang w:val="hy-AM" w:eastAsia="en-US"/>
        </w:rPr>
        <w:t> </w:t>
      </w:r>
      <w:r w:rsidRPr="00A83C94">
        <w:rPr>
          <w:rFonts w:eastAsia="Calibri" w:cs="Sylfaen"/>
          <w:b w:val="0"/>
          <w:bCs/>
          <w:szCs w:val="22"/>
          <w:lang w:val="hy-AM" w:eastAsia="en-US"/>
        </w:rPr>
        <w:t xml:space="preserve">շտամերի տարածման հետևանքով հետագա տնտեսական կորուստներով, </w:t>
      </w:r>
    </w:p>
    <w:p w14:paraId="22B8C8F5"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ՀՀ կառավարության աջակցության փաթեթների ազդեցությունների ավելի դանդաղ դրսևորումներով, </w:t>
      </w:r>
    </w:p>
    <w:p w14:paraId="260232C7"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cs="Times Armenian"/>
          <w:b w:val="0"/>
          <w:bCs/>
          <w:szCs w:val="22"/>
          <w:lang w:val="hy-AM" w:eastAsia="en-US"/>
        </w:rPr>
        <w:t>Պետական կապիտալ ներդրումների իրականացման և տնտեսության կլանման հնարավորությունների սահմանափակումներով,</w:t>
      </w:r>
    </w:p>
    <w:p w14:paraId="3D62BE1E"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cs="Times Armenian"/>
          <w:b w:val="0"/>
          <w:bCs/>
          <w:szCs w:val="22"/>
          <w:lang w:val="hy-AM" w:eastAsia="en-US"/>
        </w:rPr>
        <w:t xml:space="preserve">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դրսևորումներով,</w:t>
      </w:r>
    </w:p>
    <w:p w14:paraId="1024617A" w14:textId="77777777" w:rsidR="00C34A4E" w:rsidRPr="00A83C94" w:rsidRDefault="00C34A4E" w:rsidP="00C34A4E">
      <w:pPr>
        <w:spacing w:before="40" w:after="120" w:line="276" w:lineRule="auto"/>
        <w:ind w:left="1080" w:right="540" w:firstLine="0"/>
        <w:contextualSpacing w:val="0"/>
        <w:rPr>
          <w:rFonts w:eastAsia="Calibri" w:cs="Sylfaen"/>
          <w:b w:val="0"/>
          <w:bCs/>
          <w:szCs w:val="22"/>
          <w:lang w:val="hy-AM" w:eastAsia="en-US"/>
        </w:rPr>
      </w:pPr>
    </w:p>
    <w:p w14:paraId="5EBC3593"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ՀՀ կառավարության այլ կառուցվածքային բարեփոխումների ակնկալվող արդյունքների սպասվածից ավելի ուշ արտահայտմամբ:</w:t>
      </w:r>
    </w:p>
    <w:p w14:paraId="75602157" w14:textId="77777777" w:rsidR="00C34A4E" w:rsidRPr="00A83C94" w:rsidRDefault="00C34A4E" w:rsidP="00C34A4E">
      <w:pPr>
        <w:spacing w:before="0" w:after="120" w:line="480" w:lineRule="auto"/>
        <w:ind w:firstLine="0"/>
        <w:contextualSpacing w:val="0"/>
        <w:jc w:val="left"/>
        <w:rPr>
          <w:sz w:val="24"/>
          <w:lang w:val="hy-AM" w:eastAsia="en-US"/>
        </w:rPr>
      </w:pPr>
      <w:r w:rsidRPr="00A83C94">
        <w:rPr>
          <w:sz w:val="24"/>
          <w:lang w:val="hy-AM" w:eastAsia="en-US"/>
        </w:rPr>
        <w:t xml:space="preserve">1.5.2. Տնտեսական աճի դեպի վերև ուղղությամբ ռիսկեր </w:t>
      </w:r>
    </w:p>
    <w:p w14:paraId="03EBF7C0" w14:textId="77777777" w:rsidR="00C34A4E" w:rsidRPr="00A83C94" w:rsidRDefault="00C34A4E" w:rsidP="00C34A4E">
      <w:pPr>
        <w:spacing w:before="40" w:after="120" w:line="276" w:lineRule="auto"/>
        <w:ind w:right="540" w:firstLine="0"/>
        <w:rPr>
          <w:rFonts w:eastAsia="Calibri" w:cs="Sylfaen"/>
          <w:bCs/>
          <w:szCs w:val="22"/>
          <w:lang w:val="hy-AM" w:eastAsia="en-US"/>
        </w:rPr>
      </w:pPr>
      <w:r w:rsidRPr="00A83C94">
        <w:rPr>
          <w:rFonts w:eastAsia="Calibri" w:cs="Sylfaen"/>
          <w:b w:val="0"/>
          <w:bCs/>
          <w:szCs w:val="22"/>
          <w:lang w:val="hy-AM" w:eastAsia="en-US"/>
        </w:rPr>
        <w:t xml:space="preserve">     </w:t>
      </w:r>
      <w:r w:rsidRPr="00A83C94">
        <w:rPr>
          <w:rFonts w:eastAsia="Calibri" w:cs="Sylfaen"/>
          <w:bCs/>
          <w:szCs w:val="22"/>
          <w:lang w:val="hy-AM" w:eastAsia="en-US"/>
        </w:rPr>
        <w:t xml:space="preserve">Արտաքին գործոններից բխող դեպի վերև ռիսկերը պայմանավորված են՝ </w:t>
      </w:r>
    </w:p>
    <w:p w14:paraId="0E8C3F05"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 ՀՀ գործընկեր երկրների, մասնավորապես՝ Ռուսաստանի, Եվրոգոտու, ԱՄՆ-ի և Չինաստանի արտաքին պահանջարկի վերականգման, ինչպես նաև հանքահումքային ապրանքների, մասնավորապես՝ պղնձի միջազգային գների սպասվածից ավելի դրական զարգացումներով: </w:t>
      </w:r>
    </w:p>
    <w:p w14:paraId="355A541F"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Աշխարհի մասշտաբով, պատվաստանյութերի առավել ընդգրկուն և մասսայական կիրառման արդյունքում երկրների միջև սահմանափակումների նախատեսվածից արագ վերացման պայմաններում համաշխարհային տուրիզմի սպասվածից ավելի շուտ վերականգմամբ։</w:t>
      </w:r>
    </w:p>
    <w:p w14:paraId="6559F0AB"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ԱՄՆ-ից դեպի Հայաստան դրամական փոխանցումների բարձր մակարդակի պահպանմամբ։ </w:t>
      </w:r>
    </w:p>
    <w:p w14:paraId="4672ADEE" w14:textId="77777777" w:rsidR="00C34A4E" w:rsidRPr="00A83C94" w:rsidRDefault="00C34A4E" w:rsidP="00C34A4E">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ԵՄ աջակցության շրջանակներում 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նախատեսվող ներդրումների սպասվածից ավել իրականացմամբ։</w:t>
      </w:r>
    </w:p>
    <w:p w14:paraId="38876D2F" w14:textId="77777777" w:rsidR="00C34A4E" w:rsidRPr="00A83C94" w:rsidRDefault="00C34A4E" w:rsidP="00C34A4E">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 xml:space="preserve">Ներքին միջավայրից բխող դեպի վերև ռիսկերը պայմանավորված են` </w:t>
      </w:r>
    </w:p>
    <w:p w14:paraId="3E74893A" w14:textId="77777777" w:rsidR="00C34A4E" w:rsidRPr="00A83C94" w:rsidRDefault="00C34A4E" w:rsidP="00C34A4E">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ՀՀ կառավարության Տնտեսական արձագանքման ծրագրով</w:t>
      </w:r>
      <w:r w:rsidRPr="00A83C94">
        <w:rPr>
          <w:rFonts w:eastAsia="Calibri" w:cs="Sylfaen"/>
          <w:b w:val="0"/>
          <w:bCs/>
          <w:szCs w:val="22"/>
          <w:vertAlign w:val="superscript"/>
          <w:lang w:val="hy-AM" w:eastAsia="en-US"/>
        </w:rPr>
        <w:footnoteReference w:id="14"/>
      </w:r>
      <w:r w:rsidRPr="00A83C94">
        <w:rPr>
          <w:rFonts w:eastAsia="Calibri" w:cs="Sylfaen"/>
          <w:b w:val="0"/>
          <w:bCs/>
          <w:szCs w:val="22"/>
          <w:lang w:val="hy-AM" w:eastAsia="en-US"/>
        </w:rPr>
        <w:t xml:space="preserve"> նախատեսված խոշոր մասնավոր ներդրումային ծրագրերի իրականացմամբ,</w:t>
      </w:r>
    </w:p>
    <w:p w14:paraId="17C15827" w14:textId="77777777" w:rsidR="00C34A4E" w:rsidRPr="00A83C94" w:rsidRDefault="00C34A4E" w:rsidP="00C34A4E">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szCs w:val="22"/>
          <w:lang w:val="hy-AM" w:eastAsia="en-US"/>
        </w:rPr>
        <w:t>ՀՀ կառավարության  ծրագրում նպատակադրված թիրախների ավելի շուտ ապահովմամբ և արդյունավետ իրականացմամբ։</w:t>
      </w:r>
    </w:p>
    <w:p w14:paraId="6F5FA117" w14:textId="77777777" w:rsidR="00C34A4E" w:rsidRPr="00A83C94" w:rsidRDefault="00C34A4E" w:rsidP="00C34A4E">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Մասնավոր ներդրումների խթանմանն ուղղված ծրագրի (ANIF) իրականացման՝ տնտեսական ակտիվության վրա հնարավոր լրացուցիչ դրական ազդեցությամբ,</w:t>
      </w:r>
    </w:p>
    <w:p w14:paraId="42B3CFCA" w14:textId="77777777" w:rsidR="00C34A4E" w:rsidRPr="00A83C94" w:rsidRDefault="00C34A4E" w:rsidP="00C34A4E">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Ամուլսարի շահագործումից բխող տնտեսական ակտիվությամբ:</w:t>
      </w:r>
    </w:p>
    <w:p w14:paraId="07374989" w14:textId="77777777" w:rsidR="00C34A4E" w:rsidRPr="00A83C94" w:rsidRDefault="00C34A4E" w:rsidP="00C34A4E">
      <w:pPr>
        <w:spacing w:before="60" w:after="60" w:line="276" w:lineRule="auto"/>
        <w:ind w:right="115" w:firstLine="432"/>
        <w:contextualSpacing w:val="0"/>
        <w:rPr>
          <w:rFonts w:eastAsia="Calibri" w:cs="Sylfaen"/>
          <w:b w:val="0"/>
          <w:bCs/>
          <w:szCs w:val="22"/>
          <w:lang w:val="hy-AM" w:eastAsia="en-US"/>
        </w:rPr>
      </w:pPr>
      <w:r w:rsidRPr="00A83C94">
        <w:rPr>
          <w:rFonts w:eastAsia="Calibri" w:cs="Sylfaen"/>
          <w:b w:val="0"/>
          <w:bCs/>
          <w:szCs w:val="22"/>
          <w:lang w:val="hy-AM" w:eastAsia="en-US"/>
        </w:rPr>
        <w:t>Տնտեսական աճի ռիսկերը ներկայացված են ներքոնշյալ Գծապատկեր 1.32-ում և Աղյուսակ 1.4-ում:</w:t>
      </w:r>
    </w:p>
    <w:p w14:paraId="6F0CB561" w14:textId="77777777" w:rsidR="00C34A4E" w:rsidRPr="00A83C94" w:rsidRDefault="00C34A4E" w:rsidP="00C34A4E">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A83C94">
        <w:rPr>
          <w:rFonts w:eastAsia="Calibri" w:cs="Sylfaen"/>
          <w:bCs/>
          <w:i/>
          <w:iCs/>
          <w:color w:val="000000"/>
          <w:sz w:val="20"/>
          <w:szCs w:val="20"/>
          <w:lang w:val="hy-AM" w:eastAsia="en-US"/>
        </w:rPr>
        <w:t xml:space="preserve">Գծապատկեր 1.32. </w:t>
      </w:r>
      <w:r w:rsidRPr="00A83C94">
        <w:rPr>
          <w:rFonts w:eastAsia="Calibri" w:cs="Sylfaen"/>
          <w:b w:val="0"/>
          <w:bCs/>
          <w:i/>
          <w:iCs/>
          <w:color w:val="000000"/>
          <w:sz w:val="20"/>
          <w:szCs w:val="20"/>
          <w:lang w:val="hy-AM" w:eastAsia="en-US"/>
        </w:rPr>
        <w:t>Իրական ՀՆԱ աճի կանխատեսման հավանականությունների բաշխումը (Fan Chart)</w:t>
      </w:r>
    </w:p>
    <w:p w14:paraId="5597354F" w14:textId="77777777" w:rsidR="00C34A4E" w:rsidRPr="00A83C94" w:rsidRDefault="00C34A4E" w:rsidP="00C34A4E">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A83C94">
        <w:rPr>
          <w:noProof/>
          <w:lang w:val="en-US" w:eastAsia="en-US"/>
        </w:rPr>
        <w:drawing>
          <wp:inline distT="0" distB="0" distL="0" distR="0" wp14:anchorId="025D6D77" wp14:editId="553D2A19">
            <wp:extent cx="6111240" cy="2773680"/>
            <wp:effectExtent l="0" t="0" r="3810" b="7620"/>
            <wp:docPr id="10" name="Chart 1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4E50745" w14:textId="77777777" w:rsidR="00C34A4E" w:rsidRPr="00A83C94" w:rsidRDefault="00C34A4E" w:rsidP="00C34A4E">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Աղբյուրը՝ ՀՀ ՖՆ գնահատումներ և կանխատեսումներ</w:t>
      </w:r>
    </w:p>
    <w:p w14:paraId="0154A74E" w14:textId="77777777" w:rsidR="00C34A4E" w:rsidRPr="00A83C94" w:rsidRDefault="00C34A4E" w:rsidP="00C34A4E">
      <w:pPr>
        <w:spacing w:before="0" w:line="240" w:lineRule="auto"/>
        <w:ind w:right="111" w:firstLine="0"/>
        <w:contextualSpacing w:val="0"/>
        <w:jc w:val="left"/>
        <w:rPr>
          <w:rFonts w:eastAsia="Calibri"/>
          <w:b w:val="0"/>
          <w:sz w:val="18"/>
          <w:szCs w:val="18"/>
          <w:lang w:val="hy-AM" w:eastAsia="en-US"/>
        </w:rPr>
      </w:pPr>
    </w:p>
    <w:p w14:paraId="27A30885" w14:textId="77777777" w:rsidR="00C34A4E" w:rsidRPr="00A83C94" w:rsidRDefault="00C34A4E" w:rsidP="00C34A4E">
      <w:pPr>
        <w:ind w:right="111" w:firstLine="0"/>
        <w:rPr>
          <w:sz w:val="20"/>
          <w:szCs w:val="20"/>
          <w:lang w:val="hy-AM"/>
        </w:rPr>
      </w:pPr>
      <w:r w:rsidRPr="00A83C94">
        <w:rPr>
          <w:rFonts w:eastAsia="Calibri" w:cs="Sylfaen"/>
          <w:bCs/>
          <w:i/>
          <w:iCs/>
          <w:color w:val="000000"/>
          <w:sz w:val="20"/>
          <w:szCs w:val="20"/>
          <w:lang w:val="hy-AM" w:eastAsia="en-US"/>
        </w:rPr>
        <w:t>Աղյուսակ</w:t>
      </w:r>
      <w:r w:rsidRPr="00A83C94">
        <w:rPr>
          <w:rFonts w:eastAsia="Calibri"/>
          <w:bCs/>
          <w:i/>
          <w:iCs/>
          <w:color w:val="000000"/>
          <w:sz w:val="20"/>
          <w:szCs w:val="20"/>
          <w:lang w:val="hy-AM" w:eastAsia="en-US"/>
        </w:rPr>
        <w:t xml:space="preserve"> 1.4. </w:t>
      </w:r>
      <w:r w:rsidRPr="00A83C94">
        <w:rPr>
          <w:rFonts w:eastAsia="Calibri" w:cs="Sylfaen"/>
          <w:b w:val="0"/>
          <w:bCs/>
          <w:i/>
          <w:iCs/>
          <w:color w:val="000000"/>
          <w:sz w:val="20"/>
          <w:szCs w:val="20"/>
          <w:lang w:val="hy-AM" w:eastAsia="en-US"/>
        </w:rPr>
        <w:t>Իրական</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ՀՆԱ-ի աճի կանխատեսման</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հավանականությունների</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բաշխումը, (կուտակային</w:t>
      </w:r>
      <w:r w:rsidRPr="00A83C94">
        <w:rPr>
          <w:rFonts w:cs="Sylfaen"/>
          <w:b w:val="0"/>
          <w:sz w:val="20"/>
          <w:szCs w:val="20"/>
          <w:u w:val="single"/>
          <w:lang w:val="es-ES" w:eastAsia="en-US"/>
        </w:rPr>
        <w:t>)</w:t>
      </w:r>
      <w:bookmarkStart w:id="139" w:name="_Hlk56530504"/>
      <w:r w:rsidRPr="00A83C94">
        <w:rPr>
          <w:rFonts w:eastAsia="Calibri"/>
          <w:sz w:val="20"/>
          <w:szCs w:val="20"/>
          <w:vertAlign w:val="superscript"/>
          <w:lang w:val="hy-AM"/>
        </w:rPr>
        <w:footnoteReference w:id="15"/>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C34A4E" w:rsidRPr="00813A99" w14:paraId="620DF0C7" w14:textId="77777777" w:rsidTr="00733935">
        <w:trPr>
          <w:trHeight w:val="459"/>
        </w:trPr>
        <w:tc>
          <w:tcPr>
            <w:tcW w:w="2279" w:type="dxa"/>
            <w:vMerge w:val="restart"/>
            <w:shd w:val="clear" w:color="auto" w:fill="auto"/>
            <w:vAlign w:val="center"/>
            <w:hideMark/>
          </w:tcPr>
          <w:p w14:paraId="348A9E1A" w14:textId="77777777" w:rsidR="00C34A4E" w:rsidRPr="00A83C94" w:rsidRDefault="00C34A4E" w:rsidP="00733935">
            <w:pPr>
              <w:tabs>
                <w:tab w:val="center" w:pos="4677"/>
                <w:tab w:val="right" w:pos="9355"/>
              </w:tabs>
              <w:spacing w:before="0" w:line="240" w:lineRule="auto"/>
              <w:ind w:right="111" w:firstLine="152"/>
              <w:jc w:val="center"/>
              <w:rPr>
                <w:rFonts w:eastAsia="Calibri" w:cs="Calibri"/>
                <w:color w:val="000000"/>
                <w:sz w:val="18"/>
                <w:szCs w:val="18"/>
                <w:lang w:val="hy-AM"/>
              </w:rPr>
            </w:pPr>
            <w:bookmarkStart w:id="140" w:name="_Hlk56530454"/>
            <w:bookmarkEnd w:id="139"/>
            <w:r w:rsidRPr="00A83C94">
              <w:rPr>
                <w:rFonts w:eastAsia="Calibri" w:cs="Sylfaen"/>
                <w:color w:val="000000"/>
                <w:sz w:val="18"/>
                <w:szCs w:val="18"/>
              </w:rPr>
              <w:t>Տնտեսական</w:t>
            </w:r>
            <w:r w:rsidRPr="00A83C94">
              <w:rPr>
                <w:rFonts w:eastAsia="Calibri" w:cs="Calibri"/>
                <w:color w:val="000000"/>
                <w:sz w:val="18"/>
                <w:szCs w:val="18"/>
              </w:rPr>
              <w:t xml:space="preserve"> </w:t>
            </w:r>
            <w:r w:rsidRPr="00A83C94">
              <w:rPr>
                <w:rFonts w:eastAsia="Calibri" w:cs="Sylfaen"/>
                <w:color w:val="000000"/>
                <w:sz w:val="18"/>
                <w:szCs w:val="18"/>
              </w:rPr>
              <w:t>աճի</w:t>
            </w:r>
            <w:r w:rsidRPr="00A83C94">
              <w:rPr>
                <w:rFonts w:eastAsia="Calibri" w:cs="Calibri"/>
                <w:color w:val="000000"/>
                <w:sz w:val="18"/>
                <w:szCs w:val="18"/>
              </w:rPr>
              <w:t xml:space="preserve"> </w:t>
            </w:r>
            <w:r w:rsidRPr="00A83C94">
              <w:rPr>
                <w:rFonts w:eastAsia="Calibri" w:cs="Sylfaen"/>
                <w:color w:val="000000"/>
                <w:sz w:val="18"/>
                <w:szCs w:val="18"/>
              </w:rPr>
              <w:t>միջակայքը</w:t>
            </w:r>
            <w:r w:rsidRPr="00A83C94">
              <w:rPr>
                <w:rFonts w:eastAsia="Calibri" w:cs="Calibri"/>
                <w:color w:val="000000"/>
                <w:sz w:val="18"/>
                <w:szCs w:val="18"/>
                <w:lang w:val="hy-AM"/>
              </w:rPr>
              <w:t xml:space="preserve">, </w:t>
            </w:r>
            <w:r w:rsidRPr="00A83C94">
              <w:rPr>
                <w:rFonts w:eastAsia="Calibri" w:cs="Calibri"/>
                <w:color w:val="000000"/>
                <w:sz w:val="18"/>
                <w:szCs w:val="18"/>
              </w:rPr>
              <w:t>%</w:t>
            </w:r>
          </w:p>
        </w:tc>
        <w:tc>
          <w:tcPr>
            <w:tcW w:w="6154" w:type="dxa"/>
            <w:gridSpan w:val="4"/>
            <w:shd w:val="clear" w:color="auto" w:fill="auto"/>
            <w:vAlign w:val="center"/>
            <w:hideMark/>
          </w:tcPr>
          <w:p w14:paraId="44E00ADF" w14:textId="77777777" w:rsidR="00C34A4E" w:rsidRPr="00A83C94" w:rsidRDefault="00C34A4E" w:rsidP="00733935">
            <w:pPr>
              <w:tabs>
                <w:tab w:val="center" w:pos="4677"/>
                <w:tab w:val="right" w:pos="9355"/>
              </w:tabs>
              <w:spacing w:before="0" w:line="240" w:lineRule="auto"/>
              <w:ind w:right="111" w:firstLine="0"/>
              <w:jc w:val="center"/>
              <w:rPr>
                <w:rFonts w:eastAsia="Calibri" w:cs="Calibri"/>
                <w:color w:val="000000"/>
                <w:sz w:val="18"/>
                <w:szCs w:val="18"/>
                <w:lang w:val="hy-AM"/>
              </w:rPr>
            </w:pPr>
            <w:r w:rsidRPr="00A83C94">
              <w:rPr>
                <w:rFonts w:eastAsia="Calibri" w:cs="Sylfaen"/>
                <w:color w:val="000000"/>
                <w:sz w:val="18"/>
                <w:szCs w:val="18"/>
                <w:lang w:val="hy-AM"/>
              </w:rPr>
              <w:t>Տնտեսական</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աճի</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տվյալ</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միջակայքում</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ձևավորվելու</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հավանականությունը</w:t>
            </w:r>
            <w:r w:rsidRPr="00A83C94">
              <w:rPr>
                <w:rFonts w:eastAsia="Calibri" w:cs="Calibri"/>
                <w:color w:val="000000"/>
                <w:sz w:val="18"/>
                <w:szCs w:val="18"/>
                <w:lang w:val="hy-AM"/>
              </w:rPr>
              <w:t>, %</w:t>
            </w:r>
          </w:p>
        </w:tc>
      </w:tr>
      <w:tr w:rsidR="00C34A4E" w:rsidRPr="00A83C94" w14:paraId="420C068C" w14:textId="77777777" w:rsidTr="00733935">
        <w:trPr>
          <w:trHeight w:val="930"/>
        </w:trPr>
        <w:tc>
          <w:tcPr>
            <w:tcW w:w="2279" w:type="dxa"/>
            <w:vMerge/>
            <w:vAlign w:val="center"/>
            <w:hideMark/>
          </w:tcPr>
          <w:p w14:paraId="4BDAE9B2" w14:textId="77777777" w:rsidR="00C34A4E" w:rsidRPr="00A83C94" w:rsidRDefault="00C34A4E" w:rsidP="00733935">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14:paraId="28441E9E" w14:textId="77777777" w:rsidR="00C34A4E" w:rsidRPr="00A83C94" w:rsidRDefault="00C34A4E" w:rsidP="00733935">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 </w:t>
            </w:r>
            <w:r w:rsidRPr="00A83C94">
              <w:rPr>
                <w:rFonts w:cs="Sylfaen"/>
                <w:color w:val="000000"/>
                <w:sz w:val="20"/>
                <w:szCs w:val="20"/>
              </w:rPr>
              <w:t>եռ</w:t>
            </w:r>
            <w:r w:rsidRPr="00A83C94">
              <w:rPr>
                <w:color w:val="000000"/>
                <w:sz w:val="20"/>
                <w:szCs w:val="20"/>
              </w:rPr>
              <w:t>.</w:t>
            </w:r>
          </w:p>
        </w:tc>
        <w:tc>
          <w:tcPr>
            <w:tcW w:w="1440" w:type="dxa"/>
            <w:shd w:val="clear" w:color="auto" w:fill="auto"/>
            <w:vAlign w:val="center"/>
            <w:hideMark/>
          </w:tcPr>
          <w:p w14:paraId="58575BC7" w14:textId="77777777" w:rsidR="00C34A4E" w:rsidRPr="00A83C94" w:rsidRDefault="00C34A4E" w:rsidP="00733935">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II </w:t>
            </w:r>
            <w:r w:rsidRPr="00A83C94">
              <w:rPr>
                <w:rFonts w:cs="Sylfaen"/>
                <w:color w:val="000000"/>
                <w:sz w:val="20"/>
                <w:szCs w:val="20"/>
              </w:rPr>
              <w:t>եռ</w:t>
            </w:r>
            <w:r w:rsidRPr="00A83C94">
              <w:rPr>
                <w:color w:val="000000"/>
                <w:sz w:val="20"/>
                <w:szCs w:val="20"/>
              </w:rPr>
              <w:t>.</w:t>
            </w:r>
          </w:p>
        </w:tc>
        <w:tc>
          <w:tcPr>
            <w:tcW w:w="1530" w:type="dxa"/>
            <w:shd w:val="clear" w:color="auto" w:fill="auto"/>
            <w:noWrap/>
            <w:vAlign w:val="center"/>
            <w:hideMark/>
          </w:tcPr>
          <w:p w14:paraId="2A68CCF7" w14:textId="77777777" w:rsidR="00C34A4E" w:rsidRPr="00A83C94" w:rsidRDefault="00C34A4E" w:rsidP="00733935">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III </w:t>
            </w:r>
            <w:r w:rsidRPr="00A83C94">
              <w:rPr>
                <w:rFonts w:cs="Sylfaen"/>
                <w:color w:val="000000"/>
                <w:sz w:val="20"/>
                <w:szCs w:val="20"/>
              </w:rPr>
              <w:t>եռ</w:t>
            </w:r>
            <w:r w:rsidRPr="00A83C94">
              <w:rPr>
                <w:color w:val="000000"/>
                <w:sz w:val="20"/>
                <w:szCs w:val="20"/>
              </w:rPr>
              <w:t>.</w:t>
            </w:r>
          </w:p>
        </w:tc>
        <w:tc>
          <w:tcPr>
            <w:tcW w:w="1710" w:type="dxa"/>
            <w:shd w:val="clear" w:color="auto" w:fill="auto"/>
            <w:vAlign w:val="center"/>
            <w:hideMark/>
          </w:tcPr>
          <w:p w14:paraId="118BFA3F" w14:textId="77777777" w:rsidR="00C34A4E" w:rsidRPr="00A83C94" w:rsidRDefault="00C34A4E" w:rsidP="00733935">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IV </w:t>
            </w:r>
            <w:r w:rsidRPr="00A83C94">
              <w:rPr>
                <w:rFonts w:cs="Sylfaen"/>
                <w:color w:val="000000"/>
                <w:sz w:val="20"/>
                <w:szCs w:val="20"/>
              </w:rPr>
              <w:t>եռ</w:t>
            </w:r>
            <w:r w:rsidRPr="00A83C94">
              <w:rPr>
                <w:color w:val="000000"/>
                <w:sz w:val="20"/>
                <w:szCs w:val="20"/>
              </w:rPr>
              <w:t>.</w:t>
            </w:r>
          </w:p>
        </w:tc>
      </w:tr>
      <w:tr w:rsidR="00C34A4E" w:rsidRPr="00A83C94" w14:paraId="4AFCC8B1" w14:textId="77777777" w:rsidTr="00733935">
        <w:trPr>
          <w:trHeight w:val="257"/>
        </w:trPr>
        <w:tc>
          <w:tcPr>
            <w:tcW w:w="2279" w:type="dxa"/>
            <w:shd w:val="clear" w:color="auto" w:fill="auto"/>
            <w:noWrap/>
            <w:vAlign w:val="bottom"/>
            <w:hideMark/>
          </w:tcPr>
          <w:p w14:paraId="62640385" w14:textId="77777777" w:rsidR="00C34A4E" w:rsidRPr="00A83C94" w:rsidRDefault="00C34A4E" w:rsidP="00733935">
            <w:pPr>
              <w:ind w:right="111" w:hanging="45"/>
              <w:jc w:val="center"/>
              <w:rPr>
                <w:b w:val="0"/>
                <w:bCs/>
                <w:color w:val="000000"/>
                <w:lang w:val="en-US"/>
              </w:rPr>
            </w:pPr>
            <w:r w:rsidRPr="00A83C94">
              <w:rPr>
                <w:b w:val="0"/>
                <w:bCs/>
                <w:color w:val="000000"/>
                <w:lang w:val="en-US"/>
              </w:rPr>
              <w:t>1-3</w:t>
            </w:r>
          </w:p>
        </w:tc>
        <w:tc>
          <w:tcPr>
            <w:tcW w:w="1474" w:type="dxa"/>
            <w:shd w:val="clear" w:color="auto" w:fill="auto"/>
            <w:noWrap/>
            <w:hideMark/>
          </w:tcPr>
          <w:p w14:paraId="31E7FD47" w14:textId="77777777" w:rsidR="00C34A4E" w:rsidRPr="00A83C94" w:rsidRDefault="00C34A4E" w:rsidP="00733935">
            <w:pPr>
              <w:ind w:right="111"/>
              <w:jc w:val="center"/>
              <w:rPr>
                <w:b w:val="0"/>
                <w:color w:val="000000"/>
              </w:rPr>
            </w:pPr>
            <w:r w:rsidRPr="00A83C94">
              <w:rPr>
                <w:b w:val="0"/>
              </w:rPr>
              <w:t>11.9</w:t>
            </w:r>
          </w:p>
        </w:tc>
        <w:tc>
          <w:tcPr>
            <w:tcW w:w="1440" w:type="dxa"/>
            <w:shd w:val="clear" w:color="auto" w:fill="auto"/>
            <w:noWrap/>
            <w:hideMark/>
          </w:tcPr>
          <w:p w14:paraId="2BEC5F37" w14:textId="77777777" w:rsidR="00C34A4E" w:rsidRPr="00A83C94" w:rsidRDefault="00C34A4E" w:rsidP="00733935">
            <w:pPr>
              <w:ind w:right="111"/>
              <w:jc w:val="center"/>
              <w:rPr>
                <w:b w:val="0"/>
                <w:bCs/>
                <w:color w:val="000000"/>
              </w:rPr>
            </w:pPr>
            <w:r w:rsidRPr="00A83C94">
              <w:rPr>
                <w:b w:val="0"/>
              </w:rPr>
              <w:t>12.8</w:t>
            </w:r>
          </w:p>
        </w:tc>
        <w:tc>
          <w:tcPr>
            <w:tcW w:w="1530" w:type="dxa"/>
            <w:shd w:val="clear" w:color="auto" w:fill="auto"/>
            <w:noWrap/>
            <w:hideMark/>
          </w:tcPr>
          <w:p w14:paraId="260D9354" w14:textId="77777777" w:rsidR="00C34A4E" w:rsidRPr="00A83C94" w:rsidRDefault="00C34A4E" w:rsidP="00733935">
            <w:pPr>
              <w:ind w:right="111"/>
              <w:jc w:val="center"/>
              <w:rPr>
                <w:b w:val="0"/>
                <w:bCs/>
                <w:color w:val="000000"/>
              </w:rPr>
            </w:pPr>
            <w:r w:rsidRPr="00A83C94">
              <w:rPr>
                <w:b w:val="0"/>
              </w:rPr>
              <w:t>13.1</w:t>
            </w:r>
          </w:p>
        </w:tc>
        <w:tc>
          <w:tcPr>
            <w:tcW w:w="1710" w:type="dxa"/>
            <w:shd w:val="clear" w:color="auto" w:fill="auto"/>
            <w:noWrap/>
            <w:hideMark/>
          </w:tcPr>
          <w:p w14:paraId="71D9C8E4" w14:textId="77777777" w:rsidR="00C34A4E" w:rsidRPr="00A83C94" w:rsidRDefault="00C34A4E" w:rsidP="00733935">
            <w:pPr>
              <w:ind w:right="111"/>
              <w:jc w:val="center"/>
              <w:rPr>
                <w:b w:val="0"/>
                <w:bCs/>
                <w:color w:val="000000"/>
              </w:rPr>
            </w:pPr>
            <w:r w:rsidRPr="00A83C94">
              <w:rPr>
                <w:b w:val="0"/>
              </w:rPr>
              <w:t>13.6</w:t>
            </w:r>
          </w:p>
        </w:tc>
      </w:tr>
      <w:tr w:rsidR="00C34A4E" w:rsidRPr="00A83C94" w14:paraId="5C58D19E" w14:textId="77777777" w:rsidTr="00733935">
        <w:trPr>
          <w:trHeight w:val="275"/>
        </w:trPr>
        <w:tc>
          <w:tcPr>
            <w:tcW w:w="2279" w:type="dxa"/>
            <w:shd w:val="clear" w:color="auto" w:fill="auto"/>
            <w:noWrap/>
            <w:vAlign w:val="bottom"/>
            <w:hideMark/>
          </w:tcPr>
          <w:p w14:paraId="5EABFD80" w14:textId="77777777" w:rsidR="00C34A4E" w:rsidRPr="00A83C94" w:rsidRDefault="00C34A4E" w:rsidP="00733935">
            <w:pPr>
              <w:ind w:right="111" w:hanging="45"/>
              <w:jc w:val="center"/>
              <w:rPr>
                <w:b w:val="0"/>
                <w:bCs/>
                <w:color w:val="000000"/>
                <w:lang w:val="en-US"/>
              </w:rPr>
            </w:pPr>
            <w:r w:rsidRPr="00A83C94">
              <w:rPr>
                <w:b w:val="0"/>
                <w:bCs/>
                <w:color w:val="000000"/>
                <w:lang w:val="en-US"/>
              </w:rPr>
              <w:t>3-5</w:t>
            </w:r>
          </w:p>
        </w:tc>
        <w:tc>
          <w:tcPr>
            <w:tcW w:w="1474" w:type="dxa"/>
            <w:shd w:val="clear" w:color="auto" w:fill="auto"/>
            <w:noWrap/>
            <w:hideMark/>
          </w:tcPr>
          <w:p w14:paraId="0728F11E" w14:textId="77777777" w:rsidR="00C34A4E" w:rsidRPr="00A83C94" w:rsidRDefault="00C34A4E" w:rsidP="00733935">
            <w:pPr>
              <w:ind w:right="111"/>
              <w:jc w:val="center"/>
              <w:rPr>
                <w:b w:val="0"/>
                <w:bCs/>
                <w:color w:val="000000"/>
              </w:rPr>
            </w:pPr>
            <w:r w:rsidRPr="00A83C94">
              <w:rPr>
                <w:b w:val="0"/>
              </w:rPr>
              <w:t>21.4</w:t>
            </w:r>
          </w:p>
        </w:tc>
        <w:tc>
          <w:tcPr>
            <w:tcW w:w="1440" w:type="dxa"/>
            <w:shd w:val="clear" w:color="auto" w:fill="auto"/>
            <w:noWrap/>
            <w:hideMark/>
          </w:tcPr>
          <w:p w14:paraId="48B6C8AA" w14:textId="77777777" w:rsidR="00C34A4E" w:rsidRPr="00A83C94" w:rsidRDefault="00C34A4E" w:rsidP="00733935">
            <w:pPr>
              <w:ind w:right="111"/>
              <w:jc w:val="center"/>
              <w:rPr>
                <w:b w:val="0"/>
                <w:color w:val="000000"/>
              </w:rPr>
            </w:pPr>
            <w:r w:rsidRPr="00A83C94">
              <w:rPr>
                <w:b w:val="0"/>
              </w:rPr>
              <w:t>21.0</w:t>
            </w:r>
          </w:p>
        </w:tc>
        <w:tc>
          <w:tcPr>
            <w:tcW w:w="1530" w:type="dxa"/>
            <w:shd w:val="clear" w:color="auto" w:fill="auto"/>
            <w:noWrap/>
            <w:hideMark/>
          </w:tcPr>
          <w:p w14:paraId="273D0783" w14:textId="77777777" w:rsidR="00C34A4E" w:rsidRPr="00A83C94" w:rsidRDefault="00C34A4E" w:rsidP="00733935">
            <w:pPr>
              <w:ind w:right="111"/>
              <w:jc w:val="center"/>
              <w:rPr>
                <w:b w:val="0"/>
                <w:bCs/>
                <w:color w:val="000000"/>
              </w:rPr>
            </w:pPr>
            <w:r w:rsidRPr="00A83C94">
              <w:rPr>
                <w:b w:val="0"/>
              </w:rPr>
              <w:t>20.8</w:t>
            </w:r>
          </w:p>
        </w:tc>
        <w:tc>
          <w:tcPr>
            <w:tcW w:w="1710" w:type="dxa"/>
            <w:shd w:val="clear" w:color="auto" w:fill="auto"/>
            <w:noWrap/>
            <w:hideMark/>
          </w:tcPr>
          <w:p w14:paraId="6B55F9B0" w14:textId="77777777" w:rsidR="00C34A4E" w:rsidRPr="00A83C94" w:rsidRDefault="00C34A4E" w:rsidP="00733935">
            <w:pPr>
              <w:ind w:right="111"/>
              <w:jc w:val="center"/>
              <w:rPr>
                <w:b w:val="0"/>
                <w:bCs/>
                <w:color w:val="000000"/>
              </w:rPr>
            </w:pPr>
            <w:r w:rsidRPr="00A83C94">
              <w:rPr>
                <w:b w:val="0"/>
              </w:rPr>
              <w:t>20.5</w:t>
            </w:r>
          </w:p>
        </w:tc>
      </w:tr>
      <w:tr w:rsidR="00C34A4E" w:rsidRPr="00A83C94" w14:paraId="3091D181" w14:textId="77777777" w:rsidTr="00733935">
        <w:trPr>
          <w:trHeight w:val="279"/>
        </w:trPr>
        <w:tc>
          <w:tcPr>
            <w:tcW w:w="2279" w:type="dxa"/>
            <w:shd w:val="clear" w:color="auto" w:fill="auto"/>
            <w:noWrap/>
            <w:vAlign w:val="bottom"/>
            <w:hideMark/>
          </w:tcPr>
          <w:p w14:paraId="566E7DD4" w14:textId="77777777" w:rsidR="00C34A4E" w:rsidRPr="00A83C94" w:rsidRDefault="00C34A4E" w:rsidP="00733935">
            <w:pPr>
              <w:ind w:right="111" w:hanging="45"/>
              <w:jc w:val="center"/>
              <w:rPr>
                <w:b w:val="0"/>
                <w:bCs/>
                <w:color w:val="000000"/>
                <w:lang w:val="en-US"/>
              </w:rPr>
            </w:pPr>
            <w:r w:rsidRPr="00A83C94">
              <w:rPr>
                <w:b w:val="0"/>
                <w:bCs/>
                <w:color w:val="000000"/>
                <w:lang w:val="en-US"/>
              </w:rPr>
              <w:t>5-7</w:t>
            </w:r>
          </w:p>
        </w:tc>
        <w:tc>
          <w:tcPr>
            <w:tcW w:w="1474" w:type="dxa"/>
            <w:shd w:val="clear" w:color="auto" w:fill="auto"/>
            <w:noWrap/>
            <w:hideMark/>
          </w:tcPr>
          <w:p w14:paraId="67DE0947" w14:textId="77777777" w:rsidR="00C34A4E" w:rsidRPr="00A83C94" w:rsidRDefault="00C34A4E" w:rsidP="00733935">
            <w:pPr>
              <w:ind w:right="111"/>
              <w:jc w:val="center"/>
              <w:rPr>
                <w:bCs/>
                <w:color w:val="000000"/>
              </w:rPr>
            </w:pPr>
            <w:r w:rsidRPr="00A83C94">
              <w:t>28.6</w:t>
            </w:r>
          </w:p>
        </w:tc>
        <w:tc>
          <w:tcPr>
            <w:tcW w:w="1440" w:type="dxa"/>
            <w:shd w:val="clear" w:color="auto" w:fill="auto"/>
            <w:noWrap/>
            <w:hideMark/>
          </w:tcPr>
          <w:p w14:paraId="4C16CBC6" w14:textId="77777777" w:rsidR="00C34A4E" w:rsidRPr="00A83C94" w:rsidRDefault="00C34A4E" w:rsidP="00733935">
            <w:pPr>
              <w:ind w:right="111"/>
              <w:jc w:val="center"/>
              <w:rPr>
                <w:bCs/>
                <w:color w:val="000000"/>
              </w:rPr>
            </w:pPr>
            <w:r w:rsidRPr="00A83C94">
              <w:t>27.0</w:t>
            </w:r>
          </w:p>
        </w:tc>
        <w:tc>
          <w:tcPr>
            <w:tcW w:w="1530" w:type="dxa"/>
            <w:shd w:val="clear" w:color="auto" w:fill="auto"/>
            <w:noWrap/>
            <w:hideMark/>
          </w:tcPr>
          <w:p w14:paraId="219442BF" w14:textId="77777777" w:rsidR="00C34A4E" w:rsidRPr="00A83C94" w:rsidRDefault="00C34A4E" w:rsidP="00733935">
            <w:pPr>
              <w:ind w:right="111"/>
              <w:jc w:val="center"/>
              <w:rPr>
                <w:color w:val="000000"/>
              </w:rPr>
            </w:pPr>
            <w:r w:rsidRPr="00A83C94">
              <w:t>26.2</w:t>
            </w:r>
          </w:p>
        </w:tc>
        <w:tc>
          <w:tcPr>
            <w:tcW w:w="1710" w:type="dxa"/>
            <w:shd w:val="clear" w:color="auto" w:fill="auto"/>
            <w:noWrap/>
            <w:hideMark/>
          </w:tcPr>
          <w:p w14:paraId="4FD16EBB" w14:textId="77777777" w:rsidR="00C34A4E" w:rsidRPr="00A83C94" w:rsidRDefault="00C34A4E" w:rsidP="00733935">
            <w:pPr>
              <w:ind w:right="111"/>
              <w:jc w:val="center"/>
              <w:rPr>
                <w:color w:val="000000"/>
              </w:rPr>
            </w:pPr>
            <w:r w:rsidRPr="00A83C94">
              <w:t>25.2</w:t>
            </w:r>
          </w:p>
        </w:tc>
      </w:tr>
      <w:tr w:rsidR="00C34A4E" w:rsidRPr="00A83C94" w14:paraId="464A498A" w14:textId="77777777" w:rsidTr="00733935">
        <w:trPr>
          <w:trHeight w:val="283"/>
        </w:trPr>
        <w:tc>
          <w:tcPr>
            <w:tcW w:w="2279" w:type="dxa"/>
            <w:shd w:val="clear" w:color="auto" w:fill="auto"/>
            <w:noWrap/>
            <w:vAlign w:val="bottom"/>
            <w:hideMark/>
          </w:tcPr>
          <w:p w14:paraId="651F05F9" w14:textId="77777777" w:rsidR="00C34A4E" w:rsidRPr="00A83C94" w:rsidRDefault="00C34A4E" w:rsidP="00733935">
            <w:pPr>
              <w:ind w:right="111" w:hanging="45"/>
              <w:jc w:val="center"/>
              <w:rPr>
                <w:b w:val="0"/>
                <w:bCs/>
                <w:color w:val="000000"/>
                <w:lang w:val="en-US"/>
              </w:rPr>
            </w:pPr>
            <w:r w:rsidRPr="00A83C94">
              <w:rPr>
                <w:b w:val="0"/>
                <w:bCs/>
                <w:color w:val="000000"/>
                <w:lang w:val="en-US"/>
              </w:rPr>
              <w:t>7-9</w:t>
            </w:r>
          </w:p>
        </w:tc>
        <w:tc>
          <w:tcPr>
            <w:tcW w:w="1474" w:type="dxa"/>
            <w:shd w:val="clear" w:color="auto" w:fill="auto"/>
            <w:noWrap/>
            <w:hideMark/>
          </w:tcPr>
          <w:p w14:paraId="7234FF90" w14:textId="77777777" w:rsidR="00C34A4E" w:rsidRPr="00A83C94" w:rsidRDefault="00C34A4E" w:rsidP="00733935">
            <w:pPr>
              <w:ind w:right="111"/>
              <w:jc w:val="center"/>
              <w:rPr>
                <w:b w:val="0"/>
                <w:bCs/>
                <w:color w:val="000000"/>
              </w:rPr>
            </w:pPr>
            <w:r w:rsidRPr="00A83C94">
              <w:rPr>
                <w:b w:val="0"/>
              </w:rPr>
              <w:t>24.1</w:t>
            </w:r>
          </w:p>
        </w:tc>
        <w:tc>
          <w:tcPr>
            <w:tcW w:w="1440" w:type="dxa"/>
            <w:shd w:val="clear" w:color="auto" w:fill="auto"/>
            <w:noWrap/>
            <w:hideMark/>
          </w:tcPr>
          <w:p w14:paraId="763D3CE8" w14:textId="77777777" w:rsidR="00C34A4E" w:rsidRPr="00A83C94" w:rsidRDefault="00C34A4E" w:rsidP="00733935">
            <w:pPr>
              <w:ind w:right="111"/>
              <w:jc w:val="center"/>
              <w:rPr>
                <w:b w:val="0"/>
                <w:bCs/>
                <w:color w:val="000000"/>
              </w:rPr>
            </w:pPr>
            <w:r w:rsidRPr="00A83C94">
              <w:rPr>
                <w:b w:val="0"/>
              </w:rPr>
              <w:t>22.8</w:t>
            </w:r>
          </w:p>
        </w:tc>
        <w:tc>
          <w:tcPr>
            <w:tcW w:w="1530" w:type="dxa"/>
            <w:shd w:val="clear" w:color="auto" w:fill="auto"/>
            <w:noWrap/>
            <w:hideMark/>
          </w:tcPr>
          <w:p w14:paraId="26568B64" w14:textId="77777777" w:rsidR="00C34A4E" w:rsidRPr="00A83C94" w:rsidRDefault="00C34A4E" w:rsidP="00733935">
            <w:pPr>
              <w:ind w:right="111"/>
              <w:jc w:val="center"/>
              <w:rPr>
                <w:b w:val="0"/>
                <w:bCs/>
                <w:color w:val="000000"/>
              </w:rPr>
            </w:pPr>
            <w:r w:rsidRPr="00A83C94">
              <w:rPr>
                <w:b w:val="0"/>
              </w:rPr>
              <w:t>22.3</w:t>
            </w:r>
          </w:p>
        </w:tc>
        <w:tc>
          <w:tcPr>
            <w:tcW w:w="1710" w:type="dxa"/>
            <w:shd w:val="clear" w:color="auto" w:fill="auto"/>
            <w:noWrap/>
            <w:hideMark/>
          </w:tcPr>
          <w:p w14:paraId="612E3F96" w14:textId="77777777" w:rsidR="00C34A4E" w:rsidRPr="00A83C94" w:rsidRDefault="00C34A4E" w:rsidP="00733935">
            <w:pPr>
              <w:ind w:right="111"/>
              <w:jc w:val="center"/>
              <w:rPr>
                <w:b w:val="0"/>
                <w:bCs/>
                <w:color w:val="000000"/>
              </w:rPr>
            </w:pPr>
            <w:r w:rsidRPr="00A83C94">
              <w:rPr>
                <w:b w:val="0"/>
              </w:rPr>
              <w:t>21.3</w:t>
            </w:r>
          </w:p>
        </w:tc>
      </w:tr>
      <w:bookmarkEnd w:id="140"/>
    </w:tbl>
    <w:p w14:paraId="2AF40A20" w14:textId="77777777" w:rsidR="00C34A4E" w:rsidRPr="00A83C94" w:rsidRDefault="00C34A4E" w:rsidP="00C34A4E">
      <w:pPr>
        <w:ind w:right="115" w:firstLine="562"/>
        <w:contextualSpacing w:val="0"/>
        <w:rPr>
          <w:rFonts w:eastAsia="Calibri" w:cs="Sylfaen"/>
          <w:b w:val="0"/>
          <w:sz w:val="2"/>
          <w:szCs w:val="2"/>
          <w:lang w:val="hy-AM" w:eastAsia="en-US"/>
        </w:rPr>
      </w:pPr>
    </w:p>
    <w:p w14:paraId="6F35430A" w14:textId="77777777" w:rsidR="00C34A4E" w:rsidRPr="00A83C94" w:rsidRDefault="00C34A4E" w:rsidP="00C34A4E">
      <w:pPr>
        <w:spacing w:before="0" w:line="276" w:lineRule="auto"/>
        <w:ind w:right="111"/>
        <w:contextualSpacing w:val="0"/>
        <w:rPr>
          <w:rFonts w:eastAsia="Calibri" w:cs="Sylfaen"/>
          <w:b w:val="0"/>
          <w:szCs w:val="22"/>
          <w:lang w:val="hy-AM" w:eastAsia="en-US"/>
        </w:rPr>
      </w:pPr>
      <w:r w:rsidRPr="00A83C94">
        <w:rPr>
          <w:rFonts w:eastAsia="Calibri" w:cs="Sylfaen"/>
          <w:b w:val="0"/>
          <w:szCs w:val="22"/>
          <w:lang w:val="hy-AM" w:eastAsia="en-US"/>
        </w:rPr>
        <w:t>Ինչպես</w:t>
      </w:r>
      <w:r w:rsidRPr="00A83C94">
        <w:rPr>
          <w:rFonts w:eastAsia="Calibri" w:cs="Sylfaen"/>
          <w:b w:val="0"/>
          <w:szCs w:val="22"/>
          <w:lang w:val="it-IT" w:eastAsia="en-US"/>
        </w:rPr>
        <w:t xml:space="preserve"> </w:t>
      </w:r>
      <w:r w:rsidRPr="00A83C94">
        <w:rPr>
          <w:rFonts w:eastAsia="Calibri" w:cs="Sylfaen"/>
          <w:b w:val="0"/>
          <w:szCs w:val="22"/>
          <w:lang w:val="hy-AM" w:eastAsia="en-US"/>
        </w:rPr>
        <w:t>երևում</w:t>
      </w:r>
      <w:r w:rsidRPr="00A83C94">
        <w:rPr>
          <w:rFonts w:eastAsia="Calibri" w:cs="Sylfaen"/>
          <w:b w:val="0"/>
          <w:szCs w:val="22"/>
          <w:lang w:val="it-IT" w:eastAsia="en-US"/>
        </w:rPr>
        <w:t xml:space="preserve"> </w:t>
      </w:r>
      <w:r w:rsidRPr="00A83C94">
        <w:rPr>
          <w:rFonts w:eastAsia="Calibri" w:cs="Sylfaen"/>
          <w:b w:val="0"/>
          <w:szCs w:val="22"/>
          <w:lang w:val="hy-AM" w:eastAsia="en-US"/>
        </w:rPr>
        <w:t>է</w:t>
      </w:r>
      <w:r w:rsidRPr="00A83C94">
        <w:rPr>
          <w:rFonts w:eastAsia="Calibri" w:cs="Sylfaen"/>
          <w:b w:val="0"/>
          <w:szCs w:val="22"/>
          <w:lang w:val="it-IT" w:eastAsia="en-US"/>
        </w:rPr>
        <w:t xml:space="preserve"> </w:t>
      </w:r>
      <w:r w:rsidRPr="00A83C94">
        <w:rPr>
          <w:rFonts w:eastAsia="Calibri" w:cs="Sylfaen"/>
          <w:b w:val="0"/>
          <w:szCs w:val="22"/>
          <w:lang w:val="hy-AM" w:eastAsia="en-US"/>
        </w:rPr>
        <w:t>Գծապատկեր</w:t>
      </w:r>
      <w:r w:rsidRPr="00A83C94">
        <w:rPr>
          <w:rFonts w:eastAsia="Calibri" w:cs="Sylfaen"/>
          <w:b w:val="0"/>
          <w:szCs w:val="22"/>
          <w:lang w:val="it-IT" w:eastAsia="en-US"/>
        </w:rPr>
        <w:t xml:space="preserve"> </w:t>
      </w:r>
      <w:r w:rsidRPr="00A83C94">
        <w:rPr>
          <w:rFonts w:eastAsia="Calibri" w:cs="Sylfaen"/>
          <w:b w:val="0"/>
          <w:szCs w:val="22"/>
          <w:lang w:val="hy-AM" w:eastAsia="en-US"/>
        </w:rPr>
        <w:t>1.32-ից, 2022թ.</w:t>
      </w:r>
      <w:r w:rsidRPr="00A83C94" w:rsidDel="00301E27">
        <w:rPr>
          <w:rFonts w:eastAsia="Calibri" w:cs="Sylfaen"/>
          <w:b w:val="0"/>
          <w:szCs w:val="22"/>
          <w:lang w:val="hy-AM" w:eastAsia="en-US"/>
        </w:rPr>
        <w:t xml:space="preserve"> </w:t>
      </w:r>
      <w:r w:rsidRPr="00A83C94">
        <w:rPr>
          <w:rFonts w:eastAsia="Calibri" w:cs="Sylfaen"/>
          <w:b w:val="0"/>
          <w:szCs w:val="22"/>
          <w:lang w:val="hy-AM" w:eastAsia="en-US"/>
        </w:rPr>
        <w:t xml:space="preserve">տնտեսական աճի ձևավորման ամենաբարձր հավանականությունը գտնվում է 5-7% միջակայքում (Աղյուսակ 1.4-ում այն հոծ նշումով է), իսկ իրական ՀՆԱ-ի տարեկան աճի կենտրոնական կանխատեսումներից շեղման ռիսկերը ուղղված են դեպի ներքև: </w:t>
      </w:r>
    </w:p>
    <w:p w14:paraId="6959D988" w14:textId="77777777" w:rsidR="00C34A4E" w:rsidRPr="00A83C94" w:rsidRDefault="00C34A4E" w:rsidP="00C34A4E">
      <w:pPr>
        <w:spacing w:before="0" w:after="160" w:line="259" w:lineRule="auto"/>
        <w:ind w:right="111" w:firstLine="0"/>
        <w:contextualSpacing w:val="0"/>
        <w:jc w:val="left"/>
        <w:rPr>
          <w:rFonts w:ascii="Times New Roman" w:hAnsi="Times New Roman"/>
          <w:b w:val="0"/>
          <w:sz w:val="24"/>
          <w:lang w:val="hy-AM" w:eastAsia="en-US"/>
        </w:rPr>
      </w:pPr>
      <w:r w:rsidRPr="00A83C94">
        <w:rPr>
          <w:rFonts w:ascii="Times New Roman" w:hAnsi="Times New Roman"/>
          <w:b w:val="0"/>
          <w:sz w:val="24"/>
          <w:lang w:val="hy-AM" w:eastAsia="en-US"/>
        </w:rPr>
        <w:br w:type="page"/>
      </w:r>
    </w:p>
    <w:p w14:paraId="36FB1CD6" w14:textId="77777777" w:rsidR="00C34A4E" w:rsidRPr="00A83C94" w:rsidRDefault="00C34A4E" w:rsidP="00C34A4E">
      <w:pPr>
        <w:spacing w:before="0" w:after="160" w:line="259" w:lineRule="auto"/>
        <w:ind w:right="111" w:firstLine="0"/>
        <w:contextualSpacing w:val="0"/>
        <w:jc w:val="left"/>
        <w:rPr>
          <w:rFonts w:ascii="Times New Roman" w:hAnsi="Times New Roman"/>
          <w:b w:val="0"/>
          <w:sz w:val="24"/>
          <w:lang w:val="hy-AM" w:eastAsia="en-US"/>
        </w:rPr>
      </w:pP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C34A4E" w:rsidRPr="00A83C94" w14:paraId="326F4B4A" w14:textId="77777777" w:rsidTr="00733935">
        <w:trPr>
          <w:trHeight w:val="9147"/>
        </w:trPr>
        <w:tc>
          <w:tcPr>
            <w:tcW w:w="10931" w:type="dxa"/>
          </w:tcPr>
          <w:p w14:paraId="5A8DFCD5" w14:textId="77777777" w:rsidR="00C34A4E" w:rsidRPr="00A83C94" w:rsidRDefault="00C34A4E" w:rsidP="00733935">
            <w:pPr>
              <w:keepNext/>
              <w:keepLines/>
              <w:spacing w:before="0" w:after="0" w:line="276" w:lineRule="auto"/>
              <w:outlineLvl w:val="2"/>
              <w:rPr>
                <w:b w:val="0"/>
                <w:bCs/>
                <w:sz w:val="28"/>
                <w:szCs w:val="28"/>
                <w:lang w:val="hy-AM"/>
              </w:rPr>
            </w:pPr>
            <w:r w:rsidRPr="00A83C94">
              <w:rPr>
                <w:rFonts w:eastAsia="GHEA Grapalat" w:cs="GHEA Grapalat"/>
                <w:lang w:val="hy-AM"/>
              </w:rPr>
              <w:br w:type="page"/>
            </w:r>
            <w:bookmarkStart w:id="141" w:name="_Toc51360535"/>
            <w:bookmarkStart w:id="142" w:name="_Toc51947418"/>
            <w:bookmarkStart w:id="143" w:name="_Toc57559418"/>
            <w:bookmarkStart w:id="144" w:name="_Toc83663899"/>
            <w:bookmarkStart w:id="145" w:name="_Toc83996345"/>
            <w:r w:rsidRPr="00A83C94">
              <w:rPr>
                <w:bCs/>
                <w:sz w:val="24"/>
                <w:lang w:val="hy-AM"/>
              </w:rPr>
              <w:t>1.6. ՀԱՄԵՄԱՏՈՒԹՅՈՒՆ ՆԱԽՈՐԴ ԿԱՆԽԱՏԵՍՈՒՄՆԵՐԻ ՀԵՏ</w:t>
            </w:r>
            <w:bookmarkEnd w:id="141"/>
            <w:bookmarkEnd w:id="142"/>
            <w:bookmarkEnd w:id="143"/>
            <w:bookmarkEnd w:id="144"/>
            <w:bookmarkEnd w:id="145"/>
          </w:p>
          <w:p w14:paraId="14294EF9" w14:textId="77777777" w:rsidR="00C34A4E" w:rsidRPr="00A83C94" w:rsidRDefault="00C34A4E" w:rsidP="00733935">
            <w:pPr>
              <w:keepNext/>
              <w:keepLines/>
              <w:tabs>
                <w:tab w:val="left" w:pos="10227"/>
              </w:tabs>
              <w:spacing w:line="276" w:lineRule="auto"/>
              <w:ind w:left="541" w:right="111" w:firstLine="26"/>
              <w:rPr>
                <w:rFonts w:eastAsia="Calibri" w:cs="Sylfaen"/>
                <w:bCs/>
                <w:i/>
                <w:iCs/>
                <w:color w:val="000000"/>
                <w:sz w:val="20"/>
                <w:szCs w:val="20"/>
                <w:lang w:val="hy-AM"/>
              </w:rPr>
            </w:pPr>
            <w:r w:rsidRPr="00A83C94">
              <w:rPr>
                <w:rFonts w:eastAsia="Calibri" w:cs="Sylfaen"/>
                <w:bCs/>
                <w:i/>
                <w:iCs/>
                <w:color w:val="000000"/>
                <w:lang w:val="hy-AM"/>
              </w:rPr>
              <w:t xml:space="preserve">Աղյուսակ 1.5. </w:t>
            </w:r>
            <w:r w:rsidRPr="00A83C94">
              <w:rPr>
                <w:rFonts w:eastAsia="Calibri" w:cs="Sylfaen"/>
                <w:bCs/>
                <w:i/>
                <w:iCs/>
                <w:color w:val="000000"/>
                <w:sz w:val="20"/>
                <w:szCs w:val="20"/>
                <w:lang w:val="hy-AM"/>
              </w:rPr>
              <w:t>ՀՆԱ-ի կանխատեսումները</w:t>
            </w:r>
            <w:r w:rsidRPr="00A83C94">
              <w:rPr>
                <w:rFonts w:eastAsia="Calibri"/>
                <w:bCs/>
                <w:i/>
                <w:iCs/>
                <w:color w:val="000000"/>
                <w:sz w:val="20"/>
                <w:szCs w:val="20"/>
                <w:lang w:val="hy-AM"/>
              </w:rPr>
              <w:t xml:space="preserve"> </w:t>
            </w:r>
            <w:r w:rsidRPr="00A83C94">
              <w:rPr>
                <w:rFonts w:eastAsia="Calibri" w:cs="Sylfaen"/>
                <w:bCs/>
                <w:i/>
                <w:iCs/>
                <w:color w:val="000000"/>
                <w:sz w:val="20"/>
                <w:szCs w:val="20"/>
                <w:lang w:val="hy-AM"/>
              </w:rPr>
              <w:t xml:space="preserve">2022-2024 թթ. ՄԺԾԾ-ով  և 2021թ. և 2022թ. </w:t>
            </w:r>
          </w:p>
          <w:p w14:paraId="0FC766E6" w14:textId="77777777" w:rsidR="00C34A4E" w:rsidRPr="00A83C94" w:rsidRDefault="00C34A4E" w:rsidP="00733935">
            <w:pPr>
              <w:keepNext/>
              <w:keepLines/>
              <w:tabs>
                <w:tab w:val="left" w:pos="10227"/>
              </w:tabs>
              <w:spacing w:line="276" w:lineRule="auto"/>
              <w:ind w:left="541" w:right="111" w:firstLine="26"/>
              <w:rPr>
                <w:rFonts w:eastAsia="Calibri" w:cs="Sylfaen"/>
                <w:b w:val="0"/>
                <w:bCs/>
                <w:i/>
                <w:iCs/>
                <w:color w:val="4F81BD"/>
                <w:lang w:val="hy-AM"/>
              </w:rPr>
            </w:pPr>
            <w:r w:rsidRPr="00A83C94">
              <w:rPr>
                <w:rFonts w:eastAsia="Calibri" w:cs="Sylfaen"/>
                <w:bCs/>
                <w:i/>
                <w:iCs/>
                <w:color w:val="000000"/>
                <w:sz w:val="20"/>
                <w:szCs w:val="20"/>
                <w:lang w:val="hy-AM"/>
              </w:rPr>
              <w:t>պետական բյուջեներով</w:t>
            </w:r>
          </w:p>
          <w:tbl>
            <w:tblPr>
              <w:tblW w:w="924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449"/>
            </w:tblGrid>
            <w:tr w:rsidR="00C34A4E" w:rsidRPr="00A83C94" w14:paraId="102C3B75" w14:textId="77777777" w:rsidTr="00733935">
              <w:trPr>
                <w:trHeight w:val="303"/>
              </w:trPr>
              <w:tc>
                <w:tcPr>
                  <w:tcW w:w="2052" w:type="dxa"/>
                  <w:vMerge w:val="restart"/>
                  <w:shd w:val="clear" w:color="auto" w:fill="9CC2E5"/>
                  <w:noWrap/>
                  <w:vAlign w:val="center"/>
                  <w:hideMark/>
                </w:tcPr>
                <w:p w14:paraId="6FC3411F"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Ցուցանիշներ</w:t>
                  </w:r>
                </w:p>
              </w:tc>
              <w:tc>
                <w:tcPr>
                  <w:tcW w:w="2324" w:type="dxa"/>
                  <w:vMerge w:val="restart"/>
                  <w:shd w:val="clear" w:color="auto" w:fill="9CC2E5"/>
                  <w:vAlign w:val="center"/>
                  <w:hideMark/>
                </w:tcPr>
                <w:p w14:paraId="30A62B9D"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Ծրագիր</w:t>
                  </w:r>
                </w:p>
              </w:tc>
              <w:tc>
                <w:tcPr>
                  <w:tcW w:w="1527" w:type="dxa"/>
                  <w:shd w:val="clear" w:color="auto" w:fill="9CC2E5"/>
                  <w:vAlign w:val="center"/>
                </w:tcPr>
                <w:p w14:paraId="71E3E87E"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2020</w:t>
                  </w:r>
                </w:p>
              </w:tc>
              <w:tc>
                <w:tcPr>
                  <w:tcW w:w="1890" w:type="dxa"/>
                  <w:shd w:val="clear" w:color="auto" w:fill="9CC2E5"/>
                  <w:vAlign w:val="center"/>
                  <w:hideMark/>
                </w:tcPr>
                <w:p w14:paraId="4F5B2E65"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2021</w:t>
                  </w:r>
                </w:p>
              </w:tc>
              <w:tc>
                <w:tcPr>
                  <w:tcW w:w="1449" w:type="dxa"/>
                  <w:shd w:val="clear" w:color="auto" w:fill="9CC2E5"/>
                  <w:vAlign w:val="center"/>
                  <w:hideMark/>
                </w:tcPr>
                <w:p w14:paraId="780FC602"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2022</w:t>
                  </w:r>
                </w:p>
              </w:tc>
            </w:tr>
            <w:tr w:rsidR="00C34A4E" w:rsidRPr="00A83C94" w14:paraId="6409F074" w14:textId="77777777" w:rsidTr="00733935">
              <w:trPr>
                <w:trHeight w:val="303"/>
              </w:trPr>
              <w:tc>
                <w:tcPr>
                  <w:tcW w:w="2052" w:type="dxa"/>
                  <w:vMerge/>
                  <w:vAlign w:val="center"/>
                  <w:hideMark/>
                </w:tcPr>
                <w:p w14:paraId="0BF1AD61" w14:textId="77777777" w:rsidR="00C34A4E" w:rsidRPr="00A83C94" w:rsidRDefault="00C34A4E" w:rsidP="00733935">
                  <w:pPr>
                    <w:spacing w:before="0"/>
                    <w:jc w:val="center"/>
                    <w:rPr>
                      <w:rFonts w:cs="Calibri"/>
                      <w:b w:val="0"/>
                      <w:bCs/>
                      <w:color w:val="000000"/>
                      <w:sz w:val="18"/>
                      <w:szCs w:val="18"/>
                      <w:lang w:val="hy-AM"/>
                    </w:rPr>
                  </w:pPr>
                </w:p>
              </w:tc>
              <w:tc>
                <w:tcPr>
                  <w:tcW w:w="2324" w:type="dxa"/>
                  <w:vMerge/>
                  <w:vAlign w:val="center"/>
                  <w:hideMark/>
                </w:tcPr>
                <w:p w14:paraId="51952CB7" w14:textId="77777777" w:rsidR="00C34A4E" w:rsidRPr="00A83C94" w:rsidRDefault="00C34A4E" w:rsidP="00733935">
                  <w:pPr>
                    <w:spacing w:before="0"/>
                    <w:jc w:val="center"/>
                    <w:rPr>
                      <w:rFonts w:cs="Calibri"/>
                      <w:b w:val="0"/>
                      <w:bCs/>
                      <w:color w:val="000000"/>
                      <w:sz w:val="18"/>
                      <w:szCs w:val="18"/>
                      <w:lang w:val="hy-AM"/>
                    </w:rPr>
                  </w:pPr>
                </w:p>
              </w:tc>
              <w:tc>
                <w:tcPr>
                  <w:tcW w:w="1527" w:type="dxa"/>
                  <w:shd w:val="clear" w:color="auto" w:fill="9CC2E5"/>
                  <w:vAlign w:val="center"/>
                </w:tcPr>
                <w:p w14:paraId="62E15773" w14:textId="77777777" w:rsidR="00C34A4E" w:rsidRPr="00A83C94" w:rsidRDefault="00C34A4E" w:rsidP="00733935">
                  <w:pPr>
                    <w:spacing w:before="0"/>
                    <w:ind w:firstLine="0"/>
                    <w:jc w:val="center"/>
                    <w:rPr>
                      <w:rFonts w:cs="Calibri"/>
                      <w:i/>
                      <w:iCs/>
                      <w:color w:val="000000"/>
                      <w:sz w:val="18"/>
                      <w:szCs w:val="18"/>
                      <w:lang w:val="hy-AM"/>
                    </w:rPr>
                  </w:pPr>
                  <w:r w:rsidRPr="00A83C94">
                    <w:rPr>
                      <w:rFonts w:cs="Calibri"/>
                      <w:i/>
                      <w:iCs/>
                      <w:color w:val="000000"/>
                      <w:sz w:val="18"/>
                      <w:szCs w:val="18"/>
                      <w:lang w:val="hy-AM"/>
                    </w:rPr>
                    <w:t>փաստ*/կանխ.</w:t>
                  </w:r>
                </w:p>
              </w:tc>
              <w:tc>
                <w:tcPr>
                  <w:tcW w:w="1890" w:type="dxa"/>
                  <w:shd w:val="clear" w:color="auto" w:fill="9CC2E5"/>
                  <w:vAlign w:val="center"/>
                  <w:hideMark/>
                </w:tcPr>
                <w:p w14:paraId="79E4B0FD" w14:textId="77777777" w:rsidR="00C34A4E" w:rsidRPr="00A83C94" w:rsidRDefault="00C34A4E" w:rsidP="00733935">
                  <w:pPr>
                    <w:spacing w:before="0"/>
                    <w:ind w:firstLine="0"/>
                    <w:jc w:val="center"/>
                    <w:rPr>
                      <w:rFonts w:cs="Calibri"/>
                      <w:i/>
                      <w:iCs/>
                      <w:color w:val="000000"/>
                      <w:sz w:val="18"/>
                      <w:szCs w:val="18"/>
                      <w:lang w:val="hy-AM"/>
                    </w:rPr>
                  </w:pPr>
                  <w:r w:rsidRPr="00A83C94">
                    <w:rPr>
                      <w:rFonts w:cs="Calibri"/>
                      <w:i/>
                      <w:iCs/>
                      <w:color w:val="000000"/>
                      <w:sz w:val="18"/>
                      <w:szCs w:val="18"/>
                      <w:lang w:val="hy-AM"/>
                    </w:rPr>
                    <w:t>կանխ.</w:t>
                  </w:r>
                </w:p>
              </w:tc>
              <w:tc>
                <w:tcPr>
                  <w:tcW w:w="1449" w:type="dxa"/>
                  <w:shd w:val="clear" w:color="auto" w:fill="9CC2E5"/>
                  <w:vAlign w:val="center"/>
                  <w:hideMark/>
                </w:tcPr>
                <w:p w14:paraId="5566CE6C" w14:textId="77777777" w:rsidR="00C34A4E" w:rsidRPr="00A83C94" w:rsidRDefault="00C34A4E" w:rsidP="00733935">
                  <w:pPr>
                    <w:spacing w:before="0"/>
                    <w:ind w:firstLine="0"/>
                    <w:jc w:val="center"/>
                    <w:rPr>
                      <w:rFonts w:cs="Calibri"/>
                      <w:i/>
                      <w:iCs/>
                      <w:color w:val="000000"/>
                      <w:sz w:val="18"/>
                      <w:szCs w:val="18"/>
                      <w:lang w:val="hy-AM"/>
                    </w:rPr>
                  </w:pPr>
                  <w:r w:rsidRPr="00A83C94">
                    <w:rPr>
                      <w:rFonts w:cs="Calibri"/>
                      <w:i/>
                      <w:iCs/>
                      <w:color w:val="000000"/>
                      <w:sz w:val="18"/>
                      <w:szCs w:val="18"/>
                      <w:lang w:val="hy-AM"/>
                    </w:rPr>
                    <w:t>կանխ.</w:t>
                  </w:r>
                </w:p>
              </w:tc>
            </w:tr>
            <w:tr w:rsidR="00C34A4E" w:rsidRPr="00A83C94" w14:paraId="0D02B537" w14:textId="77777777" w:rsidTr="00733935">
              <w:trPr>
                <w:trHeight w:val="303"/>
              </w:trPr>
              <w:tc>
                <w:tcPr>
                  <w:tcW w:w="2052" w:type="dxa"/>
                  <w:vMerge w:val="restart"/>
                  <w:shd w:val="clear" w:color="auto" w:fill="auto"/>
                  <w:vAlign w:val="center"/>
                </w:tcPr>
                <w:p w14:paraId="6C5A8F91" w14:textId="77777777" w:rsidR="00C34A4E" w:rsidRPr="00A83C94" w:rsidRDefault="00C34A4E" w:rsidP="00733935">
                  <w:pPr>
                    <w:spacing w:before="0" w:line="276" w:lineRule="auto"/>
                    <w:ind w:firstLine="0"/>
                    <w:rPr>
                      <w:rFonts w:cs="Calibri"/>
                      <w:bCs/>
                      <w:color w:val="000000"/>
                      <w:sz w:val="18"/>
                      <w:szCs w:val="18"/>
                      <w:lang w:val="hy-AM"/>
                    </w:rPr>
                  </w:pPr>
                  <w:r w:rsidRPr="00A83C94">
                    <w:rPr>
                      <w:rFonts w:cs="Calibri"/>
                      <w:bCs/>
                      <w:color w:val="000000"/>
                      <w:sz w:val="18"/>
                      <w:szCs w:val="18"/>
                      <w:lang w:val="hy-AM"/>
                    </w:rPr>
                    <w:t>Անվանական ՀՆԱ, մլրդ դրամ</w:t>
                  </w:r>
                </w:p>
              </w:tc>
              <w:tc>
                <w:tcPr>
                  <w:tcW w:w="2324" w:type="dxa"/>
                  <w:shd w:val="clear" w:color="auto" w:fill="auto"/>
                  <w:vAlign w:val="center"/>
                </w:tcPr>
                <w:p w14:paraId="6942B06C"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3E771E17"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6,181.7</w:t>
                  </w:r>
                </w:p>
              </w:tc>
              <w:tc>
                <w:tcPr>
                  <w:tcW w:w="1890" w:type="dxa"/>
                  <w:shd w:val="clear" w:color="auto" w:fill="auto"/>
                  <w:noWrap/>
                  <w:vAlign w:val="center"/>
                </w:tcPr>
                <w:p w14:paraId="7ACA1FAF"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7,031.2</w:t>
                  </w:r>
                </w:p>
              </w:tc>
              <w:tc>
                <w:tcPr>
                  <w:tcW w:w="1449" w:type="dxa"/>
                  <w:shd w:val="clear" w:color="auto" w:fill="auto"/>
                  <w:vAlign w:val="center"/>
                </w:tcPr>
                <w:p w14:paraId="372E79C8"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7,869.4</w:t>
                  </w:r>
                </w:p>
              </w:tc>
            </w:tr>
            <w:tr w:rsidR="00C34A4E" w:rsidRPr="00A83C94" w14:paraId="3C639B99" w14:textId="77777777" w:rsidTr="00733935">
              <w:trPr>
                <w:trHeight w:val="303"/>
              </w:trPr>
              <w:tc>
                <w:tcPr>
                  <w:tcW w:w="2052" w:type="dxa"/>
                  <w:vMerge/>
                  <w:shd w:val="clear" w:color="auto" w:fill="auto"/>
                  <w:vAlign w:val="center"/>
                  <w:hideMark/>
                </w:tcPr>
                <w:p w14:paraId="3BEEC45D" w14:textId="77777777" w:rsidR="00C34A4E" w:rsidRPr="00A83C94" w:rsidRDefault="00C34A4E" w:rsidP="00733935">
                  <w:pPr>
                    <w:spacing w:before="0" w:line="276" w:lineRule="auto"/>
                    <w:rPr>
                      <w:rFonts w:cs="Calibri"/>
                      <w:bCs/>
                      <w:color w:val="000000"/>
                      <w:sz w:val="18"/>
                      <w:szCs w:val="18"/>
                      <w:lang w:val="hy-AM"/>
                    </w:rPr>
                  </w:pPr>
                </w:p>
              </w:tc>
              <w:tc>
                <w:tcPr>
                  <w:tcW w:w="2324" w:type="dxa"/>
                  <w:shd w:val="clear" w:color="auto" w:fill="auto"/>
                  <w:vAlign w:val="center"/>
                  <w:hideMark/>
                </w:tcPr>
                <w:p w14:paraId="51F00544"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0006E79C"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6,181.7</w:t>
                  </w:r>
                </w:p>
              </w:tc>
              <w:tc>
                <w:tcPr>
                  <w:tcW w:w="1890" w:type="dxa"/>
                  <w:shd w:val="clear" w:color="auto" w:fill="auto"/>
                  <w:noWrap/>
                  <w:hideMark/>
                </w:tcPr>
                <w:p w14:paraId="23F00059"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 xml:space="preserve">6,880.2 </w:t>
                  </w:r>
                </w:p>
              </w:tc>
              <w:tc>
                <w:tcPr>
                  <w:tcW w:w="1449" w:type="dxa"/>
                  <w:shd w:val="clear" w:color="auto" w:fill="auto"/>
                  <w:hideMark/>
                </w:tcPr>
                <w:p w14:paraId="494A2469"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 xml:space="preserve"> 7,570.8 </w:t>
                  </w:r>
                </w:p>
              </w:tc>
            </w:tr>
            <w:tr w:rsidR="00C34A4E" w:rsidRPr="00A83C94" w14:paraId="5C074459" w14:textId="77777777" w:rsidTr="00733935">
              <w:trPr>
                <w:trHeight w:val="303"/>
              </w:trPr>
              <w:tc>
                <w:tcPr>
                  <w:tcW w:w="2052" w:type="dxa"/>
                  <w:vMerge/>
                  <w:vAlign w:val="center"/>
                  <w:hideMark/>
                </w:tcPr>
                <w:p w14:paraId="5455130C" w14:textId="77777777" w:rsidR="00C34A4E" w:rsidRPr="00A83C94" w:rsidRDefault="00C34A4E" w:rsidP="00733935">
                  <w:pPr>
                    <w:spacing w:before="0" w:line="276" w:lineRule="auto"/>
                    <w:rPr>
                      <w:rFonts w:cs="Calibri"/>
                      <w:bCs/>
                      <w:color w:val="000000"/>
                      <w:sz w:val="18"/>
                      <w:szCs w:val="18"/>
                      <w:lang w:val="hy-AM"/>
                    </w:rPr>
                  </w:pPr>
                </w:p>
              </w:tc>
              <w:tc>
                <w:tcPr>
                  <w:tcW w:w="2324" w:type="dxa"/>
                  <w:shd w:val="clear" w:color="auto" w:fill="auto"/>
                  <w:vAlign w:val="center"/>
                  <w:hideMark/>
                </w:tcPr>
                <w:p w14:paraId="5EC8A4B9"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52644697"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6,075.9</w:t>
                  </w:r>
                </w:p>
              </w:tc>
              <w:tc>
                <w:tcPr>
                  <w:tcW w:w="1890" w:type="dxa"/>
                  <w:shd w:val="clear" w:color="auto" w:fill="auto"/>
                  <w:noWrap/>
                  <w:vAlign w:val="center"/>
                  <w:hideMark/>
                </w:tcPr>
                <w:p w14:paraId="6BF4F295"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6,395.3</w:t>
                  </w:r>
                </w:p>
              </w:tc>
              <w:tc>
                <w:tcPr>
                  <w:tcW w:w="1449" w:type="dxa"/>
                  <w:shd w:val="clear" w:color="auto" w:fill="auto"/>
                  <w:vAlign w:val="center"/>
                  <w:hideMark/>
                </w:tcPr>
                <w:p w14:paraId="2F0B3544"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r w:rsidR="00C34A4E" w:rsidRPr="00813A99" w14:paraId="71594A24" w14:textId="77777777" w:rsidTr="00733935">
              <w:trPr>
                <w:trHeight w:val="303"/>
              </w:trPr>
              <w:tc>
                <w:tcPr>
                  <w:tcW w:w="2052" w:type="dxa"/>
                  <w:vMerge w:val="restart"/>
                  <w:shd w:val="clear" w:color="auto" w:fill="auto"/>
                  <w:vAlign w:val="center"/>
                </w:tcPr>
                <w:p w14:paraId="1DD5F196" w14:textId="77777777" w:rsidR="00C34A4E" w:rsidRPr="00A83C94" w:rsidRDefault="00C34A4E" w:rsidP="00733935">
                  <w:pPr>
                    <w:spacing w:before="0" w:line="276" w:lineRule="auto"/>
                    <w:ind w:firstLine="0"/>
                    <w:rPr>
                      <w:rFonts w:cs="Calibri"/>
                      <w:bCs/>
                      <w:color w:val="000000"/>
                      <w:sz w:val="18"/>
                      <w:szCs w:val="18"/>
                      <w:lang w:val="hy-AM"/>
                    </w:rPr>
                  </w:pPr>
                  <w:r w:rsidRPr="00A83C94">
                    <w:rPr>
                      <w:rFonts w:cs="Calibri"/>
                      <w:bCs/>
                      <w:color w:val="000000"/>
                      <w:sz w:val="18"/>
                      <w:szCs w:val="18"/>
                      <w:lang w:val="hy-AM"/>
                    </w:rPr>
                    <w:t>Տնտեսական</w:t>
                  </w:r>
                  <w:r w:rsidRPr="00A83C94">
                    <w:rPr>
                      <w:rFonts w:cs="Calibri"/>
                      <w:bCs/>
                      <w:color w:val="000000"/>
                      <w:sz w:val="18"/>
                      <w:szCs w:val="18"/>
                    </w:rPr>
                    <w:t xml:space="preserve"> (</w:t>
                  </w:r>
                  <w:r w:rsidRPr="00A83C94">
                    <w:rPr>
                      <w:rFonts w:cs="Calibri"/>
                      <w:bCs/>
                      <w:color w:val="000000"/>
                      <w:sz w:val="18"/>
                      <w:szCs w:val="18"/>
                      <w:lang w:val="hy-AM"/>
                    </w:rPr>
                    <w:t>իրական ՀՆԱ-ի</w:t>
                  </w:r>
                  <w:r w:rsidRPr="00A83C94">
                    <w:rPr>
                      <w:rFonts w:cs="Calibri"/>
                      <w:bCs/>
                      <w:color w:val="000000"/>
                      <w:sz w:val="18"/>
                      <w:szCs w:val="18"/>
                    </w:rPr>
                    <w:t>)</w:t>
                  </w:r>
                  <w:r w:rsidRPr="00A83C94">
                    <w:rPr>
                      <w:rFonts w:cs="Calibri"/>
                      <w:bCs/>
                      <w:color w:val="000000"/>
                      <w:sz w:val="18"/>
                      <w:szCs w:val="18"/>
                      <w:lang w:val="hy-AM"/>
                    </w:rPr>
                    <w:t xml:space="preserve"> աճ, </w:t>
                  </w:r>
                  <w:r w:rsidRPr="00A83C94">
                    <w:rPr>
                      <w:rFonts w:cs="Calibri"/>
                      <w:bCs/>
                      <w:color w:val="000000"/>
                      <w:sz w:val="18"/>
                      <w:szCs w:val="18"/>
                    </w:rPr>
                    <w:t>%</w:t>
                  </w:r>
                </w:p>
              </w:tc>
              <w:tc>
                <w:tcPr>
                  <w:tcW w:w="2324" w:type="dxa"/>
                  <w:shd w:val="clear" w:color="auto" w:fill="auto"/>
                  <w:vAlign w:val="center"/>
                </w:tcPr>
                <w:p w14:paraId="33A1C682"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604939D9"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-7.4</w:t>
                  </w:r>
                </w:p>
              </w:tc>
              <w:tc>
                <w:tcPr>
                  <w:tcW w:w="1890" w:type="dxa"/>
                  <w:shd w:val="clear" w:color="auto" w:fill="auto"/>
                  <w:noWrap/>
                  <w:vAlign w:val="center"/>
                </w:tcPr>
                <w:p w14:paraId="743D24C0"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6.5</w:t>
                  </w:r>
                </w:p>
              </w:tc>
              <w:tc>
                <w:tcPr>
                  <w:tcW w:w="1449" w:type="dxa"/>
                  <w:shd w:val="clear" w:color="auto" w:fill="auto"/>
                  <w:vAlign w:val="center"/>
                </w:tcPr>
                <w:p w14:paraId="68B7E1AB"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7.0</w:t>
                  </w:r>
                </w:p>
              </w:tc>
            </w:tr>
            <w:tr w:rsidR="00C34A4E" w:rsidRPr="00813A99" w14:paraId="72011C8C" w14:textId="77777777" w:rsidTr="00733935">
              <w:trPr>
                <w:trHeight w:val="303"/>
              </w:trPr>
              <w:tc>
                <w:tcPr>
                  <w:tcW w:w="2052" w:type="dxa"/>
                  <w:vMerge/>
                  <w:shd w:val="clear" w:color="auto" w:fill="auto"/>
                  <w:vAlign w:val="center"/>
                  <w:hideMark/>
                </w:tcPr>
                <w:p w14:paraId="097E2BEF" w14:textId="77777777" w:rsidR="00C34A4E" w:rsidRPr="00A83C94" w:rsidRDefault="00C34A4E" w:rsidP="00733935">
                  <w:pPr>
                    <w:spacing w:before="0" w:line="276" w:lineRule="auto"/>
                    <w:rPr>
                      <w:rFonts w:cs="Calibri"/>
                      <w:bCs/>
                      <w:color w:val="000000"/>
                      <w:sz w:val="18"/>
                      <w:szCs w:val="18"/>
                      <w:lang w:val="hy-AM"/>
                    </w:rPr>
                  </w:pPr>
                </w:p>
              </w:tc>
              <w:tc>
                <w:tcPr>
                  <w:tcW w:w="2324" w:type="dxa"/>
                  <w:shd w:val="clear" w:color="auto" w:fill="auto"/>
                  <w:vAlign w:val="center"/>
                  <w:hideMark/>
                </w:tcPr>
                <w:p w14:paraId="4868362F"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60F3720D"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-7.4</w:t>
                  </w:r>
                </w:p>
              </w:tc>
              <w:tc>
                <w:tcPr>
                  <w:tcW w:w="1890" w:type="dxa"/>
                  <w:shd w:val="clear" w:color="auto" w:fill="auto"/>
                  <w:noWrap/>
                  <w:hideMark/>
                </w:tcPr>
                <w:p w14:paraId="766B59C6"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6.0</w:t>
                  </w:r>
                </w:p>
              </w:tc>
              <w:tc>
                <w:tcPr>
                  <w:tcW w:w="1449" w:type="dxa"/>
                  <w:shd w:val="clear" w:color="auto" w:fill="auto"/>
                  <w:hideMark/>
                </w:tcPr>
                <w:p w14:paraId="0F600734"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5.2</w:t>
                  </w:r>
                </w:p>
              </w:tc>
            </w:tr>
            <w:tr w:rsidR="00C34A4E" w:rsidRPr="00813A99" w14:paraId="0D6128B5" w14:textId="77777777" w:rsidTr="00733935">
              <w:trPr>
                <w:trHeight w:val="303"/>
              </w:trPr>
              <w:tc>
                <w:tcPr>
                  <w:tcW w:w="2052" w:type="dxa"/>
                  <w:vMerge/>
                  <w:vAlign w:val="center"/>
                  <w:hideMark/>
                </w:tcPr>
                <w:p w14:paraId="2FB10BB7" w14:textId="77777777" w:rsidR="00C34A4E" w:rsidRPr="00A83C94" w:rsidRDefault="00C34A4E" w:rsidP="00733935">
                  <w:pPr>
                    <w:spacing w:before="0" w:line="276" w:lineRule="auto"/>
                    <w:rPr>
                      <w:rFonts w:cs="Calibri"/>
                      <w:bCs/>
                      <w:color w:val="000000"/>
                      <w:sz w:val="18"/>
                      <w:szCs w:val="18"/>
                      <w:lang w:val="hy-AM"/>
                    </w:rPr>
                  </w:pPr>
                </w:p>
              </w:tc>
              <w:tc>
                <w:tcPr>
                  <w:tcW w:w="2324" w:type="dxa"/>
                  <w:shd w:val="clear" w:color="auto" w:fill="auto"/>
                  <w:vAlign w:val="center"/>
                  <w:hideMark/>
                </w:tcPr>
                <w:p w14:paraId="361B31D7"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4C53CE16"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-7.9</w:t>
                  </w:r>
                </w:p>
              </w:tc>
              <w:tc>
                <w:tcPr>
                  <w:tcW w:w="1890" w:type="dxa"/>
                  <w:shd w:val="clear" w:color="auto" w:fill="auto"/>
                  <w:noWrap/>
                  <w:vAlign w:val="center"/>
                  <w:hideMark/>
                </w:tcPr>
                <w:p w14:paraId="4615F8AF"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3.2</w:t>
                  </w:r>
                </w:p>
              </w:tc>
              <w:tc>
                <w:tcPr>
                  <w:tcW w:w="1449" w:type="dxa"/>
                  <w:shd w:val="clear" w:color="auto" w:fill="auto"/>
                  <w:vAlign w:val="center"/>
                  <w:hideMark/>
                </w:tcPr>
                <w:p w14:paraId="53F2317B"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r w:rsidR="00C34A4E" w:rsidRPr="00813A99" w14:paraId="672929DF" w14:textId="77777777" w:rsidTr="00733935">
              <w:trPr>
                <w:trHeight w:val="303"/>
              </w:trPr>
              <w:tc>
                <w:tcPr>
                  <w:tcW w:w="2052" w:type="dxa"/>
                  <w:vMerge w:val="restart"/>
                  <w:shd w:val="clear" w:color="auto" w:fill="auto"/>
                  <w:vAlign w:val="center"/>
                </w:tcPr>
                <w:p w14:paraId="6363663E" w14:textId="77777777" w:rsidR="00C34A4E" w:rsidRPr="00A83C94" w:rsidRDefault="00C34A4E" w:rsidP="00733935">
                  <w:pPr>
                    <w:spacing w:before="0" w:line="276" w:lineRule="auto"/>
                    <w:ind w:firstLine="0"/>
                    <w:jc w:val="left"/>
                    <w:rPr>
                      <w:rFonts w:cs="Calibri"/>
                      <w:bCs/>
                      <w:color w:val="000000"/>
                      <w:sz w:val="18"/>
                      <w:szCs w:val="18"/>
                      <w:lang w:val="hy-AM"/>
                    </w:rPr>
                  </w:pPr>
                  <w:r w:rsidRPr="00A83C94">
                    <w:rPr>
                      <w:rFonts w:cs="Calibri"/>
                      <w:bCs/>
                      <w:color w:val="000000"/>
                      <w:sz w:val="18"/>
                      <w:szCs w:val="18"/>
                      <w:lang w:val="hy-AM"/>
                    </w:rPr>
                    <w:t>ՀՆԱ-ի դեֆլյատորի աճ, %</w:t>
                  </w:r>
                </w:p>
              </w:tc>
              <w:tc>
                <w:tcPr>
                  <w:tcW w:w="2324" w:type="dxa"/>
                  <w:shd w:val="clear" w:color="auto" w:fill="auto"/>
                  <w:vAlign w:val="center"/>
                </w:tcPr>
                <w:p w14:paraId="77564517"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43A58B20"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890" w:type="dxa"/>
                  <w:shd w:val="clear" w:color="auto" w:fill="auto"/>
                  <w:noWrap/>
                  <w:vAlign w:val="center"/>
                </w:tcPr>
                <w:p w14:paraId="40D7298F"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6.8</w:t>
                  </w:r>
                </w:p>
              </w:tc>
              <w:tc>
                <w:tcPr>
                  <w:tcW w:w="1449" w:type="dxa"/>
                  <w:shd w:val="clear" w:color="auto" w:fill="auto"/>
                  <w:vAlign w:val="center"/>
                </w:tcPr>
                <w:p w14:paraId="1962321C"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4.6</w:t>
                  </w:r>
                </w:p>
              </w:tc>
            </w:tr>
            <w:tr w:rsidR="00C34A4E" w:rsidRPr="00813A99" w14:paraId="4B292584" w14:textId="77777777" w:rsidTr="00733935">
              <w:trPr>
                <w:trHeight w:val="303"/>
              </w:trPr>
              <w:tc>
                <w:tcPr>
                  <w:tcW w:w="2052" w:type="dxa"/>
                  <w:vMerge/>
                  <w:shd w:val="clear" w:color="auto" w:fill="auto"/>
                  <w:vAlign w:val="center"/>
                  <w:hideMark/>
                </w:tcPr>
                <w:p w14:paraId="313837B7" w14:textId="77777777" w:rsidR="00C34A4E" w:rsidRPr="00A83C94" w:rsidRDefault="00C34A4E" w:rsidP="00733935">
                  <w:pPr>
                    <w:spacing w:before="0" w:line="276" w:lineRule="auto"/>
                    <w:rPr>
                      <w:rFonts w:cs="Calibri"/>
                      <w:b w:val="0"/>
                      <w:bCs/>
                      <w:color w:val="000000"/>
                      <w:sz w:val="18"/>
                      <w:szCs w:val="18"/>
                      <w:lang w:val="hy-AM"/>
                    </w:rPr>
                  </w:pPr>
                </w:p>
              </w:tc>
              <w:tc>
                <w:tcPr>
                  <w:tcW w:w="2324" w:type="dxa"/>
                  <w:shd w:val="clear" w:color="auto" w:fill="auto"/>
                  <w:vAlign w:val="center"/>
                  <w:hideMark/>
                </w:tcPr>
                <w:p w14:paraId="54BE29F1"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1E5BE0D0"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890" w:type="dxa"/>
                  <w:shd w:val="clear" w:color="auto" w:fill="auto"/>
                  <w:noWrap/>
                  <w:hideMark/>
                </w:tcPr>
                <w:p w14:paraId="45CC525F"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5.0</w:t>
                  </w:r>
                </w:p>
              </w:tc>
              <w:tc>
                <w:tcPr>
                  <w:tcW w:w="1449" w:type="dxa"/>
                  <w:shd w:val="clear" w:color="auto" w:fill="auto"/>
                  <w:hideMark/>
                </w:tcPr>
                <w:p w14:paraId="4A80D2F0"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4.6</w:t>
                  </w:r>
                </w:p>
              </w:tc>
            </w:tr>
            <w:tr w:rsidR="00C34A4E" w:rsidRPr="00813A99" w14:paraId="56C8718D" w14:textId="77777777" w:rsidTr="00733935">
              <w:trPr>
                <w:trHeight w:val="303"/>
              </w:trPr>
              <w:tc>
                <w:tcPr>
                  <w:tcW w:w="2052" w:type="dxa"/>
                  <w:vMerge/>
                  <w:vAlign w:val="center"/>
                  <w:hideMark/>
                </w:tcPr>
                <w:p w14:paraId="04911B1D" w14:textId="77777777" w:rsidR="00C34A4E" w:rsidRPr="00A83C94" w:rsidRDefault="00C34A4E" w:rsidP="00733935">
                  <w:pPr>
                    <w:spacing w:before="0" w:line="276" w:lineRule="auto"/>
                    <w:rPr>
                      <w:rFonts w:cs="Calibri"/>
                      <w:b w:val="0"/>
                      <w:bCs/>
                      <w:color w:val="000000"/>
                      <w:sz w:val="18"/>
                      <w:szCs w:val="18"/>
                      <w:lang w:val="hy-AM"/>
                    </w:rPr>
                  </w:pPr>
                </w:p>
              </w:tc>
              <w:tc>
                <w:tcPr>
                  <w:tcW w:w="2324" w:type="dxa"/>
                  <w:shd w:val="clear" w:color="auto" w:fill="auto"/>
                  <w:vAlign w:val="center"/>
                  <w:hideMark/>
                </w:tcPr>
                <w:p w14:paraId="4DC9D910" w14:textId="77777777" w:rsidR="00C34A4E" w:rsidRPr="00A83C94" w:rsidRDefault="00C34A4E" w:rsidP="00733935">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53991720"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0.4</w:t>
                  </w:r>
                </w:p>
              </w:tc>
              <w:tc>
                <w:tcPr>
                  <w:tcW w:w="1890" w:type="dxa"/>
                  <w:shd w:val="clear" w:color="auto" w:fill="auto"/>
                  <w:noWrap/>
                  <w:vAlign w:val="center"/>
                  <w:hideMark/>
                </w:tcPr>
                <w:p w14:paraId="3318F813"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449" w:type="dxa"/>
                  <w:shd w:val="clear" w:color="auto" w:fill="auto"/>
                  <w:vAlign w:val="center"/>
                  <w:hideMark/>
                </w:tcPr>
                <w:p w14:paraId="5FF1B563" w14:textId="77777777" w:rsidR="00C34A4E" w:rsidRPr="00A83C94" w:rsidRDefault="00C34A4E" w:rsidP="00733935">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bl>
          <w:p w14:paraId="62B91F36" w14:textId="77777777" w:rsidR="00C34A4E" w:rsidRPr="00A83C94" w:rsidRDefault="00C34A4E" w:rsidP="00733935">
            <w:pPr>
              <w:spacing w:line="276" w:lineRule="auto"/>
              <w:ind w:right="111"/>
              <w:rPr>
                <w:rFonts w:eastAsia="Calibri"/>
                <w:b w:val="0"/>
                <w:sz w:val="18"/>
                <w:szCs w:val="18"/>
                <w:lang w:val="hy-AM"/>
              </w:rPr>
            </w:pPr>
            <w:r w:rsidRPr="00A83C94">
              <w:rPr>
                <w:rFonts w:eastAsia="Calibri"/>
                <w:b w:val="0"/>
                <w:sz w:val="18"/>
                <w:szCs w:val="18"/>
                <w:lang w:val="hy-AM"/>
              </w:rPr>
              <w:t xml:space="preserve">* </w:t>
            </w:r>
            <w:r w:rsidRPr="00A83C94">
              <w:rPr>
                <w:rFonts w:cs="Calibri"/>
                <w:b w:val="0"/>
                <w:i/>
                <w:iCs/>
                <w:color w:val="000000"/>
                <w:sz w:val="18"/>
                <w:szCs w:val="18"/>
                <w:lang w:val="hy-AM"/>
              </w:rPr>
              <w:t xml:space="preserve">2022-2024 ՄԺԾԾ և 2022 պետական բյուջեի համար 2020թ. ցուցանիշները փաստացի են </w:t>
            </w:r>
          </w:p>
          <w:p w14:paraId="72EF5785" w14:textId="77777777" w:rsidR="00C34A4E" w:rsidRPr="00A83C94" w:rsidRDefault="00C34A4E" w:rsidP="00733935">
            <w:pPr>
              <w:tabs>
                <w:tab w:val="left" w:pos="541"/>
                <w:tab w:val="num" w:pos="720"/>
              </w:tabs>
              <w:spacing w:before="0" w:after="0" w:line="276" w:lineRule="auto"/>
              <w:ind w:firstLine="0"/>
              <w:rPr>
                <w:rFonts w:eastAsia="Calibri"/>
                <w:b w:val="0"/>
                <w:i/>
                <w:sz w:val="16"/>
                <w:szCs w:val="16"/>
                <w:lang w:val="hy-AM"/>
              </w:rPr>
            </w:pPr>
            <w:r w:rsidRPr="00A83C94">
              <w:rPr>
                <w:rFonts w:eastAsia="Calibri"/>
                <w:b w:val="0"/>
                <w:i/>
                <w:sz w:val="16"/>
                <w:szCs w:val="16"/>
                <w:lang w:val="hy-AM"/>
              </w:rPr>
              <w:t xml:space="preserve">           Աղբյուրը ՝ ՀՀ ՖՆ կանխատեսումներ</w:t>
            </w:r>
          </w:p>
          <w:p w14:paraId="62FD81A6" w14:textId="77777777" w:rsidR="00C34A4E" w:rsidRPr="00A83C94" w:rsidRDefault="00C34A4E" w:rsidP="00733935">
            <w:pPr>
              <w:spacing w:before="0" w:after="0"/>
              <w:rPr>
                <w:rFonts w:eastAsia="Calibri"/>
                <w:b w:val="0"/>
                <w:sz w:val="18"/>
                <w:szCs w:val="18"/>
                <w:lang w:val="hy-AM"/>
              </w:rPr>
            </w:pPr>
          </w:p>
          <w:p w14:paraId="3263B2B8" w14:textId="77777777" w:rsidR="00C34A4E" w:rsidRPr="00A83C94" w:rsidRDefault="00C34A4E" w:rsidP="00733935">
            <w:pPr>
              <w:keepNext/>
              <w:keepLines/>
              <w:spacing w:before="0" w:after="0" w:line="276" w:lineRule="auto"/>
              <w:ind w:left="541" w:firstLine="26"/>
              <w:rPr>
                <w:rFonts w:eastAsia="Calibri" w:cs="Sylfaen"/>
                <w:bCs/>
                <w:i/>
                <w:iCs/>
                <w:color w:val="000000"/>
                <w:sz w:val="20"/>
                <w:szCs w:val="20"/>
                <w:lang w:val="hy-AM"/>
              </w:rPr>
            </w:pPr>
            <w:r w:rsidRPr="00A83C94">
              <w:rPr>
                <w:rFonts w:eastAsia="Calibri" w:cs="Sylfaen"/>
                <w:bCs/>
                <w:i/>
                <w:iCs/>
                <w:color w:val="000000"/>
                <w:lang w:val="hy-AM"/>
              </w:rPr>
              <w:t>Աղյուսակ</w:t>
            </w:r>
            <w:r w:rsidRPr="00A83C94">
              <w:rPr>
                <w:rFonts w:eastAsia="Calibri"/>
                <w:bCs/>
                <w:i/>
                <w:iCs/>
                <w:color w:val="000000"/>
                <w:lang w:val="hy-AM"/>
              </w:rPr>
              <w:t xml:space="preserve"> 1.6.</w:t>
            </w:r>
            <w:r w:rsidRPr="00A83C94">
              <w:rPr>
                <w:rFonts w:eastAsia="Calibri"/>
                <w:bCs/>
                <w:i/>
                <w:iCs/>
                <w:color w:val="000000"/>
                <w:sz w:val="20"/>
                <w:szCs w:val="20"/>
                <w:lang w:val="hy-AM"/>
              </w:rPr>
              <w:t xml:space="preserve"> </w:t>
            </w:r>
            <w:r w:rsidRPr="00A83C94">
              <w:rPr>
                <w:rFonts w:eastAsia="Calibri" w:cs="Sylfaen"/>
                <w:bCs/>
                <w:i/>
                <w:iCs/>
                <w:color w:val="000000"/>
                <w:sz w:val="20"/>
                <w:szCs w:val="20"/>
                <w:lang w:val="hy-AM"/>
              </w:rPr>
              <w:t xml:space="preserve">Ընթացիկ հաշվի կանխատեսումները 2022-2024թթ. ՄԺԾԾ-ով, 2021թ. և 2022թ. </w:t>
            </w:r>
          </w:p>
          <w:p w14:paraId="35CC0886" w14:textId="77777777" w:rsidR="00C34A4E" w:rsidRPr="00A83C94" w:rsidRDefault="00C34A4E" w:rsidP="00733935">
            <w:pPr>
              <w:keepNext/>
              <w:keepLines/>
              <w:spacing w:before="0" w:after="0" w:line="276" w:lineRule="auto"/>
              <w:ind w:left="541" w:firstLine="26"/>
              <w:rPr>
                <w:rFonts w:eastAsia="Calibri" w:cs="Sylfaen"/>
                <w:bCs/>
                <w:i/>
                <w:iCs/>
                <w:color w:val="000000"/>
                <w:sz w:val="20"/>
                <w:szCs w:val="20"/>
                <w:lang w:val="hy-AM"/>
              </w:rPr>
            </w:pPr>
            <w:r w:rsidRPr="00A83C94">
              <w:rPr>
                <w:rFonts w:eastAsia="Calibri" w:cs="Sylfaen"/>
                <w:bCs/>
                <w:i/>
                <w:iCs/>
                <w:color w:val="000000"/>
                <w:sz w:val="20"/>
                <w:szCs w:val="20"/>
                <w:lang w:val="hy-AM"/>
              </w:rPr>
              <w:t>պետական բյուջեներով</w:t>
            </w:r>
          </w:p>
          <w:tbl>
            <w:tblPr>
              <w:tblW w:w="9360"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74"/>
              <w:gridCol w:w="1527"/>
              <w:gridCol w:w="1685"/>
              <w:gridCol w:w="1495"/>
            </w:tblGrid>
            <w:tr w:rsidR="00C34A4E" w:rsidRPr="00A83C94" w14:paraId="1DC89225" w14:textId="77777777" w:rsidTr="00733935">
              <w:trPr>
                <w:trHeight w:val="384"/>
              </w:trPr>
              <w:tc>
                <w:tcPr>
                  <w:tcW w:w="2279" w:type="dxa"/>
                  <w:vMerge w:val="restart"/>
                  <w:shd w:val="clear" w:color="auto" w:fill="9CC2E5"/>
                  <w:noWrap/>
                  <w:vAlign w:val="center"/>
                  <w:hideMark/>
                </w:tcPr>
                <w:p w14:paraId="6F6FC1B0" w14:textId="77777777" w:rsidR="00C34A4E" w:rsidRPr="00A83C94" w:rsidRDefault="00C34A4E" w:rsidP="00733935">
                  <w:pPr>
                    <w:spacing w:before="0"/>
                    <w:jc w:val="center"/>
                    <w:rPr>
                      <w:rFonts w:cs="Calibri"/>
                      <w:b w:val="0"/>
                      <w:bCs/>
                      <w:color w:val="000000"/>
                      <w:sz w:val="18"/>
                      <w:szCs w:val="18"/>
                      <w:lang w:val="hy-AM"/>
                    </w:rPr>
                  </w:pPr>
                  <w:r w:rsidRPr="00A83C94">
                    <w:rPr>
                      <w:rFonts w:cs="Calibri"/>
                      <w:bCs/>
                      <w:color w:val="000000"/>
                      <w:sz w:val="18"/>
                      <w:szCs w:val="18"/>
                      <w:lang w:val="hy-AM"/>
                    </w:rPr>
                    <w:t>Ցուցանիշներ</w:t>
                  </w:r>
                </w:p>
              </w:tc>
              <w:tc>
                <w:tcPr>
                  <w:tcW w:w="2374" w:type="dxa"/>
                  <w:vMerge w:val="restart"/>
                  <w:shd w:val="clear" w:color="auto" w:fill="9CC2E5"/>
                  <w:vAlign w:val="center"/>
                  <w:hideMark/>
                </w:tcPr>
                <w:p w14:paraId="2D6661F1" w14:textId="77777777" w:rsidR="00C34A4E" w:rsidRPr="00A83C94" w:rsidRDefault="00C34A4E" w:rsidP="00733935">
                  <w:pPr>
                    <w:spacing w:before="0"/>
                    <w:ind w:firstLine="0"/>
                    <w:rPr>
                      <w:rFonts w:cs="Calibri"/>
                      <w:b w:val="0"/>
                      <w:bCs/>
                      <w:color w:val="000000"/>
                      <w:sz w:val="18"/>
                      <w:szCs w:val="18"/>
                      <w:lang w:val="hy-AM"/>
                    </w:rPr>
                  </w:pPr>
                  <w:r w:rsidRPr="00A83C94">
                    <w:rPr>
                      <w:rFonts w:cs="Calibri"/>
                      <w:bCs/>
                      <w:color w:val="000000"/>
                      <w:sz w:val="18"/>
                      <w:szCs w:val="18"/>
                      <w:lang w:val="hy-AM"/>
                    </w:rPr>
                    <w:t>Ծրագիր</w:t>
                  </w:r>
                </w:p>
              </w:tc>
              <w:tc>
                <w:tcPr>
                  <w:tcW w:w="1527" w:type="dxa"/>
                  <w:shd w:val="clear" w:color="auto" w:fill="9CC2E5"/>
                  <w:vAlign w:val="center"/>
                </w:tcPr>
                <w:p w14:paraId="4BC82EB2"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2020</w:t>
                  </w:r>
                </w:p>
              </w:tc>
              <w:tc>
                <w:tcPr>
                  <w:tcW w:w="1685" w:type="dxa"/>
                  <w:shd w:val="clear" w:color="auto" w:fill="9CC2E5"/>
                  <w:vAlign w:val="center"/>
                  <w:hideMark/>
                </w:tcPr>
                <w:p w14:paraId="59B43BD4"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2021</w:t>
                  </w:r>
                </w:p>
              </w:tc>
              <w:tc>
                <w:tcPr>
                  <w:tcW w:w="1495" w:type="dxa"/>
                  <w:shd w:val="clear" w:color="auto" w:fill="9CC2E5"/>
                  <w:vAlign w:val="center"/>
                  <w:hideMark/>
                </w:tcPr>
                <w:p w14:paraId="726813B2" w14:textId="77777777" w:rsidR="00C34A4E" w:rsidRPr="00A83C94" w:rsidRDefault="00C34A4E" w:rsidP="00733935">
                  <w:pPr>
                    <w:spacing w:before="0"/>
                    <w:ind w:firstLine="0"/>
                    <w:jc w:val="center"/>
                    <w:rPr>
                      <w:rFonts w:cs="Calibri"/>
                      <w:b w:val="0"/>
                      <w:bCs/>
                      <w:color w:val="000000"/>
                      <w:sz w:val="18"/>
                      <w:szCs w:val="18"/>
                      <w:lang w:val="hy-AM"/>
                    </w:rPr>
                  </w:pPr>
                  <w:r w:rsidRPr="00A83C94">
                    <w:rPr>
                      <w:rFonts w:cs="Calibri"/>
                      <w:bCs/>
                      <w:color w:val="000000"/>
                      <w:sz w:val="18"/>
                      <w:szCs w:val="18"/>
                      <w:lang w:val="hy-AM"/>
                    </w:rPr>
                    <w:t>2022</w:t>
                  </w:r>
                </w:p>
              </w:tc>
            </w:tr>
            <w:tr w:rsidR="00C34A4E" w:rsidRPr="00A83C94" w14:paraId="38069560" w14:textId="77777777" w:rsidTr="00733935">
              <w:trPr>
                <w:trHeight w:val="384"/>
              </w:trPr>
              <w:tc>
                <w:tcPr>
                  <w:tcW w:w="2279" w:type="dxa"/>
                  <w:vMerge/>
                  <w:shd w:val="clear" w:color="auto" w:fill="9CC2E5"/>
                  <w:vAlign w:val="center"/>
                  <w:hideMark/>
                </w:tcPr>
                <w:p w14:paraId="329B604C" w14:textId="77777777" w:rsidR="00C34A4E" w:rsidRPr="00A83C94" w:rsidRDefault="00C34A4E" w:rsidP="00733935">
                  <w:pPr>
                    <w:spacing w:before="0"/>
                    <w:rPr>
                      <w:rFonts w:cs="Calibri"/>
                      <w:b w:val="0"/>
                      <w:bCs/>
                      <w:color w:val="000000"/>
                      <w:sz w:val="18"/>
                      <w:szCs w:val="18"/>
                      <w:lang w:val="hy-AM"/>
                    </w:rPr>
                  </w:pPr>
                </w:p>
              </w:tc>
              <w:tc>
                <w:tcPr>
                  <w:tcW w:w="2374" w:type="dxa"/>
                  <w:vMerge/>
                  <w:shd w:val="clear" w:color="auto" w:fill="9CC2E5"/>
                  <w:vAlign w:val="center"/>
                  <w:hideMark/>
                </w:tcPr>
                <w:p w14:paraId="0DCA08B2" w14:textId="77777777" w:rsidR="00C34A4E" w:rsidRPr="00A83C94" w:rsidRDefault="00C34A4E" w:rsidP="00733935">
                  <w:pPr>
                    <w:spacing w:before="0"/>
                    <w:rPr>
                      <w:rFonts w:cs="Calibri"/>
                      <w:b w:val="0"/>
                      <w:bCs/>
                      <w:color w:val="000000"/>
                      <w:sz w:val="18"/>
                      <w:szCs w:val="18"/>
                      <w:lang w:val="hy-AM"/>
                    </w:rPr>
                  </w:pPr>
                </w:p>
              </w:tc>
              <w:tc>
                <w:tcPr>
                  <w:tcW w:w="1527" w:type="dxa"/>
                  <w:shd w:val="clear" w:color="auto" w:fill="9CC2E5"/>
                  <w:vAlign w:val="center"/>
                </w:tcPr>
                <w:p w14:paraId="1ABC5A46" w14:textId="77777777" w:rsidR="00C34A4E" w:rsidRPr="00A83C94" w:rsidRDefault="00C34A4E" w:rsidP="00733935">
                  <w:pPr>
                    <w:spacing w:before="0"/>
                    <w:ind w:firstLine="0"/>
                    <w:rPr>
                      <w:rFonts w:cs="Calibri"/>
                      <w:i/>
                      <w:iCs/>
                      <w:color w:val="000000"/>
                      <w:sz w:val="18"/>
                      <w:szCs w:val="18"/>
                      <w:lang w:val="hy-AM"/>
                    </w:rPr>
                  </w:pPr>
                  <w:r w:rsidRPr="00A83C94">
                    <w:rPr>
                      <w:rFonts w:cs="Calibri"/>
                      <w:i/>
                      <w:iCs/>
                      <w:color w:val="000000"/>
                      <w:sz w:val="18"/>
                      <w:szCs w:val="18"/>
                      <w:lang w:val="hy-AM"/>
                    </w:rPr>
                    <w:t>փաստ*/կանխ.</w:t>
                  </w:r>
                </w:p>
              </w:tc>
              <w:tc>
                <w:tcPr>
                  <w:tcW w:w="1685" w:type="dxa"/>
                  <w:shd w:val="clear" w:color="auto" w:fill="9CC2E5"/>
                  <w:vAlign w:val="center"/>
                  <w:hideMark/>
                </w:tcPr>
                <w:p w14:paraId="46DFFF74" w14:textId="77777777" w:rsidR="00C34A4E" w:rsidRPr="00A83C94" w:rsidRDefault="00C34A4E" w:rsidP="00733935">
                  <w:pPr>
                    <w:spacing w:before="0"/>
                    <w:ind w:firstLine="0"/>
                    <w:rPr>
                      <w:rFonts w:cs="Calibri"/>
                      <w:i/>
                      <w:iCs/>
                      <w:color w:val="000000"/>
                      <w:sz w:val="18"/>
                      <w:szCs w:val="18"/>
                      <w:lang w:val="hy-AM"/>
                    </w:rPr>
                  </w:pPr>
                  <w:r w:rsidRPr="00A83C94">
                    <w:rPr>
                      <w:rFonts w:cs="Calibri"/>
                      <w:i/>
                      <w:iCs/>
                      <w:color w:val="000000"/>
                      <w:sz w:val="18"/>
                      <w:szCs w:val="18"/>
                      <w:lang w:val="hy-AM"/>
                    </w:rPr>
                    <w:t>կանխ.</w:t>
                  </w:r>
                </w:p>
              </w:tc>
              <w:tc>
                <w:tcPr>
                  <w:tcW w:w="1495" w:type="dxa"/>
                  <w:shd w:val="clear" w:color="auto" w:fill="9CC2E5"/>
                  <w:vAlign w:val="center"/>
                  <w:hideMark/>
                </w:tcPr>
                <w:p w14:paraId="1A57DEAF" w14:textId="77777777" w:rsidR="00C34A4E" w:rsidRPr="00A83C94" w:rsidRDefault="00C34A4E" w:rsidP="00733935">
                  <w:pPr>
                    <w:spacing w:before="0"/>
                    <w:ind w:firstLine="0"/>
                    <w:rPr>
                      <w:rFonts w:cs="Calibri"/>
                      <w:i/>
                      <w:iCs/>
                      <w:color w:val="000000"/>
                      <w:sz w:val="18"/>
                      <w:szCs w:val="18"/>
                      <w:lang w:val="hy-AM"/>
                    </w:rPr>
                  </w:pPr>
                  <w:r w:rsidRPr="00A83C94">
                    <w:rPr>
                      <w:rFonts w:cs="Calibri"/>
                      <w:i/>
                      <w:iCs/>
                      <w:color w:val="000000"/>
                      <w:sz w:val="18"/>
                      <w:szCs w:val="18"/>
                      <w:lang w:val="hy-AM"/>
                    </w:rPr>
                    <w:t>կանխ.</w:t>
                  </w:r>
                </w:p>
              </w:tc>
            </w:tr>
            <w:tr w:rsidR="00C34A4E" w:rsidRPr="00A83C94" w14:paraId="137CA359" w14:textId="77777777" w:rsidTr="00733935">
              <w:trPr>
                <w:trHeight w:val="384"/>
              </w:trPr>
              <w:tc>
                <w:tcPr>
                  <w:tcW w:w="2279" w:type="dxa"/>
                  <w:vMerge w:val="restart"/>
                  <w:shd w:val="clear" w:color="auto" w:fill="auto"/>
                  <w:vAlign w:val="center"/>
                  <w:hideMark/>
                </w:tcPr>
                <w:p w14:paraId="6F9D4762" w14:textId="77777777" w:rsidR="00C34A4E" w:rsidRPr="00A83C94" w:rsidRDefault="00C34A4E" w:rsidP="00733935">
                  <w:pPr>
                    <w:spacing w:before="0"/>
                    <w:ind w:firstLine="0"/>
                    <w:rPr>
                      <w:rFonts w:cs="Calibri"/>
                      <w:b w:val="0"/>
                      <w:bCs/>
                      <w:color w:val="000000"/>
                      <w:sz w:val="18"/>
                      <w:szCs w:val="18"/>
                      <w:lang w:val="hy-AM"/>
                    </w:rPr>
                  </w:pPr>
                  <w:r w:rsidRPr="00A83C94">
                    <w:rPr>
                      <w:rFonts w:cs="Calibri"/>
                      <w:bCs/>
                      <w:color w:val="000000"/>
                      <w:sz w:val="18"/>
                      <w:szCs w:val="18"/>
                      <w:lang w:val="hy-AM"/>
                    </w:rPr>
                    <w:t>Ընթացիկ հաշիվ, մլն ԱՄՆ դոլար</w:t>
                  </w:r>
                </w:p>
              </w:tc>
              <w:tc>
                <w:tcPr>
                  <w:tcW w:w="2374" w:type="dxa"/>
                  <w:shd w:val="clear" w:color="auto" w:fill="auto"/>
                  <w:vAlign w:val="center"/>
                </w:tcPr>
                <w:p w14:paraId="7FC86DB0" w14:textId="77777777" w:rsidR="00C34A4E" w:rsidRPr="00A83C94" w:rsidRDefault="00C34A4E" w:rsidP="00733935">
                  <w:pPr>
                    <w:spacing w:before="0"/>
                    <w:ind w:firstLine="0"/>
                    <w:jc w:val="left"/>
                    <w:rPr>
                      <w:rFonts w:cs="Calibri"/>
                      <w:b w:val="0"/>
                      <w:i/>
                      <w:iCs/>
                      <w:color w:val="000000"/>
                      <w:sz w:val="18"/>
                      <w:szCs w:val="18"/>
                    </w:rPr>
                  </w:pPr>
                  <w:r w:rsidRPr="00A83C94">
                    <w:rPr>
                      <w:rFonts w:cs="Calibri"/>
                      <w:b w:val="0"/>
                      <w:i/>
                      <w:iCs/>
                      <w:color w:val="000000"/>
                      <w:sz w:val="18"/>
                      <w:szCs w:val="18"/>
                    </w:rPr>
                    <w:t xml:space="preserve">2022 </w:t>
                  </w:r>
                  <w:r w:rsidRPr="00A83C94">
                    <w:rPr>
                      <w:rFonts w:cs="Calibri"/>
                      <w:b w:val="0"/>
                      <w:i/>
                      <w:iCs/>
                      <w:color w:val="000000"/>
                      <w:sz w:val="18"/>
                      <w:szCs w:val="18"/>
                      <w:lang w:val="hy-AM"/>
                    </w:rPr>
                    <w:t>Պետական բյուջե</w:t>
                  </w:r>
                </w:p>
              </w:tc>
              <w:tc>
                <w:tcPr>
                  <w:tcW w:w="1527" w:type="dxa"/>
                  <w:vAlign w:val="center"/>
                </w:tcPr>
                <w:p w14:paraId="4724F924"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-478.7</w:t>
                  </w:r>
                </w:p>
              </w:tc>
              <w:tc>
                <w:tcPr>
                  <w:tcW w:w="1685" w:type="dxa"/>
                  <w:shd w:val="clear" w:color="auto" w:fill="auto"/>
                  <w:noWrap/>
                  <w:vAlign w:val="center"/>
                </w:tcPr>
                <w:p w14:paraId="7076ABD2" w14:textId="77777777" w:rsidR="00C34A4E" w:rsidRPr="00A83C94" w:rsidRDefault="00C34A4E" w:rsidP="00733935">
                  <w:pPr>
                    <w:spacing w:before="0"/>
                    <w:ind w:firstLine="0"/>
                    <w:jc w:val="center"/>
                    <w:rPr>
                      <w:rFonts w:cs="Calibri"/>
                      <w:b w:val="0"/>
                      <w:color w:val="000000"/>
                      <w:sz w:val="18"/>
                      <w:szCs w:val="18"/>
                      <w:lang w:val="hy-AM"/>
                    </w:rPr>
                  </w:pPr>
                  <w:r w:rsidRPr="00A83C94">
                    <w:rPr>
                      <w:rFonts w:cs="Calibri"/>
                      <w:b w:val="0"/>
                      <w:color w:val="000000"/>
                      <w:sz w:val="18"/>
                      <w:szCs w:val="18"/>
                      <w:lang w:val="hy-AM"/>
                    </w:rPr>
                    <w:t>-241.8</w:t>
                  </w:r>
                </w:p>
              </w:tc>
              <w:tc>
                <w:tcPr>
                  <w:tcW w:w="1495" w:type="dxa"/>
                  <w:shd w:val="clear" w:color="auto" w:fill="auto"/>
                  <w:vAlign w:val="center"/>
                </w:tcPr>
                <w:p w14:paraId="13AA9E03" w14:textId="77777777" w:rsidR="00C34A4E" w:rsidRPr="00A83C94" w:rsidRDefault="00C34A4E" w:rsidP="00733935">
                  <w:pPr>
                    <w:spacing w:before="0"/>
                    <w:ind w:firstLine="0"/>
                    <w:jc w:val="center"/>
                    <w:rPr>
                      <w:rFonts w:cs="Calibri"/>
                      <w:b w:val="0"/>
                      <w:color w:val="000000"/>
                      <w:sz w:val="18"/>
                      <w:szCs w:val="18"/>
                      <w:lang w:val="hy-AM"/>
                    </w:rPr>
                  </w:pPr>
                  <w:r w:rsidRPr="00A83C94">
                    <w:rPr>
                      <w:rFonts w:cs="Calibri"/>
                      <w:b w:val="0"/>
                      <w:color w:val="000000"/>
                      <w:sz w:val="18"/>
                      <w:szCs w:val="18"/>
                      <w:lang w:val="hy-AM"/>
                    </w:rPr>
                    <w:t>-455.6</w:t>
                  </w:r>
                </w:p>
              </w:tc>
            </w:tr>
            <w:tr w:rsidR="00C34A4E" w:rsidRPr="00A83C94" w14:paraId="012BC184" w14:textId="77777777" w:rsidTr="00733935">
              <w:trPr>
                <w:trHeight w:val="384"/>
              </w:trPr>
              <w:tc>
                <w:tcPr>
                  <w:tcW w:w="2279" w:type="dxa"/>
                  <w:vMerge/>
                  <w:vAlign w:val="center"/>
                  <w:hideMark/>
                </w:tcPr>
                <w:p w14:paraId="2F934109" w14:textId="77777777" w:rsidR="00C34A4E" w:rsidRPr="00A83C94" w:rsidRDefault="00C34A4E" w:rsidP="00733935">
                  <w:pPr>
                    <w:spacing w:before="0"/>
                    <w:rPr>
                      <w:rFonts w:cs="Calibri"/>
                      <w:b w:val="0"/>
                      <w:bCs/>
                      <w:color w:val="000000"/>
                      <w:sz w:val="18"/>
                      <w:szCs w:val="18"/>
                    </w:rPr>
                  </w:pPr>
                </w:p>
              </w:tc>
              <w:tc>
                <w:tcPr>
                  <w:tcW w:w="2374" w:type="dxa"/>
                  <w:shd w:val="clear" w:color="auto" w:fill="auto"/>
                  <w:vAlign w:val="center"/>
                  <w:hideMark/>
                </w:tcPr>
                <w:p w14:paraId="3F32B67C" w14:textId="77777777" w:rsidR="00C34A4E" w:rsidRPr="00A83C94" w:rsidRDefault="00C34A4E" w:rsidP="00733935">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2</w:t>
                  </w:r>
                  <w:r w:rsidRPr="00A83C94">
                    <w:rPr>
                      <w:rFonts w:cs="Calibri"/>
                      <w:b w:val="0"/>
                      <w:i/>
                      <w:iCs/>
                      <w:color w:val="000000"/>
                      <w:sz w:val="18"/>
                      <w:szCs w:val="18"/>
                    </w:rPr>
                    <w:t>-202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p>
              </w:tc>
              <w:tc>
                <w:tcPr>
                  <w:tcW w:w="1527" w:type="dxa"/>
                </w:tcPr>
                <w:p w14:paraId="178F8013"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-478.7</w:t>
                  </w:r>
                </w:p>
              </w:tc>
              <w:tc>
                <w:tcPr>
                  <w:tcW w:w="1685" w:type="dxa"/>
                  <w:shd w:val="clear" w:color="auto" w:fill="auto"/>
                  <w:noWrap/>
                  <w:hideMark/>
                </w:tcPr>
                <w:p w14:paraId="77312840"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-281.3</w:t>
                  </w:r>
                </w:p>
              </w:tc>
              <w:tc>
                <w:tcPr>
                  <w:tcW w:w="1495" w:type="dxa"/>
                  <w:shd w:val="clear" w:color="auto" w:fill="auto"/>
                  <w:hideMark/>
                </w:tcPr>
                <w:p w14:paraId="33E206CD"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-421.6</w:t>
                  </w:r>
                </w:p>
              </w:tc>
            </w:tr>
            <w:tr w:rsidR="00C34A4E" w:rsidRPr="00A83C94" w14:paraId="24B93133" w14:textId="77777777" w:rsidTr="00733935">
              <w:trPr>
                <w:trHeight w:val="384"/>
              </w:trPr>
              <w:tc>
                <w:tcPr>
                  <w:tcW w:w="2279" w:type="dxa"/>
                  <w:vMerge/>
                  <w:vAlign w:val="center"/>
                  <w:hideMark/>
                </w:tcPr>
                <w:p w14:paraId="06AB8CAB" w14:textId="77777777" w:rsidR="00C34A4E" w:rsidRPr="00A83C94" w:rsidRDefault="00C34A4E" w:rsidP="00733935">
                  <w:pPr>
                    <w:spacing w:before="0"/>
                    <w:rPr>
                      <w:rFonts w:cs="Calibri"/>
                      <w:b w:val="0"/>
                      <w:bCs/>
                      <w:color w:val="000000"/>
                      <w:sz w:val="18"/>
                      <w:szCs w:val="18"/>
                    </w:rPr>
                  </w:pPr>
                </w:p>
              </w:tc>
              <w:tc>
                <w:tcPr>
                  <w:tcW w:w="2374" w:type="dxa"/>
                  <w:shd w:val="clear" w:color="auto" w:fill="auto"/>
                  <w:vAlign w:val="center"/>
                </w:tcPr>
                <w:p w14:paraId="7E4039EF" w14:textId="77777777" w:rsidR="00C34A4E" w:rsidRPr="00A83C94" w:rsidRDefault="00C34A4E" w:rsidP="00733935">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1</w:t>
                  </w:r>
                  <w:r w:rsidRPr="00A83C94">
                    <w:rPr>
                      <w:rFonts w:cs="Calibri"/>
                      <w:b w:val="0"/>
                      <w:i/>
                      <w:iCs/>
                      <w:color w:val="000000"/>
                      <w:sz w:val="18"/>
                      <w:szCs w:val="18"/>
                    </w:rPr>
                    <w:t xml:space="preserve"> Պետական բյուջե</w:t>
                  </w:r>
                </w:p>
              </w:tc>
              <w:tc>
                <w:tcPr>
                  <w:tcW w:w="1527" w:type="dxa"/>
                </w:tcPr>
                <w:p w14:paraId="00FB8BE8"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-731.7</w:t>
                  </w:r>
                </w:p>
              </w:tc>
              <w:tc>
                <w:tcPr>
                  <w:tcW w:w="1685" w:type="dxa"/>
                  <w:shd w:val="clear" w:color="auto" w:fill="auto"/>
                  <w:noWrap/>
                </w:tcPr>
                <w:p w14:paraId="4D330418"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-772.3</w:t>
                  </w:r>
                </w:p>
              </w:tc>
              <w:tc>
                <w:tcPr>
                  <w:tcW w:w="1495" w:type="dxa"/>
                  <w:shd w:val="clear" w:color="auto" w:fill="auto"/>
                  <w:vAlign w:val="center"/>
                </w:tcPr>
                <w:p w14:paraId="3930EB21"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w:t>
                  </w:r>
                </w:p>
              </w:tc>
            </w:tr>
            <w:tr w:rsidR="00C34A4E" w:rsidRPr="00A83C94" w14:paraId="4954E48F" w14:textId="77777777" w:rsidTr="00733935">
              <w:trPr>
                <w:trHeight w:val="384"/>
              </w:trPr>
              <w:tc>
                <w:tcPr>
                  <w:tcW w:w="2279" w:type="dxa"/>
                  <w:vMerge w:val="restart"/>
                  <w:shd w:val="clear" w:color="auto" w:fill="auto"/>
                  <w:vAlign w:val="center"/>
                  <w:hideMark/>
                </w:tcPr>
                <w:p w14:paraId="6FA12DB1" w14:textId="77777777" w:rsidR="00C34A4E" w:rsidRPr="00A83C94" w:rsidRDefault="00C34A4E" w:rsidP="00733935">
                  <w:pPr>
                    <w:spacing w:before="0"/>
                    <w:ind w:firstLine="0"/>
                    <w:rPr>
                      <w:rFonts w:cs="Calibri"/>
                      <w:b w:val="0"/>
                      <w:bCs/>
                      <w:color w:val="000000"/>
                      <w:sz w:val="18"/>
                      <w:szCs w:val="18"/>
                    </w:rPr>
                  </w:pPr>
                  <w:r w:rsidRPr="00A83C94">
                    <w:rPr>
                      <w:rFonts w:cs="Calibri"/>
                      <w:bCs/>
                      <w:color w:val="000000"/>
                      <w:sz w:val="18"/>
                      <w:szCs w:val="18"/>
                    </w:rPr>
                    <w:t>Ընթացիկ հաշիվ, %-ով՝ ՀՆԱ-ի նկատմամբ</w:t>
                  </w:r>
                </w:p>
              </w:tc>
              <w:tc>
                <w:tcPr>
                  <w:tcW w:w="2374" w:type="dxa"/>
                  <w:shd w:val="clear" w:color="auto" w:fill="auto"/>
                  <w:vAlign w:val="center"/>
                </w:tcPr>
                <w:p w14:paraId="1562DA09" w14:textId="77777777" w:rsidR="00C34A4E" w:rsidRPr="00A83C94" w:rsidRDefault="00C34A4E" w:rsidP="00733935">
                  <w:pPr>
                    <w:spacing w:before="0"/>
                    <w:ind w:firstLine="0"/>
                    <w:jc w:val="left"/>
                    <w:rPr>
                      <w:rFonts w:cs="Calibri"/>
                      <w:b w:val="0"/>
                      <w:i/>
                      <w:iCs/>
                      <w:color w:val="000000"/>
                      <w:sz w:val="18"/>
                      <w:szCs w:val="18"/>
                    </w:rPr>
                  </w:pPr>
                  <w:r w:rsidRPr="00A83C94">
                    <w:rPr>
                      <w:rFonts w:cs="Calibri"/>
                      <w:b w:val="0"/>
                      <w:i/>
                      <w:iCs/>
                      <w:color w:val="000000"/>
                      <w:sz w:val="18"/>
                      <w:szCs w:val="18"/>
                      <w:lang w:val="hy-AM"/>
                    </w:rPr>
                    <w:t>2022 պետկան բյուջե</w:t>
                  </w:r>
                </w:p>
              </w:tc>
              <w:tc>
                <w:tcPr>
                  <w:tcW w:w="1527" w:type="dxa"/>
                  <w:vAlign w:val="center"/>
                </w:tcPr>
                <w:p w14:paraId="0C535321"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-3.8</w:t>
                  </w:r>
                </w:p>
              </w:tc>
              <w:tc>
                <w:tcPr>
                  <w:tcW w:w="1685" w:type="dxa"/>
                  <w:shd w:val="clear" w:color="auto" w:fill="auto"/>
                  <w:noWrap/>
                  <w:vAlign w:val="center"/>
                </w:tcPr>
                <w:p w14:paraId="73A8D3E1"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-1.7</w:t>
                  </w:r>
                </w:p>
              </w:tc>
              <w:tc>
                <w:tcPr>
                  <w:tcW w:w="1495" w:type="dxa"/>
                  <w:shd w:val="clear" w:color="auto" w:fill="auto"/>
                  <w:vAlign w:val="center"/>
                </w:tcPr>
                <w:p w14:paraId="2ED5561A"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-3.0</w:t>
                  </w:r>
                </w:p>
              </w:tc>
            </w:tr>
            <w:tr w:rsidR="00C34A4E" w:rsidRPr="00A83C94" w14:paraId="7D186166" w14:textId="77777777" w:rsidTr="00733935">
              <w:trPr>
                <w:trHeight w:val="384"/>
              </w:trPr>
              <w:tc>
                <w:tcPr>
                  <w:tcW w:w="2279" w:type="dxa"/>
                  <w:vMerge/>
                  <w:vAlign w:val="center"/>
                  <w:hideMark/>
                </w:tcPr>
                <w:p w14:paraId="58D115DE" w14:textId="77777777" w:rsidR="00C34A4E" w:rsidRPr="00A83C94" w:rsidRDefault="00C34A4E" w:rsidP="00733935">
                  <w:pPr>
                    <w:spacing w:before="0"/>
                    <w:rPr>
                      <w:rFonts w:cs="Calibri"/>
                      <w:b w:val="0"/>
                      <w:bCs/>
                      <w:color w:val="000000"/>
                      <w:sz w:val="18"/>
                      <w:szCs w:val="18"/>
                    </w:rPr>
                  </w:pPr>
                </w:p>
              </w:tc>
              <w:tc>
                <w:tcPr>
                  <w:tcW w:w="2374" w:type="dxa"/>
                  <w:shd w:val="clear" w:color="auto" w:fill="auto"/>
                  <w:vAlign w:val="center"/>
                  <w:hideMark/>
                </w:tcPr>
                <w:p w14:paraId="6840D045" w14:textId="77777777" w:rsidR="00C34A4E" w:rsidRPr="00A83C94" w:rsidRDefault="00C34A4E" w:rsidP="00733935">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2</w:t>
                  </w:r>
                  <w:r w:rsidRPr="00A83C94">
                    <w:rPr>
                      <w:rFonts w:cs="Calibri"/>
                      <w:b w:val="0"/>
                      <w:i/>
                      <w:iCs/>
                      <w:color w:val="000000"/>
                      <w:sz w:val="18"/>
                      <w:szCs w:val="18"/>
                    </w:rPr>
                    <w:t>-202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p>
              </w:tc>
              <w:tc>
                <w:tcPr>
                  <w:tcW w:w="1527" w:type="dxa"/>
                  <w:vAlign w:val="center"/>
                </w:tcPr>
                <w:p w14:paraId="1982D31E"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-3.8</w:t>
                  </w:r>
                </w:p>
              </w:tc>
              <w:tc>
                <w:tcPr>
                  <w:tcW w:w="1685" w:type="dxa"/>
                  <w:shd w:val="clear" w:color="auto" w:fill="auto"/>
                  <w:noWrap/>
                  <w:vAlign w:val="center"/>
                  <w:hideMark/>
                </w:tcPr>
                <w:p w14:paraId="4AE9D687"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-2.1</w:t>
                  </w:r>
                </w:p>
              </w:tc>
              <w:tc>
                <w:tcPr>
                  <w:tcW w:w="1495" w:type="dxa"/>
                  <w:shd w:val="clear" w:color="auto" w:fill="auto"/>
                  <w:vAlign w:val="center"/>
                  <w:hideMark/>
                </w:tcPr>
                <w:p w14:paraId="07D7CE77"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-2.9</w:t>
                  </w:r>
                </w:p>
              </w:tc>
            </w:tr>
            <w:tr w:rsidR="00C34A4E" w:rsidRPr="00A83C94" w14:paraId="7C5D0C37" w14:textId="77777777" w:rsidTr="00733935">
              <w:trPr>
                <w:trHeight w:val="384"/>
              </w:trPr>
              <w:tc>
                <w:tcPr>
                  <w:tcW w:w="2279" w:type="dxa"/>
                  <w:vMerge/>
                  <w:vAlign w:val="center"/>
                  <w:hideMark/>
                </w:tcPr>
                <w:p w14:paraId="2B5D92C6" w14:textId="77777777" w:rsidR="00C34A4E" w:rsidRPr="00A83C94" w:rsidRDefault="00C34A4E" w:rsidP="00733935">
                  <w:pPr>
                    <w:spacing w:before="0"/>
                    <w:rPr>
                      <w:rFonts w:cs="Calibri"/>
                      <w:b w:val="0"/>
                      <w:bCs/>
                      <w:color w:val="000000"/>
                      <w:sz w:val="18"/>
                      <w:szCs w:val="18"/>
                    </w:rPr>
                  </w:pPr>
                </w:p>
              </w:tc>
              <w:tc>
                <w:tcPr>
                  <w:tcW w:w="2374" w:type="dxa"/>
                  <w:shd w:val="clear" w:color="auto" w:fill="auto"/>
                  <w:vAlign w:val="center"/>
                </w:tcPr>
                <w:p w14:paraId="3FD46E34" w14:textId="77777777" w:rsidR="00C34A4E" w:rsidRPr="00A83C94" w:rsidRDefault="00C34A4E" w:rsidP="00733935">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1</w:t>
                  </w:r>
                  <w:r w:rsidRPr="00A83C94">
                    <w:rPr>
                      <w:rFonts w:cs="Calibri"/>
                      <w:b w:val="0"/>
                      <w:i/>
                      <w:iCs/>
                      <w:color w:val="000000"/>
                      <w:sz w:val="18"/>
                      <w:szCs w:val="18"/>
                    </w:rPr>
                    <w:t xml:space="preserve"> Պետական բյուջե</w:t>
                  </w:r>
                </w:p>
              </w:tc>
              <w:tc>
                <w:tcPr>
                  <w:tcW w:w="1527" w:type="dxa"/>
                </w:tcPr>
                <w:p w14:paraId="5394842D" w14:textId="77777777" w:rsidR="00C34A4E" w:rsidRPr="00A83C94" w:rsidRDefault="00C34A4E" w:rsidP="00733935">
                  <w:pPr>
                    <w:spacing w:before="0"/>
                    <w:ind w:firstLine="0"/>
                    <w:jc w:val="center"/>
                    <w:rPr>
                      <w:rFonts w:cs="Calibri"/>
                      <w:b w:val="0"/>
                      <w:color w:val="000000"/>
                      <w:sz w:val="18"/>
                      <w:szCs w:val="18"/>
                      <w:lang w:val="hy-AM"/>
                    </w:rPr>
                  </w:pPr>
                  <w:r w:rsidRPr="00A83C94">
                    <w:rPr>
                      <w:rFonts w:cs="Calibri"/>
                      <w:b w:val="0"/>
                      <w:color w:val="000000"/>
                      <w:sz w:val="18"/>
                      <w:szCs w:val="18"/>
                      <w:lang w:val="hy-AM"/>
                    </w:rPr>
                    <w:t>-5.9</w:t>
                  </w:r>
                </w:p>
              </w:tc>
              <w:tc>
                <w:tcPr>
                  <w:tcW w:w="1685" w:type="dxa"/>
                  <w:shd w:val="clear" w:color="auto" w:fill="auto"/>
                  <w:noWrap/>
                </w:tcPr>
                <w:p w14:paraId="039F9089"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-6.1</w:t>
                  </w:r>
                </w:p>
              </w:tc>
              <w:tc>
                <w:tcPr>
                  <w:tcW w:w="1495" w:type="dxa"/>
                  <w:shd w:val="clear" w:color="auto" w:fill="auto"/>
                  <w:vAlign w:val="center"/>
                </w:tcPr>
                <w:p w14:paraId="1B78979C" w14:textId="77777777" w:rsidR="00C34A4E" w:rsidRPr="00A83C94" w:rsidRDefault="00C34A4E" w:rsidP="00733935">
                  <w:pPr>
                    <w:spacing w:before="0"/>
                    <w:ind w:firstLine="0"/>
                    <w:jc w:val="center"/>
                    <w:rPr>
                      <w:rFonts w:cs="Calibri"/>
                      <w:b w:val="0"/>
                      <w:color w:val="000000"/>
                      <w:sz w:val="18"/>
                      <w:szCs w:val="18"/>
                    </w:rPr>
                  </w:pPr>
                  <w:r w:rsidRPr="00A83C94">
                    <w:rPr>
                      <w:rFonts w:cs="Calibri"/>
                      <w:b w:val="0"/>
                      <w:color w:val="000000"/>
                      <w:sz w:val="18"/>
                      <w:szCs w:val="18"/>
                      <w:lang w:val="hy-AM"/>
                    </w:rPr>
                    <w:t>-</w:t>
                  </w:r>
                </w:p>
              </w:tc>
            </w:tr>
          </w:tbl>
          <w:p w14:paraId="18AAA44D" w14:textId="77777777" w:rsidR="00C34A4E" w:rsidRPr="00A83C94" w:rsidRDefault="00C34A4E" w:rsidP="00733935">
            <w:pPr>
              <w:spacing w:before="0" w:after="0" w:line="276" w:lineRule="auto"/>
              <w:rPr>
                <w:rFonts w:eastAsia="Calibri"/>
                <w:b w:val="0"/>
                <w:sz w:val="18"/>
                <w:szCs w:val="18"/>
                <w:lang w:val="hy-AM"/>
              </w:rPr>
            </w:pPr>
            <w:r w:rsidRPr="00A83C94">
              <w:rPr>
                <w:rFonts w:eastAsia="Calibri"/>
                <w:b w:val="0"/>
                <w:sz w:val="18"/>
                <w:szCs w:val="18"/>
              </w:rPr>
              <w:t xml:space="preserve">* </w:t>
            </w:r>
            <w:r w:rsidRPr="00A83C94">
              <w:rPr>
                <w:rFonts w:cs="Calibri"/>
                <w:b w:val="0"/>
                <w:i/>
                <w:iCs/>
                <w:color w:val="000000"/>
                <w:sz w:val="18"/>
                <w:szCs w:val="18"/>
              </w:rPr>
              <w:t>2022-202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r w:rsidRPr="00A83C94">
              <w:rPr>
                <w:rFonts w:cs="Calibri"/>
                <w:b w:val="0"/>
                <w:i/>
                <w:iCs/>
                <w:color w:val="000000"/>
                <w:sz w:val="18"/>
                <w:szCs w:val="18"/>
                <w:lang w:val="hy-AM"/>
              </w:rPr>
              <w:t xml:space="preserve"> և 2022 պետական բյուջեի</w:t>
            </w:r>
            <w:r w:rsidRPr="00A83C94">
              <w:rPr>
                <w:rFonts w:cs="Calibri"/>
                <w:b w:val="0"/>
                <w:i/>
                <w:iCs/>
                <w:color w:val="000000"/>
                <w:sz w:val="18"/>
                <w:szCs w:val="18"/>
              </w:rPr>
              <w:t xml:space="preserve"> </w:t>
            </w:r>
            <w:r w:rsidRPr="00A83C94">
              <w:rPr>
                <w:rFonts w:cs="Calibri"/>
                <w:b w:val="0"/>
                <w:i/>
                <w:iCs/>
                <w:color w:val="000000"/>
                <w:sz w:val="18"/>
                <w:szCs w:val="18"/>
                <w:lang w:val="hy-AM"/>
              </w:rPr>
              <w:t xml:space="preserve">համար </w:t>
            </w:r>
            <w:r w:rsidRPr="00A83C94">
              <w:rPr>
                <w:rFonts w:cs="Calibri"/>
                <w:b w:val="0"/>
                <w:i/>
                <w:iCs/>
                <w:color w:val="000000"/>
                <w:sz w:val="18"/>
                <w:szCs w:val="18"/>
              </w:rPr>
              <w:t>2020</w:t>
            </w:r>
            <w:r w:rsidRPr="00A83C94">
              <w:rPr>
                <w:rFonts w:cs="Calibri"/>
                <w:b w:val="0"/>
                <w:i/>
                <w:iCs/>
                <w:color w:val="000000"/>
                <w:sz w:val="18"/>
                <w:szCs w:val="18"/>
                <w:lang w:val="hy-AM"/>
              </w:rPr>
              <w:t xml:space="preserve">թ. ցուցանիշները փաստացի են </w:t>
            </w:r>
            <w:r w:rsidRPr="00A83C94">
              <w:rPr>
                <w:rFonts w:eastAsia="Calibri"/>
                <w:b w:val="0"/>
                <w:lang w:val="hy-AM"/>
              </w:rPr>
              <w:t xml:space="preserve">  </w:t>
            </w:r>
          </w:p>
          <w:p w14:paraId="656DDD6F" w14:textId="77777777" w:rsidR="00C34A4E" w:rsidRPr="00A83C94" w:rsidRDefault="00C34A4E" w:rsidP="00733935">
            <w:pPr>
              <w:tabs>
                <w:tab w:val="left" w:pos="0"/>
                <w:tab w:val="num" w:pos="720"/>
              </w:tabs>
              <w:spacing w:before="0" w:after="0" w:line="276" w:lineRule="auto"/>
              <w:ind w:firstLine="399"/>
              <w:rPr>
                <w:rFonts w:eastAsia="Calibri"/>
                <w:b w:val="0"/>
                <w:i/>
                <w:sz w:val="16"/>
                <w:szCs w:val="16"/>
                <w:lang w:val="hy-AM"/>
              </w:rPr>
            </w:pPr>
            <w:r w:rsidRPr="00A83C94">
              <w:rPr>
                <w:rFonts w:eastAsia="Calibri"/>
                <w:b w:val="0"/>
                <w:i/>
                <w:sz w:val="16"/>
                <w:szCs w:val="16"/>
                <w:lang w:val="hy-AM"/>
              </w:rPr>
              <w:t>Աղբյուրը ՝ ՀՀ ՖՆ կանխատեսումներ</w:t>
            </w:r>
          </w:p>
          <w:p w14:paraId="42D4E5C2" w14:textId="77777777" w:rsidR="00C34A4E" w:rsidRPr="00A83C94" w:rsidRDefault="00C34A4E" w:rsidP="00733935">
            <w:pPr>
              <w:spacing w:before="0" w:after="0" w:line="276" w:lineRule="auto"/>
              <w:rPr>
                <w:rFonts w:eastAsia="Calibri"/>
                <w:b w:val="0"/>
                <w:sz w:val="18"/>
                <w:szCs w:val="18"/>
                <w:lang w:val="hy-AM"/>
              </w:rPr>
            </w:pPr>
          </w:p>
          <w:p w14:paraId="7C7F15AB" w14:textId="77777777" w:rsidR="00C34A4E" w:rsidRPr="00A83C94" w:rsidRDefault="00C34A4E" w:rsidP="00733935">
            <w:pPr>
              <w:spacing w:before="0" w:after="0" w:line="276" w:lineRule="auto"/>
              <w:ind w:hanging="824"/>
              <w:rPr>
                <w:rFonts w:eastAsia="GHEA Grapalat" w:cs="GHEA Grapalat"/>
                <w:lang w:val="hy-AM"/>
              </w:rPr>
            </w:pPr>
          </w:p>
        </w:tc>
      </w:tr>
    </w:tbl>
    <w:p w14:paraId="72A82D9F" w14:textId="77777777" w:rsidR="00C34A4E" w:rsidRPr="00A83C94" w:rsidRDefault="00C34A4E" w:rsidP="00C34A4E">
      <w:pPr>
        <w:spacing w:before="0"/>
        <w:rPr>
          <w:lang w:val="hy-AM"/>
        </w:rPr>
      </w:pPr>
    </w:p>
    <w:p w14:paraId="38EB2180" w14:textId="77777777" w:rsidR="00C34A4E" w:rsidRPr="00A83C94" w:rsidRDefault="00C34A4E" w:rsidP="00C34A4E">
      <w:pPr>
        <w:spacing w:before="0" w:line="259" w:lineRule="auto"/>
        <w:rPr>
          <w:b w:val="0"/>
          <w:bCs/>
          <w:color w:val="1F497D"/>
          <w:sz w:val="28"/>
          <w:szCs w:val="28"/>
        </w:rPr>
      </w:pPr>
    </w:p>
    <w:p w14:paraId="2F710557" w14:textId="77777777" w:rsidR="00C34A4E" w:rsidRPr="00A83C94" w:rsidRDefault="00C34A4E" w:rsidP="00C34A4E">
      <w:pPr>
        <w:spacing w:before="0" w:line="259" w:lineRule="auto"/>
        <w:rPr>
          <w:b w:val="0"/>
          <w:bCs/>
          <w:color w:val="1F497D"/>
          <w:sz w:val="28"/>
          <w:szCs w:val="28"/>
        </w:rPr>
      </w:pPr>
    </w:p>
    <w:p w14:paraId="1DE6AC48" w14:textId="77777777" w:rsidR="00C34A4E" w:rsidRPr="00A83C94" w:rsidRDefault="00C34A4E" w:rsidP="00C34A4E">
      <w:pPr>
        <w:spacing w:before="0" w:line="259" w:lineRule="auto"/>
        <w:rPr>
          <w:b w:val="0"/>
          <w:bCs/>
          <w:color w:val="1F497D"/>
          <w:sz w:val="28"/>
          <w:szCs w:val="28"/>
        </w:rPr>
      </w:pPr>
    </w:p>
    <w:p w14:paraId="356BF92F" w14:textId="77777777" w:rsidR="00C34A4E" w:rsidRPr="00A83C94" w:rsidRDefault="00C34A4E" w:rsidP="00C34A4E">
      <w:pPr>
        <w:spacing w:before="0" w:line="259" w:lineRule="auto"/>
        <w:rPr>
          <w:b w:val="0"/>
          <w:bCs/>
          <w:color w:val="1F497D"/>
          <w:sz w:val="28"/>
          <w:szCs w:val="28"/>
        </w:rPr>
      </w:pPr>
    </w:p>
    <w:p w14:paraId="0A434E4E" w14:textId="77777777" w:rsidR="00C34A4E" w:rsidRPr="00A83C94" w:rsidRDefault="00C34A4E" w:rsidP="00C34A4E">
      <w:pPr>
        <w:keepNext/>
        <w:keepLines/>
        <w:spacing w:before="0" w:line="276" w:lineRule="auto"/>
        <w:outlineLvl w:val="2"/>
        <w:rPr>
          <w:b w:val="0"/>
          <w:bCs/>
          <w:color w:val="1F497D"/>
          <w:sz w:val="28"/>
          <w:szCs w:val="28"/>
        </w:rPr>
      </w:pPr>
      <w:r w:rsidRPr="00A83C94">
        <w:rPr>
          <w:bCs/>
          <w:color w:val="1F497D"/>
          <w:sz w:val="28"/>
          <w:szCs w:val="28"/>
        </w:rPr>
        <w:br w:type="page"/>
      </w:r>
    </w:p>
    <w:p w14:paraId="531FABB9" w14:textId="77777777" w:rsidR="00C34A4E" w:rsidRPr="00A83C94" w:rsidRDefault="00C34A4E" w:rsidP="00C34A4E">
      <w:pPr>
        <w:keepNext/>
        <w:tabs>
          <w:tab w:val="left" w:pos="567"/>
        </w:tabs>
        <w:spacing w:before="0" w:line="276" w:lineRule="auto"/>
        <w:ind w:firstLine="426"/>
        <w:outlineLvl w:val="0"/>
        <w:rPr>
          <w:sz w:val="28"/>
          <w:szCs w:val="20"/>
          <w:lang w:val="hy-AM"/>
        </w:rPr>
      </w:pPr>
      <w:bookmarkStart w:id="146" w:name="_Toc57655452"/>
      <w:bookmarkStart w:id="147" w:name="_Toc83199220"/>
      <w:bookmarkStart w:id="148" w:name="_Toc83996346"/>
      <w:bookmarkEnd w:id="106"/>
      <w:r w:rsidRPr="00A83C94">
        <w:rPr>
          <w:sz w:val="28"/>
          <w:szCs w:val="20"/>
          <w:lang w:val="hy-AM"/>
        </w:rPr>
        <w:t>ՄԱՍ I-Գ</w:t>
      </w:r>
      <w:bookmarkStart w:id="149" w:name="_Toc46154350"/>
      <w:r w:rsidRPr="00A83C94">
        <w:rPr>
          <w:rFonts w:ascii="Cambria Math" w:hAnsi="Cambria Math"/>
          <w:sz w:val="28"/>
          <w:szCs w:val="20"/>
          <w:lang w:val="hy-AM"/>
        </w:rPr>
        <w:t>.</w:t>
      </w:r>
      <w:r w:rsidRPr="00A83C94">
        <w:rPr>
          <w:sz w:val="28"/>
          <w:szCs w:val="20"/>
          <w:lang w:val="hy-AM"/>
        </w:rPr>
        <w:t xml:space="preserve"> ՀԱՐԿԱԲՅՈՒՋԵՏԱՅԻՆ ՔԱՂԱՔԱԿԱՆՈՒԹՅԱՆ ՀԻՄՆԱԿԱՆ ՈՒՂՂՈՒԹՅՈՒՆՆԵՐԸ ԵՎ ԿԱՆԽԱՏԵՍՈՒՄՆԵՐԸ</w:t>
      </w:r>
      <w:bookmarkEnd w:id="146"/>
      <w:bookmarkEnd w:id="147"/>
      <w:bookmarkEnd w:id="149"/>
      <w:bookmarkEnd w:id="148"/>
    </w:p>
    <w:p w14:paraId="010BCA8D" w14:textId="77777777" w:rsidR="00C34A4E" w:rsidRPr="00A83C94" w:rsidRDefault="00C34A4E" w:rsidP="00C34A4E">
      <w:pPr>
        <w:keepNext/>
        <w:tabs>
          <w:tab w:val="left" w:pos="567"/>
        </w:tabs>
        <w:spacing w:before="0" w:line="276" w:lineRule="auto"/>
        <w:ind w:firstLine="426"/>
        <w:outlineLvl w:val="0"/>
        <w:rPr>
          <w:sz w:val="28"/>
          <w:szCs w:val="20"/>
          <w:lang w:val="hy-AM"/>
        </w:rPr>
      </w:pPr>
    </w:p>
    <w:p w14:paraId="3C663DBE" w14:textId="77777777" w:rsidR="00C34A4E" w:rsidRPr="00A83C94" w:rsidRDefault="00C34A4E" w:rsidP="00C34A4E">
      <w:pPr>
        <w:keepNext/>
        <w:keepLines/>
        <w:spacing w:before="0" w:line="312" w:lineRule="auto"/>
        <w:ind w:firstLine="0"/>
        <w:outlineLvl w:val="2"/>
        <w:rPr>
          <w:sz w:val="24"/>
          <w:lang w:val="hy-AM" w:eastAsia="en-US"/>
        </w:rPr>
      </w:pPr>
      <w:bookmarkStart w:id="150" w:name="_Toc46154351"/>
      <w:bookmarkStart w:id="151" w:name="_Toc57655453"/>
      <w:bookmarkStart w:id="152" w:name="_Toc83199221"/>
      <w:bookmarkStart w:id="153" w:name="_Toc83996347"/>
      <w:r w:rsidRPr="00A83C94">
        <w:rPr>
          <w:sz w:val="24"/>
          <w:lang w:val="hy-AM" w:eastAsia="en-US"/>
        </w:rPr>
        <w:t xml:space="preserve">2.1. </w:t>
      </w:r>
      <w:bookmarkStart w:id="154" w:name="_Toc45838522"/>
      <w:r w:rsidRPr="00A83C94">
        <w:rPr>
          <w:sz w:val="24"/>
          <w:lang w:val="hy-AM" w:eastAsia="en-US"/>
        </w:rPr>
        <w:t>ՀԱՐԿԱԲՅՈՒՋԵՏԱՅԻՆ ԸՆԴՀԱՆՈՒՐ ԱԿՆԱՐԿ ԵՎ ՀԱՐԿԱԲՅՈՒՋԵՏԱՅԻՆ ՇՐՋԱՆԱԿ</w:t>
      </w:r>
      <w:bookmarkEnd w:id="150"/>
      <w:bookmarkEnd w:id="151"/>
      <w:bookmarkEnd w:id="152"/>
      <w:bookmarkEnd w:id="154"/>
      <w:bookmarkEnd w:id="153"/>
    </w:p>
    <w:p w14:paraId="395B768B" w14:textId="77777777" w:rsidR="00C34A4E" w:rsidRPr="00A83C94" w:rsidRDefault="00C34A4E" w:rsidP="00C34A4E">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2020 թվականի ընթացքում տեղի ունեցած և իրենց բնույթով աննախադեպ բացասական ցնցումներ պարունակող զարգացումների (կորոնավիրուսի համավարակ և Արցախյան պատերազմ) արդյունքում տեղի ունեցած տնտեսական անկման պայմաններում կառավարությունն իրականացրել է հակապարբերաշրջանային հարկաբյուջետային քաղաքականություն, ինչի արդյունքում արձանագրվել է պետական բյուջեի ծախսերի զգալի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ինչը հանգեցրել է պետական բյուջեի պակասուրդի և կառավարության պարտքի աճին։</w:t>
      </w:r>
    </w:p>
    <w:p w14:paraId="04DF939B" w14:textId="77777777" w:rsidR="00C34A4E" w:rsidRPr="00A83C94" w:rsidRDefault="00C34A4E" w:rsidP="00C34A4E">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COVID-19 համավարակի հետևանքներով առաջացած իրավիճակը և Արցախյան պատերազմը հարկաբյուջետային կանոններով սահմանված կարգով համարվել են «բացառիկ դեպքեր», որի հիման վրա 2020 թվականին կիրառել է պարտքի և ծախսերի բնականոն իրավիճակի համար գործող կանոններից տարբերվող մոտեցումներ։ Հաշվի առնելով 2020թ. տեղի ունեցեած բացասական երևույթնեի երկարատև ազդեցությունները՝ «բացառիկ դեպքի» կարգավորումները շարունակվել են նաև 2021 թվականին:</w:t>
      </w:r>
    </w:p>
    <w:p w14:paraId="102E645F" w14:textId="77777777" w:rsidR="00C34A4E" w:rsidRPr="00A83C94" w:rsidRDefault="00C34A4E" w:rsidP="00C34A4E">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2021 թվականին տնտեսության վերականգնման պայմաններում հարկաբյուջետային քաղաքականության նպատակն է ապահովել հարկաբյուջետային կայունությունը՝ միաժամանակ աջակցելով տնտեսական վերականգնմանը և պայմաններ ստեղծելով ՀՀ կառավարության պարտքի նվազման համար։ Այդ նպատակով, 2021թ. սկզբում հարկաբյուջետային քաղաքականության ազդեցությունն ամբողջական պահանջարկի վրա եղել է խթանող, ինչն աստիճանաբար կթուլանա՝ տարեկան կտրվածքով դառնալով զսպող:</w:t>
      </w:r>
    </w:p>
    <w:p w14:paraId="5ECD59CA" w14:textId="77777777" w:rsidR="00C34A4E" w:rsidRPr="00A83C94" w:rsidRDefault="00C34A4E" w:rsidP="00C34A4E">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Կառավարությունը 2021 թվականին շարունակում է իրականացնել հակաճգնաժամային միջոցառումներ ուղղված ինչպես կորոնավիրուսի, այնպես էլ Արցախյան պատերազմի բացասական հետևանքների մեղմմանը:</w:t>
      </w:r>
    </w:p>
    <w:p w14:paraId="06FA8CF4" w14:textId="1250338F" w:rsidR="00C34A4E" w:rsidRPr="00A83C94" w:rsidRDefault="00C34A4E" w:rsidP="00C34A4E">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2022թ. հարկաբյուջետային քաղաքականությունը ՀՀ կառավարության 2021-2026թթ. ծրագրին համահունչ ուղղված կլինի տնտեսական աճի խթանմանը՝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 2022-2026 թվականների ՀՀ կառավարության պարտքի բեռի նվազեցման ծրագրի նպատակադրումների համահունչ, 2022թ</w:t>
      </w:r>
      <w:r w:rsidRPr="00A83C94">
        <w:rPr>
          <w:rFonts w:ascii="Cambria Math" w:hAnsi="Cambria Math" w:cs="Cambria Math"/>
          <w:b w:val="0"/>
          <w:szCs w:val="22"/>
          <w:lang w:val="hy-AM" w:eastAsia="en-US"/>
        </w:rPr>
        <w:t>․</w:t>
      </w:r>
      <w:r w:rsidRPr="00A83C94">
        <w:rPr>
          <w:rFonts w:cs="Arial"/>
          <w:b w:val="0"/>
          <w:szCs w:val="22"/>
          <w:lang w:val="hy-AM" w:eastAsia="en-US"/>
        </w:rPr>
        <w:t>-</w:t>
      </w:r>
      <w:r w:rsidRPr="00A83C94">
        <w:rPr>
          <w:rFonts w:cs="GHEA Grapalat"/>
          <w:b w:val="0"/>
          <w:szCs w:val="22"/>
          <w:lang w:val="hy-AM" w:eastAsia="en-US"/>
        </w:rPr>
        <w:t>ին</w:t>
      </w:r>
      <w:r w:rsidRPr="00A83C94">
        <w:rPr>
          <w:rFonts w:cs="Arial"/>
          <w:b w:val="0"/>
          <w:szCs w:val="22"/>
          <w:lang w:val="hy-AM" w:eastAsia="en-US"/>
        </w:rPr>
        <w:t xml:space="preserve"> </w:t>
      </w:r>
      <w:r w:rsidRPr="00A83C94">
        <w:rPr>
          <w:rFonts w:cs="GHEA Grapalat"/>
          <w:b w:val="0"/>
          <w:szCs w:val="22"/>
          <w:lang w:val="hy-AM" w:eastAsia="en-US"/>
        </w:rPr>
        <w:t>կ</w:t>
      </w:r>
      <w:r w:rsidRPr="00A83C94">
        <w:rPr>
          <w:rFonts w:cs="Arial"/>
          <w:b w:val="0"/>
          <w:szCs w:val="22"/>
          <w:lang w:val="hy-AM" w:eastAsia="en-US"/>
        </w:rPr>
        <w:t>շարունակվի սահուն հարկաբյուջետային կոնսոլիդացիան՝ պետական բյուջեի պակասուրդ/ՀՆԱ և կառավարության պարտք/ՀՆԱ ցուցանիշների նվազմամբ, հիմքեր ստեղծելով  մինչև 2026 թվականը 60% սահմանային շեմից ցածր կառավարության պարտք/ՀՆԱ ցուցանիշի ապահովման համար և ստեղծելով «հարկաբյուջետային տարածք» հնարավոր շոկերին արձագանքելու նպատակով:</w:t>
      </w:r>
    </w:p>
    <w:p w14:paraId="54FE15B3" w14:textId="77777777" w:rsidR="00C34A4E" w:rsidRPr="00A83C94" w:rsidRDefault="00C34A4E" w:rsidP="00C34A4E">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2022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Վերջիններիս արդյունքում ակնկալվում է ապահովել հարկեր/ՀՆԱ հարաբերակցության շուրջ 0.9 տոկոսային կետով բարելավում:</w:t>
      </w:r>
    </w:p>
    <w:p w14:paraId="3293628C" w14:textId="77777777" w:rsidR="00C34A4E" w:rsidRPr="00A83C94" w:rsidRDefault="00C34A4E" w:rsidP="00C34A4E">
      <w:pPr>
        <w:numPr>
          <w:ilvl w:val="0"/>
          <w:numId w:val="37"/>
        </w:numPr>
        <w:spacing w:before="0" w:after="240" w:line="276" w:lineRule="auto"/>
        <w:ind w:left="567" w:hanging="283"/>
        <w:contextualSpacing w:val="0"/>
        <w:rPr>
          <w:b w:val="0"/>
          <w:szCs w:val="22"/>
          <w:lang w:val="hy-AM" w:eastAsia="en-US"/>
        </w:rPr>
      </w:pPr>
      <w:r w:rsidRPr="00A83C94">
        <w:rPr>
          <w:b w:val="0"/>
          <w:szCs w:val="22"/>
          <w:lang w:val="hy-AM" w:eastAsia="en-US"/>
        </w:rPr>
        <w:t>Տնտեսական աճի բարձր տեմպի ապահովման ռիսկերի առարկայացման, ինչպես նաև հարկային վարչարարության կամ օրենսդրական բարեփոխումների սպասվածից ավելի փոքր արդյունքի պարագայում, կառաջանան պետական բյուջեի հարկային եկամուտների՝ կանխատեսված մակարդակից դեպի ներքև շեղման ռիսկեր, ինչի պայմաններում անհրաժեշտ կլինի նաև համապատասխան չափով նվազեցնել պետական բյուջեի ընթացիկ ծախսերը՝ հարկաբյուջետային կանոններին համապատասխանությունն ապահովելու նպատակով:</w:t>
      </w:r>
    </w:p>
    <w:p w14:paraId="5B386BA0" w14:textId="2AAE199C" w:rsidR="00C34A4E" w:rsidRPr="00A83C94" w:rsidRDefault="00C34A4E" w:rsidP="00C34A4E">
      <w:pPr>
        <w:spacing w:before="0" w:line="276" w:lineRule="auto"/>
        <w:ind w:firstLine="0"/>
        <w:contextualSpacing w:val="0"/>
        <w:rPr>
          <w:rFonts w:eastAsia="Calibri" w:cs="Arial"/>
          <w:b w:val="0"/>
          <w:bCs/>
          <w:i/>
          <w:iCs/>
          <w:sz w:val="20"/>
          <w:szCs w:val="20"/>
          <w:lang w:val="hy-AM" w:eastAsia="en-US"/>
        </w:rPr>
      </w:pPr>
      <w:r w:rsidRPr="00A83C94">
        <w:rPr>
          <w:rFonts w:eastAsia="Calibri" w:cs="Arial"/>
          <w:i/>
          <w:iCs/>
          <w:sz w:val="20"/>
          <w:szCs w:val="20"/>
          <w:lang w:val="hy-AM" w:eastAsia="en-US"/>
        </w:rPr>
        <w:t xml:space="preserve">Աղյուսակ 2.1. </w:t>
      </w:r>
      <w:r w:rsidRPr="00A83C94">
        <w:rPr>
          <w:rFonts w:eastAsia="Calibri" w:cs="Arial"/>
          <w:b w:val="0"/>
          <w:bCs/>
          <w:i/>
          <w:iCs/>
          <w:sz w:val="20"/>
          <w:szCs w:val="20"/>
          <w:lang w:val="hy-AM" w:eastAsia="en-US"/>
        </w:rPr>
        <w:t>202</w:t>
      </w:r>
      <w:r w:rsidR="00E011D0" w:rsidRPr="00872014">
        <w:rPr>
          <w:rFonts w:eastAsia="Calibri" w:cs="Arial"/>
          <w:b w:val="0"/>
          <w:bCs/>
          <w:i/>
          <w:iCs/>
          <w:sz w:val="20"/>
          <w:szCs w:val="20"/>
          <w:lang w:val="hy-AM" w:eastAsia="en-US"/>
        </w:rPr>
        <w:t>2</w:t>
      </w:r>
      <w:r w:rsidRPr="00A83C94">
        <w:rPr>
          <w:rFonts w:eastAsia="Calibri" w:cs="Arial"/>
          <w:b w:val="0"/>
          <w:bCs/>
          <w:i/>
          <w:iCs/>
          <w:sz w:val="20"/>
          <w:szCs w:val="20"/>
          <w:lang w:val="hy-AM" w:eastAsia="en-US"/>
        </w:rPr>
        <w:t>թ. պետական բյուջեի հարկաբյուջետային շրջանակ</w:t>
      </w:r>
    </w:p>
    <w:tbl>
      <w:tblPr>
        <w:tblW w:w="8596" w:type="dxa"/>
        <w:jc w:val="center"/>
        <w:tblLook w:val="04A0" w:firstRow="1" w:lastRow="0" w:firstColumn="1" w:lastColumn="0" w:noHBand="0" w:noVBand="1"/>
      </w:tblPr>
      <w:tblGrid>
        <w:gridCol w:w="3140"/>
        <w:gridCol w:w="1080"/>
        <w:gridCol w:w="1080"/>
        <w:gridCol w:w="1080"/>
        <w:gridCol w:w="1108"/>
        <w:gridCol w:w="1108"/>
      </w:tblGrid>
      <w:tr w:rsidR="00C34A4E" w:rsidRPr="00A83C94" w14:paraId="3EB7CD3E" w14:textId="77777777" w:rsidTr="00733935">
        <w:trPr>
          <w:trHeight w:val="300"/>
          <w:jc w:val="center"/>
        </w:trPr>
        <w:tc>
          <w:tcPr>
            <w:tcW w:w="3140" w:type="dxa"/>
            <w:tcBorders>
              <w:top w:val="single" w:sz="8" w:space="0" w:color="4472C4"/>
              <w:left w:val="single" w:sz="8" w:space="0" w:color="4472C4"/>
              <w:bottom w:val="single" w:sz="12" w:space="0" w:color="4472C4"/>
              <w:right w:val="nil"/>
            </w:tcBorders>
            <w:shd w:val="clear" w:color="000000" w:fill="8EA9DB"/>
            <w:noWrap/>
            <w:vAlign w:val="center"/>
            <w:hideMark/>
          </w:tcPr>
          <w:p w14:paraId="1E85C001"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ascii="Calibri" w:hAnsi="Calibri" w:cs="Calibri"/>
                <w:bCs/>
                <w:color w:val="FFFFFF"/>
                <w:sz w:val="20"/>
                <w:szCs w:val="20"/>
                <w:lang w:val="hy-AM" w:eastAsia="en-US"/>
              </w:rPr>
              <w:t> </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0C23A8E7"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2018</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4F1364C8"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2019</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360E35B5"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2020</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noWrap/>
            <w:vAlign w:val="center"/>
            <w:hideMark/>
          </w:tcPr>
          <w:p w14:paraId="5A2F2D8E"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2021</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tcPr>
          <w:p w14:paraId="5EF38164"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2022</w:t>
            </w:r>
          </w:p>
        </w:tc>
      </w:tr>
      <w:tr w:rsidR="00C34A4E" w:rsidRPr="00A83C94" w14:paraId="723D5B40" w14:textId="77777777" w:rsidTr="00733935">
        <w:trPr>
          <w:trHeight w:val="249"/>
          <w:jc w:val="center"/>
        </w:trPr>
        <w:tc>
          <w:tcPr>
            <w:tcW w:w="3140" w:type="dxa"/>
            <w:tcBorders>
              <w:top w:val="nil"/>
              <w:left w:val="single" w:sz="8" w:space="0" w:color="4472C4"/>
              <w:bottom w:val="single" w:sz="8" w:space="0" w:color="5B9BD5"/>
              <w:right w:val="nil"/>
            </w:tcBorders>
            <w:shd w:val="clear" w:color="000000" w:fill="8EA9DB"/>
            <w:noWrap/>
            <w:vAlign w:val="center"/>
            <w:hideMark/>
          </w:tcPr>
          <w:p w14:paraId="2C499D4A"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մլրդ դրամ</w:t>
            </w:r>
          </w:p>
        </w:tc>
        <w:tc>
          <w:tcPr>
            <w:tcW w:w="3240" w:type="dxa"/>
            <w:gridSpan w:val="3"/>
            <w:tcBorders>
              <w:top w:val="single" w:sz="12" w:space="0" w:color="4472C4"/>
              <w:left w:val="single" w:sz="8" w:space="0" w:color="4472C4"/>
              <w:bottom w:val="single" w:sz="8" w:space="0" w:color="5B9BD5"/>
              <w:right w:val="single" w:sz="8" w:space="0" w:color="4472C4"/>
            </w:tcBorders>
            <w:shd w:val="clear" w:color="000000" w:fill="8EA9DB"/>
            <w:noWrap/>
            <w:vAlign w:val="center"/>
            <w:hideMark/>
          </w:tcPr>
          <w:p w14:paraId="1F23EA97"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Փաստացի</w:t>
            </w:r>
          </w:p>
        </w:tc>
        <w:tc>
          <w:tcPr>
            <w:tcW w:w="1108" w:type="dxa"/>
            <w:tcBorders>
              <w:top w:val="nil"/>
              <w:left w:val="nil"/>
              <w:bottom w:val="single" w:sz="8" w:space="0" w:color="5B9BD5"/>
              <w:right w:val="nil"/>
            </w:tcBorders>
            <w:shd w:val="clear" w:color="000000" w:fill="8EA9DB"/>
            <w:vAlign w:val="center"/>
            <w:hideMark/>
          </w:tcPr>
          <w:p w14:paraId="3FEB5A01"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 xml:space="preserve">Սպասում </w:t>
            </w:r>
          </w:p>
        </w:tc>
        <w:tc>
          <w:tcPr>
            <w:tcW w:w="1108" w:type="dxa"/>
            <w:tcBorders>
              <w:top w:val="nil"/>
              <w:left w:val="single" w:sz="8" w:space="0" w:color="4472C4"/>
              <w:bottom w:val="single" w:sz="8" w:space="0" w:color="5B9BD5"/>
              <w:right w:val="single" w:sz="8" w:space="0" w:color="4472C4"/>
            </w:tcBorders>
            <w:shd w:val="clear" w:color="000000" w:fill="8EA9DB"/>
            <w:vAlign w:val="center"/>
          </w:tcPr>
          <w:p w14:paraId="42E8A637" w14:textId="77777777" w:rsidR="00C34A4E" w:rsidRPr="00A83C94" w:rsidRDefault="00C34A4E" w:rsidP="00733935">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Բյուջե</w:t>
            </w:r>
          </w:p>
        </w:tc>
      </w:tr>
      <w:tr w:rsidR="00C34A4E" w:rsidRPr="00A83C94" w14:paraId="156FC446" w14:textId="77777777" w:rsidTr="00733935">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14:paraId="36E2AD32" w14:textId="77777777" w:rsidR="00C34A4E" w:rsidRPr="00A83C94" w:rsidRDefault="00C34A4E" w:rsidP="00733935">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311B3640"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1341.7</w:t>
            </w:r>
          </w:p>
        </w:tc>
        <w:tc>
          <w:tcPr>
            <w:tcW w:w="1080" w:type="dxa"/>
            <w:tcBorders>
              <w:top w:val="nil"/>
              <w:left w:val="single" w:sz="8" w:space="0" w:color="4472C4"/>
              <w:bottom w:val="single" w:sz="8" w:space="0" w:color="5B9BD5"/>
              <w:right w:val="nil"/>
            </w:tcBorders>
            <w:shd w:val="clear" w:color="000000" w:fill="FFFFFF"/>
            <w:noWrap/>
            <w:vAlign w:val="center"/>
            <w:hideMark/>
          </w:tcPr>
          <w:p w14:paraId="7BFCFBFB"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1565.5</w:t>
            </w:r>
          </w:p>
        </w:tc>
        <w:tc>
          <w:tcPr>
            <w:tcW w:w="1080" w:type="dxa"/>
            <w:tcBorders>
              <w:top w:val="nil"/>
              <w:left w:val="single" w:sz="8" w:space="0" w:color="4472C4"/>
              <w:bottom w:val="single" w:sz="8" w:space="0" w:color="5B9BD5"/>
              <w:right w:val="nil"/>
            </w:tcBorders>
            <w:shd w:val="clear" w:color="000000" w:fill="FFFFFF"/>
            <w:noWrap/>
            <w:vAlign w:val="center"/>
          </w:tcPr>
          <w:p w14:paraId="335BB802"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1,560.7</w:t>
            </w:r>
          </w:p>
        </w:tc>
        <w:tc>
          <w:tcPr>
            <w:tcW w:w="1108" w:type="dxa"/>
            <w:tcBorders>
              <w:top w:val="nil"/>
              <w:left w:val="single" w:sz="8" w:space="0" w:color="4472C4"/>
              <w:bottom w:val="single" w:sz="8" w:space="0" w:color="5B9BD5"/>
              <w:right w:val="nil"/>
            </w:tcBorders>
            <w:shd w:val="clear" w:color="000000" w:fill="DEEAF6"/>
            <w:noWrap/>
            <w:vAlign w:val="center"/>
          </w:tcPr>
          <w:p w14:paraId="60AEE6E3"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1,656.9</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30DC7B37" w14:textId="77777777" w:rsidR="00C34A4E" w:rsidRPr="00A83C94" w:rsidRDefault="00C34A4E" w:rsidP="00733935">
            <w:pPr>
              <w:spacing w:before="0" w:line="240" w:lineRule="auto"/>
              <w:ind w:firstLine="0"/>
              <w:contextualSpacing w:val="0"/>
              <w:jc w:val="right"/>
              <w:rPr>
                <w:color w:val="000000"/>
                <w:sz w:val="20"/>
                <w:lang w:val="hy-AM"/>
              </w:rPr>
            </w:pPr>
            <w:r w:rsidRPr="00A83C94">
              <w:rPr>
                <w:color w:val="000000"/>
                <w:sz w:val="20"/>
                <w:lang w:val="en-US"/>
              </w:rPr>
              <w:t>1,946.</w:t>
            </w:r>
            <w:r w:rsidRPr="00A83C94">
              <w:rPr>
                <w:color w:val="000000"/>
                <w:sz w:val="20"/>
                <w:lang w:val="hy-AM"/>
              </w:rPr>
              <w:t>2</w:t>
            </w:r>
          </w:p>
        </w:tc>
      </w:tr>
      <w:tr w:rsidR="00C34A4E" w:rsidRPr="00A83C94" w14:paraId="374E7AD2" w14:textId="77777777" w:rsidTr="0073393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7BC97C5B" w14:textId="77777777" w:rsidR="00C34A4E" w:rsidRPr="00A83C94" w:rsidRDefault="00C34A4E" w:rsidP="00733935">
            <w:pPr>
              <w:spacing w:before="0" w:line="240" w:lineRule="auto"/>
              <w:ind w:left="308" w:firstLine="0"/>
              <w:contextualSpacing w:val="0"/>
              <w:jc w:val="left"/>
              <w:rPr>
                <w:rFonts w:cs="Arial"/>
                <w:color w:val="000000"/>
                <w:sz w:val="20"/>
                <w:szCs w:val="20"/>
                <w:lang w:val="hy-AM" w:eastAsia="en-US"/>
              </w:rPr>
            </w:pPr>
            <w:r w:rsidRPr="00A83C94">
              <w:rPr>
                <w:rFonts w:cs="Arial"/>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7BB4A179"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1258.1</w:t>
            </w:r>
          </w:p>
        </w:tc>
        <w:tc>
          <w:tcPr>
            <w:tcW w:w="1080" w:type="dxa"/>
            <w:tcBorders>
              <w:top w:val="nil"/>
              <w:left w:val="single" w:sz="8" w:space="0" w:color="4472C4"/>
              <w:bottom w:val="single" w:sz="8" w:space="0" w:color="5B9BD5"/>
              <w:right w:val="nil"/>
            </w:tcBorders>
            <w:shd w:val="clear" w:color="000000" w:fill="FFFFFF"/>
            <w:noWrap/>
            <w:vAlign w:val="center"/>
            <w:hideMark/>
          </w:tcPr>
          <w:p w14:paraId="5BA386E2"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1464.3</w:t>
            </w:r>
          </w:p>
        </w:tc>
        <w:tc>
          <w:tcPr>
            <w:tcW w:w="1080" w:type="dxa"/>
            <w:tcBorders>
              <w:top w:val="nil"/>
              <w:left w:val="single" w:sz="8" w:space="0" w:color="4472C4"/>
              <w:bottom w:val="single" w:sz="8" w:space="0" w:color="5B9BD5"/>
              <w:right w:val="nil"/>
            </w:tcBorders>
            <w:shd w:val="clear" w:color="000000" w:fill="FFFFFF"/>
            <w:noWrap/>
            <w:vAlign w:val="center"/>
          </w:tcPr>
          <w:p w14:paraId="2B7A638B"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1,385.2</w:t>
            </w:r>
          </w:p>
        </w:tc>
        <w:tc>
          <w:tcPr>
            <w:tcW w:w="1108" w:type="dxa"/>
            <w:tcBorders>
              <w:top w:val="nil"/>
              <w:left w:val="single" w:sz="8" w:space="0" w:color="4472C4"/>
              <w:bottom w:val="single" w:sz="8" w:space="0" w:color="5B9BD5"/>
              <w:right w:val="nil"/>
            </w:tcBorders>
            <w:shd w:val="clear" w:color="000000" w:fill="DEEAF6"/>
            <w:noWrap/>
            <w:vAlign w:val="center"/>
          </w:tcPr>
          <w:p w14:paraId="1149A45D"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1,581.0</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51334798"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1,843.8</w:t>
            </w:r>
          </w:p>
        </w:tc>
      </w:tr>
      <w:tr w:rsidR="00C34A4E" w:rsidRPr="00A83C94" w14:paraId="39DA7795" w14:textId="77777777" w:rsidTr="0073393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58CA93A5" w14:textId="77777777" w:rsidR="00C34A4E" w:rsidRPr="00A83C94" w:rsidRDefault="00C34A4E" w:rsidP="00733935">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6E8EF41C"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1447.1</w:t>
            </w:r>
          </w:p>
        </w:tc>
        <w:tc>
          <w:tcPr>
            <w:tcW w:w="1080" w:type="dxa"/>
            <w:tcBorders>
              <w:top w:val="nil"/>
              <w:left w:val="single" w:sz="8" w:space="0" w:color="4472C4"/>
              <w:bottom w:val="single" w:sz="8" w:space="0" w:color="5B9BD5"/>
              <w:right w:val="nil"/>
            </w:tcBorders>
            <w:shd w:val="clear" w:color="000000" w:fill="FFFFFF"/>
            <w:noWrap/>
            <w:vAlign w:val="center"/>
            <w:hideMark/>
          </w:tcPr>
          <w:p w14:paraId="7D37C7D6"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1629.4</w:t>
            </w:r>
          </w:p>
        </w:tc>
        <w:tc>
          <w:tcPr>
            <w:tcW w:w="1080" w:type="dxa"/>
            <w:tcBorders>
              <w:top w:val="nil"/>
              <w:left w:val="single" w:sz="8" w:space="0" w:color="4472C4"/>
              <w:bottom w:val="single" w:sz="8" w:space="0" w:color="5B9BD5"/>
              <w:right w:val="nil"/>
            </w:tcBorders>
            <w:shd w:val="clear" w:color="000000" w:fill="FFFFFF"/>
            <w:noWrap/>
            <w:vAlign w:val="center"/>
          </w:tcPr>
          <w:p w14:paraId="5FFA4BB6"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1,894.6</w:t>
            </w:r>
          </w:p>
        </w:tc>
        <w:tc>
          <w:tcPr>
            <w:tcW w:w="1108" w:type="dxa"/>
            <w:tcBorders>
              <w:top w:val="nil"/>
              <w:left w:val="single" w:sz="8" w:space="0" w:color="4472C4"/>
              <w:bottom w:val="single" w:sz="8" w:space="0" w:color="5B9BD5"/>
              <w:right w:val="nil"/>
            </w:tcBorders>
            <w:shd w:val="clear" w:color="000000" w:fill="DEEAF6"/>
            <w:noWrap/>
            <w:vAlign w:val="center"/>
          </w:tcPr>
          <w:p w14:paraId="20375F68"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1,986.0</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0753EDE7" w14:textId="77777777" w:rsidR="00C34A4E" w:rsidRPr="00D51F9A" w:rsidRDefault="00C34A4E" w:rsidP="00733935">
            <w:pPr>
              <w:spacing w:before="0" w:line="240" w:lineRule="auto"/>
              <w:ind w:firstLine="0"/>
              <w:contextualSpacing w:val="0"/>
              <w:jc w:val="right"/>
              <w:rPr>
                <w:color w:val="000000"/>
                <w:sz w:val="20"/>
                <w:lang w:val="hy-AM"/>
              </w:rPr>
            </w:pPr>
            <w:r w:rsidRPr="00E5336E">
              <w:rPr>
                <w:color w:val="000000"/>
                <w:sz w:val="20"/>
                <w:lang w:val="en-US"/>
              </w:rPr>
              <w:t>2,18</w:t>
            </w:r>
            <w:r>
              <w:rPr>
                <w:color w:val="000000"/>
                <w:sz w:val="20"/>
                <w:lang w:val="hy-AM"/>
              </w:rPr>
              <w:t>9</w:t>
            </w:r>
            <w:r w:rsidRPr="00E5336E">
              <w:rPr>
                <w:color w:val="000000"/>
                <w:sz w:val="20"/>
                <w:lang w:val="en-US"/>
              </w:rPr>
              <w:t>.</w:t>
            </w:r>
            <w:r>
              <w:rPr>
                <w:color w:val="000000"/>
                <w:sz w:val="20"/>
                <w:lang w:val="hy-AM"/>
              </w:rPr>
              <w:t>2</w:t>
            </w:r>
          </w:p>
        </w:tc>
      </w:tr>
      <w:tr w:rsidR="00C34A4E" w:rsidRPr="00A83C94" w14:paraId="79F6F527" w14:textId="77777777" w:rsidTr="0073393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0D2A5F9B" w14:textId="77777777" w:rsidR="00C34A4E" w:rsidRPr="00A83C94" w:rsidRDefault="00C34A4E" w:rsidP="00733935">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2DA273EF"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1299</w:t>
            </w:r>
          </w:p>
        </w:tc>
        <w:tc>
          <w:tcPr>
            <w:tcW w:w="1080" w:type="dxa"/>
            <w:tcBorders>
              <w:top w:val="nil"/>
              <w:left w:val="single" w:sz="8" w:space="0" w:color="4472C4"/>
              <w:bottom w:val="single" w:sz="8" w:space="0" w:color="5B9BD5"/>
              <w:right w:val="nil"/>
            </w:tcBorders>
            <w:shd w:val="clear" w:color="000000" w:fill="FFFFFF"/>
            <w:noWrap/>
            <w:vAlign w:val="center"/>
            <w:hideMark/>
          </w:tcPr>
          <w:p w14:paraId="4C465B42"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1437.1</w:t>
            </w:r>
          </w:p>
        </w:tc>
        <w:tc>
          <w:tcPr>
            <w:tcW w:w="1080" w:type="dxa"/>
            <w:tcBorders>
              <w:top w:val="nil"/>
              <w:left w:val="single" w:sz="8" w:space="0" w:color="4472C4"/>
              <w:bottom w:val="single" w:sz="8" w:space="0" w:color="5B9BD5"/>
              <w:right w:val="nil"/>
            </w:tcBorders>
            <w:shd w:val="clear" w:color="000000" w:fill="FFFFFF"/>
            <w:noWrap/>
            <w:vAlign w:val="center"/>
          </w:tcPr>
          <w:p w14:paraId="4227DF19"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1,668.5</w:t>
            </w:r>
          </w:p>
        </w:tc>
        <w:tc>
          <w:tcPr>
            <w:tcW w:w="1108" w:type="dxa"/>
            <w:tcBorders>
              <w:top w:val="nil"/>
              <w:left w:val="single" w:sz="8" w:space="0" w:color="4472C4"/>
              <w:bottom w:val="single" w:sz="8" w:space="0" w:color="5B9BD5"/>
              <w:right w:val="nil"/>
            </w:tcBorders>
            <w:shd w:val="clear" w:color="000000" w:fill="DEEAF6"/>
            <w:noWrap/>
            <w:vAlign w:val="center"/>
          </w:tcPr>
          <w:p w14:paraId="0EA6A00C" w14:textId="77777777" w:rsidR="00C34A4E" w:rsidRPr="00A83C94" w:rsidRDefault="00C34A4E" w:rsidP="00733935">
            <w:pPr>
              <w:spacing w:before="0" w:line="240" w:lineRule="auto"/>
              <w:ind w:firstLine="0"/>
              <w:contextualSpacing w:val="0"/>
              <w:jc w:val="right"/>
              <w:rPr>
                <w:b w:val="0"/>
                <w:color w:val="000000"/>
                <w:sz w:val="20"/>
                <w:lang w:val="en-US"/>
              </w:rPr>
            </w:pPr>
            <w:r w:rsidRPr="00A83C94">
              <w:rPr>
                <w:b w:val="0"/>
                <w:color w:val="000000"/>
                <w:sz w:val="20"/>
                <w:lang w:val="en-US"/>
              </w:rPr>
              <w:t>1,762.2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2956974C" w14:textId="77777777" w:rsidR="00C34A4E" w:rsidRPr="00D51F9A" w:rsidRDefault="00C34A4E" w:rsidP="00733935">
            <w:pPr>
              <w:spacing w:before="0" w:line="240" w:lineRule="auto"/>
              <w:ind w:firstLine="0"/>
              <w:contextualSpacing w:val="0"/>
              <w:jc w:val="right"/>
              <w:rPr>
                <w:b w:val="0"/>
                <w:color w:val="000000"/>
                <w:sz w:val="20"/>
                <w:lang w:val="hy-AM"/>
              </w:rPr>
            </w:pPr>
            <w:r w:rsidRPr="00E5336E">
              <w:rPr>
                <w:b w:val="0"/>
                <w:color w:val="000000"/>
                <w:sz w:val="20"/>
                <w:lang w:val="en-US"/>
              </w:rPr>
              <w:t>1,84</w:t>
            </w:r>
            <w:r>
              <w:rPr>
                <w:b w:val="0"/>
                <w:color w:val="000000"/>
                <w:sz w:val="20"/>
                <w:lang w:val="hy-AM"/>
              </w:rPr>
              <w:t>2</w:t>
            </w:r>
            <w:r w:rsidRPr="00E5336E">
              <w:rPr>
                <w:b w:val="0"/>
                <w:color w:val="000000"/>
                <w:sz w:val="20"/>
                <w:lang w:val="en-US"/>
              </w:rPr>
              <w:t>.</w:t>
            </w:r>
            <w:r>
              <w:rPr>
                <w:b w:val="0"/>
                <w:color w:val="000000"/>
                <w:sz w:val="20"/>
                <w:lang w:val="hy-AM"/>
              </w:rPr>
              <w:t>7</w:t>
            </w:r>
          </w:p>
        </w:tc>
      </w:tr>
      <w:tr w:rsidR="00C34A4E" w:rsidRPr="00A83C94" w14:paraId="6ECFC7F6" w14:textId="77777777" w:rsidTr="0073393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1227E25D" w14:textId="77777777" w:rsidR="00C34A4E" w:rsidRPr="00A83C94" w:rsidRDefault="00C34A4E" w:rsidP="00733935">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1F23D3BE"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148.1</w:t>
            </w:r>
          </w:p>
        </w:tc>
        <w:tc>
          <w:tcPr>
            <w:tcW w:w="1080" w:type="dxa"/>
            <w:tcBorders>
              <w:top w:val="nil"/>
              <w:left w:val="single" w:sz="8" w:space="0" w:color="4472C4"/>
              <w:bottom w:val="single" w:sz="8" w:space="0" w:color="5B9BD5"/>
              <w:right w:val="nil"/>
            </w:tcBorders>
            <w:shd w:val="clear" w:color="000000" w:fill="FFFFFF"/>
            <w:noWrap/>
            <w:vAlign w:val="center"/>
            <w:hideMark/>
          </w:tcPr>
          <w:p w14:paraId="3C7EDE37"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192.3</w:t>
            </w:r>
          </w:p>
        </w:tc>
        <w:tc>
          <w:tcPr>
            <w:tcW w:w="1080" w:type="dxa"/>
            <w:tcBorders>
              <w:top w:val="nil"/>
              <w:left w:val="single" w:sz="8" w:space="0" w:color="4472C4"/>
              <w:bottom w:val="single" w:sz="8" w:space="0" w:color="5B9BD5"/>
              <w:right w:val="nil"/>
            </w:tcBorders>
            <w:shd w:val="clear" w:color="000000" w:fill="FFFFFF"/>
            <w:noWrap/>
            <w:vAlign w:val="center"/>
          </w:tcPr>
          <w:p w14:paraId="6A1FB4AD"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226.2</w:t>
            </w:r>
          </w:p>
        </w:tc>
        <w:tc>
          <w:tcPr>
            <w:tcW w:w="1108" w:type="dxa"/>
            <w:tcBorders>
              <w:top w:val="nil"/>
              <w:left w:val="single" w:sz="8" w:space="0" w:color="4472C4"/>
              <w:bottom w:val="single" w:sz="8" w:space="0" w:color="5B9BD5"/>
              <w:right w:val="nil"/>
            </w:tcBorders>
            <w:shd w:val="clear" w:color="000000" w:fill="DEEAF6"/>
            <w:noWrap/>
            <w:vAlign w:val="center"/>
          </w:tcPr>
          <w:p w14:paraId="5D6342BD" w14:textId="77777777" w:rsidR="00C34A4E" w:rsidRPr="00A83C94" w:rsidRDefault="00C34A4E" w:rsidP="00733935">
            <w:pPr>
              <w:spacing w:before="0" w:line="240" w:lineRule="auto"/>
              <w:ind w:firstLine="0"/>
              <w:contextualSpacing w:val="0"/>
              <w:jc w:val="right"/>
              <w:rPr>
                <w:b w:val="0"/>
                <w:color w:val="000000"/>
                <w:sz w:val="20"/>
                <w:lang w:val="en-US"/>
              </w:rPr>
            </w:pPr>
            <w:r w:rsidRPr="00A83C94">
              <w:rPr>
                <w:b w:val="0"/>
                <w:color w:val="000000"/>
                <w:sz w:val="20"/>
                <w:lang w:val="en-US"/>
              </w:rPr>
              <w:t>223.8</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44042A19" w14:textId="77777777" w:rsidR="00C34A4E" w:rsidRPr="00A83C94" w:rsidRDefault="00C34A4E" w:rsidP="00733935">
            <w:pPr>
              <w:spacing w:before="0" w:line="240" w:lineRule="auto"/>
              <w:ind w:firstLine="0"/>
              <w:contextualSpacing w:val="0"/>
              <w:jc w:val="right"/>
              <w:rPr>
                <w:b w:val="0"/>
                <w:color w:val="000000"/>
                <w:sz w:val="20"/>
                <w:lang w:val="en-US"/>
              </w:rPr>
            </w:pPr>
            <w:r w:rsidRPr="00E5336E">
              <w:rPr>
                <w:b w:val="0"/>
                <w:color w:val="000000"/>
                <w:sz w:val="20"/>
                <w:lang w:val="hy-AM"/>
              </w:rPr>
              <w:t>346.5</w:t>
            </w:r>
          </w:p>
        </w:tc>
      </w:tr>
      <w:tr w:rsidR="00C34A4E" w:rsidRPr="00A83C94" w14:paraId="71745420" w14:textId="77777777" w:rsidTr="00733935">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14:paraId="34372220" w14:textId="77777777" w:rsidR="00C34A4E" w:rsidRPr="00A83C94" w:rsidRDefault="00C34A4E" w:rsidP="00733935">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Պետական բյուջեի դեֆիցիտ (-) / պրոֆիցիտ (+)</w:t>
            </w:r>
          </w:p>
        </w:tc>
        <w:tc>
          <w:tcPr>
            <w:tcW w:w="1080" w:type="dxa"/>
            <w:tcBorders>
              <w:top w:val="nil"/>
              <w:left w:val="single" w:sz="8" w:space="0" w:color="4472C4"/>
              <w:bottom w:val="single" w:sz="8" w:space="0" w:color="5B9BD5"/>
              <w:right w:val="nil"/>
            </w:tcBorders>
            <w:shd w:val="clear" w:color="000000" w:fill="FFFFFF"/>
            <w:noWrap/>
            <w:vAlign w:val="center"/>
            <w:hideMark/>
          </w:tcPr>
          <w:p w14:paraId="422505E8"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-105.4</w:t>
            </w:r>
          </w:p>
        </w:tc>
        <w:tc>
          <w:tcPr>
            <w:tcW w:w="1080" w:type="dxa"/>
            <w:tcBorders>
              <w:top w:val="nil"/>
              <w:left w:val="single" w:sz="8" w:space="0" w:color="4472C4"/>
              <w:bottom w:val="single" w:sz="8" w:space="0" w:color="5B9BD5"/>
              <w:right w:val="nil"/>
            </w:tcBorders>
            <w:shd w:val="clear" w:color="000000" w:fill="FFFFFF"/>
            <w:noWrap/>
            <w:vAlign w:val="center"/>
            <w:hideMark/>
          </w:tcPr>
          <w:p w14:paraId="21607EC8" w14:textId="77777777" w:rsidR="00C34A4E" w:rsidRPr="00A83C94" w:rsidRDefault="00C34A4E" w:rsidP="00733935">
            <w:pPr>
              <w:spacing w:before="0" w:line="240" w:lineRule="auto"/>
              <w:ind w:firstLine="0"/>
              <w:contextualSpacing w:val="0"/>
              <w:jc w:val="right"/>
              <w:rPr>
                <w:rFonts w:cs="Arial"/>
                <w:b w:val="0"/>
                <w:bCs/>
                <w:color w:val="000000"/>
                <w:sz w:val="20"/>
                <w:szCs w:val="20"/>
                <w:lang w:val="en-US" w:eastAsia="en-US"/>
              </w:rPr>
            </w:pPr>
            <w:r w:rsidRPr="00A83C94">
              <w:rPr>
                <w:rFonts w:cs="Arial"/>
                <w:b w:val="0"/>
                <w:bCs/>
                <w:color w:val="000000"/>
                <w:sz w:val="20"/>
                <w:szCs w:val="20"/>
                <w:lang w:val="hy-AM"/>
              </w:rPr>
              <w:t>-64.0</w:t>
            </w:r>
          </w:p>
        </w:tc>
        <w:tc>
          <w:tcPr>
            <w:tcW w:w="1080" w:type="dxa"/>
            <w:tcBorders>
              <w:top w:val="nil"/>
              <w:left w:val="single" w:sz="8" w:space="0" w:color="4472C4"/>
              <w:bottom w:val="single" w:sz="8" w:space="0" w:color="5B9BD5"/>
              <w:right w:val="nil"/>
            </w:tcBorders>
            <w:shd w:val="clear" w:color="000000" w:fill="FFFFFF"/>
            <w:noWrap/>
            <w:vAlign w:val="center"/>
          </w:tcPr>
          <w:p w14:paraId="0DEC8EE8"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-334.0</w:t>
            </w:r>
          </w:p>
        </w:tc>
        <w:tc>
          <w:tcPr>
            <w:tcW w:w="1108" w:type="dxa"/>
            <w:tcBorders>
              <w:top w:val="nil"/>
              <w:left w:val="single" w:sz="8" w:space="0" w:color="4472C4"/>
              <w:bottom w:val="single" w:sz="8" w:space="0" w:color="5B9BD5"/>
              <w:right w:val="nil"/>
            </w:tcBorders>
            <w:shd w:val="clear" w:color="000000" w:fill="DEEAF6"/>
            <w:noWrap/>
            <w:vAlign w:val="center"/>
          </w:tcPr>
          <w:p w14:paraId="4733225D" w14:textId="77777777" w:rsidR="00C34A4E" w:rsidRPr="00A83C94" w:rsidRDefault="00C34A4E" w:rsidP="00733935">
            <w:pPr>
              <w:spacing w:before="0" w:line="240" w:lineRule="auto"/>
              <w:ind w:firstLine="0"/>
              <w:contextualSpacing w:val="0"/>
              <w:jc w:val="right"/>
              <w:rPr>
                <w:b w:val="0"/>
                <w:color w:val="000000"/>
                <w:sz w:val="20"/>
                <w:lang w:val="en-US"/>
              </w:rPr>
            </w:pPr>
            <w:r w:rsidRPr="00A83C94">
              <w:rPr>
                <w:b w:val="0"/>
                <w:color w:val="000000"/>
                <w:sz w:val="20"/>
                <w:lang w:val="en-US"/>
              </w:rPr>
              <w:t>-329.1</w:t>
            </w:r>
          </w:p>
        </w:tc>
        <w:tc>
          <w:tcPr>
            <w:tcW w:w="1108" w:type="dxa"/>
            <w:tcBorders>
              <w:top w:val="nil"/>
              <w:left w:val="single" w:sz="8" w:space="0" w:color="4472C4"/>
              <w:bottom w:val="single" w:sz="4" w:space="0" w:color="4472C4"/>
              <w:right w:val="single" w:sz="8" w:space="0" w:color="4472C4"/>
            </w:tcBorders>
            <w:shd w:val="clear" w:color="000000" w:fill="DEEAF6"/>
            <w:vAlign w:val="center"/>
          </w:tcPr>
          <w:p w14:paraId="0FBA1996" w14:textId="77777777" w:rsidR="00C34A4E" w:rsidRPr="00D51F9A" w:rsidRDefault="00C34A4E" w:rsidP="00733935">
            <w:pPr>
              <w:spacing w:before="0" w:line="240" w:lineRule="auto"/>
              <w:ind w:firstLine="0"/>
              <w:contextualSpacing w:val="0"/>
              <w:jc w:val="right"/>
              <w:rPr>
                <w:b w:val="0"/>
                <w:color w:val="000000"/>
                <w:sz w:val="20"/>
                <w:lang w:val="hy-AM"/>
              </w:rPr>
            </w:pPr>
            <w:r w:rsidRPr="00E5336E">
              <w:rPr>
                <w:b w:val="0"/>
                <w:color w:val="000000"/>
                <w:sz w:val="20"/>
                <w:lang w:val="en-US"/>
              </w:rPr>
              <w:t>-24</w:t>
            </w:r>
            <w:r>
              <w:rPr>
                <w:b w:val="0"/>
                <w:color w:val="000000"/>
                <w:sz w:val="20"/>
                <w:lang w:val="hy-AM"/>
              </w:rPr>
              <w:t>3</w:t>
            </w:r>
            <w:r w:rsidRPr="00E5336E">
              <w:rPr>
                <w:b w:val="0"/>
                <w:color w:val="000000"/>
                <w:sz w:val="20"/>
                <w:lang w:val="en-US"/>
              </w:rPr>
              <w:t>.</w:t>
            </w:r>
            <w:r>
              <w:rPr>
                <w:b w:val="0"/>
                <w:color w:val="000000"/>
                <w:sz w:val="20"/>
                <w:lang w:val="hy-AM"/>
              </w:rPr>
              <w:t>0</w:t>
            </w:r>
          </w:p>
        </w:tc>
      </w:tr>
      <w:tr w:rsidR="00C34A4E" w:rsidRPr="00A83C94" w14:paraId="2A90260C" w14:textId="77777777" w:rsidTr="0073393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16CC3827" w14:textId="77777777" w:rsidR="00C34A4E" w:rsidRPr="00A83C94" w:rsidRDefault="00C34A4E" w:rsidP="00733935">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5B9BD5"/>
              <w:right w:val="nil"/>
            </w:tcBorders>
            <w:shd w:val="clear" w:color="000000" w:fill="FFFFFF"/>
            <w:noWrap/>
            <w:vAlign w:val="center"/>
            <w:hideMark/>
          </w:tcPr>
          <w:p w14:paraId="3392F2A1"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3082.9</w:t>
            </w:r>
          </w:p>
        </w:tc>
        <w:tc>
          <w:tcPr>
            <w:tcW w:w="1080" w:type="dxa"/>
            <w:tcBorders>
              <w:top w:val="nil"/>
              <w:left w:val="single" w:sz="8" w:space="0" w:color="4472C4"/>
              <w:bottom w:val="single" w:sz="8" w:space="0" w:color="5B9BD5"/>
              <w:right w:val="nil"/>
            </w:tcBorders>
            <w:shd w:val="clear" w:color="000000" w:fill="FFFFFF"/>
            <w:noWrap/>
            <w:vAlign w:val="center"/>
            <w:hideMark/>
          </w:tcPr>
          <w:p w14:paraId="2772E8C0"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3277.3</w:t>
            </w:r>
          </w:p>
        </w:tc>
        <w:tc>
          <w:tcPr>
            <w:tcW w:w="1080" w:type="dxa"/>
            <w:tcBorders>
              <w:top w:val="nil"/>
              <w:left w:val="single" w:sz="8" w:space="0" w:color="4472C4"/>
              <w:bottom w:val="single" w:sz="8" w:space="0" w:color="5B9BD5"/>
              <w:right w:val="nil"/>
            </w:tcBorders>
            <w:shd w:val="clear" w:color="000000" w:fill="FFFFFF"/>
            <w:noWrap/>
            <w:vAlign w:val="center"/>
          </w:tcPr>
          <w:p w14:paraId="7E57D48E"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3,923.9</w:t>
            </w:r>
          </w:p>
        </w:tc>
        <w:tc>
          <w:tcPr>
            <w:tcW w:w="1108" w:type="dxa"/>
            <w:tcBorders>
              <w:top w:val="nil"/>
              <w:left w:val="single" w:sz="8" w:space="0" w:color="4472C4"/>
              <w:bottom w:val="single" w:sz="8" w:space="0" w:color="5B9BD5"/>
              <w:right w:val="nil"/>
            </w:tcBorders>
            <w:shd w:val="clear" w:color="000000" w:fill="DEEAF6"/>
            <w:noWrap/>
            <w:vAlign w:val="center"/>
          </w:tcPr>
          <w:p w14:paraId="0A823E61" w14:textId="77777777" w:rsidR="00C34A4E" w:rsidRPr="00A83C94" w:rsidRDefault="00C34A4E" w:rsidP="00733935">
            <w:pPr>
              <w:spacing w:before="0" w:line="240" w:lineRule="auto"/>
              <w:ind w:firstLine="0"/>
              <w:contextualSpacing w:val="0"/>
              <w:jc w:val="right"/>
              <w:rPr>
                <w:b w:val="0"/>
                <w:color w:val="000000"/>
                <w:sz w:val="20"/>
                <w:lang w:val="en-US"/>
              </w:rPr>
            </w:pPr>
            <w:r w:rsidRPr="00A83C94">
              <w:rPr>
                <w:b w:val="0"/>
                <w:color w:val="000000"/>
                <w:sz w:val="20"/>
                <w:lang w:val="en-US"/>
              </w:rPr>
              <w:t>4,273.9</w:t>
            </w:r>
          </w:p>
        </w:tc>
        <w:tc>
          <w:tcPr>
            <w:tcW w:w="1108" w:type="dxa"/>
            <w:tcBorders>
              <w:top w:val="single" w:sz="8" w:space="0" w:color="5B9BD5"/>
              <w:left w:val="single" w:sz="8" w:space="0" w:color="4472C4"/>
              <w:bottom w:val="single" w:sz="4" w:space="0" w:color="4472C4"/>
              <w:right w:val="single" w:sz="8" w:space="0" w:color="4472C4"/>
            </w:tcBorders>
            <w:shd w:val="clear" w:color="000000" w:fill="DEEAF6"/>
            <w:vAlign w:val="center"/>
          </w:tcPr>
          <w:p w14:paraId="419FCD34" w14:textId="77777777" w:rsidR="00C34A4E" w:rsidRPr="00A83C94" w:rsidRDefault="00C34A4E" w:rsidP="00733935">
            <w:pPr>
              <w:spacing w:before="0" w:line="240" w:lineRule="auto"/>
              <w:ind w:firstLine="0"/>
              <w:contextualSpacing w:val="0"/>
              <w:jc w:val="right"/>
              <w:rPr>
                <w:b w:val="0"/>
                <w:color w:val="000000"/>
                <w:sz w:val="20"/>
                <w:lang w:val="en-US"/>
              </w:rPr>
            </w:pPr>
            <w:r w:rsidRPr="003C0DA9">
              <w:rPr>
                <w:b w:val="0"/>
                <w:color w:val="000000"/>
                <w:sz w:val="20"/>
                <w:lang w:val="en-US"/>
              </w:rPr>
              <w:t>4,740.2</w:t>
            </w:r>
          </w:p>
        </w:tc>
      </w:tr>
      <w:tr w:rsidR="00C34A4E" w:rsidRPr="00A83C94" w14:paraId="4039F065" w14:textId="77777777" w:rsidTr="00733935">
        <w:trPr>
          <w:trHeight w:val="300"/>
          <w:jc w:val="center"/>
        </w:trPr>
        <w:tc>
          <w:tcPr>
            <w:tcW w:w="4220" w:type="dxa"/>
            <w:gridSpan w:val="2"/>
            <w:tcBorders>
              <w:top w:val="single" w:sz="8" w:space="0" w:color="5B9BD5"/>
              <w:left w:val="single" w:sz="8" w:space="0" w:color="4472C4"/>
              <w:bottom w:val="single" w:sz="8" w:space="0" w:color="5B9BD5"/>
              <w:right w:val="single" w:sz="8" w:space="0" w:color="4472C4"/>
            </w:tcBorders>
            <w:shd w:val="clear" w:color="000000" w:fill="FFFFFF"/>
            <w:vAlign w:val="center"/>
            <w:hideMark/>
          </w:tcPr>
          <w:p w14:paraId="7710723F" w14:textId="77777777" w:rsidR="00C34A4E" w:rsidRPr="00A83C94" w:rsidRDefault="00C34A4E" w:rsidP="00733935">
            <w:pPr>
              <w:spacing w:before="0" w:line="240" w:lineRule="auto"/>
              <w:ind w:firstLine="0"/>
              <w:contextualSpacing w:val="0"/>
              <w:jc w:val="center"/>
              <w:rPr>
                <w:rFonts w:cs="Arial"/>
                <w:bCs/>
                <w:color w:val="000000"/>
                <w:sz w:val="20"/>
                <w:szCs w:val="20"/>
                <w:lang w:val="hy-AM" w:eastAsia="en-US"/>
              </w:rPr>
            </w:pPr>
            <w:r w:rsidRPr="00A83C94">
              <w:rPr>
                <w:rFonts w:cs="Arial"/>
                <w:bCs/>
                <w:color w:val="000000"/>
                <w:sz w:val="20"/>
                <w:szCs w:val="20"/>
                <w:lang w:val="hy-AM" w:eastAsia="en-US"/>
              </w:rPr>
              <w:t>կշիռը ՀՆԱ-ում, %</w:t>
            </w:r>
          </w:p>
        </w:tc>
        <w:tc>
          <w:tcPr>
            <w:tcW w:w="1080" w:type="dxa"/>
            <w:tcBorders>
              <w:top w:val="nil"/>
              <w:left w:val="nil"/>
              <w:bottom w:val="single" w:sz="8" w:space="0" w:color="5B9BD5"/>
              <w:right w:val="nil"/>
            </w:tcBorders>
            <w:shd w:val="clear" w:color="000000" w:fill="FFFFFF"/>
            <w:noWrap/>
            <w:vAlign w:val="center"/>
            <w:hideMark/>
          </w:tcPr>
          <w:p w14:paraId="4CFBDD90" w14:textId="77777777" w:rsidR="00C34A4E" w:rsidRPr="00A83C94" w:rsidRDefault="00C34A4E" w:rsidP="00733935">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14:paraId="756FAEC2" w14:textId="77777777" w:rsidR="00C34A4E" w:rsidRPr="00A83C94" w:rsidRDefault="00C34A4E" w:rsidP="00733935">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108" w:type="dxa"/>
            <w:tcBorders>
              <w:top w:val="nil"/>
              <w:left w:val="single" w:sz="8" w:space="0" w:color="4472C4"/>
              <w:bottom w:val="single" w:sz="8" w:space="0" w:color="5B9BD5"/>
              <w:right w:val="nil"/>
            </w:tcBorders>
            <w:shd w:val="clear" w:color="000000" w:fill="DEEAF6"/>
            <w:noWrap/>
            <w:vAlign w:val="center"/>
            <w:hideMark/>
          </w:tcPr>
          <w:p w14:paraId="58903353" w14:textId="77777777" w:rsidR="00C34A4E" w:rsidRPr="00A83C94" w:rsidRDefault="00C34A4E" w:rsidP="00733935">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108" w:type="dxa"/>
            <w:tcBorders>
              <w:top w:val="nil"/>
              <w:left w:val="single" w:sz="8" w:space="0" w:color="4472C4"/>
              <w:bottom w:val="single" w:sz="8" w:space="0" w:color="5B9BD5"/>
              <w:right w:val="single" w:sz="8" w:space="0" w:color="4472C4"/>
            </w:tcBorders>
            <w:shd w:val="clear" w:color="000000" w:fill="DEEAF6"/>
          </w:tcPr>
          <w:p w14:paraId="2F0DD1E4" w14:textId="77777777" w:rsidR="00C34A4E" w:rsidRPr="00A83C94" w:rsidRDefault="00C34A4E" w:rsidP="00733935">
            <w:pPr>
              <w:spacing w:before="0" w:line="240" w:lineRule="auto"/>
              <w:ind w:firstLine="0"/>
              <w:contextualSpacing w:val="0"/>
              <w:jc w:val="center"/>
              <w:rPr>
                <w:rFonts w:ascii="Calibri" w:hAnsi="Calibri" w:cs="Calibri"/>
                <w:b w:val="0"/>
                <w:bCs/>
                <w:color w:val="000000"/>
                <w:sz w:val="20"/>
                <w:szCs w:val="20"/>
                <w:lang w:val="hy-AM" w:eastAsia="en-US"/>
              </w:rPr>
            </w:pPr>
          </w:p>
        </w:tc>
      </w:tr>
      <w:tr w:rsidR="00C34A4E" w:rsidRPr="00A83C94" w14:paraId="3CBA60BE" w14:textId="77777777" w:rsidTr="00733935">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14:paraId="09C820FF" w14:textId="77777777" w:rsidR="00C34A4E" w:rsidRPr="00A83C94" w:rsidRDefault="00C34A4E" w:rsidP="00733935">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5DA682FE"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22.3</w:t>
            </w:r>
          </w:p>
        </w:tc>
        <w:tc>
          <w:tcPr>
            <w:tcW w:w="1080" w:type="dxa"/>
            <w:tcBorders>
              <w:top w:val="nil"/>
              <w:left w:val="single" w:sz="8" w:space="0" w:color="4472C4"/>
              <w:bottom w:val="single" w:sz="8" w:space="0" w:color="5B9BD5"/>
              <w:right w:val="nil"/>
            </w:tcBorders>
            <w:shd w:val="clear" w:color="000000" w:fill="FFFFFF"/>
            <w:noWrap/>
            <w:vAlign w:val="center"/>
            <w:hideMark/>
          </w:tcPr>
          <w:p w14:paraId="57FC387E"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23.9</w:t>
            </w:r>
          </w:p>
        </w:tc>
        <w:tc>
          <w:tcPr>
            <w:tcW w:w="1080" w:type="dxa"/>
            <w:tcBorders>
              <w:top w:val="nil"/>
              <w:left w:val="single" w:sz="8" w:space="0" w:color="4472C4"/>
              <w:bottom w:val="single" w:sz="8" w:space="0" w:color="5B9BD5"/>
              <w:right w:val="nil"/>
            </w:tcBorders>
            <w:shd w:val="clear" w:color="000000" w:fill="FFFFFF"/>
            <w:noWrap/>
            <w:vAlign w:val="center"/>
          </w:tcPr>
          <w:p w14:paraId="02101B09"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25.2</w:t>
            </w:r>
          </w:p>
        </w:tc>
        <w:tc>
          <w:tcPr>
            <w:tcW w:w="1108" w:type="dxa"/>
            <w:tcBorders>
              <w:top w:val="nil"/>
              <w:left w:val="single" w:sz="8" w:space="0" w:color="4472C4"/>
              <w:bottom w:val="single" w:sz="8" w:space="0" w:color="5B9BD5"/>
              <w:right w:val="nil"/>
            </w:tcBorders>
            <w:shd w:val="clear" w:color="000000" w:fill="DEEAF6"/>
            <w:noWrap/>
            <w:vAlign w:val="center"/>
          </w:tcPr>
          <w:p w14:paraId="3EE9D2E7"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23.6</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2B4CCF53"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24.7</w:t>
            </w:r>
          </w:p>
        </w:tc>
      </w:tr>
      <w:tr w:rsidR="00C34A4E" w:rsidRPr="00A83C94" w14:paraId="04B9283C" w14:textId="77777777" w:rsidTr="0073393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551E3EB3" w14:textId="77777777" w:rsidR="00C34A4E" w:rsidRPr="00A83C94" w:rsidRDefault="00C34A4E" w:rsidP="00733935">
            <w:pPr>
              <w:spacing w:before="0" w:line="240" w:lineRule="auto"/>
              <w:ind w:left="308" w:firstLine="0"/>
              <w:contextualSpacing w:val="0"/>
              <w:jc w:val="left"/>
              <w:rPr>
                <w:rFonts w:cs="Arial"/>
                <w:color w:val="000000"/>
                <w:sz w:val="20"/>
                <w:szCs w:val="20"/>
                <w:lang w:val="hy-AM" w:eastAsia="en-US"/>
              </w:rPr>
            </w:pPr>
            <w:r w:rsidRPr="00A83C94">
              <w:rPr>
                <w:rFonts w:cs="Arial"/>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04584587"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20.9</w:t>
            </w:r>
          </w:p>
        </w:tc>
        <w:tc>
          <w:tcPr>
            <w:tcW w:w="1080" w:type="dxa"/>
            <w:tcBorders>
              <w:top w:val="nil"/>
              <w:left w:val="single" w:sz="8" w:space="0" w:color="4472C4"/>
              <w:bottom w:val="single" w:sz="8" w:space="0" w:color="5B9BD5"/>
              <w:right w:val="nil"/>
            </w:tcBorders>
            <w:shd w:val="clear" w:color="000000" w:fill="FFFFFF"/>
            <w:noWrap/>
            <w:vAlign w:val="center"/>
            <w:hideMark/>
          </w:tcPr>
          <w:p w14:paraId="4970001E"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22.4</w:t>
            </w:r>
          </w:p>
        </w:tc>
        <w:tc>
          <w:tcPr>
            <w:tcW w:w="1080" w:type="dxa"/>
            <w:tcBorders>
              <w:top w:val="nil"/>
              <w:left w:val="single" w:sz="8" w:space="0" w:color="4472C4"/>
              <w:bottom w:val="single" w:sz="8" w:space="0" w:color="5B9BD5"/>
              <w:right w:val="nil"/>
            </w:tcBorders>
            <w:shd w:val="clear" w:color="000000" w:fill="FFFFFF"/>
            <w:noWrap/>
            <w:vAlign w:val="center"/>
          </w:tcPr>
          <w:p w14:paraId="68C161F4"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22.4</w:t>
            </w:r>
          </w:p>
        </w:tc>
        <w:tc>
          <w:tcPr>
            <w:tcW w:w="1108" w:type="dxa"/>
            <w:tcBorders>
              <w:top w:val="nil"/>
              <w:left w:val="single" w:sz="8" w:space="0" w:color="4472C4"/>
              <w:bottom w:val="single" w:sz="8" w:space="0" w:color="5B9BD5"/>
              <w:right w:val="nil"/>
            </w:tcBorders>
            <w:shd w:val="clear" w:color="000000" w:fill="DEEAF6"/>
            <w:noWrap/>
            <w:vAlign w:val="center"/>
          </w:tcPr>
          <w:p w14:paraId="5DD7AC6C"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22.5</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35FEA2D2"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23.4</w:t>
            </w:r>
          </w:p>
        </w:tc>
      </w:tr>
      <w:tr w:rsidR="00C34A4E" w:rsidRPr="00A83C94" w14:paraId="7C0FDB1C" w14:textId="77777777" w:rsidTr="0073393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4E494662" w14:textId="77777777" w:rsidR="00C34A4E" w:rsidRPr="00A83C94" w:rsidRDefault="00C34A4E" w:rsidP="00733935">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6C1E0D78"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24.0</w:t>
            </w:r>
          </w:p>
        </w:tc>
        <w:tc>
          <w:tcPr>
            <w:tcW w:w="1080" w:type="dxa"/>
            <w:tcBorders>
              <w:top w:val="nil"/>
              <w:left w:val="single" w:sz="8" w:space="0" w:color="4472C4"/>
              <w:bottom w:val="single" w:sz="8" w:space="0" w:color="5B9BD5"/>
              <w:right w:val="nil"/>
            </w:tcBorders>
            <w:shd w:val="clear" w:color="000000" w:fill="FFFFFF"/>
            <w:noWrap/>
            <w:vAlign w:val="center"/>
            <w:hideMark/>
          </w:tcPr>
          <w:p w14:paraId="57F795B3"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24.9</w:t>
            </w:r>
          </w:p>
        </w:tc>
        <w:tc>
          <w:tcPr>
            <w:tcW w:w="1080" w:type="dxa"/>
            <w:tcBorders>
              <w:top w:val="nil"/>
              <w:left w:val="single" w:sz="8" w:space="0" w:color="4472C4"/>
              <w:bottom w:val="single" w:sz="8" w:space="0" w:color="5B9BD5"/>
              <w:right w:val="nil"/>
            </w:tcBorders>
            <w:shd w:val="clear" w:color="000000" w:fill="FFFFFF"/>
            <w:noWrap/>
            <w:vAlign w:val="center"/>
          </w:tcPr>
          <w:p w14:paraId="5036DD73"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30.6</w:t>
            </w:r>
          </w:p>
        </w:tc>
        <w:tc>
          <w:tcPr>
            <w:tcW w:w="1108" w:type="dxa"/>
            <w:tcBorders>
              <w:top w:val="nil"/>
              <w:left w:val="single" w:sz="8" w:space="0" w:color="4472C4"/>
              <w:bottom w:val="single" w:sz="8" w:space="0" w:color="5B9BD5"/>
              <w:right w:val="nil"/>
            </w:tcBorders>
            <w:shd w:val="clear" w:color="000000" w:fill="DEEAF6"/>
            <w:noWrap/>
            <w:vAlign w:val="center"/>
          </w:tcPr>
          <w:p w14:paraId="63DA746B"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28.2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4EB11F70" w14:textId="77777777" w:rsidR="00C34A4E" w:rsidRPr="00A83C94" w:rsidRDefault="00C34A4E" w:rsidP="00733935">
            <w:pPr>
              <w:spacing w:before="0" w:line="240" w:lineRule="auto"/>
              <w:ind w:firstLine="0"/>
              <w:contextualSpacing w:val="0"/>
              <w:jc w:val="right"/>
              <w:rPr>
                <w:color w:val="000000"/>
                <w:sz w:val="20"/>
                <w:lang w:val="en-US"/>
              </w:rPr>
            </w:pPr>
            <w:r w:rsidRPr="00E5336E">
              <w:rPr>
                <w:color w:val="000000"/>
                <w:sz w:val="20"/>
                <w:lang w:val="en-US"/>
              </w:rPr>
              <w:t>27.8</w:t>
            </w:r>
          </w:p>
        </w:tc>
      </w:tr>
      <w:tr w:rsidR="00C34A4E" w:rsidRPr="00A83C94" w14:paraId="5F0EA97B" w14:textId="77777777" w:rsidTr="0073393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0755AFB2" w14:textId="77777777" w:rsidR="00C34A4E" w:rsidRPr="00A83C94" w:rsidRDefault="00C34A4E" w:rsidP="00733935">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7D41F024"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21.6</w:t>
            </w:r>
          </w:p>
        </w:tc>
        <w:tc>
          <w:tcPr>
            <w:tcW w:w="1080" w:type="dxa"/>
            <w:tcBorders>
              <w:top w:val="nil"/>
              <w:left w:val="single" w:sz="8" w:space="0" w:color="4472C4"/>
              <w:bottom w:val="single" w:sz="8" w:space="0" w:color="5B9BD5"/>
              <w:right w:val="nil"/>
            </w:tcBorders>
            <w:shd w:val="clear" w:color="000000" w:fill="FFFFFF"/>
            <w:noWrap/>
            <w:vAlign w:val="center"/>
            <w:hideMark/>
          </w:tcPr>
          <w:p w14:paraId="65A682EC"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22.0</w:t>
            </w:r>
          </w:p>
        </w:tc>
        <w:tc>
          <w:tcPr>
            <w:tcW w:w="1080" w:type="dxa"/>
            <w:tcBorders>
              <w:top w:val="nil"/>
              <w:left w:val="single" w:sz="8" w:space="0" w:color="4472C4"/>
              <w:bottom w:val="single" w:sz="8" w:space="0" w:color="5B9BD5"/>
              <w:right w:val="nil"/>
            </w:tcBorders>
            <w:shd w:val="clear" w:color="000000" w:fill="FFFFFF"/>
            <w:noWrap/>
            <w:vAlign w:val="center"/>
          </w:tcPr>
          <w:p w14:paraId="3FF97CAA"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27.0</w:t>
            </w:r>
          </w:p>
        </w:tc>
        <w:tc>
          <w:tcPr>
            <w:tcW w:w="1108" w:type="dxa"/>
            <w:tcBorders>
              <w:top w:val="nil"/>
              <w:left w:val="single" w:sz="8" w:space="0" w:color="4472C4"/>
              <w:bottom w:val="single" w:sz="8" w:space="0" w:color="5B9BD5"/>
              <w:right w:val="nil"/>
            </w:tcBorders>
            <w:shd w:val="clear" w:color="000000" w:fill="DEEAF6"/>
            <w:noWrap/>
            <w:vAlign w:val="center"/>
          </w:tcPr>
          <w:p w14:paraId="613052EF" w14:textId="77777777" w:rsidR="00C34A4E" w:rsidRPr="00A83C94" w:rsidRDefault="00C34A4E" w:rsidP="00733935">
            <w:pPr>
              <w:spacing w:before="0" w:line="240" w:lineRule="auto"/>
              <w:ind w:firstLine="0"/>
              <w:contextualSpacing w:val="0"/>
              <w:jc w:val="right"/>
              <w:rPr>
                <w:b w:val="0"/>
                <w:color w:val="000000"/>
                <w:sz w:val="20"/>
                <w:lang w:val="en-US"/>
              </w:rPr>
            </w:pPr>
            <w:r w:rsidRPr="00A83C94">
              <w:rPr>
                <w:b w:val="0"/>
                <w:color w:val="000000"/>
                <w:sz w:val="20"/>
                <w:lang w:val="en-US"/>
              </w:rPr>
              <w:t>25.1</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15EA781D" w14:textId="77777777" w:rsidR="00C34A4E" w:rsidRPr="00A83C94" w:rsidRDefault="00C34A4E" w:rsidP="00733935">
            <w:pPr>
              <w:spacing w:before="0" w:line="240" w:lineRule="auto"/>
              <w:ind w:firstLine="0"/>
              <w:contextualSpacing w:val="0"/>
              <w:jc w:val="right"/>
              <w:rPr>
                <w:b w:val="0"/>
                <w:color w:val="000000"/>
                <w:sz w:val="20"/>
                <w:lang w:val="en-US"/>
              </w:rPr>
            </w:pPr>
            <w:r w:rsidRPr="00A83C94">
              <w:rPr>
                <w:b w:val="0"/>
                <w:color w:val="000000"/>
                <w:sz w:val="20"/>
                <w:lang w:val="en-US"/>
              </w:rPr>
              <w:t>23.4</w:t>
            </w:r>
          </w:p>
        </w:tc>
      </w:tr>
      <w:tr w:rsidR="00C34A4E" w:rsidRPr="00A83C94" w14:paraId="0EB8DE0B" w14:textId="77777777" w:rsidTr="0073393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5088AF52" w14:textId="77777777" w:rsidR="00C34A4E" w:rsidRPr="00A83C94" w:rsidRDefault="00C34A4E" w:rsidP="00733935">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26BABC40"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2.5</w:t>
            </w:r>
          </w:p>
        </w:tc>
        <w:tc>
          <w:tcPr>
            <w:tcW w:w="1080" w:type="dxa"/>
            <w:tcBorders>
              <w:top w:val="nil"/>
              <w:left w:val="single" w:sz="8" w:space="0" w:color="4472C4"/>
              <w:bottom w:val="single" w:sz="8" w:space="0" w:color="5B9BD5"/>
              <w:right w:val="nil"/>
            </w:tcBorders>
            <w:shd w:val="clear" w:color="000000" w:fill="FFFFFF"/>
            <w:noWrap/>
            <w:vAlign w:val="center"/>
            <w:hideMark/>
          </w:tcPr>
          <w:p w14:paraId="64D4A675"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2.9</w:t>
            </w:r>
          </w:p>
        </w:tc>
        <w:tc>
          <w:tcPr>
            <w:tcW w:w="1080" w:type="dxa"/>
            <w:tcBorders>
              <w:top w:val="nil"/>
              <w:left w:val="single" w:sz="8" w:space="0" w:color="4472C4"/>
              <w:bottom w:val="single" w:sz="8" w:space="0" w:color="5B9BD5"/>
              <w:right w:val="nil"/>
            </w:tcBorders>
            <w:shd w:val="clear" w:color="000000" w:fill="FFFFFF"/>
            <w:noWrap/>
            <w:vAlign w:val="center"/>
          </w:tcPr>
          <w:p w14:paraId="4D02D415" w14:textId="77777777" w:rsidR="00C34A4E" w:rsidRPr="00A83C94" w:rsidRDefault="00C34A4E" w:rsidP="00733935">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3.7</w:t>
            </w:r>
          </w:p>
        </w:tc>
        <w:tc>
          <w:tcPr>
            <w:tcW w:w="1108" w:type="dxa"/>
            <w:tcBorders>
              <w:top w:val="nil"/>
              <w:left w:val="single" w:sz="8" w:space="0" w:color="4472C4"/>
              <w:bottom w:val="single" w:sz="8" w:space="0" w:color="5B9BD5"/>
              <w:right w:val="nil"/>
            </w:tcBorders>
            <w:shd w:val="clear" w:color="000000" w:fill="DEEAF6"/>
            <w:noWrap/>
            <w:vAlign w:val="center"/>
          </w:tcPr>
          <w:p w14:paraId="008F13F5" w14:textId="77777777" w:rsidR="00C34A4E" w:rsidRPr="00A83C94" w:rsidRDefault="00C34A4E" w:rsidP="00733935">
            <w:pPr>
              <w:spacing w:before="0" w:line="240" w:lineRule="auto"/>
              <w:ind w:firstLine="0"/>
              <w:contextualSpacing w:val="0"/>
              <w:jc w:val="right"/>
              <w:rPr>
                <w:b w:val="0"/>
                <w:color w:val="000000"/>
                <w:sz w:val="20"/>
                <w:lang w:val="en-US"/>
              </w:rPr>
            </w:pPr>
            <w:r w:rsidRPr="00A83C94">
              <w:rPr>
                <w:b w:val="0"/>
                <w:color w:val="000000"/>
                <w:sz w:val="20"/>
                <w:lang w:val="en-US"/>
              </w:rPr>
              <w:t>3.2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0BFD47D1" w14:textId="77777777" w:rsidR="00C34A4E" w:rsidRPr="00E5336E" w:rsidRDefault="00C34A4E" w:rsidP="00733935">
            <w:pPr>
              <w:spacing w:before="0" w:line="240" w:lineRule="auto"/>
              <w:ind w:firstLine="0"/>
              <w:contextualSpacing w:val="0"/>
              <w:jc w:val="right"/>
              <w:rPr>
                <w:b w:val="0"/>
                <w:color w:val="000000"/>
                <w:sz w:val="20"/>
                <w:lang w:val="hy-AM"/>
              </w:rPr>
            </w:pPr>
            <w:r>
              <w:rPr>
                <w:b w:val="0"/>
                <w:color w:val="000000"/>
                <w:sz w:val="20"/>
                <w:lang w:val="hy-AM"/>
              </w:rPr>
              <w:t>4.4</w:t>
            </w:r>
          </w:p>
        </w:tc>
      </w:tr>
      <w:tr w:rsidR="00C34A4E" w:rsidRPr="00A83C94" w14:paraId="774FA240" w14:textId="77777777" w:rsidTr="00733935">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14:paraId="652B050D" w14:textId="77777777" w:rsidR="00C34A4E" w:rsidRPr="00A83C94" w:rsidRDefault="00C34A4E" w:rsidP="00733935">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Պետական բյուջեի դեֆիցիտ (-) / պրոֆիցիտ (+)</w:t>
            </w:r>
            <w:r w:rsidRPr="00A83C94">
              <w:rPr>
                <w:rFonts w:ascii="Arial Armenian" w:hAnsi="Arial Armenian" w:cs="Arial"/>
                <w:bCs/>
                <w:color w:val="000000"/>
                <w:sz w:val="16"/>
                <w:szCs w:val="16"/>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14:paraId="3E6DBCFF"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-1.8</w:t>
            </w:r>
          </w:p>
        </w:tc>
        <w:tc>
          <w:tcPr>
            <w:tcW w:w="1080" w:type="dxa"/>
            <w:tcBorders>
              <w:top w:val="nil"/>
              <w:left w:val="single" w:sz="8" w:space="0" w:color="4472C4"/>
              <w:bottom w:val="single" w:sz="8" w:space="0" w:color="5B9BD5"/>
              <w:right w:val="nil"/>
            </w:tcBorders>
            <w:shd w:val="clear" w:color="000000" w:fill="FFFFFF"/>
            <w:noWrap/>
            <w:vAlign w:val="center"/>
            <w:hideMark/>
          </w:tcPr>
          <w:p w14:paraId="12F848C6"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-1.0</w:t>
            </w:r>
          </w:p>
        </w:tc>
        <w:tc>
          <w:tcPr>
            <w:tcW w:w="1080" w:type="dxa"/>
            <w:tcBorders>
              <w:top w:val="nil"/>
              <w:left w:val="single" w:sz="8" w:space="0" w:color="4472C4"/>
              <w:bottom w:val="single" w:sz="8" w:space="0" w:color="5B9BD5"/>
              <w:right w:val="nil"/>
            </w:tcBorders>
            <w:shd w:val="clear" w:color="000000" w:fill="FFFFFF"/>
            <w:noWrap/>
            <w:vAlign w:val="center"/>
          </w:tcPr>
          <w:p w14:paraId="5A0C8801"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-5.4</w:t>
            </w:r>
          </w:p>
        </w:tc>
        <w:tc>
          <w:tcPr>
            <w:tcW w:w="1108" w:type="dxa"/>
            <w:tcBorders>
              <w:top w:val="nil"/>
              <w:left w:val="single" w:sz="8" w:space="0" w:color="4472C4"/>
              <w:bottom w:val="single" w:sz="8" w:space="0" w:color="5B9BD5"/>
              <w:right w:val="nil"/>
            </w:tcBorders>
            <w:shd w:val="clear" w:color="000000" w:fill="DEEAF6"/>
            <w:noWrap/>
            <w:vAlign w:val="center"/>
          </w:tcPr>
          <w:p w14:paraId="2DCA716B"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-4.7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4A6DF4A8" w14:textId="77777777" w:rsidR="00C34A4E" w:rsidRPr="00A83C94" w:rsidRDefault="00C34A4E" w:rsidP="00733935">
            <w:pPr>
              <w:spacing w:before="0" w:line="240" w:lineRule="auto"/>
              <w:ind w:firstLine="0"/>
              <w:contextualSpacing w:val="0"/>
              <w:jc w:val="right"/>
              <w:rPr>
                <w:color w:val="000000"/>
                <w:sz w:val="20"/>
                <w:lang w:val="hy-AM"/>
              </w:rPr>
            </w:pPr>
            <w:r w:rsidRPr="00A83C94">
              <w:rPr>
                <w:color w:val="000000"/>
                <w:sz w:val="20"/>
                <w:lang w:val="en-US"/>
              </w:rPr>
              <w:t>-3.</w:t>
            </w:r>
            <w:r>
              <w:rPr>
                <w:color w:val="000000"/>
                <w:sz w:val="20"/>
                <w:lang w:val="hy-AM"/>
              </w:rPr>
              <w:t>1</w:t>
            </w:r>
          </w:p>
        </w:tc>
      </w:tr>
      <w:tr w:rsidR="00C34A4E" w:rsidRPr="00A83C94" w14:paraId="700F9772" w14:textId="77777777" w:rsidTr="00733935">
        <w:trPr>
          <w:trHeight w:val="300"/>
          <w:jc w:val="center"/>
        </w:trPr>
        <w:tc>
          <w:tcPr>
            <w:tcW w:w="3140" w:type="dxa"/>
            <w:tcBorders>
              <w:top w:val="nil"/>
              <w:left w:val="single" w:sz="8" w:space="0" w:color="4472C4"/>
              <w:bottom w:val="single" w:sz="8" w:space="0" w:color="4472C4"/>
              <w:right w:val="nil"/>
            </w:tcBorders>
            <w:shd w:val="clear" w:color="000000" w:fill="FFFFFF"/>
            <w:vAlign w:val="center"/>
            <w:hideMark/>
          </w:tcPr>
          <w:p w14:paraId="45106D8E" w14:textId="77777777" w:rsidR="00C34A4E" w:rsidRPr="00A83C94" w:rsidRDefault="00C34A4E" w:rsidP="00733935">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4472C4"/>
              <w:right w:val="nil"/>
            </w:tcBorders>
            <w:shd w:val="clear" w:color="000000" w:fill="FFFFFF"/>
            <w:noWrap/>
            <w:vAlign w:val="center"/>
            <w:hideMark/>
          </w:tcPr>
          <w:p w14:paraId="2247C79D"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51.2</w:t>
            </w:r>
          </w:p>
        </w:tc>
        <w:tc>
          <w:tcPr>
            <w:tcW w:w="1080" w:type="dxa"/>
            <w:tcBorders>
              <w:top w:val="nil"/>
              <w:left w:val="single" w:sz="8" w:space="0" w:color="4472C4"/>
              <w:bottom w:val="single" w:sz="8" w:space="0" w:color="4472C4"/>
              <w:right w:val="nil"/>
            </w:tcBorders>
            <w:shd w:val="clear" w:color="000000" w:fill="FFFFFF"/>
            <w:noWrap/>
            <w:vAlign w:val="center"/>
            <w:hideMark/>
          </w:tcPr>
          <w:p w14:paraId="36C1A282"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50.1</w:t>
            </w:r>
          </w:p>
        </w:tc>
        <w:tc>
          <w:tcPr>
            <w:tcW w:w="1080" w:type="dxa"/>
            <w:tcBorders>
              <w:top w:val="nil"/>
              <w:left w:val="single" w:sz="8" w:space="0" w:color="4472C4"/>
              <w:bottom w:val="single" w:sz="8" w:space="0" w:color="4472C4"/>
              <w:right w:val="nil"/>
            </w:tcBorders>
            <w:shd w:val="clear" w:color="000000" w:fill="FFFFFF"/>
            <w:noWrap/>
            <w:vAlign w:val="center"/>
          </w:tcPr>
          <w:p w14:paraId="3D843237" w14:textId="77777777" w:rsidR="00C34A4E" w:rsidRPr="00A83C94" w:rsidRDefault="00C34A4E" w:rsidP="00733935">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63.5</w:t>
            </w:r>
          </w:p>
        </w:tc>
        <w:tc>
          <w:tcPr>
            <w:tcW w:w="1108" w:type="dxa"/>
            <w:tcBorders>
              <w:top w:val="nil"/>
              <w:left w:val="single" w:sz="8" w:space="0" w:color="4472C4"/>
              <w:bottom w:val="single" w:sz="8" w:space="0" w:color="4472C4"/>
              <w:right w:val="nil"/>
            </w:tcBorders>
            <w:shd w:val="clear" w:color="000000" w:fill="DEEAF6"/>
            <w:noWrap/>
            <w:vAlign w:val="center"/>
          </w:tcPr>
          <w:p w14:paraId="13872B6B" w14:textId="77777777" w:rsidR="00C34A4E" w:rsidRPr="00A83C94" w:rsidRDefault="00C34A4E" w:rsidP="00733935">
            <w:pPr>
              <w:spacing w:before="0" w:line="240" w:lineRule="auto"/>
              <w:ind w:firstLine="0"/>
              <w:contextualSpacing w:val="0"/>
              <w:jc w:val="right"/>
              <w:rPr>
                <w:color w:val="000000"/>
                <w:sz w:val="20"/>
                <w:lang w:val="en-US"/>
              </w:rPr>
            </w:pPr>
            <w:r w:rsidRPr="00A83C94">
              <w:rPr>
                <w:color w:val="000000"/>
                <w:sz w:val="20"/>
                <w:lang w:val="en-US"/>
              </w:rPr>
              <w:t>60.8</w:t>
            </w:r>
          </w:p>
        </w:tc>
        <w:tc>
          <w:tcPr>
            <w:tcW w:w="1108" w:type="dxa"/>
            <w:tcBorders>
              <w:top w:val="nil"/>
              <w:left w:val="single" w:sz="8" w:space="0" w:color="4472C4"/>
              <w:bottom w:val="single" w:sz="8" w:space="0" w:color="4472C4"/>
              <w:right w:val="single" w:sz="8" w:space="0" w:color="4472C4"/>
            </w:tcBorders>
            <w:shd w:val="clear" w:color="000000" w:fill="DEEAF6"/>
            <w:vAlign w:val="center"/>
          </w:tcPr>
          <w:p w14:paraId="43996DA1" w14:textId="77777777" w:rsidR="00C34A4E" w:rsidRPr="003C0DA9" w:rsidRDefault="00C34A4E" w:rsidP="00733935">
            <w:pPr>
              <w:spacing w:before="0" w:line="240" w:lineRule="auto"/>
              <w:ind w:firstLine="0"/>
              <w:contextualSpacing w:val="0"/>
              <w:jc w:val="right"/>
              <w:rPr>
                <w:color w:val="000000"/>
                <w:sz w:val="20"/>
                <w:lang w:val="en-US"/>
              </w:rPr>
            </w:pPr>
            <w:r w:rsidRPr="00A83C94">
              <w:rPr>
                <w:color w:val="000000"/>
                <w:sz w:val="20"/>
                <w:lang w:val="en-US"/>
              </w:rPr>
              <w:t>60.</w:t>
            </w:r>
            <w:r>
              <w:rPr>
                <w:color w:val="000000"/>
                <w:sz w:val="20"/>
                <w:lang w:val="en-US"/>
              </w:rPr>
              <w:t>2</w:t>
            </w:r>
          </w:p>
        </w:tc>
      </w:tr>
    </w:tbl>
    <w:p w14:paraId="2131E814" w14:textId="77777777" w:rsidR="00C34A4E" w:rsidRPr="00A83C94" w:rsidRDefault="00C34A4E" w:rsidP="00C34A4E">
      <w:pPr>
        <w:spacing w:before="0" w:line="276" w:lineRule="auto"/>
        <w:ind w:left="567" w:hanging="567"/>
        <w:contextualSpacing w:val="0"/>
        <w:rPr>
          <w:rFonts w:cs="Calibri"/>
          <w:b w:val="0"/>
          <w:i/>
          <w:iCs/>
          <w:color w:val="000000"/>
          <w:sz w:val="18"/>
          <w:szCs w:val="18"/>
          <w:lang w:val="hy-AM"/>
        </w:rPr>
      </w:pPr>
      <w:r w:rsidRPr="00A83C94">
        <w:rPr>
          <w:rFonts w:cs="Calibri"/>
          <w:b w:val="0"/>
          <w:i/>
          <w:iCs/>
          <w:color w:val="000000"/>
          <w:sz w:val="18"/>
          <w:szCs w:val="18"/>
          <w:lang w:val="hy-AM"/>
        </w:rPr>
        <w:t>Աղբյուրը՝ ՀՀ ՖՆ կանխատեսումներ</w:t>
      </w:r>
      <w:bookmarkStart w:id="155" w:name="_Toc45838524"/>
      <w:bookmarkStart w:id="156" w:name="_Toc46154353"/>
    </w:p>
    <w:p w14:paraId="12A0FDE4" w14:textId="77777777" w:rsidR="00C34A4E" w:rsidRPr="00A83C94" w:rsidRDefault="00C34A4E" w:rsidP="00C34A4E">
      <w:pPr>
        <w:spacing w:before="0" w:line="276" w:lineRule="auto"/>
        <w:ind w:firstLine="0"/>
        <w:contextualSpacing w:val="0"/>
        <w:rPr>
          <w:rFonts w:eastAsia="Calibri" w:cs="Arial"/>
          <w:b w:val="0"/>
          <w:bCs/>
          <w:sz w:val="20"/>
          <w:szCs w:val="20"/>
          <w:lang w:val="hy-AM" w:eastAsia="en-US"/>
        </w:rPr>
      </w:pPr>
    </w:p>
    <w:p w14:paraId="4538D743" w14:textId="77777777" w:rsidR="00C34A4E" w:rsidRPr="00A83C94" w:rsidRDefault="00C34A4E" w:rsidP="00C34A4E">
      <w:pPr>
        <w:spacing w:before="0" w:line="276" w:lineRule="auto"/>
        <w:ind w:firstLine="0"/>
        <w:contextualSpacing w:val="0"/>
        <w:rPr>
          <w:rFonts w:eastAsia="Calibri" w:cs="Arial"/>
          <w:b w:val="0"/>
          <w:bCs/>
          <w:sz w:val="20"/>
          <w:szCs w:val="20"/>
          <w:lang w:val="hy-AM" w:eastAsia="en-US"/>
        </w:rPr>
      </w:pPr>
    </w:p>
    <w:p w14:paraId="30A71176" w14:textId="77777777" w:rsidR="00C34A4E" w:rsidRPr="00A83C94" w:rsidRDefault="00C34A4E" w:rsidP="00C34A4E">
      <w:pPr>
        <w:keepNext/>
        <w:keepLines/>
        <w:spacing w:before="0" w:line="312" w:lineRule="auto"/>
        <w:ind w:firstLine="0"/>
        <w:outlineLvl w:val="2"/>
        <w:rPr>
          <w:sz w:val="24"/>
          <w:lang w:val="hy-AM" w:eastAsia="en-US"/>
        </w:rPr>
      </w:pPr>
      <w:bookmarkStart w:id="157" w:name="_Toc57655454"/>
      <w:bookmarkStart w:id="158" w:name="_Toc83199222"/>
      <w:bookmarkStart w:id="159" w:name="_Toc83996348"/>
      <w:r w:rsidRPr="00A83C94">
        <w:rPr>
          <w:sz w:val="24"/>
          <w:lang w:val="hy-AM" w:eastAsia="en-US"/>
        </w:rPr>
        <w:t>2</w:t>
      </w:r>
      <w:r w:rsidRPr="00A83C94">
        <w:rPr>
          <w:rFonts w:cs="Cambria Math"/>
          <w:sz w:val="24"/>
          <w:lang w:val="hy-AM" w:eastAsia="en-US"/>
        </w:rPr>
        <w:t>.</w:t>
      </w:r>
      <w:r w:rsidRPr="00A83C94">
        <w:rPr>
          <w:sz w:val="24"/>
          <w:lang w:val="hy-AM" w:eastAsia="en-US"/>
        </w:rPr>
        <w:t>2</w:t>
      </w:r>
      <w:r w:rsidRPr="00A83C94">
        <w:rPr>
          <w:rFonts w:cs="Cambria Math"/>
          <w:sz w:val="24"/>
          <w:lang w:val="hy-AM" w:eastAsia="en-US"/>
        </w:rPr>
        <w:t>.</w:t>
      </w:r>
      <w:r w:rsidRPr="00A83C94">
        <w:rPr>
          <w:sz w:val="24"/>
          <w:lang w:val="hy-AM" w:eastAsia="en-US"/>
        </w:rPr>
        <w:t xml:space="preserve"> ՀԱՐԿԱԲՅՈՒՋԵՏԱՅԻՆ ՔԱՂԱՔԱԿԱՆՈՒԹՅԱՆ ՄԻՏՈՒՄՆԵՐԸ ԵՎ ԿԱՆԽԱՏԵՍՈՒՄՆԵՐԸ</w:t>
      </w:r>
      <w:bookmarkEnd w:id="155"/>
      <w:bookmarkEnd w:id="156"/>
      <w:bookmarkEnd w:id="157"/>
      <w:bookmarkEnd w:id="158"/>
      <w:bookmarkEnd w:id="159"/>
    </w:p>
    <w:p w14:paraId="1455B9D5" w14:textId="77777777" w:rsidR="00C34A4E" w:rsidRPr="00A83C94" w:rsidRDefault="00C34A4E" w:rsidP="00C34A4E">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2020 թվականի զարգացումները</w:t>
      </w:r>
    </w:p>
    <w:p w14:paraId="37C6CB50" w14:textId="77777777" w:rsidR="00C34A4E" w:rsidRPr="00A83C94" w:rsidRDefault="00C34A4E" w:rsidP="00C34A4E">
      <w:pPr>
        <w:tabs>
          <w:tab w:val="num" w:pos="720"/>
        </w:tabs>
        <w:spacing w:before="0" w:line="240" w:lineRule="auto"/>
        <w:contextualSpacing w:val="0"/>
        <w:rPr>
          <w:rFonts w:eastAsia="Calibri" w:cs="Sylfaen"/>
          <w:bCs/>
          <w:szCs w:val="22"/>
          <w:lang w:val="hy-AM" w:eastAsia="en-US"/>
        </w:rPr>
      </w:pPr>
      <w:r w:rsidRPr="00A83C94">
        <w:rPr>
          <w:rFonts w:eastAsia="Calibri" w:cs="Sylfaen"/>
          <w:bCs/>
          <w:szCs w:val="22"/>
          <w:lang w:val="hy-AM" w:eastAsia="en-US"/>
        </w:rPr>
        <w:t xml:space="preserve">2020 թվականին COVID-19 համավարակի տարածման հետևանքով տնտեսական անկման պայմաններում հարկաբյուջետային քաղաքականության ազդեցությունը տնտեսության վրա եղել է էական խթանող: </w:t>
      </w:r>
    </w:p>
    <w:p w14:paraId="607298F9" w14:textId="77777777" w:rsidR="00C34A4E" w:rsidRPr="00A83C94" w:rsidRDefault="00C34A4E" w:rsidP="00C34A4E">
      <w:pPr>
        <w:tabs>
          <w:tab w:val="num" w:pos="720"/>
        </w:tabs>
        <w:spacing w:before="0" w:after="160" w:line="240" w:lineRule="auto"/>
        <w:contextualSpacing w:val="0"/>
        <w:rPr>
          <w:rFonts w:eastAsia="Calibri"/>
          <w:b w:val="0"/>
          <w:szCs w:val="22"/>
          <w:lang w:val="hy-AM" w:eastAsia="en-US"/>
        </w:rPr>
      </w:pPr>
      <w:r w:rsidRPr="00A83C94">
        <w:rPr>
          <w:rFonts w:eastAsia="Calibri" w:cs="GHEA Grapalat"/>
          <w:b w:val="0"/>
          <w:szCs w:val="22"/>
          <w:lang w:val="hy-AM" w:eastAsia="en-US"/>
        </w:rPr>
        <w:t xml:space="preserve">2020 թվականին ՀՀ </w:t>
      </w:r>
      <w:r w:rsidRPr="00A83C94">
        <w:rPr>
          <w:rFonts w:eastAsia="Calibri"/>
          <w:b w:val="0"/>
          <w:szCs w:val="22"/>
          <w:lang w:val="hy-AM" w:eastAsia="en-US"/>
        </w:rPr>
        <w:t>պետական</w:t>
      </w:r>
      <w:r w:rsidRPr="00A83C94">
        <w:rPr>
          <w:rFonts w:eastAsia="Calibri" w:cs="GHEA Grapalat"/>
          <w:b w:val="0"/>
          <w:szCs w:val="22"/>
          <w:lang w:val="hy-AM" w:eastAsia="en-US"/>
        </w:rPr>
        <w:t xml:space="preserve"> բյուջեի ընդհանուր եկամուտները կազմել են ՀՆԱ-ի 25.2%</w:t>
      </w:r>
      <w:r w:rsidRPr="00A83C94">
        <w:rPr>
          <w:rFonts w:eastAsia="Calibri" w:cs="GHEA Grapalat"/>
          <w:b w:val="0"/>
          <w:szCs w:val="22"/>
          <w:lang w:val="hy-AM" w:eastAsia="en-US"/>
        </w:rPr>
        <w:noBreakHyphen/>
        <w:t>ը՝ նախորդ տարվա 23.9%-ի դիմաց, իսկ հարկեր և տուրքերը՝ ՀՆԱ-ի 22.4%-ը՝ նախորդ տարվա նկատմամբ լինելով անփոփոխ: 2020 թվականին նախորդ տարվա համեմատ այլ  եկամուտները ՀՆԱ-ի նկատմամբ բարելավվել են 0.6 տոկոսային կետով, որը հիմնականում պայմանավորված է</w:t>
      </w:r>
      <w:r w:rsidRPr="00A83C94" w:rsidDel="00B0558D">
        <w:rPr>
          <w:rFonts w:eastAsia="Calibri" w:cs="GHEA Grapalat"/>
          <w:b w:val="0"/>
          <w:szCs w:val="22"/>
          <w:lang w:val="hy-AM" w:eastAsia="en-US"/>
        </w:rPr>
        <w:t xml:space="preserve"> </w:t>
      </w:r>
      <w:r w:rsidRPr="00A83C94">
        <w:rPr>
          <w:rFonts w:eastAsia="Calibri" w:cs="GHEA Grapalat"/>
          <w:b w:val="0"/>
          <w:szCs w:val="22"/>
          <w:lang w:val="hy-AM" w:eastAsia="en-US"/>
        </w:rPr>
        <w:t xml:space="preserve">«Հայաստան» համահայկական հիմնադրամից պետական բյուջե մուտքագրված միջոցներով, իսկ պաշտոնական դրամաշնորհները նախորդ տարվա համեմատ բարելավվել են 0.7 տոկոսային կետով` պայմանավորված համավարակի պայմաններում դոնորներից ստացված դրամաշնորհներով: Արդյունքում 2020 թվականին ՀՀ պետական բյուջեի ընդհանուր եկամուտները նախորդ տարվա համեմատ նվազել են 0.3%-ով և կազմել 1560.7 մլրդ դրամ, իսկ հարկեր և տուրքերը նախորդ տարվա համեմատն նվազել են 5.4%-ով և կազմել 1385.2 մլրդ դրամ: </w:t>
      </w:r>
    </w:p>
    <w:p w14:paraId="27636B4A" w14:textId="77777777" w:rsidR="00C34A4E" w:rsidRPr="00A83C94" w:rsidRDefault="00C34A4E" w:rsidP="00C34A4E">
      <w:pPr>
        <w:tabs>
          <w:tab w:val="num" w:pos="720"/>
        </w:tabs>
        <w:spacing w:before="0" w:after="160" w:line="240" w:lineRule="auto"/>
        <w:contextualSpacing w:val="0"/>
        <w:rPr>
          <w:rFonts w:eastAsia="Calibri" w:cs="GHEA Grapalat"/>
          <w:b w:val="0"/>
          <w:szCs w:val="22"/>
          <w:lang w:val="hy-AM" w:eastAsia="en-US"/>
        </w:rPr>
      </w:pPr>
      <w:r w:rsidRPr="00A83C94">
        <w:rPr>
          <w:rFonts w:eastAsia="Calibri" w:cs="GHEA Grapalat"/>
          <w:b w:val="0"/>
          <w:szCs w:val="22"/>
          <w:lang w:val="hy-AM" w:eastAsia="en-US"/>
        </w:rPr>
        <w:t xml:space="preserve">2020 թվականին արձանագրվել է պետական բյուջեի ծախսերի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Պետական բյուջեի ծախսերի կշիռը ՀՆԱ-ում </w:t>
      </w:r>
      <w:r w:rsidRPr="00A83C94">
        <w:rPr>
          <w:rFonts w:eastAsia="Calibri"/>
          <w:b w:val="0"/>
          <w:szCs w:val="22"/>
          <w:lang w:val="hy-AM" w:eastAsia="en-US"/>
        </w:rPr>
        <w:t>2020</w:t>
      </w:r>
      <w:r w:rsidRPr="00A83C94">
        <w:rPr>
          <w:rFonts w:eastAsia="Calibri" w:cs="GHEA Grapalat"/>
          <w:b w:val="0"/>
          <w:szCs w:val="22"/>
          <w:lang w:val="hy-AM" w:eastAsia="en-US"/>
        </w:rPr>
        <w:t xml:space="preserve"> թվականին աճել է 5.7 տոկոսային կետով՝ կազմելով 30.6%, որում ընթացիկ ծախսերի կշիռն աճել է 5.0 տոկոսային կետով՝ կազմելով 27.0%, որն իր մեջ ներառում է կորոնավիրուսի տարածմամբ պայմանավորված հակաճգնաժամային ծրագրերի սոցիալական և տնտեսական միջոցառումների իրականացումը, </w:t>
      </w:r>
      <w:r w:rsidRPr="00A83C94">
        <w:rPr>
          <w:rFonts w:eastAsia="Calibri"/>
          <w:b w:val="0"/>
          <w:szCs w:val="22"/>
          <w:lang w:val="hy-AM" w:eastAsia="en-US"/>
        </w:rPr>
        <w:t>առողջապահական</w:t>
      </w:r>
      <w:r w:rsidRPr="00A83C94">
        <w:rPr>
          <w:rFonts w:eastAsia="Calibri" w:cs="GHEA Grapalat"/>
          <w:b w:val="0"/>
          <w:szCs w:val="22"/>
          <w:lang w:val="hy-AM" w:eastAsia="en-US"/>
        </w:rPr>
        <w:t xml:space="preserve"> ծախսերի աճը, պատերազմական իրավիճակով պայմանավորված ծախսերը: Ոչ ֆինանսական ակտիվների հետ գործառնությունների կշիռն ՀՆԱ-ի նկատմամբ 2020թ. աճել է 0.7 տոկոսային կետով՝ կազմելով 3.7% (որից 0.9 տոկոսային կետը Արցախյան պատերազմով պայմանավորված ռազմական լրացուցիչ ծախսերն են): </w:t>
      </w:r>
    </w:p>
    <w:p w14:paraId="2C17BFC3" w14:textId="77777777" w:rsidR="00C34A4E" w:rsidRPr="00A83C94" w:rsidRDefault="00C34A4E" w:rsidP="00C34A4E">
      <w:pPr>
        <w:tabs>
          <w:tab w:val="num" w:pos="720"/>
        </w:tabs>
        <w:spacing w:before="0" w:after="160" w:line="240" w:lineRule="auto"/>
        <w:contextualSpacing w:val="0"/>
        <w:rPr>
          <w:rFonts w:eastAsia="Calibri" w:cs="GHEA Grapalat"/>
          <w:b w:val="0"/>
          <w:szCs w:val="22"/>
          <w:lang w:val="hy-AM" w:eastAsia="en-US"/>
        </w:rPr>
      </w:pPr>
      <w:r w:rsidRPr="00A83C94">
        <w:rPr>
          <w:rFonts w:eastAsia="Calibri" w:cs="GHEA Grapalat"/>
          <w:b w:val="0"/>
          <w:szCs w:val="22"/>
          <w:lang w:val="hy-AM" w:eastAsia="en-US"/>
        </w:rPr>
        <w:t xml:space="preserve">2020 թվականին վերոնշյալ զարգացումների արդյունքում տեղի է ունեցել պետական բյուջեի պակասուրդի աճ, որը կազմել է շուրջ 334.0 մլրդ դրամ, կամ ՀՆԱ-ի 5.4%-ը՝ նախորդ տարվա համեմատ աճելով 4.4 տոկոսային կետով: ՀՆԱ անկումը, պետական բյուջեի պակասուրդի ավելացումը, ինչպես նաև ԱՄՆ դոլարի նկատմամբ ՀՀ դրամի արժեզրկումը հանգեցրել են ՀՀ կառավարության պարտքի բեռի ավելացմանը, որը կազմել է ՀՆԱ-ի 63.5%՝ նախորդ տարվա նկատմամբ աճելով 13.4 տոկոսային կետով և հատելով հարկաբյուջետային կանոններով </w:t>
      </w:r>
      <w:r w:rsidRPr="00A83C94">
        <w:rPr>
          <w:rFonts w:eastAsia="Calibri"/>
          <w:b w:val="0"/>
          <w:szCs w:val="22"/>
          <w:lang w:val="hy-AM" w:eastAsia="en-US"/>
        </w:rPr>
        <w:t>սահմանված</w:t>
      </w:r>
      <w:r w:rsidRPr="00A83C94">
        <w:rPr>
          <w:rFonts w:eastAsia="Calibri" w:cs="GHEA Grapalat"/>
          <w:b w:val="0"/>
          <w:szCs w:val="22"/>
          <w:lang w:val="hy-AM" w:eastAsia="en-US"/>
        </w:rPr>
        <w:t xml:space="preserve"> 60% սահմանային շեմը: Կառավարության պարտք/ՀՆԱ ցուցանիշի աճին ամենաշատը հավասարապես նպաստել են տնտեսական անկումը և փոխարժեքի արժեզրկումը՝ 3.9-ական տոկոսային կետ։ Առաջնային հաշվեկշռի նպաստումը կազմել է 2.7%-ային կետ, իսկ իրական տոկոսադրույքի դրական նպաստումը կազմել է 1.7%-ային կետ (տես՝ Գծապատկեր 2.5)։</w:t>
      </w:r>
    </w:p>
    <w:p w14:paraId="2624796D" w14:textId="77777777" w:rsidR="00C34A4E" w:rsidRPr="00A83C94" w:rsidRDefault="00C34A4E" w:rsidP="00C34A4E">
      <w:pPr>
        <w:autoSpaceDE w:val="0"/>
        <w:autoSpaceDN w:val="0"/>
        <w:adjustRightInd w:val="0"/>
        <w:spacing w:before="0" w:after="160" w:line="240" w:lineRule="auto"/>
        <w:contextualSpacing w:val="0"/>
        <w:rPr>
          <w:rFonts w:eastAsia="Calibri" w:cs="GHEA Grapalat"/>
          <w:b w:val="0"/>
          <w:szCs w:val="22"/>
          <w:lang w:val="hy-AM" w:eastAsia="en-US"/>
        </w:rPr>
      </w:pPr>
      <w:r w:rsidRPr="00A83C94">
        <w:rPr>
          <w:rFonts w:eastAsia="Calibri" w:cs="Sylfaen"/>
          <w:szCs w:val="22"/>
          <w:lang w:val="hy-AM" w:eastAsia="en-US"/>
        </w:rPr>
        <w:t xml:space="preserve">Արդյունքում, </w:t>
      </w:r>
      <w:r w:rsidRPr="00A83C94">
        <w:rPr>
          <w:rFonts w:eastAsia="Calibri" w:cs="GHEA Grapalat"/>
          <w:bCs/>
          <w:szCs w:val="22"/>
          <w:lang w:val="hy-AM" w:eastAsia="en-US"/>
        </w:rPr>
        <w:t>2020 թվականի ընթացքում COVID-19 համավարակի տարածման հետևանքով տնտեսական անկման պայմաններում հարկաբյուջետային քաղաքականության ազդեցությունն ամբողջական պահանջարկի վրա գնահատվում է էական խթանող:</w:t>
      </w:r>
      <w:r w:rsidRPr="00A83C94">
        <w:rPr>
          <w:rFonts w:eastAsia="Calibri" w:cs="GHEA Grapalat"/>
          <w:b w:val="0"/>
          <w:szCs w:val="22"/>
          <w:lang w:val="hy-AM" w:eastAsia="en-US"/>
        </w:rPr>
        <w:t xml:space="preserve"> Համախառն պահանջարկի վրա հարկաբյուջետային քաղաքականությունը 2020 թվականին նախորդ տարվա նկատմամբ ունեցել է 5.0 ընդլայնող ազդեցություն` պայմանավորված եկամուտների (0.5) և ծախսերի ընդլայնող (4.5) ազդեցություններով: Ընդ որում, հարկաբյուջետային ազդակն էապես մեծ է ինչպես նախորդ տարվա չեզոք, այնպես էլ պետական բյուջեով ծրագրված 2.2 խթանող ազդակի համեմատ:</w:t>
      </w:r>
    </w:p>
    <w:p w14:paraId="60531F6A" w14:textId="77777777" w:rsidR="00C34A4E" w:rsidRPr="00A83C94" w:rsidRDefault="00C34A4E" w:rsidP="00C34A4E">
      <w:pPr>
        <w:autoSpaceDE w:val="0"/>
        <w:autoSpaceDN w:val="0"/>
        <w:adjustRightInd w:val="0"/>
        <w:spacing w:before="0" w:after="160" w:line="240" w:lineRule="auto"/>
        <w:contextualSpacing w:val="0"/>
        <w:rPr>
          <w:rFonts w:eastAsia="Calibri" w:cs="GHEA Grapalat"/>
          <w:b w:val="0"/>
          <w:szCs w:val="22"/>
          <w:lang w:val="hy-AM" w:eastAsia="en-US"/>
        </w:rPr>
      </w:pPr>
      <w:r w:rsidRPr="00A83C94">
        <w:rPr>
          <w:rFonts w:eastAsia="Calibri" w:cs="GHEA Grapalat"/>
          <w:szCs w:val="22"/>
          <w:lang w:val="hy-AM" w:eastAsia="en-US"/>
        </w:rPr>
        <w:t>Հարկաբյուջետային կանոններ:</w:t>
      </w:r>
      <w:r w:rsidRPr="00A83C94">
        <w:rPr>
          <w:rFonts w:eastAsia="Calibri" w:cs="GHEA Grapalat"/>
          <w:b w:val="0"/>
          <w:szCs w:val="22"/>
          <w:lang w:val="hy-AM" w:eastAsia="en-US"/>
        </w:rPr>
        <w:t xml:space="preserve"> Համավարակի հետևանքով առաջացած իրավիճակը և Արցախյան պատերազմը համարելով բացառիկ դեպք (ինչն արտացոլվել է «Հայաստանի Հանրապետության 2020 թվականի պետական բյուջեի մասին օրենքում փոփոխություններ և լրացումներ կատարելու մասին» ՀՀ օրենքների նախագծերին հավանություն տալու վերաբերյալ կառավարության՝ 2020թ. ապրիլի 23-ի (587-Ա) և սեպտեմբերի 29</w:t>
      </w:r>
      <w:r w:rsidRPr="00A83C94">
        <w:rPr>
          <w:rFonts w:eastAsia="Calibri" w:cs="GHEA Grapalat"/>
          <w:b w:val="0"/>
          <w:szCs w:val="22"/>
          <w:lang w:val="hy-AM" w:eastAsia="en-US"/>
        </w:rPr>
        <w:noBreakHyphen/>
        <w:t>ի (N 1600-Ա) որոշումներում), հարկաբյուջետային կանոնների համակարգին համահունչ («Հայաստանի Հանրապետության բյուջետային համակարգի մասին» ՀՀ օրենքի 21-րդ հոդվածի 8.3 կետին համապատասխան) 2020 թվականին հնարավոր է եղել շեղվել պարտքի և ծախսերի բնականոն իրավիճակի համար գործող տրամաբանությունից. բյուջեի պակասուրդը եղել է ավելի մեծ, քան կապիտալ ծախսերն են, իսկ ընթացիկ առաջնային ծախսերի աճը գերազանցել է նախորդ 7 տարիների անվանական ՀՆԱ</w:t>
      </w:r>
      <w:r w:rsidRPr="00A83C94">
        <w:rPr>
          <w:rFonts w:eastAsia="Calibri" w:cs="GHEA Grapalat"/>
          <w:b w:val="0"/>
          <w:szCs w:val="22"/>
          <w:lang w:val="hy-AM" w:eastAsia="en-US"/>
        </w:rPr>
        <w:noBreakHyphen/>
        <w:t>ի աճի միջին տեմպը:</w:t>
      </w:r>
    </w:p>
    <w:p w14:paraId="6FE91706" w14:textId="77777777" w:rsidR="00C34A4E" w:rsidRPr="00A83C94" w:rsidRDefault="00C34A4E" w:rsidP="00C34A4E">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2021թ. ընթացիկ զարգացումներ</w:t>
      </w:r>
    </w:p>
    <w:p w14:paraId="5C252223" w14:textId="77777777" w:rsidR="00C34A4E" w:rsidRPr="00A83C94" w:rsidRDefault="00C34A4E" w:rsidP="00C34A4E">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szCs w:val="22"/>
          <w:lang w:val="hy-AM" w:eastAsia="en-US"/>
        </w:rPr>
        <w:t>2021 թվականի առաջին ութ ամիսներին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w:t>
      </w:r>
      <w:r w:rsidRPr="00A83C94">
        <w:rPr>
          <w:rFonts w:eastAsia="Calibri"/>
          <w:b w:val="0"/>
          <w:szCs w:val="22"/>
          <w:lang w:val="hy-AM" w:eastAsia="en-US"/>
        </w:rPr>
        <w:t>: Այս նպատակների իրականացման համար հարկաբյուջետային քաղաքականությունն առաջին եռամսյակում եղել է խթանող, այնուհետև աստիճանաբար թուլացել է խթանման չափը՝ առաջին կիսամյակի արդյունքներով լինելով զսպող՝ պայմանավորված ծախսերի թերակատարմամբ:</w:t>
      </w:r>
    </w:p>
    <w:p w14:paraId="179B745B" w14:textId="77777777" w:rsidR="00C34A4E" w:rsidRPr="00A83C94" w:rsidRDefault="00C34A4E" w:rsidP="00C34A4E">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եկամուտները:</w:t>
      </w:r>
      <w:r w:rsidRPr="00A83C94">
        <w:rPr>
          <w:rFonts w:eastAsia="Calibri"/>
          <w:b w:val="0"/>
          <w:szCs w:val="22"/>
          <w:lang w:val="hy-AM" w:eastAsia="en-US"/>
        </w:rPr>
        <w:t xml:space="preserve"> Համավարակի և Արցախյան պատերազմի հետևանքով առաջացած տնտեսական ճգնաժամն իր բացասական ազդեցությունը շարունակել է ունենալ առաջին եռամյսակի պետական բյուջեի եկամուտների վրա, սակայն երկրորդ եռամսյակից սկսած տնտեսության վերականգնմանը զուգահեռ հարկային եկամուտներն ունեցել են աճի արագացման միտում: 2021 թվականի առաջին ութ ամիսների արդյունքներով ՀՀ պետական բյուջեի ընդհանուր եկամուտները կազմել են 1040.6 մլրդ դրամ՝ նախորդ տարվա նույն ժամանակահատվածի համեմատ աճելով 11.0%-ով, իսկ հարկերը և տուրքերը կազմել են 983.9 մլրդ դրամ՝ նախորդ տարվա նույն ժամանակահատվածի համեմատ աճելով 10.9%-ով: </w:t>
      </w:r>
    </w:p>
    <w:p w14:paraId="41CB8027" w14:textId="77777777" w:rsidR="00C34A4E" w:rsidRPr="00A83C94" w:rsidRDefault="00C34A4E" w:rsidP="00C34A4E">
      <w:pPr>
        <w:keepNext/>
        <w:keepLines/>
        <w:tabs>
          <w:tab w:val="left" w:pos="2160"/>
          <w:tab w:val="left" w:pos="2552"/>
        </w:tabs>
        <w:autoSpaceDE w:val="0"/>
        <w:autoSpaceDN w:val="0"/>
        <w:adjustRightInd w:val="0"/>
        <w:spacing w:before="0" w:line="240" w:lineRule="auto"/>
        <w:ind w:left="360" w:firstLine="0"/>
        <w:contextualSpacing w:val="0"/>
        <w:jc w:val="center"/>
        <w:rPr>
          <w:rFonts w:eastAsia="GHEA Grapalat" w:cs="GHEA Grapalat"/>
          <w:b w:val="0"/>
          <w:noProof/>
          <w:szCs w:val="22"/>
          <w:lang w:val="hy-AM" w:eastAsia="en-US"/>
        </w:rPr>
      </w:pPr>
      <w:r w:rsidRPr="00A83C94">
        <w:rPr>
          <w:rFonts w:eastAsia="Calibri" w:cs="Arial"/>
          <w:bCs/>
          <w:i/>
          <w:iCs/>
          <w:noProof/>
          <w:sz w:val="21"/>
          <w:szCs w:val="21"/>
          <w:lang w:val="hy-AM" w:eastAsia="en-US"/>
        </w:rPr>
        <w:t xml:space="preserve">Գծապատկեր 2.1 </w:t>
      </w:r>
      <w:r w:rsidRPr="00A83C94">
        <w:rPr>
          <w:rFonts w:eastAsia="GHEA Grapalat" w:cs="GHEA Grapalat"/>
          <w:noProof/>
          <w:szCs w:val="22"/>
          <w:lang w:val="hy-AM" w:eastAsia="en-US"/>
        </w:rPr>
        <w:t xml:space="preserve"> </w:t>
      </w:r>
      <w:r w:rsidRPr="00A83C94">
        <w:rPr>
          <w:rFonts w:eastAsia="GHEA Grapalat" w:cs="GHEA Grapalat"/>
          <w:b w:val="0"/>
          <w:noProof/>
          <w:szCs w:val="22"/>
          <w:lang w:val="hy-AM" w:eastAsia="en-US"/>
        </w:rPr>
        <w:t>Պետական բյուջեի հարկային եկամուտները 2020-2021 թվականներին ըստ ամիսների</w:t>
      </w:r>
    </w:p>
    <w:p w14:paraId="370041BE" w14:textId="77777777" w:rsidR="00C34A4E" w:rsidRPr="00A83C94" w:rsidRDefault="00C34A4E" w:rsidP="00C34A4E">
      <w:pPr>
        <w:keepNext/>
        <w:keepLines/>
        <w:tabs>
          <w:tab w:val="left" w:pos="2160"/>
          <w:tab w:val="left" w:pos="2552"/>
        </w:tabs>
        <w:autoSpaceDE w:val="0"/>
        <w:autoSpaceDN w:val="0"/>
        <w:adjustRightInd w:val="0"/>
        <w:spacing w:before="0" w:line="240" w:lineRule="auto"/>
        <w:ind w:left="360" w:hanging="360"/>
        <w:contextualSpacing w:val="0"/>
        <w:jc w:val="center"/>
        <w:rPr>
          <w:rFonts w:eastAsia="GHEA Grapalat" w:cs="GHEA Grapalat"/>
          <w:b w:val="0"/>
          <w:noProof/>
          <w:szCs w:val="22"/>
          <w:lang w:val="en-US" w:eastAsia="en-US"/>
        </w:rPr>
      </w:pPr>
      <w:r w:rsidRPr="00A83C94">
        <w:rPr>
          <w:rFonts w:eastAsia="GHEA Grapalat" w:cs="GHEA Grapalat"/>
          <w:b w:val="0"/>
          <w:noProof/>
          <w:szCs w:val="22"/>
          <w:lang w:val="en-US" w:eastAsia="en-US"/>
        </w:rPr>
        <w:drawing>
          <wp:inline distT="0" distB="0" distL="0" distR="0" wp14:anchorId="2684DFF2" wp14:editId="52900FBE">
            <wp:extent cx="5673488" cy="2647950"/>
            <wp:effectExtent l="57150" t="0" r="60960" b="11430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E6ED3E" w14:textId="77777777" w:rsidR="00C34A4E" w:rsidRPr="00A83C94" w:rsidRDefault="00C34A4E" w:rsidP="00C34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A83C94">
        <w:rPr>
          <w:rFonts w:eastAsia="Calibri" w:cs="Arial"/>
          <w:b w:val="0"/>
          <w:bCs/>
          <w:i/>
          <w:iCs/>
          <w:sz w:val="18"/>
          <w:szCs w:val="18"/>
          <w:lang w:val="hy-AM" w:eastAsia="en-US"/>
        </w:rPr>
        <w:t>Աղբյուրը՝ ՀՀ ՖՆ</w:t>
      </w:r>
    </w:p>
    <w:p w14:paraId="7928277B" w14:textId="77777777" w:rsidR="00C34A4E" w:rsidRPr="00A83C94" w:rsidRDefault="00C34A4E" w:rsidP="00C34A4E">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ծախսերը:</w:t>
      </w:r>
      <w:r w:rsidRPr="00A83C94">
        <w:rPr>
          <w:rFonts w:eastAsia="Calibri"/>
          <w:b w:val="0"/>
          <w:szCs w:val="22"/>
          <w:lang w:val="hy-AM" w:eastAsia="en-US"/>
        </w:rPr>
        <w:t xml:space="preserve"> 2021 թվականի հունվար-օգոստոս ամիսներին արձանագրվել է պետական բյուջեի ծախսերի աճ՝ պայմանավորված պետական բյուջեով նախատեսված,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Պետական բյուջեի ծախսերը նշված ժամանակահատվածում կազմել են 1184.1 մլրդ դրամ՝ նախորդ տարվա նույն ժամանակահատվածի համեմատ աճելով 10.4%-ով: Ընդ որում, ընթացիկ ծախսերը կազմել են 1080.5 մլրդ դրամ` նախորդ տարվա նույն ժամանակահատվածի համեմատ աճելով 8.8%</w:t>
      </w:r>
      <w:r w:rsidRPr="00A83C94">
        <w:rPr>
          <w:rFonts w:eastAsia="Calibri"/>
          <w:b w:val="0"/>
          <w:szCs w:val="22"/>
          <w:lang w:val="hy-AM" w:eastAsia="en-US"/>
        </w:rPr>
        <w:noBreakHyphen/>
        <w:t xml:space="preserve">ով, որն իր մեջ ներառում է Արցախյան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w:t>
      </w:r>
    </w:p>
    <w:p w14:paraId="147F9039" w14:textId="77777777" w:rsidR="00C34A4E" w:rsidRPr="00A83C94" w:rsidRDefault="00C34A4E" w:rsidP="00C34A4E">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b w:val="0"/>
          <w:szCs w:val="22"/>
          <w:lang w:val="hy-AM" w:eastAsia="en-US"/>
        </w:rPr>
        <w:t>Ոչ ֆինանսական ակտիվների հետ գործառնությունները 2021 թվականի հունվար-օգոստոս ամիսներին կազմել են 103.6 մլրդ դրամ, որում ոչ ֆինանսական ակտիվների գծով ծախսերը (կապիտալ ծախսեր) կազմել են 104.5 մլրդ դրամ` նախորդ տարվա նույն ժամանակահատվածի նկատմամբ աճելով 29.8%</w:t>
      </w:r>
      <w:r w:rsidRPr="00A83C94">
        <w:rPr>
          <w:rFonts w:eastAsia="Calibri"/>
          <w:b w:val="0"/>
          <w:szCs w:val="22"/>
          <w:lang w:val="hy-AM" w:eastAsia="en-US"/>
        </w:rPr>
        <w:noBreakHyphen/>
        <w:t xml:space="preserve">ով, որը հիմնականում պայմանավորված է պաշտպանությանն ուղղված ծախսերի աճով, որն էլ իր հերթին եռամսյակային վերաբաշխման արդյունք է: </w:t>
      </w:r>
    </w:p>
    <w:p w14:paraId="7CCC9BF7" w14:textId="77777777" w:rsidR="00C34A4E" w:rsidRPr="00A83C94" w:rsidRDefault="00C34A4E" w:rsidP="00C34A4E">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պակասուրդը:</w:t>
      </w:r>
      <w:r w:rsidRPr="00A83C94">
        <w:rPr>
          <w:rFonts w:eastAsia="Calibri"/>
          <w:b w:val="0"/>
          <w:szCs w:val="22"/>
          <w:lang w:val="hy-AM" w:eastAsia="en-US"/>
        </w:rPr>
        <w:t xml:space="preserve"> Վերոնշյալ զարգացումների արդյունքում պետական բյուջեն եղել է պակասուրդային: 2021 թվականի առաջին ութ ամիսների ընթացքում ձևավորվել է պետական բյուջեի 143.5 մլրդ դրամ պակասուրդ՝ նախորդ տարվա նույն ժամանակահատվածի 135.3</w:t>
      </w:r>
      <w:r w:rsidRPr="00A83C94">
        <w:rPr>
          <w:rFonts w:ascii="Calibri" w:eastAsia="Calibri" w:hAnsi="Calibri" w:cs="Calibri"/>
          <w:b w:val="0"/>
          <w:szCs w:val="22"/>
          <w:lang w:val="hy-AM" w:eastAsia="en-US"/>
        </w:rPr>
        <w:t> </w:t>
      </w:r>
      <w:r w:rsidRPr="00A83C94">
        <w:rPr>
          <w:rFonts w:eastAsia="Calibri"/>
          <w:b w:val="0"/>
          <w:szCs w:val="22"/>
          <w:lang w:val="hy-AM" w:eastAsia="en-US"/>
        </w:rPr>
        <w:t xml:space="preserve">մլրդ դրամի դիմաց: </w:t>
      </w:r>
    </w:p>
    <w:p w14:paraId="50885AF3" w14:textId="77777777" w:rsidR="00C34A4E" w:rsidRPr="00A83C94" w:rsidRDefault="00C34A4E" w:rsidP="00C34A4E">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Հարկաբյուջետային ազդակը:</w:t>
      </w:r>
      <w:r w:rsidRPr="00A83C94">
        <w:rPr>
          <w:rFonts w:eastAsia="Calibri"/>
          <w:b w:val="0"/>
          <w:szCs w:val="22"/>
          <w:lang w:val="hy-AM" w:eastAsia="en-US"/>
        </w:rPr>
        <w:t xml:space="preserve"> 2021 թվականի առաջին կիսամյակի ընթացքում տնտեսության վերականգնման և թույլ պահանջարկի պայմաններում հարկաբյուջետային քաղաքականության ազդեցությունն ամբողջական պահանջարկի վրա գնահատվում է զսպող: </w:t>
      </w:r>
    </w:p>
    <w:p w14:paraId="1A15FED0" w14:textId="77777777" w:rsidR="00C34A4E" w:rsidRPr="00A83C94" w:rsidRDefault="00C34A4E" w:rsidP="00C34A4E">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 xml:space="preserve">Կարճաժամկետ կանխատեսումներ </w:t>
      </w:r>
    </w:p>
    <w:p w14:paraId="58DD1F91" w14:textId="77777777" w:rsidR="00C34A4E" w:rsidRPr="00A83C94" w:rsidRDefault="00C34A4E" w:rsidP="00C34A4E">
      <w:pPr>
        <w:spacing w:before="0" w:after="160" w:line="276" w:lineRule="auto"/>
        <w:ind w:firstLine="630"/>
        <w:contextualSpacing w:val="0"/>
        <w:rPr>
          <w:rFonts w:eastAsia="Calibri" w:cs="GHEA Grapalat"/>
          <w:b w:val="0"/>
          <w:szCs w:val="22"/>
          <w:lang w:val="hy-AM" w:eastAsia="en-US"/>
        </w:rPr>
      </w:pPr>
      <w:r w:rsidRPr="00A83C94">
        <w:rPr>
          <w:rFonts w:eastAsia="Calibri" w:cs="GHEA Grapalat"/>
          <w:bCs/>
          <w:szCs w:val="22"/>
          <w:lang w:val="hy-AM" w:eastAsia="en-US"/>
        </w:rPr>
        <w:t>Հարկաբյուջետային և պարտքային կայուն միջավայր ձևավորելու անհրաժեշտությունից ելնելով՝ 2021 թվականին մեկնարկել է հարկաբյուջետային կոնսոլիդացիան, ինչի պայմաններում հարկաբյուջետային քաղաքականության ազդեցությունը կլինի զսպող:</w:t>
      </w:r>
      <w:r w:rsidRPr="00A83C94">
        <w:rPr>
          <w:rFonts w:eastAsia="Calibri" w:cs="GHEA Grapalat"/>
          <w:b w:val="0"/>
          <w:szCs w:val="22"/>
          <w:lang w:val="hy-AM" w:eastAsia="en-US"/>
        </w:rPr>
        <w:t xml:space="preserve"> 2021թ.</w:t>
      </w:r>
      <w:r w:rsidRPr="00A83C94">
        <w:rPr>
          <w:rFonts w:eastAsia="Calibri" w:cs="GHEA Grapalat"/>
          <w:b w:val="0"/>
          <w:szCs w:val="22"/>
          <w:lang w:val="hy-AM" w:eastAsia="en-US"/>
        </w:rPr>
        <w:noBreakHyphen/>
        <w:t>ին, հաշվի առնելով նախորդ տարվա բացասական իրադարձությունների հետևանքները, ևս մեկ տարի օգտագործվել են հարկաբյուջետային կանոնների համակարգով նախատեսված բացառիկ դեպքի կարգավորումները</w:t>
      </w:r>
      <w:r w:rsidRPr="00A83C94">
        <w:rPr>
          <w:rFonts w:eastAsia="Calibri" w:cs="GHEA Grapalat"/>
          <w:b w:val="0"/>
          <w:szCs w:val="22"/>
          <w:vertAlign w:val="superscript"/>
          <w:lang w:val="hy-AM" w:eastAsia="en-US"/>
        </w:rPr>
        <w:footnoteReference w:id="16"/>
      </w:r>
      <w:r w:rsidRPr="00A83C94">
        <w:rPr>
          <w:rFonts w:eastAsia="Calibri" w:cs="GHEA Grapalat"/>
          <w:b w:val="0"/>
          <w:szCs w:val="22"/>
          <w:vertAlign w:val="superscript"/>
          <w:lang w:val="hy-AM" w:eastAsia="en-US"/>
        </w:rPr>
        <w:t xml:space="preserve">, </w:t>
      </w:r>
      <w:r w:rsidRPr="00A83C94">
        <w:rPr>
          <w:rFonts w:eastAsia="Calibri" w:cs="GHEA Grapalat"/>
          <w:b w:val="0"/>
          <w:szCs w:val="22"/>
          <w:lang w:val="hy-AM" w:eastAsia="en-US"/>
        </w:rPr>
        <w:t>իսկ պետական ֆինանսների «ոսկե կանոնների» տրամաբանությանը և հարկաբյուջետային կանոնների ամբողջական պահպանմանը վերադարձ կկատարվի 2022 թվականից: Այդ համատեքստում, պետական բյուջեի կապիտալ ծախսերը 2021թ. կլինեն ավելի փոքր, քան բյուջեի պակասուրդը: Միևնույն ժամանակ, տնտեսության վերականգնումը չխաթարելու և մակրոտնտեսական կայունությանը նպաստելու նպատակով, նախատեսվում է իրականացնել հարկաբյուջետային սահուն կոնսոլիդացիա, ինչի արդյունքում կապահովվի կառավարության պարտքի բեռի նվազող միտման պահպանումը:</w:t>
      </w:r>
    </w:p>
    <w:p w14:paraId="3610EBBF" w14:textId="77777777" w:rsidR="00C34A4E" w:rsidRPr="00A83C94" w:rsidRDefault="00C34A4E" w:rsidP="00C34A4E">
      <w:pPr>
        <w:autoSpaceDE w:val="0"/>
        <w:autoSpaceDN w:val="0"/>
        <w:adjustRightInd w:val="0"/>
        <w:spacing w:before="0" w:after="120" w:line="276" w:lineRule="auto"/>
        <w:ind w:firstLine="709"/>
        <w:contextualSpacing w:val="0"/>
        <w:rPr>
          <w:rFonts w:eastAsia="Calibri" w:cs="GHEA Grapalat"/>
          <w:b w:val="0"/>
          <w:szCs w:val="22"/>
          <w:lang w:val="hy-AM" w:eastAsia="en-US"/>
        </w:rPr>
      </w:pPr>
      <w:r w:rsidRPr="00A83C94">
        <w:rPr>
          <w:rFonts w:eastAsia="Calibri" w:cs="GHEA Grapalat"/>
          <w:b w:val="0"/>
          <w:bCs/>
          <w:szCs w:val="22"/>
          <w:lang w:val="hy-AM" w:eastAsia="en-US"/>
        </w:rPr>
        <w:t xml:space="preserve">2021թ.-ին սպասվում է հարկեր/ՀՆԱ հարաբերակցության 0.1 տոկոսային կետով բարելավում՝ պայմանավորված հիմնականում օրենսդրական փոփոխություններով (մասնավորապես՝ դրոշմանիշային վճարների աճով և արտահանման տուրքի կիրառմամբ): </w:t>
      </w:r>
      <w:r w:rsidRPr="00A83C94">
        <w:rPr>
          <w:rFonts w:eastAsia="Calibri" w:cs="GHEA Grapalat"/>
          <w:b w:val="0"/>
          <w:szCs w:val="22"/>
          <w:lang w:val="hy-AM" w:eastAsia="en-US"/>
        </w:rPr>
        <w:t>2021թ. հարկային եկամուտները կկազմեն 1581.0 մլրդ դրամ, կամ ՀՆԱ-ի 22.5%-ը: Պետական բյուջեի ընդհանուր ծախսերը նախորդ տարվա համեմատ կաճեն շուրջ 4.8%-ով՝ ներառելով COVID-19 համավարակի և Արցախյան պատերազմի հետևանքների մեղմանն ուղղված ծախսերը և կազմելով 1986.0 մլրդ դրամ, կամ ՀՆԱ-ի 28.2%-ը: Վերջինս, նախորդ տարվա համապատասխան ցուցանիշից փոքր է 2.4 տոկոսային կետով: Արդյունքում, պետական բյուջեի պակասուրդը 2020 թվականի նկատմամբ կնվազի՝ կազմելով շուրջ 329.1 մլրդ դրամ, կամ ՀՆԱ-ի շուրջ 4.7 տոկոսը, իսկ հարկաբյուջետային քաղաքականության ազդեցությունը ամբողջական պահանջարկի վրա կլինի 1.9% զսպող (եկամուտների չեզոք(0.2%) և ծախսերի 2.2% զսպող ազդեցություններով): Վերջինս այլ գործոնների հետ կնպաստի կառավարության պարտք/ՀՆԱ հարաբերակցության նվազմանը, որը կկազմի շուրջ 60.8 տոկոս՝ նախորդ տարվա համեմատ նվազելով 2.7 տոկոսային կետով:</w:t>
      </w:r>
    </w:p>
    <w:p w14:paraId="4230D1B5" w14:textId="3089D2F1" w:rsidR="00C34A4E" w:rsidRPr="00A83C94" w:rsidRDefault="00C34A4E" w:rsidP="00C34A4E">
      <w:pPr>
        <w:autoSpaceDE w:val="0"/>
        <w:autoSpaceDN w:val="0"/>
        <w:adjustRightInd w:val="0"/>
        <w:spacing w:before="0" w:after="120" w:line="276" w:lineRule="auto"/>
        <w:ind w:firstLine="709"/>
        <w:contextualSpacing w:val="0"/>
        <w:rPr>
          <w:rFonts w:eastAsia="Calibri"/>
          <w:b w:val="0"/>
          <w:szCs w:val="22"/>
          <w:lang w:val="hy-AM" w:eastAsia="en-US"/>
        </w:rPr>
      </w:pPr>
      <w:r w:rsidRPr="00A83C94">
        <w:rPr>
          <w:rFonts w:eastAsia="Calibri"/>
          <w:szCs w:val="22"/>
          <w:lang w:val="hy-AM" w:eastAsia="en-US"/>
        </w:rPr>
        <w:t>Նպատակ ունենալով նպաստել տնտեսական աճի ներուժի բարձրացմանը և միաժամանակ ապահովել հարկաբյուջետային կայունություն՝ հարկաբյուջետային քաղաքականությամբ թիրախավորվել է էապես բարձրացնել պետական ներդումների մակարդակը և միաժամանակ ապահովել ՀՀ կառավարության պարտքի բեռի նվազող միտումը:</w:t>
      </w:r>
      <w:r w:rsidRPr="00A83C94">
        <w:rPr>
          <w:rFonts w:eastAsia="Calibri"/>
          <w:b w:val="0"/>
          <w:bCs/>
          <w:szCs w:val="22"/>
          <w:lang w:val="hy-AM" w:eastAsia="en-US"/>
        </w:rPr>
        <w:t xml:space="preserve"> Բ</w:t>
      </w:r>
      <w:r w:rsidRPr="00A83C94">
        <w:rPr>
          <w:rFonts w:eastAsia="Calibri"/>
          <w:b w:val="0"/>
          <w:szCs w:val="22"/>
          <w:lang w:val="hy-AM" w:eastAsia="en-US"/>
        </w:rPr>
        <w:t xml:space="preserve">արձր տնտեսական աճի պայմաններում, հարկային վարչարարության լրացուցիչ ջանքի և օրենսդրական բարեփոխումների արդյունքում, ակնկալվում է, որ հարկեր/ՀՆԱ հարաբերակցությունը 2022թ.-ին կբարելավվի շուրջ 0.9 տոկոսային կետով՝ կազմելով շուրջ 1843.8 մլրդ դրամ, կամ ՀՆԱ-ի 23.4%-ը: Պետական բյուջեի ընթացիկ ծախսերը կկազմեն </w:t>
      </w:r>
      <w:r w:rsidRPr="002A203C">
        <w:rPr>
          <w:rFonts w:eastAsia="Calibri"/>
          <w:b w:val="0"/>
          <w:szCs w:val="22"/>
          <w:lang w:val="hy-AM" w:eastAsia="en-US"/>
        </w:rPr>
        <w:t>1,84</w:t>
      </w:r>
      <w:r w:rsidR="0017201C" w:rsidRPr="0017201C">
        <w:rPr>
          <w:rFonts w:eastAsia="Calibri"/>
          <w:b w:val="0"/>
          <w:szCs w:val="22"/>
          <w:lang w:val="hy-AM" w:eastAsia="en-US"/>
        </w:rPr>
        <w:t>2</w:t>
      </w:r>
      <w:r w:rsidRPr="002A203C">
        <w:rPr>
          <w:rFonts w:eastAsia="Calibri"/>
          <w:b w:val="0"/>
          <w:szCs w:val="22"/>
          <w:lang w:val="hy-AM" w:eastAsia="en-US"/>
        </w:rPr>
        <w:t>.</w:t>
      </w:r>
      <w:r w:rsidR="0017201C" w:rsidRPr="0017201C">
        <w:rPr>
          <w:rFonts w:eastAsia="Calibri"/>
          <w:b w:val="0"/>
          <w:szCs w:val="22"/>
          <w:lang w:val="hy-AM" w:eastAsia="en-US"/>
        </w:rPr>
        <w:t>7</w:t>
      </w:r>
      <w:r w:rsidRPr="00A83C94">
        <w:rPr>
          <w:rFonts w:eastAsia="Calibri"/>
          <w:b w:val="0"/>
          <w:szCs w:val="22"/>
          <w:lang w:val="hy-AM" w:eastAsia="en-US"/>
        </w:rPr>
        <w:t xml:space="preserve"> մլրդ դրամ, որոնց կազմում ընթացիկ առաջնային ծախսերը սահմանափակված կլինեն նախորդ 7 տարիների ՀՆԱ-ների փաստացի անվանական միջին աճի չափով, իսկ ոչ ֆինանսական ակտիվների հետ գործառնությունների դերը զգալիորեն կբարելավվի՝ հասնելով ՀՆԱ-ի </w:t>
      </w:r>
      <w:r>
        <w:rPr>
          <w:rFonts w:eastAsia="Calibri"/>
          <w:b w:val="0"/>
          <w:szCs w:val="22"/>
          <w:lang w:val="hy-AM" w:eastAsia="en-US"/>
        </w:rPr>
        <w:t>4.4</w:t>
      </w:r>
      <w:r w:rsidRPr="00A83C94">
        <w:rPr>
          <w:rFonts w:eastAsia="Calibri"/>
          <w:b w:val="0"/>
          <w:szCs w:val="22"/>
          <w:lang w:val="hy-AM" w:eastAsia="en-US"/>
        </w:rPr>
        <w:t>%-ին՝ 2021թ. սպասվող 3.2%-ի համեմատ աճելով 1.</w:t>
      </w:r>
      <w:r>
        <w:rPr>
          <w:rFonts w:eastAsia="Calibri"/>
          <w:b w:val="0"/>
          <w:szCs w:val="22"/>
          <w:lang w:val="hy-AM" w:eastAsia="en-US"/>
        </w:rPr>
        <w:t>2</w:t>
      </w:r>
      <w:r w:rsidRPr="00A83C94">
        <w:rPr>
          <w:rFonts w:eastAsia="Calibri"/>
          <w:b w:val="0"/>
          <w:szCs w:val="22"/>
          <w:lang w:val="hy-AM" w:eastAsia="en-US"/>
        </w:rPr>
        <w:t xml:space="preserve"> տոկոսային կետով, որում ոչ ֆինանսական ակտիվների գծով ծախսերը կհասնեն ՀՆԱ-ի </w:t>
      </w:r>
      <w:r>
        <w:rPr>
          <w:rFonts w:eastAsia="Calibri"/>
          <w:b w:val="0"/>
          <w:szCs w:val="22"/>
          <w:lang w:val="hy-AM" w:eastAsia="en-US"/>
        </w:rPr>
        <w:t>4</w:t>
      </w:r>
      <w:r w:rsidRPr="00A83C94">
        <w:rPr>
          <w:rFonts w:eastAsia="Calibri"/>
          <w:b w:val="0"/>
          <w:szCs w:val="22"/>
          <w:lang w:val="hy-AM" w:eastAsia="en-US"/>
        </w:rPr>
        <w:t>.</w:t>
      </w:r>
      <w:r>
        <w:rPr>
          <w:rFonts w:eastAsia="Calibri"/>
          <w:b w:val="0"/>
          <w:szCs w:val="22"/>
          <w:lang w:val="hy-AM" w:eastAsia="en-US"/>
        </w:rPr>
        <w:t>5</w:t>
      </w:r>
      <w:r w:rsidRPr="00A83C94">
        <w:rPr>
          <w:rFonts w:eastAsia="Calibri"/>
          <w:b w:val="0"/>
          <w:szCs w:val="22"/>
          <w:lang w:val="hy-AM" w:eastAsia="en-US"/>
        </w:rPr>
        <w:t>%-ի:</w:t>
      </w:r>
    </w:p>
    <w:p w14:paraId="65E9E5FE" w14:textId="77777777" w:rsidR="00C34A4E" w:rsidRPr="00A83C94" w:rsidRDefault="00C34A4E" w:rsidP="00C34A4E">
      <w:pPr>
        <w:autoSpaceDE w:val="0"/>
        <w:autoSpaceDN w:val="0"/>
        <w:adjustRightInd w:val="0"/>
        <w:spacing w:before="0" w:after="120" w:line="276" w:lineRule="auto"/>
        <w:ind w:firstLine="709"/>
        <w:contextualSpacing w:val="0"/>
        <w:rPr>
          <w:rFonts w:eastAsia="Calibri"/>
          <w:b w:val="0"/>
          <w:szCs w:val="22"/>
          <w:lang w:val="hy-AM" w:eastAsia="en-US"/>
        </w:rPr>
      </w:pPr>
      <w:r w:rsidRPr="00A83C94">
        <w:rPr>
          <w:rFonts w:eastAsia="Calibri"/>
          <w:b w:val="0"/>
          <w:szCs w:val="22"/>
          <w:lang w:val="hy-AM" w:eastAsia="en-US"/>
        </w:rPr>
        <w:t>2022 թվականին, պետական բյուջեի դեֆիցիտը կնվազի՝ կազմելով ՀՆԱ-ի 3.</w:t>
      </w:r>
      <w:r>
        <w:rPr>
          <w:rFonts w:eastAsia="Calibri"/>
          <w:b w:val="0"/>
          <w:szCs w:val="22"/>
          <w:lang w:val="hy-AM" w:eastAsia="en-US"/>
        </w:rPr>
        <w:t>1</w:t>
      </w:r>
      <w:r w:rsidRPr="00A83C94">
        <w:rPr>
          <w:rFonts w:eastAsia="Calibri" w:cs="Sylfaen"/>
          <w:b w:val="0"/>
          <w:szCs w:val="22"/>
          <w:lang w:val="hy-AM" w:eastAsia="en-US"/>
        </w:rPr>
        <w:t>%-</w:t>
      </w:r>
      <w:r w:rsidRPr="00A83C94">
        <w:rPr>
          <w:rFonts w:eastAsia="Calibri"/>
          <w:b w:val="0"/>
          <w:szCs w:val="22"/>
          <w:lang w:val="hy-AM" w:eastAsia="en-US"/>
        </w:rPr>
        <w:t xml:space="preserve">ի չափ, իսկ հարկաբյուջետային քաղաքականությունը կլինի չեզոք՝ </w:t>
      </w:r>
      <w:r w:rsidRPr="00A83C94">
        <w:rPr>
          <w:rFonts w:eastAsia="Calibri" w:cs="Times Armenian"/>
          <w:b w:val="0"/>
          <w:bCs/>
          <w:szCs w:val="22"/>
          <w:lang w:val="hy-AM" w:eastAsia="en-US"/>
        </w:rPr>
        <w:t>չխաթարելով տնտեսական աճը և ապահովելով պարտքի բեռի նվազումը</w:t>
      </w:r>
      <w:r w:rsidRPr="00A83C94">
        <w:rPr>
          <w:rFonts w:eastAsia="Calibri"/>
          <w:b w:val="0"/>
          <w:szCs w:val="22"/>
          <w:lang w:val="hy-AM" w:eastAsia="en-US"/>
        </w:rPr>
        <w:t xml:space="preserve">: </w:t>
      </w:r>
    </w:p>
    <w:p w14:paraId="592927ED"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1AED8318"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24CAFAF3"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1A09FDD8"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0C5BF87A"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3F580BDB"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2FCB987E"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30A5DBA3"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65E7C917"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081A5F23"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76C064C7"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4DE726CB"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37C8275E"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149B1106" w14:textId="77777777" w:rsidR="00C34A4E" w:rsidRPr="00A83C94" w:rsidRDefault="00C34A4E" w:rsidP="00C34A4E">
      <w:pPr>
        <w:spacing w:before="0" w:line="276" w:lineRule="auto"/>
        <w:ind w:firstLine="0"/>
        <w:contextualSpacing w:val="0"/>
        <w:jc w:val="left"/>
        <w:rPr>
          <w:rFonts w:eastAsia="Calibri"/>
          <w:bCs/>
          <w:i/>
          <w:iCs/>
          <w:sz w:val="21"/>
          <w:szCs w:val="21"/>
          <w:lang w:val="hy-AM" w:eastAsia="en-US"/>
        </w:rPr>
      </w:pPr>
    </w:p>
    <w:p w14:paraId="1BE8DEC9" w14:textId="77777777" w:rsidR="00C34A4E" w:rsidRPr="00A83C94" w:rsidRDefault="00C34A4E" w:rsidP="00C34A4E">
      <w:pPr>
        <w:spacing w:before="0" w:line="276" w:lineRule="auto"/>
        <w:ind w:firstLine="0"/>
        <w:contextualSpacing w:val="0"/>
        <w:jc w:val="left"/>
        <w:rPr>
          <w:rFonts w:eastAsia="Calibri"/>
          <w:b w:val="0"/>
          <w:i/>
          <w:iCs/>
          <w:sz w:val="21"/>
          <w:szCs w:val="21"/>
          <w:lang w:val="hy-AM" w:eastAsia="en-US"/>
        </w:rPr>
      </w:pPr>
      <w:r w:rsidRPr="00A83C94">
        <w:rPr>
          <w:rFonts w:eastAsia="Calibri"/>
          <w:bCs/>
          <w:i/>
          <w:iCs/>
          <w:sz w:val="21"/>
          <w:szCs w:val="21"/>
          <w:lang w:val="hy-AM" w:eastAsia="en-US"/>
        </w:rPr>
        <w:t>Գծապատկեր 2.2.</w:t>
      </w:r>
      <w:r w:rsidRPr="00A83C94">
        <w:rPr>
          <w:rFonts w:eastAsia="Calibri"/>
          <w:b w:val="0"/>
          <w:i/>
          <w:iCs/>
          <w:sz w:val="21"/>
          <w:szCs w:val="21"/>
          <w:lang w:val="hy-AM" w:eastAsia="en-US"/>
        </w:rPr>
        <w:t xml:space="preserve"> Պետական բյուջեի եկամուտները, ծախսերը և պակասուրդը, մլրդ դրամ</w:t>
      </w:r>
    </w:p>
    <w:p w14:paraId="4FB7830F" w14:textId="77777777" w:rsidR="00C34A4E" w:rsidRPr="00A83C94" w:rsidRDefault="00C34A4E" w:rsidP="00C34A4E">
      <w:pPr>
        <w:spacing w:before="0" w:line="276" w:lineRule="auto"/>
        <w:ind w:firstLine="0"/>
        <w:contextualSpacing w:val="0"/>
        <w:rPr>
          <w:rFonts w:eastAsia="Calibri"/>
          <w:szCs w:val="22"/>
          <w:lang w:val="hy-AM" w:eastAsia="en-US"/>
        </w:rPr>
      </w:pPr>
      <w:r w:rsidRPr="00A83C94">
        <w:rPr>
          <w:rFonts w:eastAsia="Calibri"/>
          <w:b w:val="0"/>
          <w:noProof/>
          <w:sz w:val="20"/>
          <w:szCs w:val="20"/>
          <w:lang w:val="en-US" w:eastAsia="en-US"/>
        </w:rPr>
        <w:drawing>
          <wp:inline distT="0" distB="0" distL="0" distR="0" wp14:anchorId="7BB8DB24" wp14:editId="7DBBDC3A">
            <wp:extent cx="2952000" cy="2857500"/>
            <wp:effectExtent l="0" t="0" r="1270" b="0"/>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83C94">
        <w:rPr>
          <w:rFonts w:eastAsia="Calibri"/>
          <w:szCs w:val="22"/>
          <w:lang w:val="hy-AM" w:eastAsia="en-US"/>
        </w:rPr>
        <w:t xml:space="preserve"> </w:t>
      </w:r>
      <w:r w:rsidRPr="00A83C94">
        <w:rPr>
          <w:rFonts w:eastAsia="Calibri"/>
          <w:b w:val="0"/>
          <w:noProof/>
          <w:sz w:val="20"/>
          <w:szCs w:val="20"/>
          <w:lang w:val="en-US" w:eastAsia="en-US"/>
        </w:rPr>
        <w:drawing>
          <wp:inline distT="0" distB="0" distL="0" distR="0" wp14:anchorId="2AFC897E" wp14:editId="35337A52">
            <wp:extent cx="2952000" cy="2857500"/>
            <wp:effectExtent l="0" t="0" r="127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2BBF93" w14:textId="77777777" w:rsidR="00C34A4E" w:rsidRPr="00A83C94" w:rsidRDefault="00C34A4E" w:rsidP="00C34A4E">
      <w:pPr>
        <w:spacing w:before="0" w:line="276" w:lineRule="auto"/>
        <w:ind w:firstLine="0"/>
        <w:contextualSpacing w:val="0"/>
        <w:jc w:val="left"/>
        <w:rPr>
          <w:rFonts w:eastAsia="Calibri"/>
          <w:b w:val="0"/>
          <w:i/>
          <w:iCs/>
          <w:sz w:val="21"/>
          <w:szCs w:val="21"/>
          <w:lang w:val="hy-AM" w:eastAsia="en-US"/>
        </w:rPr>
      </w:pPr>
      <w:r w:rsidRPr="00A83C94">
        <w:rPr>
          <w:rFonts w:eastAsia="Calibri"/>
          <w:bCs/>
          <w:i/>
          <w:iCs/>
          <w:sz w:val="21"/>
          <w:szCs w:val="21"/>
          <w:lang w:val="hy-AM" w:eastAsia="en-US"/>
        </w:rPr>
        <w:t>Գծապատկեր 2.3.</w:t>
      </w:r>
      <w:r w:rsidRPr="00A83C94">
        <w:rPr>
          <w:rFonts w:eastAsia="Calibri"/>
          <w:b w:val="0"/>
          <w:i/>
          <w:iCs/>
          <w:sz w:val="21"/>
          <w:szCs w:val="21"/>
          <w:lang w:val="hy-AM" w:eastAsia="en-US"/>
        </w:rPr>
        <w:t xml:space="preserve"> Հարկաբյուջետային ազդակը</w:t>
      </w:r>
    </w:p>
    <w:p w14:paraId="7F613E2B" w14:textId="77777777" w:rsidR="00C34A4E" w:rsidRPr="00A83C94" w:rsidRDefault="00C34A4E" w:rsidP="00C34A4E">
      <w:pPr>
        <w:spacing w:before="0" w:line="276" w:lineRule="auto"/>
        <w:ind w:firstLine="0"/>
        <w:contextualSpacing w:val="0"/>
        <w:rPr>
          <w:rFonts w:eastAsia="Calibri"/>
          <w:b w:val="0"/>
          <w:szCs w:val="22"/>
          <w:lang w:val="hy-AM" w:eastAsia="en-US"/>
        </w:rPr>
      </w:pPr>
      <w:r w:rsidRPr="00A83C94">
        <w:rPr>
          <w:rFonts w:eastAsia="Calibri"/>
          <w:b w:val="0"/>
          <w:noProof/>
          <w:szCs w:val="22"/>
          <w:lang w:val="en-US" w:eastAsia="en-US"/>
        </w:rPr>
        <w:drawing>
          <wp:inline distT="0" distB="0" distL="0" distR="0" wp14:anchorId="12E86393" wp14:editId="7840B253">
            <wp:extent cx="5969000" cy="2495550"/>
            <wp:effectExtent l="0" t="0" r="1270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09AFAAC" w14:textId="77777777" w:rsidR="00C34A4E" w:rsidRPr="00A83C94" w:rsidRDefault="00C34A4E" w:rsidP="00C34A4E">
      <w:pPr>
        <w:autoSpaceDE w:val="0"/>
        <w:autoSpaceDN w:val="0"/>
        <w:adjustRightInd w:val="0"/>
        <w:spacing w:before="0" w:line="276" w:lineRule="auto"/>
        <w:ind w:firstLine="709"/>
        <w:contextualSpacing w:val="0"/>
        <w:rPr>
          <w:rFonts w:eastAsia="Calibri" w:cs="Arial"/>
          <w:b w:val="0"/>
          <w:bCs/>
          <w:i/>
          <w:iCs/>
          <w:sz w:val="18"/>
          <w:szCs w:val="18"/>
          <w:lang w:val="hy-AM" w:eastAsia="en-US"/>
        </w:rPr>
      </w:pPr>
      <w:r w:rsidRPr="00A83C94">
        <w:rPr>
          <w:rFonts w:eastAsia="Calibri" w:cs="Arial"/>
          <w:b w:val="0"/>
          <w:bCs/>
          <w:i/>
          <w:iCs/>
          <w:sz w:val="18"/>
          <w:szCs w:val="18"/>
          <w:lang w:val="hy-AM" w:eastAsia="en-US"/>
        </w:rPr>
        <w:t>Աղբյուրը՝ ՀՀ ՖՆ գնահատականներ</w:t>
      </w:r>
    </w:p>
    <w:p w14:paraId="648F667C" w14:textId="77777777" w:rsidR="00C34A4E" w:rsidRPr="00A83C94" w:rsidRDefault="00C34A4E" w:rsidP="00C34A4E">
      <w:pPr>
        <w:spacing w:before="40" w:after="60" w:line="276" w:lineRule="auto"/>
        <w:contextualSpacing w:val="0"/>
        <w:rPr>
          <w:rFonts w:eastAsia="Calibri"/>
          <w:b w:val="0"/>
          <w:szCs w:val="22"/>
          <w:lang w:val="hy-AM" w:eastAsia="en-US"/>
        </w:rPr>
      </w:pPr>
      <w:r w:rsidRPr="00A83C94">
        <w:rPr>
          <w:rFonts w:eastAsia="Calibri"/>
          <w:szCs w:val="22"/>
          <w:lang w:val="hy-AM" w:eastAsia="en-US"/>
        </w:rPr>
        <w:t xml:space="preserve">2022 թվականից վերադարձ կկատարվի </w:t>
      </w:r>
      <w:r w:rsidRPr="00A83C94">
        <w:rPr>
          <w:rFonts w:eastAsia="Calibri"/>
          <w:bCs/>
          <w:szCs w:val="22"/>
          <w:lang w:val="hy-AM" w:eastAsia="en-US"/>
        </w:rPr>
        <w:t xml:space="preserve">հարկաբյուջետային կանոններով սահմանված պետական ֆինանսների «ոսկե կանոնների» տրամաբանությանը՝ կայուն հիմքեր ստեղծելով երկարաժամկետ բարձր տնտեսական աճի ապահովման համար, ապահովելով պարտք/ՀՆԱ հարաբերակցության նվազող հետագիծը և ծախսերի կառուցվածքի բարելավումը: </w:t>
      </w:r>
      <w:r w:rsidRPr="00A83C94">
        <w:rPr>
          <w:rFonts w:eastAsia="Calibri"/>
          <w:b w:val="0"/>
          <w:szCs w:val="22"/>
          <w:lang w:val="hy-AM" w:eastAsia="en-US"/>
        </w:rPr>
        <w:t>Մասնավորապես նախատեսվել է ընդհանուր ծախսերում կապիտալ ծախսերի մասնաբաժնի մեծացում, ինչի արդյունքում կապիտալ ծախսերի ծավալը կգերազանցի պետական բյուջեի պակասուրդի մեծությունը: Բացի այդ, հարկեր/ՀՆԱ հարաբերակցության բարելավման և ընթացիկ ծախսերի՝ հարկաբյուջետային կանոններին համապատասխան սահմանափակ աճի պայմաններում, կանխատեսվող հորիզոնում ընթացիկ ծախսերի մակարդակը կհավասարվի հարկային եկամուտներ/ՀՆԱ հարաբերակցությանը:</w:t>
      </w:r>
    </w:p>
    <w:p w14:paraId="6C5B8041" w14:textId="77777777" w:rsidR="00C34A4E" w:rsidRPr="00A83C94" w:rsidRDefault="00C34A4E" w:rsidP="00C34A4E">
      <w:pPr>
        <w:spacing w:before="0" w:line="276" w:lineRule="auto"/>
        <w:ind w:firstLine="709"/>
        <w:contextualSpacing w:val="0"/>
        <w:rPr>
          <w:rFonts w:eastAsia="Calibri"/>
          <w:bCs/>
          <w:i/>
          <w:iCs/>
          <w:sz w:val="21"/>
          <w:szCs w:val="21"/>
          <w:lang w:val="hy-AM" w:eastAsia="en-US"/>
        </w:rPr>
      </w:pPr>
    </w:p>
    <w:p w14:paraId="0D543C52" w14:textId="77777777" w:rsidR="00C34A4E" w:rsidRPr="00A83C94" w:rsidRDefault="00C34A4E" w:rsidP="00C34A4E">
      <w:pPr>
        <w:spacing w:before="0" w:line="276" w:lineRule="auto"/>
        <w:ind w:firstLine="709"/>
        <w:contextualSpacing w:val="0"/>
        <w:rPr>
          <w:rFonts w:eastAsia="Calibri"/>
          <w:bCs/>
          <w:i/>
          <w:iCs/>
          <w:sz w:val="21"/>
          <w:szCs w:val="21"/>
          <w:lang w:val="hy-AM" w:eastAsia="en-US"/>
        </w:rPr>
      </w:pPr>
    </w:p>
    <w:p w14:paraId="739ACF42" w14:textId="77777777" w:rsidR="00C34A4E" w:rsidRPr="00A83C94" w:rsidRDefault="00C34A4E" w:rsidP="00C34A4E">
      <w:pPr>
        <w:spacing w:before="0" w:line="276" w:lineRule="auto"/>
        <w:ind w:firstLine="709"/>
        <w:contextualSpacing w:val="0"/>
        <w:rPr>
          <w:rFonts w:eastAsia="Calibri"/>
          <w:bCs/>
          <w:i/>
          <w:iCs/>
          <w:sz w:val="21"/>
          <w:szCs w:val="21"/>
          <w:lang w:val="hy-AM" w:eastAsia="en-US"/>
        </w:rPr>
      </w:pPr>
    </w:p>
    <w:p w14:paraId="150DFD08" w14:textId="77777777" w:rsidR="00C34A4E" w:rsidRPr="00A83C94" w:rsidRDefault="00C34A4E" w:rsidP="00C34A4E">
      <w:pPr>
        <w:spacing w:before="0" w:line="276" w:lineRule="auto"/>
        <w:ind w:firstLine="709"/>
        <w:contextualSpacing w:val="0"/>
        <w:rPr>
          <w:rFonts w:eastAsia="Calibri"/>
          <w:bCs/>
          <w:i/>
          <w:iCs/>
          <w:sz w:val="21"/>
          <w:szCs w:val="21"/>
          <w:lang w:val="hy-AM" w:eastAsia="en-US"/>
        </w:rPr>
      </w:pPr>
    </w:p>
    <w:p w14:paraId="54B0DEAB" w14:textId="77777777" w:rsidR="00C34A4E" w:rsidRPr="00A83C94" w:rsidRDefault="00C34A4E" w:rsidP="00C34A4E">
      <w:pPr>
        <w:spacing w:before="0" w:line="276" w:lineRule="auto"/>
        <w:ind w:firstLine="709"/>
        <w:contextualSpacing w:val="0"/>
        <w:rPr>
          <w:rFonts w:eastAsia="Calibri"/>
          <w:bCs/>
          <w:i/>
          <w:iCs/>
          <w:sz w:val="21"/>
          <w:szCs w:val="21"/>
          <w:lang w:val="hy-AM" w:eastAsia="en-US"/>
        </w:rPr>
      </w:pPr>
    </w:p>
    <w:p w14:paraId="205B19E5" w14:textId="77777777" w:rsidR="00C34A4E" w:rsidRPr="00A83C94" w:rsidRDefault="00C34A4E" w:rsidP="00C34A4E">
      <w:pPr>
        <w:spacing w:before="0" w:line="276" w:lineRule="auto"/>
        <w:ind w:firstLine="709"/>
        <w:contextualSpacing w:val="0"/>
        <w:rPr>
          <w:rFonts w:eastAsia="Calibri"/>
          <w:b w:val="0"/>
          <w:i/>
          <w:iCs/>
          <w:sz w:val="21"/>
          <w:szCs w:val="21"/>
          <w:lang w:val="hy-AM" w:eastAsia="en-US"/>
        </w:rPr>
      </w:pPr>
      <w:r w:rsidRPr="00A83C94">
        <w:rPr>
          <w:rFonts w:eastAsia="Calibri"/>
          <w:bCs/>
          <w:i/>
          <w:iCs/>
          <w:sz w:val="21"/>
          <w:szCs w:val="21"/>
          <w:lang w:val="hy-AM" w:eastAsia="en-US"/>
        </w:rPr>
        <w:t>Գծապատկեր 2.4.</w:t>
      </w:r>
      <w:r w:rsidRPr="00A83C94">
        <w:rPr>
          <w:rFonts w:eastAsia="Calibri"/>
          <w:b w:val="0"/>
          <w:i/>
          <w:iCs/>
          <w:sz w:val="21"/>
          <w:szCs w:val="21"/>
          <w:lang w:val="hy-AM" w:eastAsia="en-US"/>
        </w:rPr>
        <w:t xml:space="preserve"> 2022 թվականին վերադարձը «Ոսկե կանոնների» պահպանմանը</w:t>
      </w:r>
    </w:p>
    <w:p w14:paraId="61FD1C83" w14:textId="77777777" w:rsidR="00C34A4E" w:rsidRPr="00A83C94" w:rsidRDefault="00C34A4E" w:rsidP="00C34A4E">
      <w:pPr>
        <w:spacing w:before="0" w:line="240" w:lineRule="auto"/>
        <w:ind w:firstLine="0"/>
        <w:contextualSpacing w:val="0"/>
        <w:jc w:val="center"/>
        <w:rPr>
          <w:rFonts w:eastAsia="Calibri"/>
          <w:b w:val="0"/>
          <w:noProof/>
          <w:sz w:val="20"/>
          <w:szCs w:val="20"/>
          <w:lang w:val="hy-AM" w:eastAsia="en-US"/>
        </w:rPr>
      </w:pPr>
      <w:r w:rsidRPr="00A83C94">
        <w:rPr>
          <w:rFonts w:eastAsia="Calibri"/>
          <w:b w:val="0"/>
          <w:noProof/>
          <w:sz w:val="20"/>
          <w:szCs w:val="20"/>
          <w:lang w:val="en-US" w:eastAsia="en-US"/>
        </w:rPr>
        <w:drawing>
          <wp:inline distT="0" distB="0" distL="0" distR="0" wp14:anchorId="650615A2" wp14:editId="3578CEE1">
            <wp:extent cx="2916000" cy="2700000"/>
            <wp:effectExtent l="0" t="0" r="1778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83C94">
        <w:rPr>
          <w:rFonts w:eastAsia="Calibri"/>
          <w:b w:val="0"/>
          <w:noProof/>
          <w:sz w:val="20"/>
          <w:szCs w:val="20"/>
          <w:lang w:val="hy-AM" w:eastAsia="en-US"/>
        </w:rPr>
        <w:t xml:space="preserve"> </w:t>
      </w:r>
      <w:r w:rsidRPr="00A83C94">
        <w:rPr>
          <w:rFonts w:eastAsia="Calibri"/>
          <w:b w:val="0"/>
          <w:noProof/>
          <w:sz w:val="20"/>
          <w:szCs w:val="20"/>
          <w:lang w:val="en-US" w:eastAsia="en-US"/>
        </w:rPr>
        <w:drawing>
          <wp:inline distT="0" distB="0" distL="0" distR="0" wp14:anchorId="76A55E35" wp14:editId="411C1A9A">
            <wp:extent cx="2916000" cy="2700000"/>
            <wp:effectExtent l="0" t="0" r="1778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3BC1E1" w14:textId="77777777" w:rsidR="00C34A4E" w:rsidRPr="00A83C94" w:rsidRDefault="00C34A4E" w:rsidP="00C34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A83C94">
        <w:rPr>
          <w:rFonts w:eastAsia="Calibri" w:cs="Arial"/>
          <w:b w:val="0"/>
          <w:bCs/>
          <w:i/>
          <w:iCs/>
          <w:sz w:val="20"/>
          <w:szCs w:val="20"/>
          <w:lang w:val="hy-AM" w:eastAsia="en-US"/>
        </w:rPr>
        <w:t>Աղբյուրը՝ ՀՀ ՖՆ</w:t>
      </w:r>
    </w:p>
    <w:p w14:paraId="7D89AAFA" w14:textId="77777777" w:rsidR="00C34A4E" w:rsidRPr="00A83C94" w:rsidRDefault="00C34A4E" w:rsidP="00C34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p>
    <w:p w14:paraId="25713BA6" w14:textId="77777777" w:rsidR="00C34A4E" w:rsidRPr="00A83C94" w:rsidRDefault="00C34A4E" w:rsidP="00C34A4E">
      <w:pPr>
        <w:autoSpaceDE w:val="0"/>
        <w:autoSpaceDN w:val="0"/>
        <w:adjustRightInd w:val="0"/>
        <w:spacing w:before="0" w:after="160" w:line="276" w:lineRule="auto"/>
        <w:ind w:firstLine="709"/>
        <w:contextualSpacing w:val="0"/>
        <w:rPr>
          <w:rFonts w:eastAsia="Calibri" w:cs="GHEA Grapalat"/>
          <w:b w:val="0"/>
          <w:szCs w:val="22"/>
          <w:lang w:val="hy-AM" w:eastAsia="en-US"/>
        </w:rPr>
      </w:pPr>
      <w:r w:rsidRPr="00A83C94">
        <w:rPr>
          <w:rFonts w:eastAsia="Calibri" w:cs="GHEA Grapalat"/>
          <w:szCs w:val="22"/>
          <w:lang w:val="hy-AM" w:eastAsia="en-US"/>
        </w:rPr>
        <w:t>2021թ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-ից մեկնարկել է ՀՀ հարկաբյուջետային կանոններով պահանջվող հարկաբյուջետային կոնսոլիդացիան, որը կշարունակվի 2022թ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-ին՝ ինչպես նախատեսված է 2022-2026 թթ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 xml:space="preserve"> ՀՀ կառավարության պարտքի բեռի նվազեցման ծրագրով, որով թիրախավորվել է միջնաժամկետ հորիզոնում կառավարության պարտք/ՀՆԱ ցուցանիշը նվազեցնել 60% սահմանային շեմից։</w:t>
      </w:r>
      <w:r w:rsidRPr="00A83C94">
        <w:rPr>
          <w:rFonts w:eastAsia="Calibri" w:cs="GHEA Grapalat"/>
          <w:b w:val="0"/>
          <w:szCs w:val="22"/>
          <w:lang w:val="hy-AM" w:eastAsia="en-US"/>
        </w:rPr>
        <w:t xml:space="preserve"> 2022թ</w:t>
      </w:r>
      <w:r w:rsidRPr="00A83C94">
        <w:rPr>
          <w:rFonts w:ascii="Cambria Math" w:eastAsia="Calibri" w:hAnsi="Cambria Math" w:cs="Cambria Math"/>
          <w:b w:val="0"/>
          <w:szCs w:val="22"/>
          <w:lang w:val="hy-AM" w:eastAsia="en-US"/>
        </w:rPr>
        <w:t>․</w:t>
      </w:r>
      <w:r w:rsidRPr="00A83C94">
        <w:rPr>
          <w:rFonts w:eastAsia="Calibri" w:cs="GHEA Grapalat"/>
          <w:b w:val="0"/>
          <w:szCs w:val="22"/>
          <w:lang w:val="hy-AM" w:eastAsia="en-US"/>
        </w:rPr>
        <w:t>-ին նախատեսված պետական բյուջեի պակասուրդ/ՀՆԱ-ի պայմաններում կառավարության պարտք/ՀՆԱ ցուցանիշը ավելի կմոտենա 60% շեմին՝ հնարավորություն տալով հաջորդ տարիներին ապահովելով պարտքի նվազեցման միջնաժամկետ թիրախը։ ՀՀ կառավարության պարտք/ՀՆԱ ցուցանիշի 0.</w:t>
      </w:r>
      <w:r w:rsidRPr="001E50D2">
        <w:rPr>
          <w:rFonts w:eastAsia="Calibri" w:cs="GHEA Grapalat"/>
          <w:b w:val="0"/>
          <w:szCs w:val="22"/>
          <w:lang w:val="hy-AM" w:eastAsia="en-US"/>
        </w:rPr>
        <w:t>5</w:t>
      </w:r>
      <w:r w:rsidRPr="00A83C94">
        <w:rPr>
          <w:rFonts w:eastAsia="Calibri" w:cs="GHEA Grapalat"/>
          <w:b w:val="0"/>
          <w:szCs w:val="22"/>
          <w:lang w:val="hy-AM" w:eastAsia="en-US"/>
        </w:rPr>
        <w:t xml:space="preserve"> տոկոսային կետով նվազմանը նպաստող հիմնական գործոնը կլինի տնտեսական աճը և հարկաբյուջետային քաղաքականության հետևանքով պետական բյուջեի առաջնային հաշվեկշռի բարելավումը։ </w:t>
      </w:r>
    </w:p>
    <w:p w14:paraId="040A087B" w14:textId="77777777" w:rsidR="00C34A4E" w:rsidRPr="00A83C94" w:rsidRDefault="00C34A4E" w:rsidP="00C34A4E">
      <w:pPr>
        <w:autoSpaceDE w:val="0"/>
        <w:autoSpaceDN w:val="0"/>
        <w:adjustRightInd w:val="0"/>
        <w:spacing w:before="0" w:after="160" w:line="240" w:lineRule="auto"/>
        <w:ind w:firstLine="709"/>
        <w:contextualSpacing w:val="0"/>
        <w:rPr>
          <w:rFonts w:eastAsia="Calibri" w:cs="GHEA Grapalat"/>
          <w:b w:val="0"/>
          <w:i/>
          <w:szCs w:val="22"/>
          <w:lang w:val="hy-AM" w:eastAsia="en-US"/>
        </w:rPr>
      </w:pPr>
      <w:r w:rsidRPr="00A83C94">
        <w:rPr>
          <w:rFonts w:eastAsia="Calibri" w:cs="GHEA Grapalat"/>
          <w:i/>
          <w:szCs w:val="22"/>
          <w:lang w:val="hy-AM" w:eastAsia="en-US"/>
        </w:rPr>
        <w:t>Գծապատկեր 2.5.</w:t>
      </w:r>
      <w:r w:rsidRPr="00A83C94">
        <w:rPr>
          <w:rFonts w:eastAsia="Calibri" w:cs="GHEA Grapalat"/>
          <w:b w:val="0"/>
          <w:i/>
          <w:szCs w:val="22"/>
          <w:lang w:val="hy-AM" w:eastAsia="en-US"/>
        </w:rPr>
        <w:t xml:space="preserve"> ՀՀ կառավարության պարտքի դինամիկան և այն պայմանավորող գործոնները </w:t>
      </w:r>
    </w:p>
    <w:p w14:paraId="0FF3FA81" w14:textId="77777777" w:rsidR="00C34A4E" w:rsidRPr="00A83C94" w:rsidRDefault="00C34A4E" w:rsidP="00C34A4E">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A83C94">
        <w:rPr>
          <w:rFonts w:eastAsia="Calibri" w:cs="GHEA Grapalat"/>
          <w:b w:val="0"/>
          <w:szCs w:val="22"/>
          <w:lang w:val="hy-AM" w:eastAsia="en-US"/>
        </w:rPr>
        <w:t xml:space="preserve">  </w:t>
      </w:r>
      <w:r w:rsidRPr="00A83C94">
        <w:rPr>
          <w:rFonts w:ascii="Calibri" w:eastAsia="Calibri" w:hAnsi="Calibri"/>
          <w:noProof/>
          <w:szCs w:val="22"/>
          <w:lang w:val="en-US" w:eastAsia="en-US"/>
        </w:rPr>
        <w:drawing>
          <wp:inline distT="0" distB="0" distL="0" distR="0" wp14:anchorId="6E356FD1" wp14:editId="5EB77BE5">
            <wp:extent cx="2844000" cy="2879725"/>
            <wp:effectExtent l="0" t="0" r="13970" b="1587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A83C94">
        <w:rPr>
          <w:rFonts w:ascii="Calibri" w:eastAsia="Calibri" w:hAnsi="Calibri"/>
          <w:b w:val="0"/>
          <w:noProof/>
          <w:szCs w:val="22"/>
          <w:lang w:val="en-US" w:eastAsia="en-US"/>
        </w:rPr>
        <w:drawing>
          <wp:inline distT="0" distB="0" distL="0" distR="0" wp14:anchorId="5847AB4A" wp14:editId="745C8E59">
            <wp:extent cx="2964815" cy="2886075"/>
            <wp:effectExtent l="0" t="0" r="6985" b="9525"/>
            <wp:docPr id="119"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DDDD399" w14:textId="77777777" w:rsidR="00C34A4E" w:rsidRPr="00A83C94" w:rsidRDefault="00C34A4E" w:rsidP="00C34A4E">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A83C94">
        <w:rPr>
          <w:rFonts w:eastAsia="Calibri" w:cs="GHEA Grapalat"/>
          <w:b w:val="0"/>
          <w:szCs w:val="22"/>
          <w:lang w:val="hy-AM" w:eastAsia="en-US"/>
        </w:rPr>
        <w:t>Աղբյուրը՝ ՀՀ ՖՆ</w:t>
      </w:r>
    </w:p>
    <w:p w14:paraId="620B58EA" w14:textId="77777777" w:rsidR="00C34A4E" w:rsidRPr="00A83C94" w:rsidRDefault="00C34A4E" w:rsidP="00C34A4E">
      <w:pPr>
        <w:spacing w:before="0" w:line="276" w:lineRule="auto"/>
        <w:ind w:firstLine="709"/>
        <w:contextualSpacing w:val="0"/>
        <w:rPr>
          <w:rFonts w:eastAsia="Calibri" w:cs="Arial"/>
          <w:b w:val="0"/>
          <w:bCs/>
          <w:i/>
          <w:iCs/>
          <w:sz w:val="20"/>
          <w:szCs w:val="20"/>
          <w:lang w:val="hy-AM" w:eastAsia="en-US"/>
        </w:rPr>
      </w:pPr>
    </w:p>
    <w:p w14:paraId="685EFC05"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rPr>
          <w:rFonts w:eastAsia="Calibri"/>
          <w:bCs/>
          <w:color w:val="000000"/>
          <w:szCs w:val="22"/>
          <w:lang w:val="hy-AM" w:eastAsia="en-US"/>
        </w:rPr>
      </w:pPr>
      <w:bookmarkStart w:id="160" w:name="_Toc45840842"/>
      <w:bookmarkStart w:id="161" w:name="_Toc45841159"/>
      <w:bookmarkEnd w:id="160"/>
      <w:bookmarkEnd w:id="161"/>
      <w:r w:rsidRPr="00A83C94">
        <w:rPr>
          <w:rFonts w:eastAsia="Calibri"/>
          <w:bCs/>
          <w:color w:val="000000"/>
          <w:szCs w:val="22"/>
          <w:lang w:val="hy-AM" w:eastAsia="en-US"/>
        </w:rPr>
        <w:t>Ներդիր 4։ Կորոնավիրուսի ճգնաժամի հաղթահարմանն ուղղված հարկաբյուջետային քաղաքականության միջոցառումները</w:t>
      </w:r>
    </w:p>
    <w:p w14:paraId="1EF7450D"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 xml:space="preserve">COVID-19 համավարակի տարածման բացասական ազդեցությունները ՀՀ տնտեսության վրա արտացոլվել են ինչպես արտաքին աշխարհից փոխանցվող շոկերի այնպես էլ ներքին տնտեսական սահմանափակումների տեսքով: Տնտեսական խորը անկումը կանխելու, ինչպես նաև հետագա վերականգնումը խթանելու համար, կառավարությունը 2020 թվականին նախատեսել էր իրականացնել 150 մլրդ դրամ (ՀՆԱ-ի 2.4%-ի չափով) ընդհանուր գումարի չափով սոցիալ-տնտեսական աջակցության միջոցառումների ծրագիր: </w:t>
      </w:r>
    </w:p>
    <w:p w14:paraId="0F20D985"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contextualSpacing w:val="0"/>
        <w:rPr>
          <w:rFonts w:eastAsia="Calibri"/>
          <w:b w:val="0"/>
          <w:color w:val="000000"/>
          <w:szCs w:val="22"/>
          <w:lang w:val="hy-AM" w:eastAsia="en-US"/>
        </w:rPr>
      </w:pPr>
      <w:r w:rsidRPr="00A83C94">
        <w:rPr>
          <w:rFonts w:eastAsia="Calibri"/>
          <w:b w:val="0"/>
          <w:color w:val="000000"/>
          <w:szCs w:val="22"/>
          <w:lang w:val="hy-AM" w:eastAsia="en-US"/>
        </w:rPr>
        <w:t>2020 թվականին փաստացի ծախսվել է 39.0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իսկ բյուջեից վարկավորումը կազմել է 19.4 մլրդ դրամ, որոնք միասին կազմում են ՀՆԱ-ի 0.95 տոկոսը: Մասնավորապես, սոցիալական աջակցության ծրագրերի գծով հատկացվել է 26.0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իսկ տնտեսական հետևանքների չեզոքացման նպատակով տրամադրվել է 32.4</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(որից 13.0 մլրդ դրամը բյուջեի ծախսերի աճի միջոցով, իսկ 19.4 մլրդ դրամը` դեֆիցիտի ֆինանսավորման գործառնությունների (ներքին վարկավորման) միջոցով): Երկարաժամկետ տնտեսական զարգացմանն ուղղված, 80.0 մլրդ դրամ նախապես ծրագրավորված ծավալով միջոցառումները 2020 թվականի ընթացքում չեն իրականացվել: COVID-19 համավարակի տարածման կանխարգելման առողջապահական ազդեցությունների մեղմման նպատակով կառավարությունն իրականացրել է նաև լրացուցիչ առողջապահական ծախսեր, որոնց ծավալը դեկտեմբերի վերջի դրությամբ կազմել է մոտ 36.4 մլրդ դրամ (ներառյալ Համաշխարհային բանկի աջակցությամբ իրականացվող ծրագրերը): Առավել մանրամասն ներկայացված է պետական բյուջեի 2020թ.-ի հաշվետվությունում:</w:t>
      </w:r>
    </w:p>
    <w:p w14:paraId="7A4575F7"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contextualSpacing w:val="0"/>
        <w:rPr>
          <w:rFonts w:eastAsia="Calibri"/>
          <w:b w:val="0"/>
          <w:color w:val="000000"/>
          <w:szCs w:val="22"/>
          <w:lang w:val="hy-AM" w:eastAsia="en-US"/>
        </w:rPr>
      </w:pPr>
      <w:r w:rsidRPr="00A83C94">
        <w:rPr>
          <w:rFonts w:eastAsia="Calibri"/>
          <w:b w:val="0"/>
          <w:color w:val="000000"/>
          <w:szCs w:val="22"/>
          <w:lang w:val="hy-AM" w:eastAsia="en-US"/>
        </w:rPr>
        <w:t>Բացի վերոնշյալ ծրագրերից, կառավարության հակաճգնաժամային արձագանքը ներառել է նաև շահութահարկի կանխավճարի գծով հիմնարար փոփոխությունները, որոնց միջոցով աջակցություն է ցուցաբերվել շահութահարկ վճարող տնտեսավարող սուբյեկտներին շրջանառու ֆինանսական միջոցների հետ կապված խնդիրների լուծման նպատակով, որի ընդհանուր ծավալը սկզբնական շրջանում գնահատված 65 մլրդ դրամի փոխարեն ներկայումս գնահատվում է շուրջ 70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դրամի չափ (որից տնտեսության մեջ թողնված շահութահարկի կանխավճարները 2020 թվականին կազմել են մոտ 52.0 մլրդ դրամ):</w:t>
      </w:r>
    </w:p>
    <w:p w14:paraId="55CB7CD7"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 xml:space="preserve">Արդյունքում հակաճգնաժամային հարկաբյուջետային միջոցառումների չափը 2020 թվականին կազմել է 164.8 մլրդ դրամ կամ ՀՆԱ-ի 2.7%-ը: </w:t>
      </w:r>
    </w:p>
    <w:p w14:paraId="7A812489"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Հակաճգնաժամային հարկաբյուջետային միջոցառումները շարունակել են իրականացվել նաև 2021 թվականին: Կորոնավիրուսի տարածմամբ պայմանավորված՝ սոցիալ-տնտեսական բացասական հետևանքների մեղմման ուղղությամբ ընթացիկ տարվա հունվար-հունիս ամիսներին իրականացվել են շուրջ 19.8 մլրդ դրամի չափով ծրագրեր, որոնց կազմում առողջապահական ծրագրերին ուղղված ծախսերը կազմել են 13.1 մլրդ դրամ, տնտեսական աջակցության ծրագրերը՝ 5.9 մլրդ դրամ, 725.9 մլն դրամ ուղղվել է ընդհանուր բնույթի հանրային ծառայություններին, 1 մլն դրամ՝ սոցիալական պաշտպանությանը:</w:t>
      </w:r>
    </w:p>
    <w:p w14:paraId="47639335"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Արցախյան պատերազմի հետևանքների հակազդման ուղղությամբ իրականացված ծախսերը կազմել են շուրջ 41.1 մլրդ դրամ, որից սոցիալական պաշտպանության ոլորտի ծախսերը կազմել են շուրջ 39.0 մլրդ դրամ:</w:t>
      </w:r>
    </w:p>
    <w:p w14:paraId="52132069"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hy-AM" w:eastAsia="en-US"/>
        </w:rPr>
      </w:pPr>
      <w:r w:rsidRPr="00A83C94">
        <w:rPr>
          <w:rFonts w:eastAsia="Calibri"/>
          <w:bCs/>
          <w:i/>
          <w:iCs/>
          <w:szCs w:val="22"/>
          <w:lang w:val="hy-AM" w:eastAsia="en-US"/>
        </w:rPr>
        <w:t>Գծապատկեր 2.6. Հարկաբյուջետային քաղաքականությունների արձագանքը տնտեսական ճգնաժամերին</w:t>
      </w:r>
    </w:p>
    <w:p w14:paraId="42CF32E9"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center"/>
        <w:rPr>
          <w:rFonts w:eastAsia="Calibri"/>
          <w:b w:val="0"/>
          <w:color w:val="000000"/>
          <w:szCs w:val="22"/>
          <w:lang w:val="en-US" w:eastAsia="en-US"/>
        </w:rPr>
      </w:pPr>
      <w:r w:rsidRPr="00A83C94">
        <w:rPr>
          <w:rFonts w:eastAsia="Calibri"/>
          <w:b w:val="0"/>
          <w:noProof/>
          <w:szCs w:val="22"/>
          <w:shd w:val="clear" w:color="auto" w:fill="D5DCE4"/>
          <w:lang w:val="en-US" w:eastAsia="en-US"/>
        </w:rPr>
        <w:drawing>
          <wp:inline distT="0" distB="0" distL="0" distR="0" wp14:anchorId="538569C2" wp14:editId="40372C11">
            <wp:extent cx="3009900" cy="2520000"/>
            <wp:effectExtent l="0" t="0" r="0" b="1397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A83C94">
        <w:rPr>
          <w:rFonts w:eastAsia="Calibri"/>
          <w:b w:val="0"/>
          <w:noProof/>
          <w:szCs w:val="22"/>
          <w:shd w:val="clear" w:color="auto" w:fill="D5DCE4"/>
          <w:lang w:val="en-US" w:eastAsia="en-US"/>
        </w:rPr>
        <w:drawing>
          <wp:inline distT="0" distB="0" distL="0" distR="0" wp14:anchorId="1FA253EE" wp14:editId="317A9D70">
            <wp:extent cx="2926080" cy="2520000"/>
            <wp:effectExtent l="0" t="0" r="7620" b="1397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E0FB86"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en-US" w:eastAsia="en-US"/>
        </w:rPr>
      </w:pPr>
      <w:r w:rsidRPr="00A83C94">
        <w:rPr>
          <w:rFonts w:eastAsia="Calibri"/>
          <w:bCs/>
          <w:i/>
          <w:iCs/>
          <w:szCs w:val="22"/>
          <w:lang w:val="en-US" w:eastAsia="en-US"/>
        </w:rPr>
        <w:t>Գծապատկեր 2.7. Հարկաբյուջետային քաղաքականության արձագանքը համավարակի տնտեսական հետևանքներին առանձին երկրներում</w:t>
      </w:r>
    </w:p>
    <w:p w14:paraId="4F1E0637"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left"/>
        <w:rPr>
          <w:rFonts w:eastAsia="Calibri"/>
          <w:b w:val="0"/>
          <w:szCs w:val="22"/>
          <w:lang w:val="en-US" w:eastAsia="en-US"/>
        </w:rPr>
      </w:pPr>
      <w:r w:rsidRPr="00A83C94">
        <w:rPr>
          <w:rFonts w:ascii="Calibri" w:eastAsia="Calibri" w:hAnsi="Calibri"/>
          <w:noProof/>
          <w:sz w:val="18"/>
          <w:szCs w:val="22"/>
          <w:lang w:val="en-US" w:eastAsia="en-US"/>
        </w:rPr>
        <w:drawing>
          <wp:inline distT="0" distB="0" distL="0" distR="0" wp14:anchorId="47F6B292" wp14:editId="5E2D5F8F">
            <wp:extent cx="5943600" cy="3085465"/>
            <wp:effectExtent l="0" t="0" r="0" b="63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DE15135"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en-US" w:eastAsia="en-US"/>
        </w:rPr>
      </w:pPr>
      <w:r w:rsidRPr="00A83C94">
        <w:rPr>
          <w:rFonts w:eastAsia="Calibri"/>
          <w:bCs/>
          <w:i/>
          <w:iCs/>
          <w:szCs w:val="22"/>
          <w:lang w:val="en-US" w:eastAsia="en-US"/>
        </w:rPr>
        <w:t>Գծապատկեր 2.8. Հարկաբյուջետային քաղաքականության արձագանքը համավարակի տնտեսական հետևանքներին առանձին երկրների խմբերում (միայն ծախսային և եկամտային միջոցառումներ)</w:t>
      </w:r>
    </w:p>
    <w:p w14:paraId="57F5474D"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left"/>
        <w:rPr>
          <w:rFonts w:eastAsia="Calibri"/>
          <w:b w:val="0"/>
          <w:color w:val="000000"/>
          <w:szCs w:val="22"/>
          <w:lang w:val="en-US" w:eastAsia="en-US"/>
        </w:rPr>
      </w:pPr>
      <w:r w:rsidRPr="00A83C94">
        <w:rPr>
          <w:rFonts w:eastAsia="Calibri"/>
          <w:b w:val="0"/>
          <w:noProof/>
          <w:color w:val="000000"/>
          <w:szCs w:val="22"/>
          <w:lang w:val="en-US" w:eastAsia="en-US"/>
        </w:rPr>
        <w:drawing>
          <wp:inline distT="0" distB="0" distL="0" distR="0" wp14:anchorId="0DB7C698" wp14:editId="5E4A804C">
            <wp:extent cx="5943600" cy="23105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5703" cy="2315277"/>
                    </a:xfrm>
                    <a:prstGeom prst="rect">
                      <a:avLst/>
                    </a:prstGeom>
                    <a:noFill/>
                  </pic:spPr>
                </pic:pic>
              </a:graphicData>
            </a:graphic>
          </wp:inline>
        </w:drawing>
      </w:r>
    </w:p>
    <w:p w14:paraId="77BD4822"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en-US" w:eastAsia="en-US"/>
        </w:rPr>
      </w:pPr>
      <w:r w:rsidRPr="00A83C94">
        <w:rPr>
          <w:rFonts w:eastAsia="Calibri"/>
          <w:b w:val="0"/>
          <w:color w:val="000000"/>
          <w:szCs w:val="22"/>
          <w:lang w:val="en-US" w:eastAsia="en-US"/>
        </w:rPr>
        <w:t>Ընդհանուր առմամբ, համավարակին հակազդելու համար մշակված հարկաբյուջետային փաթեթներն աշխարհի մակարդակով գնահատվում են 16</w:t>
      </w:r>
      <w:r w:rsidRPr="00A83C94">
        <w:rPr>
          <w:rFonts w:ascii="Cambria Math" w:eastAsia="Calibri" w:hAnsi="Cambria Math" w:cs="Cambria Math"/>
          <w:b w:val="0"/>
          <w:color w:val="000000"/>
          <w:szCs w:val="22"/>
          <w:lang w:val="hy-AM" w:eastAsia="en-US"/>
        </w:rPr>
        <w:t>․</w:t>
      </w:r>
      <w:r w:rsidRPr="00A83C94">
        <w:rPr>
          <w:rFonts w:eastAsia="Calibri"/>
          <w:b w:val="0"/>
          <w:color w:val="000000"/>
          <w:szCs w:val="22"/>
          <w:lang w:val="hy-AM" w:eastAsia="en-US"/>
        </w:rPr>
        <w:t>5</w:t>
      </w:r>
      <w:r w:rsidRPr="00A83C94">
        <w:rPr>
          <w:rFonts w:eastAsia="Calibri"/>
          <w:b w:val="0"/>
          <w:color w:val="000000"/>
          <w:szCs w:val="22"/>
          <w:lang w:val="en-US" w:eastAsia="en-US"/>
        </w:rPr>
        <w:t xml:space="preserve"> տրիլիոն դոլար (2020, 2021 թվականի </w:t>
      </w:r>
      <w:r w:rsidRPr="00A83C94">
        <w:rPr>
          <w:rFonts w:eastAsia="Calibri"/>
          <w:b w:val="0"/>
          <w:color w:val="000000"/>
          <w:szCs w:val="22"/>
          <w:lang w:val="hy-AM" w:eastAsia="en-US"/>
        </w:rPr>
        <w:t xml:space="preserve">և հաջորդ տարիների </w:t>
      </w:r>
      <w:r w:rsidRPr="00A83C94">
        <w:rPr>
          <w:rFonts w:eastAsia="Calibri"/>
          <w:b w:val="0"/>
          <w:color w:val="000000"/>
          <w:szCs w:val="22"/>
          <w:lang w:val="en-US" w:eastAsia="en-US"/>
        </w:rPr>
        <w:t>համար նախատեսված միջոցառումներ)</w:t>
      </w:r>
      <w:r w:rsidRPr="00A83C94">
        <w:rPr>
          <w:rFonts w:eastAsia="Calibri"/>
          <w:b w:val="0"/>
          <w:color w:val="000000"/>
          <w:szCs w:val="22"/>
          <w:vertAlign w:val="superscript"/>
          <w:lang w:val="en-US" w:eastAsia="en-US"/>
        </w:rPr>
        <w:footnoteReference w:id="17"/>
      </w:r>
      <w:r w:rsidRPr="00A83C94">
        <w:rPr>
          <w:rFonts w:eastAsia="Calibri"/>
          <w:b w:val="0"/>
          <w:color w:val="000000"/>
          <w:szCs w:val="22"/>
          <w:lang w:val="en-US" w:eastAsia="en-US"/>
        </w:rPr>
        <w:t xml:space="preserve">։ Վերջինից 10 տրիլիոնը վերաբերում է ծախսային և հարկային միջոցառումներին, իսկ 6 տրիլիոնը՝ պետական վարկերին, կապիտալի ներարկումներին և վարկային երաշխիքներին։ Առավել խոշոր հակազդման փաթեթներով առանձնանում են </w:t>
      </w:r>
      <w:r w:rsidRPr="00A83C94">
        <w:rPr>
          <w:rFonts w:eastAsia="Calibri"/>
          <w:b w:val="0"/>
          <w:color w:val="000000"/>
          <w:szCs w:val="22"/>
          <w:lang w:val="hy-AM" w:eastAsia="en-US"/>
        </w:rPr>
        <w:t xml:space="preserve">Իտալիան, </w:t>
      </w:r>
      <w:r w:rsidRPr="00A83C94">
        <w:rPr>
          <w:rFonts w:eastAsia="Calibri"/>
          <w:b w:val="0"/>
          <w:color w:val="000000"/>
          <w:szCs w:val="22"/>
          <w:lang w:val="en-US" w:eastAsia="en-US"/>
        </w:rPr>
        <w:t>Ճապոնիան և Գերմանիան, որոնք իրականաց</w:t>
      </w:r>
      <w:r w:rsidRPr="00A83C94">
        <w:rPr>
          <w:rFonts w:eastAsia="Calibri"/>
          <w:b w:val="0"/>
          <w:color w:val="000000"/>
          <w:szCs w:val="22"/>
          <w:lang w:val="hy-AM" w:eastAsia="en-US"/>
        </w:rPr>
        <w:t>ում են</w:t>
      </w:r>
      <w:r w:rsidRPr="00A83C94">
        <w:rPr>
          <w:rFonts w:eastAsia="Calibri"/>
          <w:b w:val="0"/>
          <w:color w:val="000000"/>
          <w:szCs w:val="22"/>
          <w:lang w:val="en-US" w:eastAsia="en-US"/>
        </w:rPr>
        <w:t xml:space="preserve"> ՀՆԱ-ի ավելի քան 40%-ի չափով միջոցառումներ: Հատկանշական է, որ երկրների մեծ մասը կիրառում է պետական վարկավորումը կամ երաշխիքները՝ որպես աջակցության հիմնական գործիքներ: </w:t>
      </w:r>
    </w:p>
    <w:p w14:paraId="33854786" w14:textId="77777777" w:rsidR="00C34A4E" w:rsidRPr="00A83C94" w:rsidRDefault="00C34A4E" w:rsidP="00C34A4E">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en-US" w:eastAsia="en-US"/>
        </w:rPr>
      </w:pPr>
      <w:r w:rsidRPr="00A83C94">
        <w:rPr>
          <w:rFonts w:eastAsia="Calibri"/>
          <w:b w:val="0"/>
          <w:color w:val="000000"/>
          <w:szCs w:val="22"/>
          <w:lang w:val="en-US" w:eastAsia="en-US"/>
        </w:rPr>
        <w:t xml:space="preserve">Սակայն պետք է նշել, որ հակազդման միջոցառումների ծավալները շեշտակիորեն տարբեր են ըստ զարգացող և զարգացած երկրների։ Այսպես, զարգացած երկրների գումարային փաթեթները մոտ են ՀՆԱ </w:t>
      </w:r>
      <w:r w:rsidRPr="00A83C94">
        <w:rPr>
          <w:rFonts w:eastAsia="Calibri"/>
          <w:b w:val="0"/>
          <w:color w:val="000000"/>
          <w:szCs w:val="22"/>
          <w:lang w:val="hy-AM" w:eastAsia="en-US"/>
        </w:rPr>
        <w:t>30</w:t>
      </w:r>
      <w:r w:rsidRPr="00A83C94">
        <w:rPr>
          <w:rFonts w:eastAsia="Calibri"/>
          <w:b w:val="0"/>
          <w:color w:val="000000"/>
          <w:szCs w:val="22"/>
          <w:lang w:val="en-US" w:eastAsia="en-US"/>
        </w:rPr>
        <w:t>%-ին, մինչդեռ զարգացող երկրներում` 7%-ին, իսկ ցածր եկամտային երկրներում՝ 2%</w:t>
      </w:r>
      <w:r w:rsidRPr="00A83C94">
        <w:rPr>
          <w:rFonts w:eastAsia="Calibri"/>
          <w:b w:val="0"/>
          <w:color w:val="000000"/>
          <w:szCs w:val="22"/>
          <w:lang w:val="en-US" w:eastAsia="en-US"/>
        </w:rPr>
        <w:noBreakHyphen/>
        <w:t>ին։ Հայաստանի փաթեթը, որը հանրագումարային առումով գնահատվում է 2020</w:t>
      </w:r>
      <w:r w:rsidRPr="00A83C94">
        <w:rPr>
          <w:rFonts w:eastAsia="Calibri"/>
          <w:b w:val="0"/>
          <w:color w:val="000000"/>
          <w:szCs w:val="22"/>
          <w:lang w:val="hy-AM" w:eastAsia="en-US"/>
        </w:rPr>
        <w:t>թ</w:t>
      </w:r>
      <w:r w:rsidRPr="00A83C94">
        <w:rPr>
          <w:rFonts w:ascii="Cambria Math" w:eastAsia="Calibri" w:hAnsi="Cambria Math" w:cs="Cambria Math"/>
          <w:b w:val="0"/>
          <w:color w:val="000000"/>
          <w:szCs w:val="22"/>
          <w:lang w:val="hy-AM" w:eastAsia="en-US"/>
        </w:rPr>
        <w:t>․</w:t>
      </w:r>
      <w:r w:rsidRPr="00A83C94">
        <w:rPr>
          <w:rFonts w:eastAsia="Calibri"/>
          <w:b w:val="0"/>
          <w:color w:val="000000"/>
          <w:szCs w:val="22"/>
          <w:lang w:val="hy-AM" w:eastAsia="en-US"/>
        </w:rPr>
        <w:t xml:space="preserve">-ի </w:t>
      </w:r>
      <w:r w:rsidRPr="00A83C94">
        <w:rPr>
          <w:rFonts w:eastAsia="Calibri"/>
          <w:b w:val="0"/>
          <w:color w:val="000000"/>
          <w:szCs w:val="22"/>
          <w:lang w:val="en-US" w:eastAsia="en-US"/>
        </w:rPr>
        <w:t>ՀՆԱ 3.</w:t>
      </w:r>
      <w:r w:rsidRPr="00A83C94">
        <w:rPr>
          <w:rFonts w:eastAsia="Calibri"/>
          <w:b w:val="0"/>
          <w:color w:val="000000"/>
          <w:szCs w:val="22"/>
          <w:lang w:val="hy-AM" w:eastAsia="en-US"/>
        </w:rPr>
        <w:t>9</w:t>
      </w:r>
      <w:r w:rsidRPr="00A83C94">
        <w:rPr>
          <w:rFonts w:eastAsia="Calibri"/>
          <w:b w:val="0"/>
          <w:color w:val="000000"/>
          <w:szCs w:val="22"/>
          <w:lang w:val="en-US" w:eastAsia="en-US"/>
        </w:rPr>
        <w:t>%-ի</w:t>
      </w:r>
      <w:r w:rsidRPr="00A83C94">
        <w:rPr>
          <w:rFonts w:eastAsia="Calibri"/>
          <w:b w:val="0"/>
          <w:color w:val="000000"/>
          <w:szCs w:val="22"/>
          <w:vertAlign w:val="superscript"/>
          <w:lang w:val="en-US" w:eastAsia="en-US"/>
        </w:rPr>
        <w:footnoteReference w:id="18"/>
      </w:r>
      <w:r w:rsidRPr="00A83C94">
        <w:rPr>
          <w:rFonts w:eastAsia="Calibri"/>
          <w:b w:val="0"/>
          <w:color w:val="000000"/>
          <w:szCs w:val="22"/>
          <w:vertAlign w:val="superscript"/>
          <w:lang w:val="en-US" w:eastAsia="en-US"/>
        </w:rPr>
        <w:t xml:space="preserve"> </w:t>
      </w:r>
      <w:r w:rsidRPr="00A83C94">
        <w:rPr>
          <w:rFonts w:eastAsia="Calibri"/>
          <w:b w:val="0"/>
          <w:color w:val="000000"/>
          <w:szCs w:val="22"/>
          <w:lang w:val="en-US" w:eastAsia="en-US"/>
        </w:rPr>
        <w:t>շրջանակներում, համադրելի է զարգացող երկրների փաթեթների հետ։</w:t>
      </w:r>
    </w:p>
    <w:p w14:paraId="1B15AD3C" w14:textId="77777777" w:rsidR="00C34A4E" w:rsidRPr="00A83C94" w:rsidRDefault="00C34A4E" w:rsidP="00C34A4E">
      <w:pPr>
        <w:spacing w:before="0"/>
        <w:rPr>
          <w:lang w:val="hy-AM"/>
        </w:rPr>
      </w:pPr>
    </w:p>
    <w:p w14:paraId="29A38A33" w14:textId="77777777" w:rsidR="00C34A4E" w:rsidRPr="00A83C94" w:rsidRDefault="00C34A4E" w:rsidP="00C34A4E">
      <w:pPr>
        <w:keepNext/>
        <w:keepLines/>
        <w:spacing w:before="0" w:line="312" w:lineRule="auto"/>
        <w:contextualSpacing w:val="0"/>
        <w:jc w:val="left"/>
        <w:outlineLvl w:val="2"/>
        <w:rPr>
          <w:sz w:val="24"/>
          <w:lang w:val="hy-AM" w:eastAsia="en-US"/>
        </w:rPr>
      </w:pPr>
      <w:bookmarkStart w:id="162" w:name="_Toc45838526"/>
      <w:bookmarkStart w:id="163" w:name="_Toc46154354"/>
      <w:bookmarkStart w:id="164" w:name="_Toc52452094"/>
      <w:bookmarkStart w:id="165" w:name="_Toc52188795"/>
      <w:bookmarkStart w:id="166" w:name="_Toc57655455"/>
      <w:bookmarkStart w:id="167" w:name="_Toc83199223"/>
      <w:bookmarkStart w:id="168" w:name="_Toc83996349"/>
      <w:r w:rsidRPr="00A83C94">
        <w:rPr>
          <w:sz w:val="24"/>
          <w:lang w:val="hy-AM" w:eastAsia="en-US"/>
        </w:rPr>
        <w:t>2.3. ՀԱՐԿԱԲՅՈՒՋԵՏԱՅԻՆ ՌԻՍԿԵՐ</w:t>
      </w:r>
      <w:bookmarkEnd w:id="162"/>
      <w:bookmarkEnd w:id="163"/>
      <w:bookmarkEnd w:id="164"/>
      <w:bookmarkEnd w:id="165"/>
      <w:bookmarkEnd w:id="166"/>
      <w:bookmarkEnd w:id="167"/>
      <w:bookmarkEnd w:id="168"/>
    </w:p>
    <w:p w14:paraId="01F9913C" w14:textId="77777777" w:rsidR="00C34A4E" w:rsidRPr="00A83C94" w:rsidRDefault="00C34A4E" w:rsidP="00C34A4E">
      <w:pPr>
        <w:spacing w:before="0" w:after="120" w:line="276" w:lineRule="auto"/>
        <w:ind w:firstLine="709"/>
        <w:contextualSpacing w:val="0"/>
        <w:rPr>
          <w:rFonts w:eastAsia="Calibri"/>
          <w:b w:val="0"/>
          <w:szCs w:val="22"/>
          <w:lang w:val="hy-AM" w:eastAsia="en-US"/>
        </w:rPr>
      </w:pPr>
      <w:r w:rsidRPr="00A83C94">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A83C94">
        <w:rPr>
          <w:rFonts w:eastAsia="Calibri"/>
          <w:b w:val="0"/>
          <w:szCs w:val="22"/>
          <w:vertAlign w:val="superscript"/>
          <w:lang w:val="hy-AM" w:eastAsia="en-US"/>
        </w:rPr>
        <w:footnoteReference w:id="19"/>
      </w:r>
      <w:r w:rsidRPr="00A83C94">
        <w:rPr>
          <w:rFonts w:eastAsia="Calibri"/>
          <w:b w:val="0"/>
          <w:szCs w:val="22"/>
          <w:lang w:val="hy-AM" w:eastAsia="en-US"/>
        </w:rPr>
        <w:t>: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2021 թվականի պետական բյուջեի հիմքում ընկած հիմնական մակրոտնտեսական հարկաբյուջետային ռիսկերը հետևյալն են՝</w:t>
      </w:r>
    </w:p>
    <w:p w14:paraId="5E4561F1" w14:textId="77777777" w:rsidR="00C34A4E" w:rsidRPr="00A83C94" w:rsidRDefault="00C34A4E" w:rsidP="00C34A4E">
      <w:pPr>
        <w:numPr>
          <w:ilvl w:val="0"/>
          <w:numId w:val="50"/>
        </w:numPr>
        <w:spacing w:before="0" w:after="160" w:line="276" w:lineRule="auto"/>
        <w:ind w:left="567" w:hanging="283"/>
        <w:contextualSpacing w:val="0"/>
        <w:rPr>
          <w:b w:val="0"/>
          <w:bCs/>
          <w:lang w:val="hy-AM"/>
        </w:rPr>
      </w:pPr>
      <w:r w:rsidRPr="00A83C94">
        <w:rPr>
          <w:lang w:val="hy-AM"/>
        </w:rPr>
        <w:t>COVID-19 համավարակի անորոշություններ։</w:t>
      </w:r>
      <w:r w:rsidRPr="00A83C94">
        <w:rPr>
          <w:b w:val="0"/>
          <w:bCs/>
          <w:lang w:val="hy-AM"/>
        </w:rPr>
        <w:t xml:space="preserve"> 2020թ. տնտեսական ճգնաժամով պայմանավորված տնտեսական աճի անորոշությունները դեռևս պահպանվում են և առկա են տնտեսական աճի երկկողմանի ռիսկեր: Տնտեսական աճի բացասական ռիսկերի ի հայտ գալու պարագայում հարկային եկամուտները 2022թ. բյուջեի հարկաբյուջետային շրջանակից ավելի ցածր կլինեն: Հաշվի առնելով նաև այն, որ ընթացիկ ծախսերը, համաձայն հարկաբյուջետային կանոնների, 2022թ.-ին սահմանափակված են հարկային եկամուտներով և նախորդ 7 տարիների անվանական ՀՆԱ-ի աճի տեմպով, ապա կառավարության հնարավորությունները ընթացիկ ծախսերի իրականացման գծով տնտեսական աճի՝ կանխատեսումներից ավելի ցածր լինելու պարագայում նույնպես կկրճատվեն: Այդ ռիսկերի առարկայանալու պարագայում պետք է վերանայվեն համապատասխան ծախսային ծրագրերը։</w:t>
      </w:r>
    </w:p>
    <w:p w14:paraId="26CB4EC5" w14:textId="77777777" w:rsidR="00C34A4E" w:rsidRPr="00A83C94" w:rsidRDefault="00C34A4E" w:rsidP="00C34A4E">
      <w:pPr>
        <w:numPr>
          <w:ilvl w:val="0"/>
          <w:numId w:val="50"/>
        </w:numPr>
        <w:spacing w:before="0" w:after="160" w:line="276" w:lineRule="auto"/>
        <w:ind w:left="567" w:hanging="283"/>
        <w:contextualSpacing w:val="0"/>
        <w:rPr>
          <w:b w:val="0"/>
          <w:bCs/>
          <w:lang w:val="hy-AM"/>
        </w:rPr>
      </w:pPr>
      <w:r w:rsidRPr="00A83C94">
        <w:rPr>
          <w:lang w:val="hy-AM"/>
        </w:rPr>
        <w:t>Համավարակի և Արցախյան պատերազմի հետևանքների մեղմանն և տնտեսության հետագա վերականգնմանն ուղղված ՀՀ կառավարության միջոցառումների ընթացքը</w:t>
      </w:r>
      <w:r w:rsidRPr="00A83C94">
        <w:rPr>
          <w:b w:val="0"/>
          <w:bCs/>
          <w:lang w:val="hy-AM"/>
        </w:rPr>
        <w:t xml:space="preserve">։ ՀՀ կառավարության կողմից իրականացվող COVID 19-ի հետևանքների չեզոքացման, ինչպես նաև Արցախյան պատերազմի հետևանքների մեղմանն ուղղված միջոցառումների գծով հնարավոր է նախատեսվեն աջակցության նոր ծրագրեր, որոնց արդյունքում հարկաբյուջետային շրջանակի ցուցանիշները վերանայման կարիք կունենան: </w:t>
      </w:r>
    </w:p>
    <w:p w14:paraId="60999B7B" w14:textId="77777777" w:rsidR="00C34A4E" w:rsidRPr="00A83C94" w:rsidRDefault="00C34A4E" w:rsidP="00C34A4E">
      <w:pPr>
        <w:numPr>
          <w:ilvl w:val="0"/>
          <w:numId w:val="50"/>
        </w:numPr>
        <w:spacing w:before="0" w:after="160" w:line="276" w:lineRule="auto"/>
        <w:ind w:left="567" w:hanging="283"/>
        <w:contextualSpacing w:val="0"/>
        <w:rPr>
          <w:b w:val="0"/>
          <w:bCs/>
          <w:lang w:val="hy-AM"/>
        </w:rPr>
      </w:pPr>
      <w:r w:rsidRPr="00A83C94">
        <w:rPr>
          <w:lang w:val="hy-AM"/>
        </w:rPr>
        <w:t>Հարկային քաղաքականության լրացուցիչ միջոցառումներ:</w:t>
      </w:r>
      <w:r w:rsidRPr="00A83C94">
        <w:rPr>
          <w:b w:val="0"/>
          <w:bCs/>
          <w:lang w:val="hy-AM"/>
        </w:rPr>
        <w:t xml:space="preserve"> Հարկային օրենսդրության փոփոխությունների գծով 2022թ. համար հաշվի են առնվել արդեն իսկ հարկային օրենսգրքով հաստատված փոփոխությունները: Սակայն, հարկային ճեղքի նվազեցման միջոցառումների շրջանակներում քննարկվում են նաև հավելյալ բարեփոխումների իրականացման նպատակահարմարության հարցերը</w:t>
      </w:r>
      <w:r w:rsidRPr="00A83C94">
        <w:rPr>
          <w:rFonts w:ascii="Cambria Math" w:hAnsi="Cambria Math" w:cs="Cambria Math"/>
          <w:b w:val="0"/>
          <w:bCs/>
          <w:lang w:val="hy-AM"/>
        </w:rPr>
        <w:t>․</w:t>
      </w:r>
      <w:r w:rsidRPr="00A83C94">
        <w:rPr>
          <w:b w:val="0"/>
          <w:bCs/>
          <w:lang w:val="hy-AM"/>
        </w:rPr>
        <w:t xml:space="preserve"> շրջանառության հարկի շեմի փոփոխություն և դրույքաչափի ճշգրտում, բնապահպանական հարկի ներդրում, գործող բնապահպանական հարկերի դրույքաչափի բարձրացում, ԱԱՀ արտոնությունների վերացում և այլն՝ ուղղված հարկային քաղաքականության ճեղքի կրճատմանը և հարկային եկամուտների՝ ՀՆԱ-ի նկատմամբ մակարդակի բարձրացմանը: Իրականացման ժամկետների անորոշություններով պայմանավորված դրանք 2022թ. պետական բյուջեի հիմքում դրվող կանխատեսումներում ներառվել են որպես ռիսկեր, որոնք կարող հանգեցնել հարկային եկամուտների կանխատեսումների դեպի վերև շեղմանը: </w:t>
      </w:r>
    </w:p>
    <w:p w14:paraId="7FEE9532" w14:textId="77777777" w:rsidR="00C34A4E" w:rsidRPr="00A83C94" w:rsidRDefault="00C34A4E" w:rsidP="00C34A4E">
      <w:pPr>
        <w:numPr>
          <w:ilvl w:val="0"/>
          <w:numId w:val="50"/>
        </w:numPr>
        <w:spacing w:before="0" w:after="160" w:line="276" w:lineRule="auto"/>
        <w:ind w:left="567" w:hanging="283"/>
        <w:contextualSpacing w:val="0"/>
        <w:rPr>
          <w:b w:val="0"/>
          <w:bCs/>
          <w:lang w:val="hy-AM"/>
        </w:rPr>
      </w:pPr>
      <w:r w:rsidRPr="00A83C94">
        <w:rPr>
          <w:lang w:val="hy-AM"/>
        </w:rPr>
        <w:t>Կապիտալ ծախսերի թերակատարում</w:t>
      </w:r>
      <w:r w:rsidRPr="00A83C94">
        <w:rPr>
          <w:b w:val="0"/>
          <w:bCs/>
          <w:lang w:val="hy-AM"/>
        </w:rPr>
        <w:t>: 2022թ. պետական բյուջեի սցենարում նախատեսվել է կապիտալ ծախսերի զգալի աճ՝ հասցնելով դրանց մակարդակը ՀՆԱ-ի 5.1%</w:t>
      </w:r>
      <w:r w:rsidRPr="00A83C94">
        <w:rPr>
          <w:b w:val="0"/>
          <w:bCs/>
          <w:lang w:val="hy-AM"/>
        </w:rPr>
        <w:noBreakHyphen/>
        <w:t xml:space="preserve">ին: Սակայն հաշվի առնելով նախորդ տարիների փաստացի ցածր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հետևաբար նաև հարկաբյուջետային շրջանակի ցուցանիշների վրա: </w:t>
      </w:r>
    </w:p>
    <w:p w14:paraId="7EDEA55B" w14:textId="77777777" w:rsidR="00C34A4E" w:rsidRPr="00A83C94" w:rsidRDefault="00C34A4E" w:rsidP="00C34A4E">
      <w:pPr>
        <w:spacing w:before="0" w:after="120" w:line="276" w:lineRule="auto"/>
        <w:ind w:firstLine="709"/>
        <w:contextualSpacing w:val="0"/>
        <w:rPr>
          <w:rFonts w:eastAsia="Calibri"/>
          <w:szCs w:val="22"/>
          <w:lang w:val="hy-AM" w:eastAsia="en-US"/>
        </w:rPr>
      </w:pPr>
      <w:r w:rsidRPr="00A83C94">
        <w:rPr>
          <w:rFonts w:eastAsia="Calibri"/>
          <w:szCs w:val="22"/>
          <w:lang w:val="hy-AM" w:eastAsia="en-US"/>
        </w:rPr>
        <w:t>Հարկաբյուջետային շրջանակի հնարավոր փոփոխությունները մակրոտնտեսական կանխատեսումների շեղումների դեպքում և սթրես թեստերի ներքո</w:t>
      </w:r>
      <w:r w:rsidRPr="00A83C94">
        <w:rPr>
          <w:rFonts w:eastAsia="Calibri"/>
          <w:szCs w:val="22"/>
          <w:vertAlign w:val="superscript"/>
          <w:lang w:val="en-US" w:eastAsia="en-US"/>
        </w:rPr>
        <w:footnoteReference w:id="20"/>
      </w:r>
      <w:r w:rsidRPr="00A83C94">
        <w:rPr>
          <w:rFonts w:eastAsia="Calibri"/>
          <w:szCs w:val="22"/>
          <w:lang w:val="hy-AM" w:eastAsia="en-US"/>
        </w:rPr>
        <w:t>.</w:t>
      </w:r>
    </w:p>
    <w:p w14:paraId="3E7AA08D" w14:textId="77777777" w:rsidR="00C34A4E" w:rsidRPr="00A83C94" w:rsidRDefault="00C34A4E" w:rsidP="00C34A4E">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Հարկային եկամուտներ:</w:t>
      </w:r>
      <w:r w:rsidRPr="00A83C94">
        <w:rPr>
          <w:rFonts w:eastAsia="Calibri"/>
          <w:b w:val="0"/>
          <w:szCs w:val="22"/>
          <w:lang w:val="hy-AM" w:eastAsia="en-US"/>
        </w:rPr>
        <w:t xml:space="preserve"> Կանխատեսվող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2022 թվականին կկազմի շուրջ 27.0 մլրդ ՀՀ դրամ:</w:t>
      </w:r>
    </w:p>
    <w:p w14:paraId="016E0AE2" w14:textId="77777777" w:rsidR="00C34A4E" w:rsidRPr="00A83C94" w:rsidRDefault="00C34A4E" w:rsidP="00C34A4E">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Պետական բյուջեի ծախսեր:</w:t>
      </w:r>
      <w:r w:rsidRPr="00A83C94">
        <w:rPr>
          <w:rFonts w:eastAsia="Calibri"/>
          <w:b w:val="0"/>
          <w:szCs w:val="22"/>
          <w:lang w:val="hy-AM" w:eastAsia="en-US"/>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2022 թվականին ՀՀ պետական բյուջեի դեֆիցիտի լրացուցիչ ֆինանսավորման պահանջը կկազմի շուրջ 22</w:t>
      </w:r>
      <w:r w:rsidRPr="00A83C94">
        <w:rPr>
          <w:rFonts w:eastAsia="Calibri" w:cs="Sylfaen"/>
          <w:b w:val="0"/>
          <w:szCs w:val="22"/>
          <w:lang w:val="hy-AM" w:eastAsia="en-US"/>
        </w:rPr>
        <w:t>.4 մլրդ ՀՀ դրամ կամ ՀՆԱ-ի 0.3%-ը:</w:t>
      </w:r>
      <w:r w:rsidRPr="00A83C94">
        <w:rPr>
          <w:rFonts w:eastAsia="Calibri"/>
          <w:b w:val="0"/>
          <w:szCs w:val="22"/>
          <w:lang w:val="hy-AM" w:eastAsia="en-US"/>
        </w:rPr>
        <w:t xml:space="preserve"> Ընդ որում` ՀՀ կառա</w:t>
      </w:r>
      <w:r w:rsidRPr="00A83C94">
        <w:rPr>
          <w:rFonts w:eastAsia="Calibri"/>
          <w:b w:val="0"/>
          <w:szCs w:val="22"/>
          <w:lang w:val="hy-AM" w:eastAsia="en-US"/>
        </w:rPr>
        <w:softHyphen/>
        <w:t>վարու</w:t>
      </w:r>
      <w:r w:rsidRPr="00A83C94">
        <w:rPr>
          <w:rFonts w:eastAsia="Calibri"/>
          <w:b w:val="0"/>
          <w:szCs w:val="22"/>
          <w:lang w:val="hy-AM" w:eastAsia="en-US"/>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14:paraId="75A4226A" w14:textId="64F5D963" w:rsidR="00C34A4E" w:rsidRPr="00A83C94" w:rsidRDefault="00C34A4E" w:rsidP="00C34A4E">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ՀՀ կառավարության պարտք։</w:t>
      </w:r>
      <w:r w:rsidRPr="00A83C94">
        <w:rPr>
          <w:rFonts w:eastAsia="Calibri"/>
          <w:b w:val="0"/>
          <w:szCs w:val="22"/>
          <w:lang w:val="hy-AM" w:eastAsia="en-US"/>
        </w:rPr>
        <w:t xml:space="preserve"> </w:t>
      </w:r>
      <w:r w:rsidRPr="00A83C94">
        <w:rPr>
          <w:rFonts w:eastAsia="Calibri" w:cs="Sylfaen"/>
          <w:b w:val="0"/>
          <w:szCs w:val="22"/>
          <w:lang w:val="hy-AM" w:eastAsia="en-US"/>
        </w:rPr>
        <w:t>ՀՀ կառավարության պարտքը շարունակում է գնահատվել կայուն և կառավարելի, սակայն բավականին շոշափելի են պարտքի բեռի ներկա մակարդակից բխող ռիսկերը: Մասնավորապես, չնայած՝ պարտք</w:t>
      </w:r>
      <w:r w:rsidR="00E011D0" w:rsidRPr="00E011D0">
        <w:rPr>
          <w:rFonts w:eastAsia="Calibri" w:cs="Sylfaen"/>
          <w:b w:val="0"/>
          <w:szCs w:val="22"/>
          <w:lang w:val="hy-AM" w:eastAsia="en-US"/>
        </w:rPr>
        <w:t>ն</w:t>
      </w:r>
      <w:r w:rsidRPr="00A83C94">
        <w:rPr>
          <w:rFonts w:eastAsia="Calibri" w:cs="Sylfaen"/>
          <w:b w:val="0"/>
          <w:szCs w:val="22"/>
          <w:lang w:val="hy-AM" w:eastAsia="en-US"/>
        </w:rPr>
        <w:t xml:space="preserve"> ըստ ԱՄՀ և ՀԲ մեթոդաբանության գնահատվում է ցածր ռիսկային (բայց միևնույն ժամանակ խիստ մոտ միջին ռիսկայնության սահմանագծին), սակայն տնտեսական աճի և փոխարժեքի շոկերի դեպքում պարտք/ՀՆԱ ցուցանիշը բարձր է մնում ՀՀ հարկաբյուջետային կանոններով սահմանված 60% սահմանային շեմից։</w:t>
      </w:r>
      <w:r w:rsidRPr="00A83C94">
        <w:rPr>
          <w:rFonts w:eastAsia="Calibri"/>
          <w:b w:val="0"/>
          <w:szCs w:val="22"/>
          <w:lang w:val="hy-AM" w:eastAsia="en-US"/>
        </w:rPr>
        <w:t xml:space="preserve"> Բացի այդ, </w:t>
      </w:r>
      <w:r w:rsidRPr="00A83C94">
        <w:rPr>
          <w:rFonts w:eastAsia="Calibri" w:cs="Sylfaen"/>
          <w:b w:val="0"/>
          <w:szCs w:val="22"/>
          <w:lang w:val="hy-AM" w:eastAsia="en-US"/>
        </w:rPr>
        <w:t>ՀՀ</w:t>
      </w:r>
      <w:r w:rsidRPr="00A83C94">
        <w:rPr>
          <w:rFonts w:eastAsia="Calibri"/>
          <w:b w:val="0"/>
          <w:szCs w:val="22"/>
          <w:lang w:val="hy-AM" w:eastAsia="en-US"/>
        </w:rPr>
        <w:t xml:space="preserve"> </w:t>
      </w:r>
      <w:r w:rsidRPr="00A83C94">
        <w:rPr>
          <w:rFonts w:eastAsia="Calibri" w:cs="Sylfaen"/>
          <w:b w:val="0"/>
          <w:szCs w:val="22"/>
          <w:lang w:val="hy-AM" w:eastAsia="en-US"/>
        </w:rPr>
        <w:t>կառավարության</w:t>
      </w:r>
      <w:r w:rsidRPr="00A83C94">
        <w:rPr>
          <w:rFonts w:eastAsia="Calibri"/>
          <w:b w:val="0"/>
          <w:szCs w:val="22"/>
          <w:lang w:val="hy-AM" w:eastAsia="en-US"/>
        </w:rPr>
        <w:t xml:space="preserve"> </w:t>
      </w:r>
      <w:r w:rsidRPr="00A83C94">
        <w:rPr>
          <w:rFonts w:eastAsia="Calibri" w:cs="Sylfaen"/>
          <w:b w:val="0"/>
          <w:szCs w:val="22"/>
          <w:lang w:val="hy-AM" w:eastAsia="en-US"/>
        </w:rPr>
        <w:t>պարտքի</w:t>
      </w:r>
      <w:r w:rsidRPr="00A83C94">
        <w:rPr>
          <w:rFonts w:eastAsia="Calibri"/>
          <w:b w:val="0"/>
          <w:szCs w:val="22"/>
          <w:lang w:val="hy-AM" w:eastAsia="en-US"/>
        </w:rPr>
        <w:t xml:space="preserve"> </w:t>
      </w:r>
      <w:r w:rsidRPr="00A83C94">
        <w:rPr>
          <w:rFonts w:eastAsia="Calibri" w:cs="Sylfaen"/>
          <w:b w:val="0"/>
          <w:szCs w:val="22"/>
          <w:lang w:val="hy-AM" w:eastAsia="en-US"/>
        </w:rPr>
        <w:t>պորտֆելը</w:t>
      </w:r>
      <w:r w:rsidRPr="00A83C94">
        <w:rPr>
          <w:rFonts w:eastAsia="Calibri"/>
          <w:b w:val="0"/>
          <w:szCs w:val="22"/>
          <w:lang w:val="hy-AM" w:eastAsia="en-US"/>
        </w:rPr>
        <w:t xml:space="preserve"> </w:t>
      </w:r>
      <w:r w:rsidRPr="00A83C94">
        <w:rPr>
          <w:rFonts w:eastAsia="Calibri" w:cs="Sylfaen"/>
          <w:b w:val="0"/>
          <w:szCs w:val="22"/>
          <w:lang w:val="hy-AM" w:eastAsia="en-US"/>
        </w:rPr>
        <w:t>շարունակում</w:t>
      </w:r>
      <w:r w:rsidRPr="00A83C94">
        <w:rPr>
          <w:rFonts w:eastAsia="Calibri"/>
          <w:b w:val="0"/>
          <w:szCs w:val="22"/>
          <w:lang w:val="hy-AM" w:eastAsia="en-US"/>
        </w:rPr>
        <w:t xml:space="preserve"> </w:t>
      </w:r>
      <w:r w:rsidRPr="00A83C94">
        <w:rPr>
          <w:rFonts w:eastAsia="Calibri" w:cs="Sylfaen"/>
          <w:b w:val="0"/>
          <w:szCs w:val="22"/>
          <w:lang w:val="hy-AM" w:eastAsia="en-US"/>
        </w:rPr>
        <w:t>է</w:t>
      </w:r>
      <w:r w:rsidRPr="00A83C94">
        <w:rPr>
          <w:rFonts w:eastAsia="Calibri"/>
          <w:b w:val="0"/>
          <w:szCs w:val="22"/>
          <w:lang w:val="hy-AM" w:eastAsia="en-US"/>
        </w:rPr>
        <w:t xml:space="preserve"> </w:t>
      </w:r>
      <w:r w:rsidRPr="00A83C94">
        <w:rPr>
          <w:rFonts w:eastAsia="Calibri" w:cs="Sylfaen"/>
          <w:b w:val="0"/>
          <w:szCs w:val="22"/>
          <w:lang w:val="hy-AM" w:eastAsia="en-US"/>
        </w:rPr>
        <w:t>մնալ</w:t>
      </w:r>
      <w:r w:rsidRPr="00A83C94">
        <w:rPr>
          <w:rFonts w:eastAsia="Calibri"/>
          <w:b w:val="0"/>
          <w:szCs w:val="22"/>
          <w:lang w:val="hy-AM" w:eastAsia="en-US"/>
        </w:rPr>
        <w:t xml:space="preserve"> </w:t>
      </w:r>
      <w:r w:rsidRPr="00A83C94">
        <w:rPr>
          <w:rFonts w:eastAsia="Calibri" w:cs="Sylfaen"/>
          <w:b w:val="0"/>
          <w:szCs w:val="22"/>
          <w:lang w:val="hy-AM" w:eastAsia="en-US"/>
        </w:rPr>
        <w:t>խոցելի՝</w:t>
      </w:r>
      <w:r w:rsidRPr="00A83C94">
        <w:rPr>
          <w:rFonts w:eastAsia="Calibri"/>
          <w:b w:val="0"/>
          <w:szCs w:val="22"/>
          <w:lang w:val="hy-AM" w:eastAsia="en-US"/>
        </w:rPr>
        <w:t xml:space="preserve"> </w:t>
      </w:r>
      <w:r w:rsidRPr="00A83C94">
        <w:rPr>
          <w:rFonts w:eastAsia="Calibri" w:cs="Sylfaen"/>
          <w:b w:val="0"/>
          <w:szCs w:val="22"/>
          <w:lang w:val="hy-AM" w:eastAsia="en-US"/>
        </w:rPr>
        <w:t>պայմանավորված</w:t>
      </w:r>
      <w:r w:rsidRPr="00A83C94">
        <w:rPr>
          <w:rFonts w:eastAsia="Calibri"/>
          <w:b w:val="0"/>
          <w:szCs w:val="22"/>
          <w:lang w:val="hy-AM" w:eastAsia="en-US"/>
        </w:rPr>
        <w:t xml:space="preserve"> </w:t>
      </w:r>
      <w:r w:rsidRPr="00A83C94">
        <w:rPr>
          <w:rFonts w:eastAsia="Calibri" w:cs="Sylfaen"/>
          <w:b w:val="0"/>
          <w:szCs w:val="22"/>
          <w:lang w:val="hy-AM" w:eastAsia="en-US"/>
        </w:rPr>
        <w:t>արտարժութային</w:t>
      </w:r>
      <w:r w:rsidRPr="00A83C94">
        <w:rPr>
          <w:rFonts w:eastAsia="Calibri"/>
          <w:b w:val="0"/>
          <w:szCs w:val="22"/>
          <w:lang w:val="hy-AM" w:eastAsia="en-US"/>
        </w:rPr>
        <w:t xml:space="preserve"> </w:t>
      </w:r>
      <w:r w:rsidRPr="00A83C94">
        <w:rPr>
          <w:rFonts w:eastAsia="Calibri" w:cs="Sylfaen"/>
          <w:b w:val="0"/>
          <w:szCs w:val="22"/>
          <w:lang w:val="hy-AM" w:eastAsia="en-US"/>
        </w:rPr>
        <w:t>և</w:t>
      </w:r>
      <w:r w:rsidRPr="00A83C94">
        <w:rPr>
          <w:rFonts w:eastAsia="Calibri"/>
          <w:b w:val="0"/>
          <w:szCs w:val="22"/>
          <w:lang w:val="hy-AM" w:eastAsia="en-US"/>
        </w:rPr>
        <w:t xml:space="preserve"> </w:t>
      </w:r>
      <w:r w:rsidRPr="00A83C94">
        <w:rPr>
          <w:rFonts w:eastAsia="Calibri" w:cs="Sylfaen"/>
          <w:b w:val="0"/>
          <w:szCs w:val="22"/>
          <w:lang w:val="hy-AM" w:eastAsia="en-US"/>
        </w:rPr>
        <w:t>ոչ</w:t>
      </w:r>
      <w:r w:rsidRPr="00A83C94">
        <w:rPr>
          <w:rFonts w:eastAsia="Calibri"/>
          <w:b w:val="0"/>
          <w:szCs w:val="22"/>
          <w:lang w:val="hy-AM" w:eastAsia="en-US"/>
        </w:rPr>
        <w:t xml:space="preserve"> </w:t>
      </w:r>
      <w:r w:rsidRPr="00A83C94">
        <w:rPr>
          <w:rFonts w:eastAsia="Calibri" w:cs="Sylfaen"/>
          <w:b w:val="0"/>
          <w:szCs w:val="22"/>
          <w:lang w:val="hy-AM" w:eastAsia="en-US"/>
        </w:rPr>
        <w:t>ռեզիդետների</w:t>
      </w:r>
      <w:r w:rsidRPr="00A83C94">
        <w:rPr>
          <w:rFonts w:eastAsia="Calibri"/>
          <w:b w:val="0"/>
          <w:szCs w:val="22"/>
          <w:lang w:val="hy-AM" w:eastAsia="en-US"/>
        </w:rPr>
        <w:t xml:space="preserve"> </w:t>
      </w:r>
      <w:r w:rsidRPr="00A83C94">
        <w:rPr>
          <w:rFonts w:eastAsia="Calibri" w:cs="Sylfaen"/>
          <w:b w:val="0"/>
          <w:szCs w:val="22"/>
          <w:lang w:val="hy-AM" w:eastAsia="en-US"/>
        </w:rPr>
        <w:t>նկատմամբ</w:t>
      </w:r>
      <w:r w:rsidRPr="00A83C94">
        <w:rPr>
          <w:rFonts w:eastAsia="Calibri"/>
          <w:b w:val="0"/>
          <w:szCs w:val="22"/>
          <w:lang w:val="hy-AM" w:eastAsia="en-US"/>
        </w:rPr>
        <w:t xml:space="preserve"> </w:t>
      </w:r>
      <w:r w:rsidRPr="00A83C94">
        <w:rPr>
          <w:rFonts w:eastAsia="Calibri" w:cs="Sylfaen"/>
          <w:b w:val="0"/>
          <w:szCs w:val="22"/>
          <w:lang w:val="hy-AM" w:eastAsia="en-US"/>
        </w:rPr>
        <w:t>պարտքի</w:t>
      </w:r>
      <w:r w:rsidRPr="00A83C94">
        <w:rPr>
          <w:rFonts w:eastAsia="Calibri"/>
          <w:b w:val="0"/>
          <w:szCs w:val="22"/>
          <w:lang w:val="hy-AM" w:eastAsia="en-US"/>
        </w:rPr>
        <w:t xml:space="preserve"> </w:t>
      </w:r>
      <w:r w:rsidRPr="00A83C94">
        <w:rPr>
          <w:rFonts w:eastAsia="Calibri" w:cs="Sylfaen"/>
          <w:b w:val="0"/>
          <w:szCs w:val="22"/>
          <w:lang w:val="hy-AM" w:eastAsia="en-US"/>
        </w:rPr>
        <w:t>բարձր</w:t>
      </w:r>
      <w:r w:rsidRPr="00A83C94">
        <w:rPr>
          <w:rFonts w:eastAsia="Calibri"/>
          <w:b w:val="0"/>
          <w:szCs w:val="22"/>
          <w:lang w:val="hy-AM" w:eastAsia="en-US"/>
        </w:rPr>
        <w:t xml:space="preserve"> </w:t>
      </w:r>
      <w:r w:rsidRPr="00A83C94">
        <w:rPr>
          <w:rFonts w:eastAsia="Calibri" w:cs="Sylfaen"/>
          <w:b w:val="0"/>
          <w:szCs w:val="22"/>
          <w:lang w:val="hy-AM" w:eastAsia="en-US"/>
        </w:rPr>
        <w:t xml:space="preserve">մասնաբաժիններով։ </w:t>
      </w:r>
      <w:r w:rsidRPr="00A83C94">
        <w:rPr>
          <w:rFonts w:eastAsia="Calibri"/>
          <w:b w:val="0"/>
          <w:szCs w:val="22"/>
          <w:lang w:val="hy-AM" w:eastAsia="en-US"/>
        </w:rPr>
        <w:t xml:space="preserve">Պարտքի կայունության ապահովման համար հրամայական է հարկաբյուջետային կոնսոլիդացիայի իրականացումը և պարտքի բեռի նվազեցումը պարտք/ՀՆԱ սահմանային 60%-ի շեմից։ </w:t>
      </w:r>
    </w:p>
    <w:p w14:paraId="34C9440E" w14:textId="77777777" w:rsidR="00C34A4E" w:rsidRPr="00A83C94" w:rsidRDefault="00C34A4E" w:rsidP="00C34A4E">
      <w:pPr>
        <w:spacing w:before="0" w:after="160" w:line="276" w:lineRule="auto"/>
        <w:ind w:firstLine="709"/>
        <w:contextualSpacing w:val="0"/>
        <w:rPr>
          <w:rFonts w:eastAsia="Calibri"/>
          <w:b w:val="0"/>
          <w:szCs w:val="22"/>
          <w:lang w:val="hy-AM" w:eastAsia="en-US"/>
        </w:rPr>
      </w:pPr>
      <w:r w:rsidRPr="00A83C94">
        <w:rPr>
          <w:rFonts w:eastAsia="Calibri"/>
          <w:b w:val="0"/>
          <w:szCs w:val="22"/>
          <w:lang w:val="hy-AM" w:eastAsia="en-US"/>
        </w:rPr>
        <w:t>Ամփոփելով հարկաբյուջետային ռիսկերի նկարագրությունը կարող ենք նշել, որ 2020թ. ճգնաժամային իրավիճակով և դրա դրսևորումների շարունակությամբ պայմանավորված ռիսկերն առավելապես վերաբերում են առկա անորոշություններին: Մասնավորապես, անորոշություններ են առկա ինչպես տնտեսության վերականգնման ընթացքի և տևողության հետ կապված, այնպես էլ հարկաբյուջետային քաղաքականության միջոցառումների չափի և ժամկետների, ինչպես նաև վերջիններիս արդյունավետության գծով: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14:paraId="2844A2BB" w14:textId="77777777" w:rsidR="00C34A4E" w:rsidRPr="00A83C94" w:rsidRDefault="00C34A4E" w:rsidP="00C34A4E">
      <w:pPr>
        <w:keepNext/>
        <w:keepLines/>
        <w:spacing w:before="0" w:after="160" w:line="276" w:lineRule="auto"/>
        <w:ind w:firstLine="0"/>
        <w:contextualSpacing w:val="0"/>
        <w:outlineLvl w:val="2"/>
        <w:rPr>
          <w:rFonts w:eastAsia="Calibri"/>
          <w:sz w:val="24"/>
          <w:lang w:val="hy-AM" w:eastAsia="en-US"/>
        </w:rPr>
      </w:pPr>
      <w:bookmarkStart w:id="169" w:name="_Toc83996350"/>
      <w:r w:rsidRPr="00A83C94">
        <w:rPr>
          <w:rFonts w:eastAsia="Calibri"/>
          <w:sz w:val="24"/>
          <w:lang w:val="hy-AM" w:eastAsia="en-US"/>
        </w:rPr>
        <w:t>2.4. ՀԱՐԿԱԲՅՈՒՋԵՏԱՅԻՆ  ՔԱՂԱՔԱԿԱՆՈՒԹՅԱՆ ՀԱՄԱՊԱՏԱՍԽԱՆՈՒԹՅՈՒՆԸ ՀԱՐԿԱԲՅՈՒՋԵՏԱՅԻՆ ԿԱՆՈՆՆԵՐԻՆ</w:t>
      </w:r>
      <w:bookmarkEnd w:id="169"/>
    </w:p>
    <w:p w14:paraId="6C23AB02" w14:textId="77777777" w:rsidR="00C34A4E" w:rsidRPr="00A83C94" w:rsidRDefault="00C34A4E" w:rsidP="00C34A4E">
      <w:pPr>
        <w:spacing w:before="0" w:line="276" w:lineRule="auto"/>
        <w:ind w:firstLine="709"/>
        <w:contextualSpacing w:val="0"/>
        <w:rPr>
          <w:rFonts w:eastAsia="Calibri"/>
          <w:szCs w:val="22"/>
          <w:lang w:val="hy-AM" w:eastAsia="en-US"/>
        </w:rPr>
      </w:pPr>
      <w:r w:rsidRPr="00A83C94">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պարտքի մասին ՀՀ օրենքներում փոփոխություններ և լրացումն</w:t>
      </w:r>
      <w:r w:rsidRPr="00A83C94">
        <w:rPr>
          <w:rFonts w:eastAsia="Calibri"/>
          <w:b w:val="0"/>
          <w:szCs w:val="22"/>
          <w:lang w:val="hy-AM" w:eastAsia="en-US"/>
        </w:rPr>
        <w:softHyphen/>
        <w:t>եր կատարող օրենքների, ինչպես նաև են ՀՀ Կառավարության՝ 2018 թվականի օգոստոսի 23-ի N 942-Ն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A83C94">
        <w:rPr>
          <w:rFonts w:ascii="Cambria Math" w:eastAsia="Calibri" w:hAnsi="Cambria Math" w:cs="Cambria Math"/>
          <w:b w:val="0"/>
          <w:szCs w:val="22"/>
          <w:lang w:val="hy-AM" w:eastAsia="en-US"/>
        </w:rPr>
        <w:t>․</w:t>
      </w:r>
    </w:p>
    <w:p w14:paraId="2F646C14" w14:textId="77777777" w:rsidR="00C34A4E" w:rsidRPr="00A83C94" w:rsidRDefault="00C34A4E" w:rsidP="00C34A4E">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Երբ կառավարության պարտք/ՀՆԱ հարաբերակցությունը գերազանցում է 40%-ը, պետական բյուջեի կապիտալ ծախսերը չպետք է փոքր լինեն բյուջեի պակասուրդից:</w:t>
      </w:r>
    </w:p>
    <w:p w14:paraId="3A931AF3" w14:textId="77777777" w:rsidR="00C34A4E" w:rsidRPr="00A83C94" w:rsidRDefault="00C34A4E" w:rsidP="00C34A4E">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387DB465" w14:textId="77777777" w:rsidR="00C34A4E" w:rsidRPr="00A83C94" w:rsidRDefault="00C34A4E" w:rsidP="00C34A4E">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497E518B" w14:textId="77777777" w:rsidR="00C34A4E" w:rsidRPr="00A83C94" w:rsidRDefault="00C34A4E" w:rsidP="00C34A4E">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14:paraId="0E0B2CF2" w14:textId="77777777" w:rsidR="00C34A4E" w:rsidRPr="00A83C94" w:rsidRDefault="00C34A4E" w:rsidP="00C34A4E">
      <w:pPr>
        <w:spacing w:before="0" w:line="276" w:lineRule="auto"/>
        <w:ind w:firstLine="709"/>
        <w:contextualSpacing w:val="0"/>
        <w:rPr>
          <w:rFonts w:eastAsia="Calibri"/>
          <w:szCs w:val="22"/>
          <w:lang w:val="hy-AM" w:eastAsia="en-US"/>
        </w:rPr>
      </w:pPr>
      <w:r w:rsidRPr="00A83C94">
        <w:rPr>
          <w:rFonts w:eastAsia="Calibri"/>
          <w:szCs w:val="22"/>
          <w:lang w:val="hy-AM" w:eastAsia="en-US"/>
        </w:rPr>
        <w:t>2020թ</w:t>
      </w:r>
      <w:r w:rsidRPr="00A83C94">
        <w:rPr>
          <w:rFonts w:eastAsia="Calibri" w:cs="Cambria Math"/>
          <w:szCs w:val="22"/>
          <w:lang w:val="hy-AM" w:eastAsia="en-US"/>
        </w:rPr>
        <w:t>.</w:t>
      </w:r>
      <w:r w:rsidRPr="00A83C94">
        <w:rPr>
          <w:rFonts w:eastAsia="Calibri"/>
          <w:szCs w:val="22"/>
          <w:lang w:val="hy-AM" w:eastAsia="en-US"/>
        </w:rPr>
        <w:t>-ի պետական բյուջեի ինչպես վերանայված ծրագրային ցուցանիշները, այնպես էլ փաստացի ցուցանիշները շեղվել են ծախսային կանոններով բնականոն իրավիճակի համար սահմանված պահանջներից՝ մնալով օրենսդրության շրջանակում, քանի որ տնտեսական ցնցումներով պայմանավորված՝ իրավիճակը ճանաչվել է բացառիկ։</w:t>
      </w:r>
      <w:r w:rsidRPr="00A83C94">
        <w:rPr>
          <w:rFonts w:eastAsia="Calibri"/>
          <w:b w:val="0"/>
          <w:szCs w:val="22"/>
          <w:lang w:val="hy-AM" w:eastAsia="en-US"/>
        </w:rPr>
        <w:t xml:space="preserve"> Վերջինիս իրավական հիմքերը ձևավորված են «ՀՀ բյուջետային համակարգի մասին» ՀՀ օրենքի 21</w:t>
      </w:r>
      <w:r w:rsidRPr="00A83C94">
        <w:rPr>
          <w:rFonts w:eastAsia="Calibri"/>
          <w:b w:val="0"/>
          <w:szCs w:val="22"/>
          <w:lang w:val="hy-AM" w:eastAsia="en-US"/>
        </w:rPr>
        <w:noBreakHyphen/>
        <w:t>րդ հոդվածի 8.3 կետով և ՀՀ կառավարության N 942-Ն որոշման 3-րդ կետով նախատեսված դրույթներով, իսկ իրավիճակը բացառիկ է ճանաչվել ՀՀ կառավարության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 ապրիլի 23-ի </w:t>
      </w:r>
      <w:r w:rsidRPr="00A83C94">
        <w:rPr>
          <w:rFonts w:eastAsia="Calibri" w:cs="GHEA Grapalat"/>
          <w:b w:val="0"/>
          <w:szCs w:val="22"/>
          <w:lang w:val="hy-AM" w:eastAsia="en-US"/>
        </w:rPr>
        <w:t>587-Ա և սեպտեմբերի 29</w:t>
      </w:r>
      <w:r w:rsidRPr="00A83C94">
        <w:rPr>
          <w:rFonts w:eastAsia="Calibri" w:cs="GHEA Grapalat"/>
          <w:b w:val="0"/>
          <w:szCs w:val="22"/>
          <w:lang w:val="hy-AM" w:eastAsia="en-US"/>
        </w:rPr>
        <w:noBreakHyphen/>
        <w:t>ի 1600</w:t>
      </w:r>
      <w:r w:rsidRPr="00A83C94">
        <w:rPr>
          <w:rFonts w:eastAsia="Calibri" w:cs="GHEA Grapalat"/>
          <w:b w:val="0"/>
          <w:szCs w:val="22"/>
          <w:lang w:val="hy-AM" w:eastAsia="en-US"/>
        </w:rPr>
        <w:noBreakHyphen/>
        <w:t xml:space="preserve">Ա </w:t>
      </w:r>
      <w:r w:rsidRPr="00A83C94">
        <w:rPr>
          <w:rFonts w:eastAsia="Calibri"/>
          <w:b w:val="0"/>
          <w:szCs w:val="22"/>
          <w:lang w:val="hy-AM" w:eastAsia="en-US"/>
        </w:rPr>
        <w:t>որոշումներով։ Այս հանգամանքը հանգեցրել է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իրականցված հարկաբյուջետային խթանող քաղաքականության արդյունքում ՀՀ կառավարության պարտքի բեռի շեղմանը 60% սահմանային շեմից, որի պայմաններում կառավարությունը պետք է ծրագրի հարկաբյուջետային կոնսոլիդացիա՝ պարտքի բեռը այդ շեմային ցուցանիշից նվազեցնելու նպատակադրմամբ։</w:t>
      </w:r>
    </w:p>
    <w:p w14:paraId="5DC80585" w14:textId="77777777" w:rsidR="00C34A4E" w:rsidRPr="00A83C94" w:rsidRDefault="00C34A4E" w:rsidP="00C34A4E">
      <w:pPr>
        <w:spacing w:before="0" w:line="276" w:lineRule="auto"/>
        <w:ind w:firstLine="706"/>
        <w:contextualSpacing w:val="0"/>
        <w:rPr>
          <w:rFonts w:eastAsia="Calibri"/>
          <w:szCs w:val="22"/>
          <w:lang w:val="hy-AM" w:eastAsia="en-US"/>
        </w:rPr>
      </w:pPr>
      <w:r w:rsidRPr="00A83C94">
        <w:rPr>
          <w:rFonts w:eastAsia="Calibri"/>
          <w:szCs w:val="22"/>
          <w:lang w:val="hy-AM" w:eastAsia="en-US"/>
        </w:rPr>
        <w:t>2021թ</w:t>
      </w:r>
      <w:r w:rsidRPr="00A83C94">
        <w:rPr>
          <w:rFonts w:ascii="Cambria Math" w:eastAsia="Calibri" w:hAnsi="Cambria Math" w:cs="Cambria Math"/>
          <w:szCs w:val="22"/>
          <w:lang w:val="hy-AM" w:eastAsia="en-US"/>
        </w:rPr>
        <w:t>․</w:t>
      </w:r>
      <w:r w:rsidRPr="00A83C94">
        <w:rPr>
          <w:rFonts w:eastAsia="Calibri"/>
          <w:szCs w:val="22"/>
          <w:lang w:val="hy-AM" w:eastAsia="en-US"/>
        </w:rPr>
        <w:t>-ի սկսել է իրականացվել սահուն հարկաբյուջետային կոնսոլիդացիա՝ համահունչ 2022-2026 թվականների ՀՀ կառավարության պարտքի բեռի նվազեցման ծրագրի նպատակադրումներին։</w:t>
      </w:r>
      <w:r w:rsidRPr="00A83C94">
        <w:rPr>
          <w:rFonts w:eastAsia="Calibri"/>
          <w:b w:val="0"/>
          <w:szCs w:val="22"/>
          <w:lang w:val="hy-AM" w:eastAsia="en-US"/>
        </w:rPr>
        <w:t xml:space="preserve"> Մասնավորապես, բյուջեի պակասուրդը կրճատվում է աստիճանական եղանակով՝ նպատակ դնելով չխաթարել վերականգնման փուլում տնտեսական ակտիվությունը և կառուցվածքային բարեփոխումների ընթացքը: Արդյունքում կառավարության պարտք/ՀՆԱ ցուցանիշը կնվազի  2.7 տոկոսային կետով՝ հիմք կհանդիսանա միջնաժամկետ հատվածում հարկաբյուջետային կանոններին համահունչ «առավել անվտանգ մակարդակներ» պարտքի բեռի նվազեցման ճանապարհով պետական պարտքի կայունության ամրապնդման համար։ Միևնույն ժամանակ սպասվում է, որ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պետական բյուջեի կատարումը շարունակելու է շեղվել հարկաբյուջետային կանոններից, քանի որ 2020թ.-ի տնտեսական ցնցման հետևանքների պահպանմամբ պայմանավորված, ՀՀ օրենսդրությանը համապատասխան կարգով, 2021թ.-ին ևս կպահպանվեն բացառիկ իրավիճակի կարգավորումները (որն ամրագրված է նաև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 պետական բյուջեի ուղերձում): Սակայն նախատեսվում է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որոշակիորեն կրճատել կանոններից շեղման չափը, ինչը հնարավորություն կտա 2022թ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-ից վերադառնալ հարկաբյուջետային կանոնների ամբողջական պահպանմանը։ </w:t>
      </w:r>
    </w:p>
    <w:p w14:paraId="5D88B5B4" w14:textId="77777777" w:rsidR="00C34A4E" w:rsidRPr="00A83C94" w:rsidRDefault="00C34A4E" w:rsidP="00C34A4E">
      <w:pPr>
        <w:spacing w:before="0" w:line="276" w:lineRule="auto"/>
        <w:ind w:firstLine="706"/>
        <w:contextualSpacing w:val="0"/>
        <w:rPr>
          <w:rFonts w:eastAsia="Calibri"/>
          <w:b w:val="0"/>
          <w:szCs w:val="22"/>
          <w:lang w:val="hy-AM" w:eastAsia="en-US"/>
        </w:rPr>
      </w:pPr>
      <w:r w:rsidRPr="00A83C94">
        <w:rPr>
          <w:rFonts w:eastAsia="Calibri"/>
          <w:szCs w:val="22"/>
          <w:lang w:val="hy-AM" w:eastAsia="en-US"/>
        </w:rPr>
        <w:t>2022թ</w:t>
      </w:r>
      <w:r w:rsidRPr="00A83C94">
        <w:rPr>
          <w:rFonts w:ascii="Cambria Math" w:eastAsia="Calibri" w:hAnsi="Cambria Math" w:cs="Cambria Math"/>
          <w:szCs w:val="22"/>
          <w:lang w:val="hy-AM" w:eastAsia="en-US"/>
        </w:rPr>
        <w:t>․</w:t>
      </w:r>
      <w:r w:rsidRPr="00A83C94">
        <w:rPr>
          <w:rFonts w:eastAsia="Calibri"/>
          <w:szCs w:val="22"/>
          <w:lang w:val="hy-AM" w:eastAsia="en-US"/>
        </w:rPr>
        <w:t>-ին ՀՀ Կառավարությունը վերադարձ կկատարի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հետագիծը և ծախսերի կառուցվածքի բարելավում:</w:t>
      </w:r>
      <w:r w:rsidRPr="00A83C94">
        <w:rPr>
          <w:rFonts w:eastAsia="Calibri"/>
          <w:b w:val="0"/>
          <w:szCs w:val="22"/>
          <w:lang w:val="hy-AM" w:eastAsia="en-US"/>
        </w:rPr>
        <w:t xml:space="preserve"> Ծախսային կանոնների պահպանումը հնարավորություն է տալիս զսպել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Ավելին, պլանավորված կապիտալ ծախսերը գերազանցում են բյուջեի պակասուրդը շուրջ </w:t>
      </w:r>
      <w:r>
        <w:rPr>
          <w:rFonts w:eastAsia="Calibri"/>
          <w:b w:val="0"/>
          <w:szCs w:val="22"/>
          <w:lang w:val="hy-AM" w:eastAsia="en-US"/>
        </w:rPr>
        <w:t>1</w:t>
      </w:r>
      <w:r w:rsidRPr="003C0DA9">
        <w:rPr>
          <w:rFonts w:eastAsia="Calibri"/>
          <w:b w:val="0"/>
          <w:szCs w:val="22"/>
          <w:lang w:val="hy-AM" w:eastAsia="en-US"/>
        </w:rPr>
        <w:t>1</w:t>
      </w:r>
      <w:r>
        <w:rPr>
          <w:rFonts w:eastAsia="Calibri"/>
          <w:b w:val="0"/>
          <w:szCs w:val="22"/>
          <w:lang w:val="hy-AM" w:eastAsia="en-US"/>
        </w:rPr>
        <w:t>3.</w:t>
      </w:r>
      <w:r w:rsidRPr="003C0DA9">
        <w:rPr>
          <w:rFonts w:eastAsia="Calibri"/>
          <w:b w:val="0"/>
          <w:szCs w:val="22"/>
          <w:lang w:val="hy-AM" w:eastAsia="en-US"/>
        </w:rPr>
        <w:t>6</w:t>
      </w:r>
      <w:r w:rsidRPr="00A83C94">
        <w:rPr>
          <w:rFonts w:eastAsia="Calibri"/>
          <w:b w:val="0"/>
          <w:szCs w:val="22"/>
          <w:lang w:val="hy-AM" w:eastAsia="en-US"/>
        </w:rPr>
        <w:t xml:space="preserve"> մլրդ դրամով՝ ապահովելով պարտքի զուտ ներգրավմանն առաջանցիկ պետական ակտիվներ ավելացում և կառավարելի պահելով երկրի իրական պարտքային դիրքը և հետևաբար՝ երկարաժամկետ հարկաբյուջետային ռիսկերը։ Միաժամանակ կառավարության պարտք/ՀՆԱ ցուցանիշը կկազմի 60.</w:t>
      </w:r>
      <w:r w:rsidRPr="0011745F">
        <w:rPr>
          <w:rFonts w:eastAsia="Calibri"/>
          <w:b w:val="0"/>
          <w:szCs w:val="22"/>
          <w:lang w:val="hy-AM" w:eastAsia="en-US"/>
        </w:rPr>
        <w:t>2</w:t>
      </w:r>
      <w:r w:rsidRPr="00A83C94">
        <w:rPr>
          <w:rFonts w:eastAsia="Calibri"/>
          <w:b w:val="0"/>
          <w:szCs w:val="22"/>
          <w:lang w:val="hy-AM" w:eastAsia="en-US"/>
        </w:rPr>
        <w:t>%` ցածր լինելով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 ցուցանիշից </w:t>
      </w:r>
      <w:r w:rsidRPr="0011745F">
        <w:rPr>
          <w:rFonts w:eastAsia="Calibri"/>
          <w:b w:val="0"/>
          <w:szCs w:val="22"/>
          <w:lang w:val="hy-AM" w:eastAsia="en-US"/>
        </w:rPr>
        <w:t>3.2</w:t>
      </w:r>
      <w:r w:rsidRPr="00A83C94">
        <w:rPr>
          <w:rFonts w:eastAsia="Calibri"/>
          <w:b w:val="0"/>
          <w:szCs w:val="22"/>
          <w:lang w:val="hy-AM" w:eastAsia="en-US"/>
        </w:rPr>
        <w:t xml:space="preserve"> տոկոսային կետով։ 2022 թվականի համար ծրագրված հարկաբյուջետային զարգացումները հնարավորություն կտան շարունակել հարկաբյուջետային կոնսոլիդացիան ՀՀ կառավարության պարտքի նվազեցման ծրագրի ամբողջ հորիզոնում՝ մինչև 2026 թվականը, և ապահովել կառավարության պարտք/ՀՆԱ ցուցանիշի 60%-ից ցածր մակարդակ Ծրագրով նախատեսվող ժամանակահատվածում։ (առավել մանրամասն տես՝ «Հարկաբյուջետային քաղաքականության հիմնական ուղղությունները և կանխատեսումները հատվածում»):</w:t>
      </w:r>
    </w:p>
    <w:p w14:paraId="60AF93EE" w14:textId="77777777" w:rsidR="00C34A4E" w:rsidRPr="00A83C94" w:rsidRDefault="00C34A4E" w:rsidP="00C34A4E">
      <w:pPr>
        <w:keepNext/>
        <w:keepLines/>
        <w:spacing w:before="0" w:after="120" w:line="276" w:lineRule="auto"/>
        <w:ind w:firstLine="0"/>
        <w:contextualSpacing w:val="0"/>
        <w:rPr>
          <w:rFonts w:eastAsia="Calibri"/>
          <w:b w:val="0"/>
          <w:i/>
          <w:iCs/>
          <w:szCs w:val="22"/>
          <w:lang w:val="hy-AM" w:eastAsia="en-US"/>
        </w:rPr>
      </w:pPr>
      <w:r w:rsidRPr="00A83C94">
        <w:rPr>
          <w:rFonts w:eastAsia="Calibri"/>
          <w:i/>
          <w:iCs/>
          <w:szCs w:val="22"/>
          <w:lang w:val="hy-AM" w:eastAsia="en-US"/>
        </w:rPr>
        <w:t>Աղյուսակ 2.4.</w:t>
      </w:r>
      <w:r w:rsidRPr="00A83C94">
        <w:rPr>
          <w:rFonts w:eastAsia="Calibri"/>
          <w:b w:val="0"/>
          <w:i/>
          <w:iCs/>
          <w:szCs w:val="22"/>
          <w:lang w:val="hy-AM" w:eastAsia="en-US"/>
        </w:rPr>
        <w:t xml:space="preserve"> </w:t>
      </w:r>
      <w:r w:rsidRPr="00A83C94">
        <w:rPr>
          <w:rFonts w:eastAsia="Calibri"/>
          <w:b w:val="0"/>
          <w:bCs/>
          <w:i/>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10206" w:type="dxa"/>
        <w:tblInd w:w="-23" w:type="dxa"/>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402"/>
        <w:gridCol w:w="1575"/>
        <w:gridCol w:w="992"/>
        <w:gridCol w:w="851"/>
        <w:gridCol w:w="992"/>
        <w:gridCol w:w="851"/>
        <w:gridCol w:w="992"/>
        <w:gridCol w:w="850"/>
        <w:gridCol w:w="787"/>
        <w:gridCol w:w="914"/>
      </w:tblGrid>
      <w:tr w:rsidR="00C34A4E" w:rsidRPr="00A83C94" w14:paraId="5B56D78D" w14:textId="77777777" w:rsidTr="00733935">
        <w:trPr>
          <w:trHeight w:val="466"/>
          <w:tblHeader/>
        </w:trPr>
        <w:tc>
          <w:tcPr>
            <w:tcW w:w="1402" w:type="dxa"/>
            <w:vMerge w:val="restart"/>
            <w:tcBorders>
              <w:top w:val="single" w:sz="18" w:space="0" w:color="4472C4"/>
              <w:bottom w:val="single" w:sz="2" w:space="0" w:color="4472C4"/>
              <w:right w:val="single" w:sz="2" w:space="0" w:color="4472C4"/>
            </w:tcBorders>
            <w:shd w:val="clear" w:color="auto" w:fill="5B9BD5"/>
            <w:vAlign w:val="center"/>
            <w:hideMark/>
          </w:tcPr>
          <w:p w14:paraId="4ACAED9F"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Կանոնի ցուցանիշ</w:t>
            </w:r>
          </w:p>
        </w:tc>
        <w:tc>
          <w:tcPr>
            <w:tcW w:w="1575"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14:paraId="660AD6A2"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Ուղենի-շային ցուցանիշ</w:t>
            </w:r>
          </w:p>
        </w:tc>
        <w:tc>
          <w:tcPr>
            <w:tcW w:w="184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48D8F7F1" w14:textId="77777777" w:rsidR="00C34A4E" w:rsidRPr="00A83C94" w:rsidRDefault="00C34A4E" w:rsidP="00733935">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2019</w:t>
            </w:r>
          </w:p>
        </w:tc>
        <w:tc>
          <w:tcPr>
            <w:tcW w:w="184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46ACB264" w14:textId="77777777" w:rsidR="00C34A4E" w:rsidRPr="00A83C94" w:rsidRDefault="00C34A4E" w:rsidP="00733935">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2020</w:t>
            </w:r>
          </w:p>
        </w:tc>
        <w:tc>
          <w:tcPr>
            <w:tcW w:w="1842"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6A4477FF" w14:textId="77777777" w:rsidR="00C34A4E" w:rsidRPr="00A83C94" w:rsidRDefault="00C34A4E" w:rsidP="00733935">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2021</w:t>
            </w:r>
          </w:p>
        </w:tc>
        <w:tc>
          <w:tcPr>
            <w:tcW w:w="1701"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5FBC7163" w14:textId="77777777" w:rsidR="00C34A4E" w:rsidRPr="00A83C94" w:rsidRDefault="00C34A4E" w:rsidP="00733935">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2022</w:t>
            </w:r>
          </w:p>
        </w:tc>
      </w:tr>
      <w:tr w:rsidR="00C34A4E" w:rsidRPr="00A83C94" w14:paraId="16BE7D98" w14:textId="77777777" w:rsidTr="00733935">
        <w:trPr>
          <w:cantSplit/>
          <w:trHeight w:val="850"/>
          <w:tblHeader/>
        </w:trPr>
        <w:tc>
          <w:tcPr>
            <w:tcW w:w="1402" w:type="dxa"/>
            <w:vMerge/>
            <w:tcBorders>
              <w:top w:val="single" w:sz="2" w:space="0" w:color="4472C4"/>
              <w:bottom w:val="single" w:sz="2" w:space="0" w:color="4472C4"/>
              <w:right w:val="single" w:sz="2" w:space="0" w:color="4472C4"/>
            </w:tcBorders>
            <w:shd w:val="clear" w:color="auto" w:fill="5B9BD5"/>
            <w:vAlign w:val="center"/>
            <w:hideMark/>
          </w:tcPr>
          <w:p w14:paraId="2D982E57" w14:textId="77777777" w:rsidR="00C34A4E" w:rsidRPr="00A83C94" w:rsidRDefault="00C34A4E" w:rsidP="00733935">
            <w:pPr>
              <w:spacing w:before="0" w:after="160" w:line="276" w:lineRule="auto"/>
              <w:ind w:firstLine="0"/>
              <w:contextualSpacing w:val="0"/>
              <w:jc w:val="left"/>
              <w:rPr>
                <w:rFonts w:eastAsia="Calibri" w:cs="Arial"/>
                <w:b w:val="0"/>
                <w:color w:val="FFFFFF"/>
                <w:szCs w:val="22"/>
                <w:lang w:val="en-US" w:eastAsia="en-US"/>
              </w:rPr>
            </w:pPr>
          </w:p>
        </w:tc>
        <w:tc>
          <w:tcPr>
            <w:tcW w:w="1575"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14:paraId="42368B95" w14:textId="77777777" w:rsidR="00C34A4E" w:rsidRPr="00A83C94" w:rsidRDefault="00C34A4E" w:rsidP="00733935">
            <w:pPr>
              <w:spacing w:before="0" w:after="160" w:line="276" w:lineRule="auto"/>
              <w:ind w:firstLine="0"/>
              <w:contextualSpacing w:val="0"/>
              <w:jc w:val="left"/>
              <w:rPr>
                <w:rFonts w:eastAsia="Calibri" w:cs="Arial"/>
                <w:b w:val="0"/>
                <w:color w:val="FFFFFF"/>
                <w:szCs w:val="22"/>
                <w:lang w:val="en-US" w:eastAsia="en-US"/>
              </w:rPr>
            </w:pP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4195B403" w14:textId="77777777" w:rsidR="00C34A4E" w:rsidRPr="00A83C94" w:rsidRDefault="00C34A4E" w:rsidP="00733935">
            <w:pPr>
              <w:spacing w:before="0" w:after="160" w:line="276" w:lineRule="auto"/>
              <w:ind w:left="6" w:right="113"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2727AB9C"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Փաստ</w:t>
            </w:r>
            <w:r w:rsidRPr="00A83C94">
              <w:rPr>
                <w:rFonts w:ascii="Cambria Math" w:eastAsia="Calibri" w:hAnsi="Cambria Math" w:cs="Cambria Math"/>
                <w:b w:val="0"/>
                <w:color w:val="FFFFFF"/>
                <w:szCs w:val="22"/>
                <w:lang w:val="en-US" w:eastAsia="en-US"/>
              </w:rPr>
              <w:t>․</w:t>
            </w: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37EF5551"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73A8CF80"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Փաստ</w:t>
            </w:r>
            <w:r w:rsidRPr="00A83C94">
              <w:rPr>
                <w:rFonts w:ascii="Cambria Math" w:eastAsia="Calibri" w:hAnsi="Cambria Math" w:cs="Cambria Math"/>
                <w:b w:val="0"/>
                <w:color w:val="FFFFFF"/>
                <w:szCs w:val="22"/>
                <w:lang w:val="en-US" w:eastAsia="en-US"/>
              </w:rPr>
              <w:t>․</w:t>
            </w: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2E2D61DB"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1E0FC7E2"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Պլան</w:t>
            </w:r>
          </w:p>
        </w:tc>
        <w:tc>
          <w:tcPr>
            <w:tcW w:w="787"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E73DADA"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914"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1D9FCE6A" w14:textId="77777777" w:rsidR="00C34A4E" w:rsidRPr="00A83C94" w:rsidRDefault="00C34A4E" w:rsidP="00733935">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Պլան</w:t>
            </w:r>
          </w:p>
        </w:tc>
      </w:tr>
      <w:tr w:rsidR="00C34A4E" w:rsidRPr="00A83C94" w14:paraId="021F0BBE" w14:textId="77777777" w:rsidTr="00733935">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24E4F5D4" w14:textId="77777777" w:rsidR="00C34A4E" w:rsidRPr="00A83C94" w:rsidRDefault="00C34A4E" w:rsidP="00733935">
            <w:pPr>
              <w:spacing w:before="0" w:after="160" w:line="276" w:lineRule="auto"/>
              <w:ind w:firstLine="0"/>
              <w:contextualSpacing w:val="0"/>
              <w:jc w:val="left"/>
              <w:rPr>
                <w:rFonts w:eastAsia="Calibri" w:cs="Arial"/>
                <w:b w:val="0"/>
                <w:color w:val="000000"/>
                <w:sz w:val="16"/>
                <w:szCs w:val="16"/>
                <w:lang w:eastAsia="en-US"/>
              </w:rPr>
            </w:pP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ոչ</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ֆինանսական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ակտիվների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գծով</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ծախսեր</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EB79609" w14:textId="77777777" w:rsidR="00C34A4E" w:rsidRPr="00A83C94" w:rsidRDefault="00C34A4E" w:rsidP="00733935">
            <w:pPr>
              <w:spacing w:before="0" w:after="160" w:line="276" w:lineRule="auto"/>
              <w:ind w:firstLine="0"/>
              <w:contextualSpacing w:val="0"/>
              <w:jc w:val="center"/>
              <w:rPr>
                <w:rFonts w:eastAsia="Calibri" w:cs="Arial"/>
                <w:b w:val="0"/>
                <w:color w:val="000000"/>
                <w:sz w:val="16"/>
                <w:szCs w:val="16"/>
                <w:lang w:eastAsia="en-US"/>
              </w:rPr>
            </w:pPr>
            <w:r w:rsidRPr="00A83C94">
              <w:rPr>
                <w:rFonts w:eastAsia="Calibri" w:cs="Arial"/>
                <w:b w:val="0"/>
                <w:color w:val="000000"/>
                <w:sz w:val="16"/>
                <w:szCs w:val="16"/>
                <w:lang w:eastAsia="en-US"/>
              </w:rPr>
              <w:t xml:space="preserve">&gt;/= </w:t>
            </w: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պակասուրդ</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մլրդ</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դրամ</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6403D72C"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64</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2628F3A"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193</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A1D4830"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334.0</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067220B"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22</w:t>
            </w:r>
            <w:r>
              <w:rPr>
                <w:rFonts w:eastAsia="Calibri" w:cs="Arial"/>
                <w:b w:val="0"/>
                <w:color w:val="000000"/>
                <w:sz w:val="16"/>
                <w:szCs w:val="16"/>
                <w:lang w:val="en-US" w:eastAsia="en-US"/>
              </w:rPr>
              <w:t>7</w:t>
            </w:r>
            <w:r w:rsidRPr="00A83C94">
              <w:rPr>
                <w:rFonts w:eastAsia="Calibri" w:cs="Arial"/>
                <w:b w:val="0"/>
                <w:color w:val="000000"/>
                <w:sz w:val="16"/>
                <w:szCs w:val="16"/>
                <w:lang w:val="en-US" w:eastAsia="en-US"/>
              </w:rPr>
              <w:t>.</w:t>
            </w:r>
            <w:r>
              <w:rPr>
                <w:rFonts w:eastAsia="Calibri" w:cs="Arial"/>
                <w:b w:val="0"/>
                <w:color w:val="000000"/>
                <w:sz w:val="16"/>
                <w:szCs w:val="16"/>
                <w:lang w:val="en-US" w:eastAsia="en-US"/>
              </w:rPr>
              <w:t>7</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F91F137"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329.1</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CDF9023"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223.8</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7A981A9" w14:textId="77777777" w:rsidR="00C34A4E" w:rsidRPr="0011745F"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Pr>
                <w:rFonts w:eastAsia="Calibri" w:cs="Arial"/>
                <w:b w:val="0"/>
                <w:color w:val="000000"/>
                <w:sz w:val="16"/>
                <w:szCs w:val="16"/>
                <w:lang w:val="hy-AM" w:eastAsia="en-US"/>
              </w:rPr>
              <w:t>24</w:t>
            </w:r>
            <w:r>
              <w:rPr>
                <w:rFonts w:eastAsia="Calibri" w:cs="Arial"/>
                <w:b w:val="0"/>
                <w:color w:val="000000"/>
                <w:sz w:val="16"/>
                <w:szCs w:val="16"/>
                <w:lang w:val="en-US" w:eastAsia="en-US"/>
              </w:rPr>
              <w:t>3</w:t>
            </w:r>
            <w:r>
              <w:rPr>
                <w:rFonts w:eastAsia="Calibri" w:cs="Arial"/>
                <w:b w:val="0"/>
                <w:color w:val="000000"/>
                <w:sz w:val="16"/>
                <w:szCs w:val="16"/>
                <w:lang w:val="hy-AM" w:eastAsia="en-US"/>
              </w:rPr>
              <w:t>.</w:t>
            </w:r>
            <w:r>
              <w:rPr>
                <w:rFonts w:eastAsia="Calibri" w:cs="Arial"/>
                <w:b w:val="0"/>
                <w:color w:val="000000"/>
                <w:sz w:val="16"/>
                <w:szCs w:val="16"/>
                <w:lang w:val="en-US" w:eastAsia="en-US"/>
              </w:rPr>
              <w:t>0</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CDFD5F0" w14:textId="77777777" w:rsidR="00C34A4E" w:rsidRPr="000D717A"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Pr>
                <w:rFonts w:eastAsia="Calibri" w:cs="Arial"/>
                <w:b w:val="0"/>
                <w:color w:val="000000"/>
                <w:sz w:val="16"/>
                <w:szCs w:val="16"/>
                <w:lang w:val="hy-AM" w:eastAsia="en-US"/>
              </w:rPr>
              <w:t>3</w:t>
            </w:r>
            <w:r>
              <w:rPr>
                <w:rFonts w:eastAsia="Calibri" w:cs="Arial"/>
                <w:b w:val="0"/>
                <w:color w:val="000000"/>
                <w:sz w:val="16"/>
                <w:szCs w:val="16"/>
                <w:lang w:val="en-US" w:eastAsia="en-US"/>
              </w:rPr>
              <w:t>5</w:t>
            </w:r>
            <w:r>
              <w:rPr>
                <w:rFonts w:eastAsia="Calibri" w:cs="Arial"/>
                <w:b w:val="0"/>
                <w:color w:val="000000"/>
                <w:sz w:val="16"/>
                <w:szCs w:val="16"/>
                <w:lang w:val="hy-AM" w:eastAsia="en-US"/>
              </w:rPr>
              <w:t>6.6</w:t>
            </w:r>
          </w:p>
        </w:tc>
      </w:tr>
      <w:tr w:rsidR="00C34A4E" w:rsidRPr="00A83C94" w14:paraId="2FF08C1F" w14:textId="77777777" w:rsidTr="00733935">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7C122A4C" w14:textId="77777777" w:rsidR="00C34A4E" w:rsidRPr="00A83C94" w:rsidRDefault="00C34A4E" w:rsidP="00733935">
            <w:pPr>
              <w:spacing w:before="0" w:after="160" w:line="276" w:lineRule="auto"/>
              <w:ind w:firstLine="0"/>
              <w:contextualSpacing w:val="0"/>
              <w:jc w:val="left"/>
              <w:rPr>
                <w:rFonts w:eastAsia="Calibri" w:cs="Arial"/>
                <w:b w:val="0"/>
                <w:color w:val="000000"/>
                <w:sz w:val="16"/>
                <w:szCs w:val="16"/>
                <w:lang w:eastAsia="en-US"/>
              </w:rPr>
            </w:pP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ընթացիկ</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առաջնային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ծախսերի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աճի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տեմպ</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5FEDA13E" w14:textId="77777777" w:rsidR="00C34A4E" w:rsidRPr="00A83C94" w:rsidRDefault="00C34A4E" w:rsidP="00733935">
            <w:pPr>
              <w:spacing w:before="0" w:after="160" w:line="276" w:lineRule="auto"/>
              <w:ind w:firstLine="0"/>
              <w:contextualSpacing w:val="0"/>
              <w:jc w:val="center"/>
              <w:rPr>
                <w:rFonts w:eastAsia="Calibri" w:cs="Arial"/>
                <w:b w:val="0"/>
                <w:color w:val="000000"/>
                <w:sz w:val="16"/>
                <w:szCs w:val="16"/>
                <w:lang w:eastAsia="en-US"/>
              </w:rPr>
            </w:pPr>
            <w:r w:rsidRPr="00A83C94">
              <w:rPr>
                <w:rFonts w:eastAsia="Calibri" w:cs="Arial"/>
                <w:b w:val="0"/>
                <w:color w:val="000000"/>
                <w:sz w:val="16"/>
                <w:szCs w:val="16"/>
                <w:lang w:eastAsia="en-US"/>
              </w:rPr>
              <w:t xml:space="preserve">&lt;/= </w:t>
            </w:r>
            <w:r w:rsidRPr="00A83C94">
              <w:rPr>
                <w:rFonts w:eastAsia="Calibri" w:cs="Arial"/>
                <w:b w:val="0"/>
                <w:color w:val="000000"/>
                <w:sz w:val="16"/>
                <w:szCs w:val="16"/>
                <w:lang w:val="en-US" w:eastAsia="en-US"/>
              </w:rPr>
              <w:t>նախորդ</w:t>
            </w:r>
            <w:r w:rsidRPr="00A83C94">
              <w:rPr>
                <w:rFonts w:eastAsia="Calibri" w:cs="Arial"/>
                <w:b w:val="0"/>
                <w:color w:val="000000"/>
                <w:sz w:val="16"/>
                <w:szCs w:val="16"/>
                <w:lang w:eastAsia="en-US"/>
              </w:rPr>
              <w:t xml:space="preserve"> 7 </w:t>
            </w:r>
            <w:r w:rsidRPr="00A83C94">
              <w:rPr>
                <w:rFonts w:eastAsia="Calibri" w:cs="Arial"/>
                <w:b w:val="0"/>
                <w:color w:val="000000"/>
                <w:sz w:val="16"/>
                <w:szCs w:val="16"/>
                <w:lang w:val="en-US" w:eastAsia="en-US"/>
              </w:rPr>
              <w:t>տարիների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անվանական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ՀՆԱ</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աճի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միջին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տեմպ</w:t>
            </w:r>
            <w:r w:rsidRPr="00A83C94">
              <w:rPr>
                <w:rFonts w:eastAsia="Calibri" w:cs="Arial"/>
                <w:b w:val="0"/>
                <w:color w:val="000000"/>
                <w:sz w:val="16"/>
                <w:szCs w:val="16"/>
                <w:lang w:eastAsia="en-US"/>
              </w:rPr>
              <w:t>, %</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3A4FAD34"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6.1</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1DB46A07"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5.9</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D54429F"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5.9</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148C8A75"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14.8</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6EA862EC"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6.4</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4CE7EF52"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11.6</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78D4F2BB"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4.1</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1C70D6E3"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4.1</w:t>
            </w:r>
          </w:p>
        </w:tc>
      </w:tr>
      <w:tr w:rsidR="00C34A4E" w:rsidRPr="00A83C94" w14:paraId="69DABB27" w14:textId="77777777" w:rsidTr="00733935">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3A3C49F1" w14:textId="77777777" w:rsidR="00C34A4E" w:rsidRPr="00A83C94" w:rsidRDefault="00C34A4E" w:rsidP="00733935">
            <w:pPr>
              <w:spacing w:before="0" w:after="160" w:line="276" w:lineRule="auto"/>
              <w:ind w:firstLine="0"/>
              <w:contextualSpacing w:val="0"/>
              <w:jc w:val="left"/>
              <w:rPr>
                <w:rFonts w:eastAsia="Calibri" w:cs="Arial"/>
                <w:b w:val="0"/>
                <w:color w:val="000000"/>
                <w:sz w:val="16"/>
                <w:szCs w:val="16"/>
                <w:lang w:val="en-US" w:eastAsia="en-US"/>
              </w:rPr>
            </w:pPr>
            <w:r w:rsidRPr="00A83C94">
              <w:rPr>
                <w:rFonts w:eastAsia="Calibri" w:cs="Arial"/>
                <w:b w:val="0"/>
                <w:color w:val="000000"/>
                <w:sz w:val="16"/>
                <w:szCs w:val="16"/>
                <w:lang w:val="en-US" w:eastAsia="en-US"/>
              </w:rPr>
              <w:t>Պետական բյուջեի ընթացիկ ծախսեր</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35ED83BC" w14:textId="77777777" w:rsidR="00C34A4E" w:rsidRPr="00A83C94" w:rsidRDefault="00C34A4E" w:rsidP="00733935">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&lt;/= հարկային եկամուտների և տուրքերի ծավալ, մլրդ դրամ**</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3E38D53"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BB194AC"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1437.1</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66A17D7F"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14:paraId="5C586A72"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1668.5</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46F8742D"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448DB73E"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1762.2</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BBB97A6"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1843.8</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36B571C7" w14:textId="77777777" w:rsidR="00C34A4E" w:rsidRPr="00A83C94" w:rsidRDefault="00C34A4E" w:rsidP="00E011D0">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1842.</w:t>
            </w:r>
            <w:r>
              <w:rPr>
                <w:rFonts w:eastAsia="Calibri" w:cs="Arial"/>
                <w:b w:val="0"/>
                <w:color w:val="000000"/>
                <w:sz w:val="16"/>
                <w:szCs w:val="16"/>
                <w:lang w:val="en-US" w:eastAsia="en-US"/>
              </w:rPr>
              <w:t>7</w:t>
            </w:r>
          </w:p>
        </w:tc>
      </w:tr>
      <w:tr w:rsidR="00C34A4E" w:rsidRPr="00A83C94" w14:paraId="7A7500BC" w14:textId="77777777" w:rsidTr="00733935">
        <w:trPr>
          <w:trHeight w:val="445"/>
        </w:trPr>
        <w:tc>
          <w:tcPr>
            <w:tcW w:w="2977" w:type="dxa"/>
            <w:gridSpan w:val="2"/>
            <w:tcBorders>
              <w:top w:val="single" w:sz="2" w:space="0" w:color="4472C4"/>
              <w:bottom w:val="single" w:sz="18" w:space="0" w:color="4472C4"/>
              <w:right w:val="single" w:sz="2" w:space="0" w:color="4472C4"/>
            </w:tcBorders>
            <w:shd w:val="clear" w:color="auto" w:fill="auto"/>
            <w:vAlign w:val="center"/>
            <w:hideMark/>
          </w:tcPr>
          <w:p w14:paraId="074ABB89" w14:textId="77777777" w:rsidR="00C34A4E" w:rsidRPr="00A83C94" w:rsidRDefault="00C34A4E" w:rsidP="00733935">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Կառավարության պարտք/ՀՆԱ, %</w:t>
            </w:r>
          </w:p>
        </w:tc>
        <w:tc>
          <w:tcPr>
            <w:tcW w:w="1843"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14:paraId="59092D9E" w14:textId="77777777" w:rsidR="00C34A4E" w:rsidRPr="00A83C94" w:rsidRDefault="00C34A4E" w:rsidP="00733935">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50.1</w:t>
            </w:r>
          </w:p>
        </w:tc>
        <w:tc>
          <w:tcPr>
            <w:tcW w:w="1843" w:type="dxa"/>
            <w:gridSpan w:val="2"/>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14:paraId="5027DEBD" w14:textId="77777777" w:rsidR="00C34A4E" w:rsidRPr="00A83C94" w:rsidRDefault="00C34A4E" w:rsidP="00733935">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63.5</w:t>
            </w:r>
          </w:p>
        </w:tc>
        <w:tc>
          <w:tcPr>
            <w:tcW w:w="1842"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2498D86C" w14:textId="77777777" w:rsidR="00C34A4E" w:rsidRPr="00A83C94" w:rsidRDefault="00C34A4E" w:rsidP="00733935">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60.8</w:t>
            </w:r>
          </w:p>
        </w:tc>
        <w:tc>
          <w:tcPr>
            <w:tcW w:w="1701"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16B35FF5" w14:textId="77777777" w:rsidR="00C34A4E" w:rsidRPr="00A83C94" w:rsidRDefault="00C34A4E" w:rsidP="00733935">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60</w:t>
            </w:r>
            <w:r w:rsidRPr="00A83C94">
              <w:rPr>
                <w:rFonts w:ascii="Cambria Math" w:eastAsia="Calibri" w:hAnsi="Cambria Math" w:cs="Cambria Math"/>
                <w:b w:val="0"/>
                <w:color w:val="000000"/>
                <w:sz w:val="20"/>
                <w:szCs w:val="20"/>
                <w:lang w:val="en-US" w:eastAsia="en-US"/>
              </w:rPr>
              <w:t>․</w:t>
            </w:r>
            <w:r>
              <w:rPr>
                <w:rFonts w:eastAsia="Calibri" w:cs="Arial"/>
                <w:b w:val="0"/>
                <w:color w:val="000000"/>
                <w:sz w:val="20"/>
                <w:szCs w:val="20"/>
                <w:lang w:val="en-US" w:eastAsia="en-US"/>
              </w:rPr>
              <w:t>2</w:t>
            </w:r>
          </w:p>
        </w:tc>
      </w:tr>
    </w:tbl>
    <w:p w14:paraId="75AA181E" w14:textId="77777777" w:rsidR="00C34A4E" w:rsidRPr="00A83C94" w:rsidRDefault="00C34A4E" w:rsidP="00C34A4E">
      <w:pPr>
        <w:spacing w:before="0" w:line="240" w:lineRule="auto"/>
        <w:ind w:left="284" w:firstLine="0"/>
        <w:contextualSpacing w:val="0"/>
        <w:jc w:val="left"/>
        <w:rPr>
          <w:rFonts w:eastAsia="Calibri"/>
          <w:i/>
          <w:szCs w:val="22"/>
          <w:lang w:val="hy-AM" w:eastAsia="en-US"/>
        </w:rPr>
      </w:pPr>
      <w:r w:rsidRPr="00A83C94">
        <w:rPr>
          <w:rFonts w:eastAsia="Calibri"/>
          <w:b w:val="0"/>
          <w:i/>
          <w:szCs w:val="22"/>
          <w:lang w:val="hy-AM" w:eastAsia="en-US"/>
        </w:rPr>
        <w:t>*Հաշվարկված է որպես երկու տարի առաջ (t-2) արձանագրված ցուցանիշի նկատմամբ համապատասխան տարվա (t) հավելաճի տեմպի կես</w:t>
      </w:r>
    </w:p>
    <w:p w14:paraId="196C1F6D" w14:textId="77777777" w:rsidR="00C34A4E" w:rsidRPr="00A83C94" w:rsidRDefault="00C34A4E" w:rsidP="00C34A4E">
      <w:pPr>
        <w:spacing w:before="0" w:line="240" w:lineRule="auto"/>
        <w:ind w:left="284" w:firstLine="0"/>
        <w:contextualSpacing w:val="0"/>
        <w:jc w:val="left"/>
        <w:rPr>
          <w:rFonts w:eastAsia="Calibri"/>
          <w:szCs w:val="22"/>
          <w:lang w:val="hy-AM" w:eastAsia="en-US"/>
        </w:rPr>
      </w:pPr>
      <w:r w:rsidRPr="00A83C94">
        <w:rPr>
          <w:rFonts w:eastAsia="Calibri"/>
          <w:b w:val="0"/>
          <w:i/>
          <w:szCs w:val="22"/>
          <w:lang w:val="hy-AM" w:eastAsia="en-US"/>
        </w:rPr>
        <w:t>**Պետական պարտքի առկա չափի դեպքում կիրառելի չէ</w:t>
      </w:r>
    </w:p>
    <w:p w14:paraId="63FE5B0F" w14:textId="77777777" w:rsidR="00C34A4E" w:rsidRPr="00A83C94" w:rsidRDefault="00C34A4E" w:rsidP="00C34A4E">
      <w:pPr>
        <w:spacing w:before="0" w:after="120"/>
        <w:ind w:firstLine="720"/>
        <w:contextualSpacing w:val="0"/>
        <w:rPr>
          <w:rFonts w:eastAsia="Calibri"/>
          <w:i/>
          <w:iCs/>
          <w:szCs w:val="22"/>
          <w:lang w:val="hy-AM" w:eastAsia="en-US"/>
        </w:rPr>
      </w:pPr>
    </w:p>
    <w:p w14:paraId="2FF82CB6" w14:textId="77777777" w:rsidR="00C34A4E" w:rsidRPr="00A83C94" w:rsidRDefault="00C34A4E" w:rsidP="00C34A4E">
      <w:pPr>
        <w:spacing w:before="0" w:after="120"/>
        <w:ind w:firstLine="720"/>
        <w:contextualSpacing w:val="0"/>
        <w:rPr>
          <w:rFonts w:eastAsia="Calibri"/>
          <w:i/>
          <w:iCs/>
          <w:szCs w:val="22"/>
          <w:lang w:val="hy-AM" w:eastAsia="en-US"/>
        </w:rPr>
      </w:pPr>
    </w:p>
    <w:p w14:paraId="5ED808EC" w14:textId="77777777" w:rsidR="00C34A4E" w:rsidRPr="00A83C94" w:rsidRDefault="00C34A4E" w:rsidP="00C34A4E">
      <w:pPr>
        <w:spacing w:before="0" w:after="120"/>
        <w:ind w:firstLine="720"/>
        <w:contextualSpacing w:val="0"/>
        <w:rPr>
          <w:rFonts w:eastAsia="Calibri"/>
          <w:i/>
          <w:iCs/>
          <w:szCs w:val="22"/>
          <w:lang w:val="hy-AM" w:eastAsia="en-US"/>
        </w:rPr>
      </w:pPr>
    </w:p>
    <w:p w14:paraId="20DB3887" w14:textId="77777777" w:rsidR="00C34A4E" w:rsidRPr="00A83C94" w:rsidRDefault="00C34A4E" w:rsidP="00C34A4E">
      <w:pPr>
        <w:spacing w:before="0" w:after="120"/>
        <w:ind w:firstLine="720"/>
        <w:contextualSpacing w:val="0"/>
        <w:rPr>
          <w:rFonts w:eastAsia="Calibri"/>
          <w:i/>
          <w:iCs/>
          <w:szCs w:val="22"/>
          <w:lang w:val="hy-AM" w:eastAsia="en-US"/>
        </w:rPr>
      </w:pPr>
    </w:p>
    <w:p w14:paraId="15145103" w14:textId="77777777" w:rsidR="00C34A4E" w:rsidRPr="00A83C94" w:rsidRDefault="00C34A4E" w:rsidP="00C34A4E">
      <w:pPr>
        <w:spacing w:before="0" w:after="120"/>
        <w:ind w:firstLine="720"/>
        <w:contextualSpacing w:val="0"/>
        <w:rPr>
          <w:rFonts w:eastAsia="Calibri"/>
          <w:i/>
          <w:iCs/>
          <w:szCs w:val="22"/>
          <w:lang w:val="hy-AM" w:eastAsia="en-US"/>
        </w:rPr>
      </w:pPr>
    </w:p>
    <w:p w14:paraId="47749BE2" w14:textId="77777777" w:rsidR="00C34A4E" w:rsidRPr="00A83C94" w:rsidRDefault="00C34A4E" w:rsidP="00C34A4E">
      <w:pPr>
        <w:spacing w:before="0" w:after="120"/>
        <w:ind w:firstLine="720"/>
        <w:contextualSpacing w:val="0"/>
        <w:rPr>
          <w:rFonts w:eastAsia="Calibri"/>
          <w:i/>
          <w:iCs/>
          <w:szCs w:val="22"/>
          <w:lang w:val="hy-AM" w:eastAsia="en-US"/>
        </w:rPr>
      </w:pPr>
    </w:p>
    <w:p w14:paraId="5F8D04FE" w14:textId="77777777" w:rsidR="00C34A4E" w:rsidRPr="00A83C94" w:rsidRDefault="00C34A4E" w:rsidP="00C34A4E">
      <w:pPr>
        <w:spacing w:before="0" w:after="120"/>
        <w:ind w:firstLine="720"/>
        <w:contextualSpacing w:val="0"/>
        <w:rPr>
          <w:rFonts w:eastAsia="Calibri"/>
          <w:i/>
          <w:iCs/>
          <w:szCs w:val="22"/>
          <w:lang w:val="hy-AM" w:eastAsia="en-US"/>
        </w:rPr>
      </w:pPr>
    </w:p>
    <w:p w14:paraId="40056096" w14:textId="77777777" w:rsidR="00C34A4E" w:rsidRPr="00A83C94" w:rsidRDefault="00C34A4E" w:rsidP="00C34A4E">
      <w:pPr>
        <w:spacing w:before="0" w:after="120"/>
        <w:ind w:firstLine="720"/>
        <w:contextualSpacing w:val="0"/>
        <w:rPr>
          <w:rFonts w:eastAsia="Calibri"/>
          <w:i/>
          <w:iCs/>
          <w:szCs w:val="22"/>
          <w:lang w:val="hy-AM" w:eastAsia="en-US"/>
        </w:rPr>
      </w:pPr>
    </w:p>
    <w:p w14:paraId="29572BF1" w14:textId="77777777" w:rsidR="00C34A4E" w:rsidRPr="00A83C94" w:rsidRDefault="00C34A4E" w:rsidP="00C34A4E">
      <w:pPr>
        <w:spacing w:before="0" w:after="120"/>
        <w:ind w:firstLine="720"/>
        <w:contextualSpacing w:val="0"/>
        <w:rPr>
          <w:rFonts w:eastAsia="Calibri"/>
          <w:i/>
          <w:iCs/>
          <w:szCs w:val="22"/>
          <w:lang w:val="hy-AM" w:eastAsia="en-US"/>
        </w:rPr>
      </w:pPr>
    </w:p>
    <w:p w14:paraId="103D810A" w14:textId="77777777" w:rsidR="00C34A4E" w:rsidRPr="00A83C94" w:rsidRDefault="00C34A4E" w:rsidP="00C34A4E">
      <w:pPr>
        <w:keepNext/>
        <w:keepLines/>
        <w:spacing w:before="0" w:line="276" w:lineRule="auto"/>
        <w:ind w:firstLine="0"/>
        <w:outlineLvl w:val="2"/>
        <w:rPr>
          <w:sz w:val="24"/>
          <w:lang w:val="hy-AM" w:eastAsia="en-US"/>
        </w:rPr>
      </w:pPr>
      <w:bookmarkStart w:id="170" w:name="_Toc45838555"/>
      <w:bookmarkStart w:id="171" w:name="_Toc46154356"/>
      <w:bookmarkStart w:id="172" w:name="_Toc52452096"/>
      <w:bookmarkStart w:id="173" w:name="_Toc57655457"/>
      <w:bookmarkStart w:id="174" w:name="_Toc83996351"/>
      <w:r w:rsidRPr="00A83C94">
        <w:rPr>
          <w:sz w:val="24"/>
          <w:lang w:val="hy-AM" w:eastAsia="en-US"/>
        </w:rPr>
        <w:t>2.5. ՊԵՏԱԿԱՆ ԲՅՈՒՋԵԻ ՑՈՒՑԱՆԻՇՆԵՐԻ ԿԱՆԽԱՏԵՍՈՒՄՆԵՐԻ ՀԱՄԵՄԱՏԱԿԱՆ ԱՂՅՈՒՍԱԿՆԵՐ</w:t>
      </w:r>
      <w:bookmarkEnd w:id="170"/>
      <w:bookmarkEnd w:id="171"/>
      <w:bookmarkEnd w:id="172"/>
      <w:bookmarkEnd w:id="173"/>
      <w:bookmarkEnd w:id="174"/>
    </w:p>
    <w:p w14:paraId="228C10DC" w14:textId="77777777" w:rsidR="00C34A4E" w:rsidRPr="00A83C94" w:rsidRDefault="00C34A4E" w:rsidP="00C34A4E">
      <w:pPr>
        <w:keepNext/>
        <w:keepLines/>
        <w:spacing w:before="0" w:line="276" w:lineRule="auto"/>
        <w:ind w:firstLine="0"/>
        <w:outlineLvl w:val="2"/>
        <w:rPr>
          <w:sz w:val="28"/>
          <w:szCs w:val="28"/>
          <w:lang w:val="hy-AM" w:eastAsia="en-US"/>
        </w:rPr>
      </w:pPr>
    </w:p>
    <w:p w14:paraId="726F928C" w14:textId="77777777" w:rsidR="00C34A4E" w:rsidRPr="00A83C94" w:rsidRDefault="00C34A4E" w:rsidP="00C34A4E">
      <w:pPr>
        <w:spacing w:before="0" w:line="276"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 xml:space="preserve">Աղյուսակ 2.5.1. </w:t>
      </w:r>
      <w:r w:rsidRPr="00A83C94">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C34A4E" w:rsidRPr="00A83C94" w14:paraId="67A3BC4D" w14:textId="77777777" w:rsidTr="00733935">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3D5601C4"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278E8E40"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22F4031F"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062875E3"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593F2CBA"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C34A4E" w:rsidRPr="00A83C94" w14:paraId="75371DB5" w14:textId="77777777" w:rsidTr="00733935">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0F7BC2EC"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19F18F42"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311A14E"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1,560.7</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36660E5E"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4420E9C"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4EBE6C51" w14:textId="77777777" w:rsidTr="00733935">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5E7B9AF1"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6F408DC"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B04BCB0"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25.2%</w:t>
            </w:r>
          </w:p>
        </w:tc>
        <w:tc>
          <w:tcPr>
            <w:tcW w:w="940" w:type="dxa"/>
            <w:tcBorders>
              <w:top w:val="nil"/>
              <w:left w:val="nil"/>
              <w:bottom w:val="single" w:sz="8" w:space="0" w:color="2F75B5"/>
              <w:right w:val="single" w:sz="8" w:space="0" w:color="2F75B5"/>
            </w:tcBorders>
            <w:shd w:val="clear" w:color="auto" w:fill="auto"/>
            <w:noWrap/>
            <w:vAlign w:val="center"/>
            <w:hideMark/>
          </w:tcPr>
          <w:p w14:paraId="1FC75A78"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DE67FB7"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602247A2"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A4E3B49"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264553E3"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4CAFE263"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1,710.6</w:t>
            </w:r>
          </w:p>
        </w:tc>
        <w:tc>
          <w:tcPr>
            <w:tcW w:w="940" w:type="dxa"/>
            <w:tcBorders>
              <w:top w:val="nil"/>
              <w:left w:val="nil"/>
              <w:bottom w:val="single" w:sz="8" w:space="0" w:color="2F75B5"/>
              <w:right w:val="single" w:sz="8" w:space="0" w:color="2F75B5"/>
            </w:tcBorders>
            <w:shd w:val="clear" w:color="auto" w:fill="auto"/>
            <w:noWrap/>
            <w:vAlign w:val="center"/>
            <w:hideMark/>
          </w:tcPr>
          <w:p w14:paraId="128CCF47"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1,858.8</w:t>
            </w:r>
          </w:p>
        </w:tc>
        <w:tc>
          <w:tcPr>
            <w:tcW w:w="940" w:type="dxa"/>
            <w:tcBorders>
              <w:top w:val="nil"/>
              <w:left w:val="nil"/>
              <w:bottom w:val="single" w:sz="8" w:space="0" w:color="2F75B5"/>
              <w:right w:val="single" w:sz="8" w:space="0" w:color="2F75B5"/>
            </w:tcBorders>
            <w:shd w:val="clear" w:color="auto" w:fill="auto"/>
            <w:noWrap/>
            <w:vAlign w:val="center"/>
            <w:hideMark/>
          </w:tcPr>
          <w:p w14:paraId="3EF88C1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2,051.1</w:t>
            </w:r>
          </w:p>
        </w:tc>
      </w:tr>
      <w:tr w:rsidR="00C34A4E" w:rsidRPr="00A83C94" w14:paraId="6FF7064B"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E22FB6E"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F145BD1"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B1324E4"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24.5%</w:t>
            </w:r>
          </w:p>
        </w:tc>
        <w:tc>
          <w:tcPr>
            <w:tcW w:w="940" w:type="dxa"/>
            <w:tcBorders>
              <w:top w:val="nil"/>
              <w:left w:val="nil"/>
              <w:bottom w:val="single" w:sz="8" w:space="0" w:color="2F75B5"/>
              <w:right w:val="single" w:sz="8" w:space="0" w:color="2F75B5"/>
            </w:tcBorders>
            <w:shd w:val="clear" w:color="auto" w:fill="auto"/>
            <w:noWrap/>
            <w:vAlign w:val="center"/>
            <w:hideMark/>
          </w:tcPr>
          <w:p w14:paraId="787AE8A3"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24.4%</w:t>
            </w:r>
          </w:p>
        </w:tc>
        <w:tc>
          <w:tcPr>
            <w:tcW w:w="940" w:type="dxa"/>
            <w:tcBorders>
              <w:top w:val="nil"/>
              <w:left w:val="nil"/>
              <w:bottom w:val="single" w:sz="8" w:space="0" w:color="2F75B5"/>
              <w:right w:val="single" w:sz="8" w:space="0" w:color="2F75B5"/>
            </w:tcBorders>
            <w:shd w:val="clear" w:color="auto" w:fill="auto"/>
            <w:noWrap/>
            <w:vAlign w:val="center"/>
            <w:hideMark/>
          </w:tcPr>
          <w:p w14:paraId="1E3B9CB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24.7%</w:t>
            </w:r>
          </w:p>
        </w:tc>
      </w:tr>
      <w:tr w:rsidR="00C34A4E" w:rsidRPr="00A83C94" w14:paraId="567E3BE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2B95CD6"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C2B65AB"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7E82890"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1,695.0</w:t>
            </w:r>
          </w:p>
        </w:tc>
        <w:tc>
          <w:tcPr>
            <w:tcW w:w="940" w:type="dxa"/>
            <w:tcBorders>
              <w:top w:val="nil"/>
              <w:left w:val="nil"/>
              <w:bottom w:val="single" w:sz="8" w:space="0" w:color="2F75B5"/>
              <w:right w:val="single" w:sz="8" w:space="0" w:color="2F75B5"/>
            </w:tcBorders>
            <w:shd w:val="clear" w:color="auto" w:fill="auto"/>
            <w:noWrap/>
            <w:vAlign w:val="center"/>
            <w:hideMark/>
          </w:tcPr>
          <w:p w14:paraId="6068F52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592A986"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2F95CF95"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3CD6FBA"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B4405BE"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B9D1554"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23.9%</w:t>
            </w:r>
          </w:p>
        </w:tc>
        <w:tc>
          <w:tcPr>
            <w:tcW w:w="940" w:type="dxa"/>
            <w:tcBorders>
              <w:top w:val="nil"/>
              <w:left w:val="nil"/>
              <w:bottom w:val="single" w:sz="8" w:space="0" w:color="2F75B5"/>
              <w:right w:val="single" w:sz="8" w:space="0" w:color="2F75B5"/>
            </w:tcBorders>
            <w:shd w:val="clear" w:color="auto" w:fill="auto"/>
            <w:noWrap/>
            <w:vAlign w:val="center"/>
            <w:hideMark/>
          </w:tcPr>
          <w:p w14:paraId="1448000D"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9369F9B"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0FD21B5C"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1494B8A"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13E3C0C1"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23667AD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1,488.7</w:t>
            </w:r>
          </w:p>
        </w:tc>
        <w:tc>
          <w:tcPr>
            <w:tcW w:w="940" w:type="dxa"/>
            <w:tcBorders>
              <w:top w:val="nil"/>
              <w:left w:val="nil"/>
              <w:bottom w:val="single" w:sz="8" w:space="0" w:color="2F75B5"/>
              <w:right w:val="single" w:sz="8" w:space="0" w:color="2F75B5"/>
            </w:tcBorders>
            <w:shd w:val="clear" w:color="auto" w:fill="auto"/>
            <w:noWrap/>
            <w:vAlign w:val="center"/>
            <w:hideMark/>
          </w:tcPr>
          <w:p w14:paraId="2D844674"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1,669.9</w:t>
            </w:r>
          </w:p>
        </w:tc>
        <w:tc>
          <w:tcPr>
            <w:tcW w:w="940" w:type="dxa"/>
            <w:tcBorders>
              <w:top w:val="nil"/>
              <w:left w:val="nil"/>
              <w:bottom w:val="single" w:sz="8" w:space="0" w:color="2F75B5"/>
              <w:right w:val="single" w:sz="8" w:space="0" w:color="2F75B5"/>
            </w:tcBorders>
            <w:shd w:val="clear" w:color="auto" w:fill="auto"/>
            <w:noWrap/>
            <w:vAlign w:val="center"/>
            <w:hideMark/>
          </w:tcPr>
          <w:p w14:paraId="468FA5A2"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1,885.9</w:t>
            </w:r>
          </w:p>
        </w:tc>
      </w:tr>
      <w:tr w:rsidR="00C34A4E" w:rsidRPr="00A83C94" w14:paraId="28206675"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A70544B"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25E79BF"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D71463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22.9%</w:t>
            </w: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D9F7DCE"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c>
          <w:tcPr>
            <w:tcW w:w="940" w:type="dxa"/>
            <w:tcBorders>
              <w:top w:val="nil"/>
              <w:left w:val="nil"/>
              <w:bottom w:val="single" w:sz="8" w:space="0" w:color="2F75B5"/>
              <w:right w:val="single" w:sz="8" w:space="0" w:color="2F75B5"/>
            </w:tcBorders>
            <w:shd w:val="clear" w:color="auto" w:fill="auto"/>
            <w:noWrap/>
            <w:vAlign w:val="center"/>
            <w:hideMark/>
          </w:tcPr>
          <w:p w14:paraId="3AAA08CD"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24.0%</w:t>
            </w:r>
          </w:p>
        </w:tc>
      </w:tr>
      <w:tr w:rsidR="00C34A4E" w:rsidRPr="00A83C94" w14:paraId="4BBB7B04"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E076301"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C6E08A8"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44F196E"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1,477.7</w:t>
            </w:r>
          </w:p>
        </w:tc>
        <w:tc>
          <w:tcPr>
            <w:tcW w:w="940" w:type="dxa"/>
            <w:tcBorders>
              <w:top w:val="nil"/>
              <w:left w:val="nil"/>
              <w:bottom w:val="single" w:sz="8" w:space="0" w:color="2F75B5"/>
              <w:right w:val="single" w:sz="8" w:space="0" w:color="2F75B5"/>
            </w:tcBorders>
            <w:shd w:val="clear" w:color="auto" w:fill="auto"/>
            <w:noWrap/>
            <w:vAlign w:val="center"/>
            <w:hideMark/>
          </w:tcPr>
          <w:p w14:paraId="098F694E"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1,509.5</w:t>
            </w:r>
          </w:p>
        </w:tc>
        <w:tc>
          <w:tcPr>
            <w:tcW w:w="940" w:type="dxa"/>
            <w:tcBorders>
              <w:top w:val="nil"/>
              <w:left w:val="nil"/>
              <w:bottom w:val="single" w:sz="8" w:space="0" w:color="2F75B5"/>
              <w:right w:val="single" w:sz="8" w:space="0" w:color="2F75B5"/>
            </w:tcBorders>
            <w:shd w:val="clear" w:color="auto" w:fill="auto"/>
            <w:noWrap/>
            <w:vAlign w:val="center"/>
            <w:hideMark/>
          </w:tcPr>
          <w:p w14:paraId="5DC78EBB"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C34A4E" w:rsidRPr="00A83C94" w14:paraId="03A9439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26B358C"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5F227AF"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5E926BD"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24.3%</w:t>
            </w:r>
          </w:p>
        </w:tc>
        <w:tc>
          <w:tcPr>
            <w:tcW w:w="940" w:type="dxa"/>
            <w:tcBorders>
              <w:top w:val="nil"/>
              <w:left w:val="nil"/>
              <w:bottom w:val="single" w:sz="8" w:space="0" w:color="2F75B5"/>
              <w:right w:val="single" w:sz="8" w:space="0" w:color="2F75B5"/>
            </w:tcBorders>
            <w:shd w:val="clear" w:color="auto" w:fill="auto"/>
            <w:noWrap/>
            <w:vAlign w:val="center"/>
            <w:hideMark/>
          </w:tcPr>
          <w:p w14:paraId="5C7FE30C"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23.6%</w:t>
            </w:r>
          </w:p>
        </w:tc>
        <w:tc>
          <w:tcPr>
            <w:tcW w:w="940" w:type="dxa"/>
            <w:tcBorders>
              <w:top w:val="nil"/>
              <w:left w:val="nil"/>
              <w:bottom w:val="single" w:sz="8" w:space="0" w:color="2F75B5"/>
              <w:right w:val="single" w:sz="8" w:space="0" w:color="2F75B5"/>
            </w:tcBorders>
            <w:shd w:val="clear" w:color="auto" w:fill="auto"/>
            <w:noWrap/>
            <w:vAlign w:val="center"/>
            <w:hideMark/>
          </w:tcPr>
          <w:p w14:paraId="31361AA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C34A4E" w:rsidRPr="00A83C94" w14:paraId="62CE5834"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0F9310A3"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17F1FEB4"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39C50FCA"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7FB8E66"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1,617.3</w:t>
            </w:r>
          </w:p>
        </w:tc>
        <w:tc>
          <w:tcPr>
            <w:tcW w:w="940" w:type="dxa"/>
            <w:tcBorders>
              <w:top w:val="nil"/>
              <w:left w:val="nil"/>
              <w:bottom w:val="single" w:sz="8" w:space="0" w:color="2F75B5"/>
              <w:right w:val="single" w:sz="8" w:space="0" w:color="2F75B5"/>
            </w:tcBorders>
            <w:shd w:val="clear" w:color="auto" w:fill="auto"/>
            <w:noWrap/>
            <w:vAlign w:val="center"/>
            <w:hideMark/>
          </w:tcPr>
          <w:p w14:paraId="6892CCF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1,819.2</w:t>
            </w:r>
          </w:p>
        </w:tc>
      </w:tr>
      <w:tr w:rsidR="00C34A4E" w:rsidRPr="00A83C94" w14:paraId="68F1186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11AA460"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620B66B"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002DB8D"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8AD57F0"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23.5%</w:t>
            </w:r>
          </w:p>
        </w:tc>
        <w:tc>
          <w:tcPr>
            <w:tcW w:w="940" w:type="dxa"/>
            <w:tcBorders>
              <w:top w:val="nil"/>
              <w:left w:val="nil"/>
              <w:bottom w:val="single" w:sz="8" w:space="0" w:color="2F75B5"/>
              <w:right w:val="single" w:sz="8" w:space="0" w:color="2F75B5"/>
            </w:tcBorders>
            <w:shd w:val="clear" w:color="auto" w:fill="auto"/>
            <w:noWrap/>
            <w:vAlign w:val="center"/>
            <w:hideMark/>
          </w:tcPr>
          <w:p w14:paraId="7D135000"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24.0%</w:t>
            </w:r>
          </w:p>
        </w:tc>
      </w:tr>
      <w:tr w:rsidR="00C34A4E" w:rsidRPr="00A83C94" w14:paraId="000E63B6"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4428A88"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7C925BA"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4AB90B64"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7F6C55C"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1,656.9</w:t>
            </w:r>
          </w:p>
        </w:tc>
        <w:tc>
          <w:tcPr>
            <w:tcW w:w="940" w:type="dxa"/>
            <w:tcBorders>
              <w:top w:val="nil"/>
              <w:left w:val="nil"/>
              <w:bottom w:val="single" w:sz="8" w:space="0" w:color="2F75B5"/>
              <w:right w:val="single" w:sz="8" w:space="0" w:color="2F75B5"/>
            </w:tcBorders>
            <w:shd w:val="clear" w:color="auto" w:fill="auto"/>
            <w:noWrap/>
            <w:vAlign w:val="center"/>
            <w:hideMark/>
          </w:tcPr>
          <w:p w14:paraId="10FE1F95" w14:textId="77777777" w:rsidR="00C34A4E" w:rsidRPr="00A83C94" w:rsidRDefault="00C34A4E" w:rsidP="00733935">
            <w:pPr>
              <w:spacing w:before="0" w:line="240" w:lineRule="auto"/>
              <w:ind w:firstLine="0"/>
              <w:contextualSpacing w:val="0"/>
              <w:jc w:val="right"/>
              <w:rPr>
                <w:rFonts w:cs="Calibri"/>
                <w:b w:val="0"/>
                <w:color w:val="000000"/>
                <w:sz w:val="20"/>
                <w:szCs w:val="20"/>
                <w:lang w:val="hy-AM" w:eastAsia="en-US"/>
              </w:rPr>
            </w:pPr>
            <w:r w:rsidRPr="00A83C94">
              <w:rPr>
                <w:rFonts w:cs="Calibri"/>
                <w:b w:val="0"/>
                <w:color w:val="000000"/>
                <w:sz w:val="20"/>
                <w:szCs w:val="20"/>
                <w:lang w:val="en-US" w:eastAsia="en-US"/>
              </w:rPr>
              <w:t>1,946.</w:t>
            </w:r>
            <w:r w:rsidRPr="00A83C94">
              <w:rPr>
                <w:rFonts w:cs="Calibri"/>
                <w:b w:val="0"/>
                <w:color w:val="000000"/>
                <w:sz w:val="20"/>
                <w:szCs w:val="20"/>
                <w:lang w:val="hy-AM" w:eastAsia="en-US"/>
              </w:rPr>
              <w:t>2</w:t>
            </w:r>
          </w:p>
        </w:tc>
      </w:tr>
      <w:tr w:rsidR="00C34A4E" w:rsidRPr="00A83C94" w14:paraId="670C23EB"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313E2A8"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CEB20F2"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35BCA32"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3689164"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23.6%</w:t>
            </w:r>
          </w:p>
        </w:tc>
        <w:tc>
          <w:tcPr>
            <w:tcW w:w="940" w:type="dxa"/>
            <w:tcBorders>
              <w:top w:val="nil"/>
              <w:left w:val="nil"/>
              <w:bottom w:val="single" w:sz="8" w:space="0" w:color="2F75B5"/>
              <w:right w:val="single" w:sz="8" w:space="0" w:color="2F75B5"/>
            </w:tcBorders>
            <w:shd w:val="clear" w:color="auto" w:fill="auto"/>
            <w:noWrap/>
            <w:vAlign w:val="center"/>
            <w:hideMark/>
          </w:tcPr>
          <w:p w14:paraId="1D9E9022"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24.7%</w:t>
            </w:r>
          </w:p>
        </w:tc>
      </w:tr>
    </w:tbl>
    <w:p w14:paraId="57CAD7B8" w14:textId="77777777" w:rsidR="00C34A4E" w:rsidRPr="00A83C94" w:rsidRDefault="00C34A4E" w:rsidP="00C34A4E">
      <w:pPr>
        <w:spacing w:before="0" w:line="276" w:lineRule="auto"/>
        <w:ind w:firstLine="0"/>
        <w:contextualSpacing w:val="0"/>
        <w:rPr>
          <w:rFonts w:eastAsia="Calibri"/>
          <w:bCs/>
          <w:i/>
          <w:iCs/>
          <w:color w:val="000000"/>
          <w:szCs w:val="22"/>
          <w:lang w:val="hy-AM" w:eastAsia="en-US"/>
        </w:rPr>
      </w:pPr>
    </w:p>
    <w:p w14:paraId="1BC29685"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2.5.2.</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p w14:paraId="13153CA5" w14:textId="77777777" w:rsidR="00C34A4E" w:rsidRPr="00A83C94" w:rsidRDefault="00C34A4E" w:rsidP="00C34A4E">
      <w:pPr>
        <w:spacing w:before="0" w:line="259" w:lineRule="auto"/>
        <w:ind w:firstLine="0"/>
        <w:contextualSpacing w:val="0"/>
        <w:rPr>
          <w:rFonts w:eastAsia="Calibri"/>
          <w:bCs/>
          <w:i/>
          <w:iCs/>
          <w:sz w:val="20"/>
          <w:szCs w:val="20"/>
          <w:lang w:val="hy-AM" w:eastAsia="en-US"/>
        </w:rPr>
      </w:pPr>
    </w:p>
    <w:tbl>
      <w:tblPr>
        <w:tblW w:w="7400" w:type="dxa"/>
        <w:tblInd w:w="1160" w:type="dxa"/>
        <w:tblLook w:val="04A0" w:firstRow="1" w:lastRow="0" w:firstColumn="1" w:lastColumn="0" w:noHBand="0" w:noVBand="1"/>
      </w:tblPr>
      <w:tblGrid>
        <w:gridCol w:w="1360"/>
        <w:gridCol w:w="3220"/>
        <w:gridCol w:w="940"/>
        <w:gridCol w:w="940"/>
        <w:gridCol w:w="940"/>
      </w:tblGrid>
      <w:tr w:rsidR="00C34A4E" w:rsidRPr="00A83C94" w14:paraId="03AA786E" w14:textId="77777777" w:rsidTr="00733935">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30C42EA1"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713DA22A"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648310A1"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1321D592"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140AF6CB"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C34A4E" w:rsidRPr="00A83C94" w14:paraId="42A488ED" w14:textId="77777777" w:rsidTr="00733935">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3DDACDA8"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0E107AA1"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293D28B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1,385.2</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2A50A19E"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725504C2"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1ED2C0AC" w14:textId="77777777" w:rsidTr="00733935">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3D25CF14"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E860A14"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73D9CF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01BBD21B"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D77FA87"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34B8A1D2"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163656BC"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3DAA3261"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455B830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1,621.2</w:t>
            </w:r>
          </w:p>
        </w:tc>
        <w:tc>
          <w:tcPr>
            <w:tcW w:w="940" w:type="dxa"/>
            <w:tcBorders>
              <w:top w:val="nil"/>
              <w:left w:val="nil"/>
              <w:bottom w:val="single" w:sz="8" w:space="0" w:color="2F75B5"/>
              <w:right w:val="single" w:sz="8" w:space="0" w:color="2F75B5"/>
            </w:tcBorders>
            <w:shd w:val="clear" w:color="auto" w:fill="auto"/>
            <w:noWrap/>
            <w:vAlign w:val="center"/>
            <w:hideMark/>
          </w:tcPr>
          <w:p w14:paraId="62BEDB44"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1,787.5</w:t>
            </w:r>
          </w:p>
        </w:tc>
        <w:tc>
          <w:tcPr>
            <w:tcW w:w="940" w:type="dxa"/>
            <w:tcBorders>
              <w:top w:val="nil"/>
              <w:left w:val="nil"/>
              <w:bottom w:val="single" w:sz="8" w:space="0" w:color="2F75B5"/>
              <w:right w:val="single" w:sz="8" w:space="0" w:color="2F75B5"/>
            </w:tcBorders>
            <w:shd w:val="clear" w:color="auto" w:fill="auto"/>
            <w:noWrap/>
            <w:vAlign w:val="center"/>
            <w:hideMark/>
          </w:tcPr>
          <w:p w14:paraId="4EEEA83A"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1,988.8</w:t>
            </w:r>
          </w:p>
        </w:tc>
      </w:tr>
      <w:tr w:rsidR="00C34A4E" w:rsidRPr="00A83C94" w14:paraId="75650FBC"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A24CC95"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0C93B0E"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2EB7A8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23.2%</w:t>
            </w:r>
          </w:p>
        </w:tc>
        <w:tc>
          <w:tcPr>
            <w:tcW w:w="940" w:type="dxa"/>
            <w:tcBorders>
              <w:top w:val="nil"/>
              <w:left w:val="nil"/>
              <w:bottom w:val="single" w:sz="8" w:space="0" w:color="2F75B5"/>
              <w:right w:val="single" w:sz="8" w:space="0" w:color="2F75B5"/>
            </w:tcBorders>
            <w:shd w:val="clear" w:color="auto" w:fill="auto"/>
            <w:noWrap/>
            <w:vAlign w:val="center"/>
            <w:hideMark/>
          </w:tcPr>
          <w:p w14:paraId="3EC7685A"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23.5%</w:t>
            </w:r>
          </w:p>
        </w:tc>
        <w:tc>
          <w:tcPr>
            <w:tcW w:w="940" w:type="dxa"/>
            <w:tcBorders>
              <w:top w:val="nil"/>
              <w:left w:val="nil"/>
              <w:bottom w:val="single" w:sz="8" w:space="0" w:color="2F75B5"/>
              <w:right w:val="single" w:sz="8" w:space="0" w:color="2F75B5"/>
            </w:tcBorders>
            <w:shd w:val="clear" w:color="auto" w:fill="auto"/>
            <w:noWrap/>
            <w:vAlign w:val="center"/>
            <w:hideMark/>
          </w:tcPr>
          <w:p w14:paraId="02FB151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23.9%</w:t>
            </w:r>
          </w:p>
        </w:tc>
      </w:tr>
      <w:tr w:rsidR="00C34A4E" w:rsidRPr="00A83C94" w14:paraId="4DA11F9D"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1198D38"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C4B79BC"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4689D35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1,602.3</w:t>
            </w:r>
          </w:p>
        </w:tc>
        <w:tc>
          <w:tcPr>
            <w:tcW w:w="940" w:type="dxa"/>
            <w:tcBorders>
              <w:top w:val="nil"/>
              <w:left w:val="nil"/>
              <w:bottom w:val="single" w:sz="8" w:space="0" w:color="2F75B5"/>
              <w:right w:val="single" w:sz="8" w:space="0" w:color="2F75B5"/>
            </w:tcBorders>
            <w:shd w:val="clear" w:color="auto" w:fill="auto"/>
            <w:noWrap/>
            <w:vAlign w:val="center"/>
            <w:hideMark/>
          </w:tcPr>
          <w:p w14:paraId="307DE40F"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8A2EE69"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1B729C53"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946B256"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8346116"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C7D6CA6"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22.6%</w:t>
            </w:r>
          </w:p>
        </w:tc>
        <w:tc>
          <w:tcPr>
            <w:tcW w:w="940" w:type="dxa"/>
            <w:tcBorders>
              <w:top w:val="nil"/>
              <w:left w:val="nil"/>
              <w:bottom w:val="single" w:sz="8" w:space="0" w:color="2F75B5"/>
              <w:right w:val="single" w:sz="8" w:space="0" w:color="2F75B5"/>
            </w:tcBorders>
            <w:shd w:val="clear" w:color="auto" w:fill="auto"/>
            <w:noWrap/>
            <w:vAlign w:val="center"/>
            <w:hideMark/>
          </w:tcPr>
          <w:p w14:paraId="32BDE61C"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A3196CA"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4F66B11C"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16E3E6EF"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401F1CF1"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04A6134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1,395.9</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23E80C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1,600.3</w:t>
            </w:r>
          </w:p>
        </w:tc>
        <w:tc>
          <w:tcPr>
            <w:tcW w:w="940" w:type="dxa"/>
            <w:tcBorders>
              <w:top w:val="nil"/>
              <w:left w:val="nil"/>
              <w:bottom w:val="single" w:sz="8" w:space="0" w:color="2F75B5"/>
              <w:right w:val="single" w:sz="8" w:space="0" w:color="2F75B5"/>
            </w:tcBorders>
            <w:shd w:val="clear" w:color="auto" w:fill="auto"/>
            <w:noWrap/>
            <w:vAlign w:val="center"/>
            <w:hideMark/>
          </w:tcPr>
          <w:p w14:paraId="62E03BE5"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1,819.7</w:t>
            </w:r>
          </w:p>
        </w:tc>
      </w:tr>
      <w:tr w:rsidR="00C34A4E" w:rsidRPr="00A83C94" w14:paraId="451DC29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1A54EBF"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DCACB7B"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7ECFC3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21.5%</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99464E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0CEEED9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23.2%</w:t>
            </w:r>
          </w:p>
        </w:tc>
      </w:tr>
      <w:tr w:rsidR="00C34A4E" w:rsidRPr="00A83C94" w14:paraId="7FF1D530"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1BF5461"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414DD30"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6F764D02"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1,349.8</w:t>
            </w:r>
          </w:p>
        </w:tc>
        <w:tc>
          <w:tcPr>
            <w:tcW w:w="940" w:type="dxa"/>
            <w:tcBorders>
              <w:top w:val="nil"/>
              <w:left w:val="nil"/>
              <w:bottom w:val="single" w:sz="8" w:space="0" w:color="2F75B5"/>
              <w:right w:val="single" w:sz="8" w:space="0" w:color="2F75B5"/>
            </w:tcBorders>
            <w:shd w:val="clear" w:color="auto" w:fill="auto"/>
            <w:noWrap/>
            <w:vAlign w:val="center"/>
            <w:hideMark/>
          </w:tcPr>
          <w:p w14:paraId="28752603"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1,440.1</w:t>
            </w:r>
          </w:p>
        </w:tc>
        <w:tc>
          <w:tcPr>
            <w:tcW w:w="940" w:type="dxa"/>
            <w:tcBorders>
              <w:top w:val="nil"/>
              <w:left w:val="nil"/>
              <w:bottom w:val="single" w:sz="8" w:space="0" w:color="2F75B5"/>
              <w:right w:val="single" w:sz="8" w:space="0" w:color="2F75B5"/>
            </w:tcBorders>
            <w:shd w:val="clear" w:color="auto" w:fill="auto"/>
            <w:noWrap/>
            <w:vAlign w:val="center"/>
            <w:hideMark/>
          </w:tcPr>
          <w:p w14:paraId="3140044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C34A4E" w:rsidRPr="00A83C94" w14:paraId="3EF6BD77"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B8C7CC2"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79B1516"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384DB82"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22.2%</w:t>
            </w:r>
          </w:p>
        </w:tc>
        <w:tc>
          <w:tcPr>
            <w:tcW w:w="940" w:type="dxa"/>
            <w:tcBorders>
              <w:top w:val="nil"/>
              <w:left w:val="nil"/>
              <w:bottom w:val="single" w:sz="8" w:space="0" w:color="2F75B5"/>
              <w:right w:val="single" w:sz="8" w:space="0" w:color="2F75B5"/>
            </w:tcBorders>
            <w:shd w:val="clear" w:color="auto" w:fill="auto"/>
            <w:noWrap/>
            <w:vAlign w:val="center"/>
            <w:hideMark/>
          </w:tcPr>
          <w:p w14:paraId="4AE6075B"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22.5%</w:t>
            </w:r>
          </w:p>
        </w:tc>
        <w:tc>
          <w:tcPr>
            <w:tcW w:w="940" w:type="dxa"/>
            <w:tcBorders>
              <w:top w:val="nil"/>
              <w:left w:val="nil"/>
              <w:bottom w:val="single" w:sz="8" w:space="0" w:color="2F75B5"/>
              <w:right w:val="single" w:sz="8" w:space="0" w:color="2F75B5"/>
            </w:tcBorders>
            <w:shd w:val="clear" w:color="auto" w:fill="auto"/>
            <w:noWrap/>
            <w:vAlign w:val="center"/>
            <w:hideMark/>
          </w:tcPr>
          <w:p w14:paraId="75B5151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C34A4E" w:rsidRPr="00A83C94" w14:paraId="53CD358D"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1ACF5B5E"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1FF0F686"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7A2E3031"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8FBCCDF"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1,540.5</w:t>
            </w:r>
          </w:p>
        </w:tc>
        <w:tc>
          <w:tcPr>
            <w:tcW w:w="940" w:type="dxa"/>
            <w:tcBorders>
              <w:top w:val="nil"/>
              <w:left w:val="nil"/>
              <w:bottom w:val="single" w:sz="8" w:space="0" w:color="2F75B5"/>
              <w:right w:val="single" w:sz="8" w:space="0" w:color="2F75B5"/>
            </w:tcBorders>
            <w:shd w:val="clear" w:color="auto" w:fill="auto"/>
            <w:noWrap/>
            <w:vAlign w:val="center"/>
            <w:hideMark/>
          </w:tcPr>
          <w:p w14:paraId="4EEF77A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1,733.5</w:t>
            </w:r>
          </w:p>
        </w:tc>
      </w:tr>
      <w:tr w:rsidR="00C34A4E" w:rsidRPr="00A83C94" w14:paraId="6A84BA58"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28C48CE"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AD1AD7F"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8F9D6DA"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3B44162"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153D44CA"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22.9%</w:t>
            </w:r>
          </w:p>
        </w:tc>
      </w:tr>
      <w:tr w:rsidR="00C34A4E" w:rsidRPr="00A83C94" w14:paraId="70330ECD"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0EDAE52"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94525EE"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CCCE066"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AC96C3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1,581.0</w:t>
            </w:r>
          </w:p>
        </w:tc>
        <w:tc>
          <w:tcPr>
            <w:tcW w:w="940" w:type="dxa"/>
            <w:tcBorders>
              <w:top w:val="nil"/>
              <w:left w:val="nil"/>
              <w:bottom w:val="single" w:sz="8" w:space="0" w:color="2F75B5"/>
              <w:right w:val="single" w:sz="8" w:space="0" w:color="2F75B5"/>
            </w:tcBorders>
            <w:shd w:val="clear" w:color="auto" w:fill="auto"/>
            <w:noWrap/>
            <w:vAlign w:val="center"/>
            <w:hideMark/>
          </w:tcPr>
          <w:p w14:paraId="2C48640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1,843.8</w:t>
            </w:r>
          </w:p>
        </w:tc>
      </w:tr>
      <w:tr w:rsidR="00C34A4E" w:rsidRPr="00A83C94" w14:paraId="6DCD84E3"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1CBC4A2"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14365ED"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1A9FE4F"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18DBB9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22.5%</w:t>
            </w:r>
          </w:p>
        </w:tc>
        <w:tc>
          <w:tcPr>
            <w:tcW w:w="940" w:type="dxa"/>
            <w:tcBorders>
              <w:top w:val="nil"/>
              <w:left w:val="nil"/>
              <w:bottom w:val="single" w:sz="8" w:space="0" w:color="2F75B5"/>
              <w:right w:val="single" w:sz="8" w:space="0" w:color="2F75B5"/>
            </w:tcBorders>
            <w:shd w:val="clear" w:color="auto" w:fill="auto"/>
            <w:noWrap/>
            <w:vAlign w:val="center"/>
            <w:hideMark/>
          </w:tcPr>
          <w:p w14:paraId="6561A39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r>
    </w:tbl>
    <w:p w14:paraId="006FD8AD"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5DD82103"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2.5.3.</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C34A4E" w:rsidRPr="00A83C94" w14:paraId="6C57A1B9" w14:textId="77777777" w:rsidTr="00733935">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47776AD3"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4B49F3D3"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6F1BB0F4"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14606F8A"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52A3AE04"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C34A4E" w:rsidRPr="00A83C94" w14:paraId="2CA3D88B" w14:textId="77777777" w:rsidTr="00733935">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78E420FA"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62D210E0"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2FDE5D88"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1,894.6</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0B7036D"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80B17FC"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44F26679" w14:textId="77777777" w:rsidTr="00733935">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24B7221B"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0A41A39"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28EC593"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30.6%</w:t>
            </w:r>
          </w:p>
        </w:tc>
        <w:tc>
          <w:tcPr>
            <w:tcW w:w="940" w:type="dxa"/>
            <w:tcBorders>
              <w:top w:val="nil"/>
              <w:left w:val="nil"/>
              <w:bottom w:val="single" w:sz="8" w:space="0" w:color="2F75B5"/>
              <w:right w:val="single" w:sz="8" w:space="0" w:color="2F75B5"/>
            </w:tcBorders>
            <w:shd w:val="clear" w:color="auto" w:fill="auto"/>
            <w:noWrap/>
            <w:vAlign w:val="center"/>
            <w:hideMark/>
          </w:tcPr>
          <w:p w14:paraId="4A3E77D3"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987AC86"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3AC3F6E5"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25208F9"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402F0A34"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67A74D3F"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1,868.2</w:t>
            </w:r>
          </w:p>
        </w:tc>
        <w:tc>
          <w:tcPr>
            <w:tcW w:w="940" w:type="dxa"/>
            <w:tcBorders>
              <w:top w:val="nil"/>
              <w:left w:val="nil"/>
              <w:bottom w:val="single" w:sz="8" w:space="0" w:color="2F75B5"/>
              <w:right w:val="single" w:sz="8" w:space="0" w:color="2F75B5"/>
            </w:tcBorders>
            <w:shd w:val="clear" w:color="auto" w:fill="auto"/>
            <w:noWrap/>
            <w:vAlign w:val="center"/>
            <w:hideMark/>
          </w:tcPr>
          <w:p w14:paraId="184B5A5B"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2,027.7</w:t>
            </w:r>
          </w:p>
        </w:tc>
        <w:tc>
          <w:tcPr>
            <w:tcW w:w="940" w:type="dxa"/>
            <w:tcBorders>
              <w:top w:val="nil"/>
              <w:left w:val="nil"/>
              <w:bottom w:val="single" w:sz="8" w:space="0" w:color="2F75B5"/>
              <w:right w:val="single" w:sz="8" w:space="0" w:color="2F75B5"/>
            </w:tcBorders>
            <w:shd w:val="clear" w:color="auto" w:fill="auto"/>
            <w:noWrap/>
            <w:vAlign w:val="center"/>
            <w:hideMark/>
          </w:tcPr>
          <w:p w14:paraId="1DD62130"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2,235.5</w:t>
            </w:r>
          </w:p>
        </w:tc>
      </w:tr>
      <w:tr w:rsidR="00C34A4E" w:rsidRPr="00A83C94" w14:paraId="05C66359"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AE37B79"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40480FC"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BD52DF2"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26.8%</w:t>
            </w:r>
          </w:p>
        </w:tc>
        <w:tc>
          <w:tcPr>
            <w:tcW w:w="940" w:type="dxa"/>
            <w:tcBorders>
              <w:top w:val="nil"/>
              <w:left w:val="nil"/>
              <w:bottom w:val="single" w:sz="8" w:space="0" w:color="2F75B5"/>
              <w:right w:val="single" w:sz="8" w:space="0" w:color="2F75B5"/>
            </w:tcBorders>
            <w:shd w:val="clear" w:color="auto" w:fill="auto"/>
            <w:noWrap/>
            <w:vAlign w:val="center"/>
            <w:hideMark/>
          </w:tcPr>
          <w:p w14:paraId="4C50740E"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26.6%</w:t>
            </w:r>
          </w:p>
        </w:tc>
        <w:tc>
          <w:tcPr>
            <w:tcW w:w="940" w:type="dxa"/>
            <w:tcBorders>
              <w:top w:val="nil"/>
              <w:left w:val="nil"/>
              <w:bottom w:val="single" w:sz="8" w:space="0" w:color="2F75B5"/>
              <w:right w:val="single" w:sz="8" w:space="0" w:color="2F75B5"/>
            </w:tcBorders>
            <w:shd w:val="clear" w:color="auto" w:fill="auto"/>
            <w:noWrap/>
            <w:vAlign w:val="center"/>
            <w:hideMark/>
          </w:tcPr>
          <w:p w14:paraId="4581207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26.9%</w:t>
            </w:r>
          </w:p>
        </w:tc>
      </w:tr>
      <w:tr w:rsidR="00C34A4E" w:rsidRPr="00A83C94" w14:paraId="0BE0FB16"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6DE0E12"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FCE9FFB"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4DC390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1,855.7</w:t>
            </w:r>
          </w:p>
        </w:tc>
        <w:tc>
          <w:tcPr>
            <w:tcW w:w="940" w:type="dxa"/>
            <w:tcBorders>
              <w:top w:val="nil"/>
              <w:left w:val="nil"/>
              <w:bottom w:val="single" w:sz="8" w:space="0" w:color="2F75B5"/>
              <w:right w:val="single" w:sz="8" w:space="0" w:color="2F75B5"/>
            </w:tcBorders>
            <w:shd w:val="clear" w:color="auto" w:fill="auto"/>
            <w:noWrap/>
            <w:vAlign w:val="center"/>
            <w:hideMark/>
          </w:tcPr>
          <w:p w14:paraId="2F856B8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C7B2902"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786AA3B6"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10D27CC"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0BCAEC8"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189D0D2"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26.2%</w:t>
            </w:r>
          </w:p>
        </w:tc>
        <w:tc>
          <w:tcPr>
            <w:tcW w:w="940" w:type="dxa"/>
            <w:tcBorders>
              <w:top w:val="nil"/>
              <w:left w:val="nil"/>
              <w:bottom w:val="single" w:sz="8" w:space="0" w:color="2F75B5"/>
              <w:right w:val="single" w:sz="8" w:space="0" w:color="2F75B5"/>
            </w:tcBorders>
            <w:shd w:val="clear" w:color="auto" w:fill="auto"/>
            <w:noWrap/>
            <w:vAlign w:val="center"/>
            <w:hideMark/>
          </w:tcPr>
          <w:p w14:paraId="7F1D01E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6DEB24B"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190B3596"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E176D5C"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53CB4028"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3769214A"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1,850.2</w:t>
            </w:r>
          </w:p>
        </w:tc>
        <w:tc>
          <w:tcPr>
            <w:tcW w:w="940" w:type="dxa"/>
            <w:tcBorders>
              <w:top w:val="nil"/>
              <w:left w:val="nil"/>
              <w:bottom w:val="single" w:sz="8" w:space="0" w:color="2F75B5"/>
              <w:right w:val="single" w:sz="8" w:space="0" w:color="2F75B5"/>
            </w:tcBorders>
            <w:shd w:val="clear" w:color="auto" w:fill="auto"/>
            <w:noWrap/>
            <w:vAlign w:val="center"/>
            <w:hideMark/>
          </w:tcPr>
          <w:p w14:paraId="572ED6CB"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1,879.0</w:t>
            </w:r>
          </w:p>
        </w:tc>
        <w:tc>
          <w:tcPr>
            <w:tcW w:w="940" w:type="dxa"/>
            <w:tcBorders>
              <w:top w:val="nil"/>
              <w:left w:val="nil"/>
              <w:bottom w:val="single" w:sz="8" w:space="0" w:color="2F75B5"/>
              <w:right w:val="single" w:sz="8" w:space="0" w:color="2F75B5"/>
            </w:tcBorders>
            <w:shd w:val="clear" w:color="auto" w:fill="auto"/>
            <w:noWrap/>
            <w:vAlign w:val="center"/>
            <w:hideMark/>
          </w:tcPr>
          <w:p w14:paraId="3AF30B74"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2,026.1</w:t>
            </w:r>
          </w:p>
        </w:tc>
      </w:tr>
      <w:tr w:rsidR="00C34A4E" w:rsidRPr="00A83C94" w14:paraId="4868AFA3"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E138A2A"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EA862D2"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CE3EBE8"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28.4%</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EDDE00D"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26.3%</w:t>
            </w:r>
          </w:p>
        </w:tc>
        <w:tc>
          <w:tcPr>
            <w:tcW w:w="940" w:type="dxa"/>
            <w:tcBorders>
              <w:top w:val="nil"/>
              <w:left w:val="nil"/>
              <w:bottom w:val="single" w:sz="8" w:space="0" w:color="2F75B5"/>
              <w:right w:val="single" w:sz="8" w:space="0" w:color="2F75B5"/>
            </w:tcBorders>
            <w:shd w:val="clear" w:color="auto" w:fill="auto"/>
            <w:noWrap/>
            <w:vAlign w:val="center"/>
            <w:hideMark/>
          </w:tcPr>
          <w:p w14:paraId="40E9121D"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25.8%</w:t>
            </w:r>
          </w:p>
        </w:tc>
      </w:tr>
      <w:tr w:rsidR="00C34A4E" w:rsidRPr="00A83C94" w14:paraId="7C802390"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326D688"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40102D6"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5D6A715"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1,907.4</w:t>
            </w:r>
          </w:p>
        </w:tc>
        <w:tc>
          <w:tcPr>
            <w:tcW w:w="940" w:type="dxa"/>
            <w:tcBorders>
              <w:top w:val="nil"/>
              <w:left w:val="nil"/>
              <w:bottom w:val="single" w:sz="8" w:space="0" w:color="2F75B5"/>
              <w:right w:val="single" w:sz="8" w:space="0" w:color="2F75B5"/>
            </w:tcBorders>
            <w:shd w:val="clear" w:color="auto" w:fill="auto"/>
            <w:noWrap/>
            <w:vAlign w:val="center"/>
            <w:hideMark/>
          </w:tcPr>
          <w:p w14:paraId="36D49437"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1,850.9</w:t>
            </w:r>
          </w:p>
        </w:tc>
        <w:tc>
          <w:tcPr>
            <w:tcW w:w="940" w:type="dxa"/>
            <w:tcBorders>
              <w:top w:val="nil"/>
              <w:left w:val="nil"/>
              <w:bottom w:val="single" w:sz="8" w:space="0" w:color="2F75B5"/>
              <w:right w:val="single" w:sz="8" w:space="0" w:color="2F75B5"/>
            </w:tcBorders>
            <w:shd w:val="clear" w:color="auto" w:fill="auto"/>
            <w:noWrap/>
            <w:vAlign w:val="center"/>
            <w:hideMark/>
          </w:tcPr>
          <w:p w14:paraId="1446D5AE"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C34A4E" w:rsidRPr="00A83C94" w14:paraId="6831774E"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AE143B9"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EEFE627"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45D26C2"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31.4%</w:t>
            </w:r>
          </w:p>
        </w:tc>
        <w:tc>
          <w:tcPr>
            <w:tcW w:w="940" w:type="dxa"/>
            <w:tcBorders>
              <w:top w:val="nil"/>
              <w:left w:val="nil"/>
              <w:bottom w:val="single" w:sz="8" w:space="0" w:color="2F75B5"/>
              <w:right w:val="single" w:sz="8" w:space="0" w:color="2F75B5"/>
            </w:tcBorders>
            <w:shd w:val="clear" w:color="auto" w:fill="auto"/>
            <w:noWrap/>
            <w:vAlign w:val="center"/>
            <w:hideMark/>
          </w:tcPr>
          <w:p w14:paraId="24A4A9FC"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28.9%</w:t>
            </w:r>
          </w:p>
        </w:tc>
        <w:tc>
          <w:tcPr>
            <w:tcW w:w="940" w:type="dxa"/>
            <w:tcBorders>
              <w:top w:val="nil"/>
              <w:left w:val="nil"/>
              <w:bottom w:val="single" w:sz="8" w:space="0" w:color="2F75B5"/>
              <w:right w:val="single" w:sz="8" w:space="0" w:color="2F75B5"/>
            </w:tcBorders>
            <w:shd w:val="clear" w:color="auto" w:fill="auto"/>
            <w:noWrap/>
            <w:vAlign w:val="center"/>
            <w:hideMark/>
          </w:tcPr>
          <w:p w14:paraId="5C19E34A"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C34A4E" w:rsidRPr="00A83C94" w14:paraId="4CE59970"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CBADAFB"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376F9B63"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4FA8F463"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FB4687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1,936.0</w:t>
            </w:r>
          </w:p>
        </w:tc>
        <w:tc>
          <w:tcPr>
            <w:tcW w:w="940" w:type="dxa"/>
            <w:tcBorders>
              <w:top w:val="nil"/>
              <w:left w:val="nil"/>
              <w:bottom w:val="single" w:sz="8" w:space="0" w:color="2F75B5"/>
              <w:right w:val="single" w:sz="8" w:space="0" w:color="2F75B5"/>
            </w:tcBorders>
            <w:shd w:val="clear" w:color="auto" w:fill="auto"/>
            <w:noWrap/>
            <w:vAlign w:val="center"/>
            <w:hideMark/>
          </w:tcPr>
          <w:p w14:paraId="671933D0"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2,000.9</w:t>
            </w:r>
          </w:p>
        </w:tc>
      </w:tr>
      <w:tr w:rsidR="00C34A4E" w:rsidRPr="00A83C94" w14:paraId="5DF1E90D"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F3C4697"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66CCDB8"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71CF4E4"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CEBC1FF"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28.1%</w:t>
            </w:r>
          </w:p>
        </w:tc>
        <w:tc>
          <w:tcPr>
            <w:tcW w:w="940" w:type="dxa"/>
            <w:tcBorders>
              <w:top w:val="nil"/>
              <w:left w:val="nil"/>
              <w:bottom w:val="single" w:sz="8" w:space="0" w:color="2F75B5"/>
              <w:right w:val="single" w:sz="8" w:space="0" w:color="2F75B5"/>
            </w:tcBorders>
            <w:shd w:val="clear" w:color="auto" w:fill="auto"/>
            <w:noWrap/>
            <w:vAlign w:val="center"/>
            <w:hideMark/>
          </w:tcPr>
          <w:p w14:paraId="6B7E0E2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26.4%</w:t>
            </w:r>
          </w:p>
        </w:tc>
      </w:tr>
      <w:tr w:rsidR="00C34A4E" w:rsidRPr="00A83C94" w14:paraId="52BA348E"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4866D5E"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41E7A3A"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043DD0F"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684680F"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1,986.0</w:t>
            </w:r>
          </w:p>
        </w:tc>
        <w:tc>
          <w:tcPr>
            <w:tcW w:w="940" w:type="dxa"/>
            <w:tcBorders>
              <w:top w:val="nil"/>
              <w:left w:val="nil"/>
              <w:bottom w:val="single" w:sz="8" w:space="0" w:color="2F75B5"/>
              <w:right w:val="single" w:sz="8" w:space="0" w:color="2F75B5"/>
            </w:tcBorders>
            <w:shd w:val="clear" w:color="auto" w:fill="auto"/>
            <w:noWrap/>
            <w:vAlign w:val="center"/>
            <w:hideMark/>
          </w:tcPr>
          <w:p w14:paraId="1098D89A" w14:textId="77777777" w:rsidR="00C34A4E" w:rsidRPr="00D51F9A" w:rsidRDefault="00C34A4E" w:rsidP="00733935">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en-US" w:eastAsia="en-US"/>
              </w:rPr>
              <w:t>2,18</w:t>
            </w:r>
            <w:r>
              <w:rPr>
                <w:rFonts w:cs="Calibri"/>
                <w:b w:val="0"/>
                <w:color w:val="000000"/>
                <w:sz w:val="20"/>
                <w:szCs w:val="20"/>
                <w:lang w:val="hy-AM" w:eastAsia="en-US"/>
              </w:rPr>
              <w:t>9</w:t>
            </w:r>
            <w:r w:rsidRPr="00387D6C">
              <w:rPr>
                <w:rFonts w:cs="Calibri"/>
                <w:b w:val="0"/>
                <w:color w:val="000000"/>
                <w:sz w:val="20"/>
                <w:szCs w:val="20"/>
                <w:lang w:val="en-US" w:eastAsia="en-US"/>
              </w:rPr>
              <w:t>.</w:t>
            </w:r>
            <w:r>
              <w:rPr>
                <w:rFonts w:cs="Calibri"/>
                <w:b w:val="0"/>
                <w:color w:val="000000"/>
                <w:sz w:val="20"/>
                <w:szCs w:val="20"/>
                <w:lang w:val="hy-AM" w:eastAsia="en-US"/>
              </w:rPr>
              <w:t>2</w:t>
            </w:r>
          </w:p>
        </w:tc>
      </w:tr>
      <w:tr w:rsidR="00C34A4E" w:rsidRPr="00A83C94" w14:paraId="5FEBE323"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C7F16A8"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2951A86"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D276B4E"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C4C8D5E"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28.2%</w:t>
            </w:r>
          </w:p>
        </w:tc>
        <w:tc>
          <w:tcPr>
            <w:tcW w:w="940" w:type="dxa"/>
            <w:tcBorders>
              <w:top w:val="nil"/>
              <w:left w:val="nil"/>
              <w:bottom w:val="single" w:sz="8" w:space="0" w:color="2F75B5"/>
              <w:right w:val="single" w:sz="8" w:space="0" w:color="2F75B5"/>
            </w:tcBorders>
            <w:shd w:val="clear" w:color="auto" w:fill="auto"/>
            <w:noWrap/>
            <w:vAlign w:val="center"/>
            <w:hideMark/>
          </w:tcPr>
          <w:p w14:paraId="3FD816B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387D6C">
              <w:rPr>
                <w:rFonts w:cs="Calibri"/>
                <w:b w:val="0"/>
                <w:i/>
                <w:iCs/>
                <w:color w:val="000000"/>
                <w:sz w:val="20"/>
                <w:szCs w:val="20"/>
                <w:lang w:val="en-US" w:eastAsia="en-US"/>
              </w:rPr>
              <w:t>27.8</w:t>
            </w:r>
            <w:r w:rsidRPr="00A83C94">
              <w:rPr>
                <w:rFonts w:cs="Calibri"/>
                <w:b w:val="0"/>
                <w:i/>
                <w:iCs/>
                <w:color w:val="000000"/>
                <w:sz w:val="20"/>
                <w:szCs w:val="20"/>
                <w:lang w:val="en-US" w:eastAsia="en-US"/>
              </w:rPr>
              <w:t>%</w:t>
            </w:r>
          </w:p>
        </w:tc>
      </w:tr>
    </w:tbl>
    <w:p w14:paraId="77759732"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p>
    <w:p w14:paraId="75363F10"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2.5.4.</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C34A4E" w:rsidRPr="00A83C94" w14:paraId="61C18394" w14:textId="77777777" w:rsidTr="00733935">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3D1E4A37"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4E11EE21"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20E95323"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322735D0"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25484D12"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C34A4E" w:rsidRPr="00A83C94" w14:paraId="018ADB04" w14:textId="77777777" w:rsidTr="00733935">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57E1AF03"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0803F5A9"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1AF419A2"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1,668.5</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21880909"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7ACF660C"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1446132B" w14:textId="77777777" w:rsidTr="00733935">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4700D749"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64FD328"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F6456FC"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27.0%</w:t>
            </w:r>
          </w:p>
        </w:tc>
        <w:tc>
          <w:tcPr>
            <w:tcW w:w="940" w:type="dxa"/>
            <w:tcBorders>
              <w:top w:val="nil"/>
              <w:left w:val="nil"/>
              <w:bottom w:val="single" w:sz="8" w:space="0" w:color="2F75B5"/>
              <w:right w:val="single" w:sz="8" w:space="0" w:color="2F75B5"/>
            </w:tcBorders>
            <w:shd w:val="clear" w:color="auto" w:fill="auto"/>
            <w:noWrap/>
            <w:vAlign w:val="center"/>
            <w:hideMark/>
          </w:tcPr>
          <w:p w14:paraId="0769D6E5"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265BE66"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6840B019"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5F5A105E"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1D32DC63"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433D8D9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1,479.9</w:t>
            </w:r>
          </w:p>
        </w:tc>
        <w:tc>
          <w:tcPr>
            <w:tcW w:w="940" w:type="dxa"/>
            <w:tcBorders>
              <w:top w:val="nil"/>
              <w:left w:val="nil"/>
              <w:bottom w:val="single" w:sz="8" w:space="0" w:color="2F75B5"/>
              <w:right w:val="single" w:sz="8" w:space="0" w:color="2F75B5"/>
            </w:tcBorders>
            <w:shd w:val="clear" w:color="auto" w:fill="auto"/>
            <w:noWrap/>
            <w:vAlign w:val="center"/>
            <w:hideMark/>
          </w:tcPr>
          <w:p w14:paraId="2B6CD815"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1,568.3</w:t>
            </w:r>
          </w:p>
        </w:tc>
        <w:tc>
          <w:tcPr>
            <w:tcW w:w="940" w:type="dxa"/>
            <w:tcBorders>
              <w:top w:val="nil"/>
              <w:left w:val="nil"/>
              <w:bottom w:val="single" w:sz="8" w:space="0" w:color="2F75B5"/>
              <w:right w:val="single" w:sz="8" w:space="0" w:color="2F75B5"/>
            </w:tcBorders>
            <w:shd w:val="clear" w:color="auto" w:fill="auto"/>
            <w:noWrap/>
            <w:vAlign w:val="center"/>
            <w:hideMark/>
          </w:tcPr>
          <w:p w14:paraId="09AA6065"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1,680.0</w:t>
            </w:r>
          </w:p>
        </w:tc>
      </w:tr>
      <w:tr w:rsidR="00C34A4E" w:rsidRPr="00A83C94" w14:paraId="64EDF5EF"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4B08BC5"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3EED27E"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C0E020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21.2%</w:t>
            </w:r>
          </w:p>
        </w:tc>
        <w:tc>
          <w:tcPr>
            <w:tcW w:w="940" w:type="dxa"/>
            <w:tcBorders>
              <w:top w:val="nil"/>
              <w:left w:val="nil"/>
              <w:bottom w:val="single" w:sz="8" w:space="0" w:color="2F75B5"/>
              <w:right w:val="single" w:sz="8" w:space="0" w:color="2F75B5"/>
            </w:tcBorders>
            <w:shd w:val="clear" w:color="auto" w:fill="auto"/>
            <w:noWrap/>
            <w:vAlign w:val="center"/>
            <w:hideMark/>
          </w:tcPr>
          <w:p w14:paraId="10702FEB"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20.6%</w:t>
            </w:r>
          </w:p>
        </w:tc>
        <w:tc>
          <w:tcPr>
            <w:tcW w:w="940" w:type="dxa"/>
            <w:tcBorders>
              <w:top w:val="nil"/>
              <w:left w:val="nil"/>
              <w:bottom w:val="single" w:sz="8" w:space="0" w:color="2F75B5"/>
              <w:right w:val="single" w:sz="8" w:space="0" w:color="2F75B5"/>
            </w:tcBorders>
            <w:shd w:val="clear" w:color="auto" w:fill="auto"/>
            <w:noWrap/>
            <w:vAlign w:val="center"/>
            <w:hideMark/>
          </w:tcPr>
          <w:p w14:paraId="3AEB0364"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20.2%</w:t>
            </w:r>
          </w:p>
        </w:tc>
      </w:tr>
      <w:tr w:rsidR="00C34A4E" w:rsidRPr="00A83C94" w14:paraId="01DB5D69"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800AD2A"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CFFE7D7"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06E1D2A"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1,568.0</w:t>
            </w:r>
          </w:p>
        </w:tc>
        <w:tc>
          <w:tcPr>
            <w:tcW w:w="940" w:type="dxa"/>
            <w:tcBorders>
              <w:top w:val="nil"/>
              <w:left w:val="nil"/>
              <w:bottom w:val="single" w:sz="8" w:space="0" w:color="2F75B5"/>
              <w:right w:val="single" w:sz="8" w:space="0" w:color="2F75B5"/>
            </w:tcBorders>
            <w:shd w:val="clear" w:color="auto" w:fill="auto"/>
            <w:noWrap/>
            <w:vAlign w:val="center"/>
            <w:hideMark/>
          </w:tcPr>
          <w:p w14:paraId="0B61AA0E"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CC58DBD"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4E417934"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79B3F23"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9D2122E"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B10783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22.1%</w:t>
            </w:r>
          </w:p>
        </w:tc>
        <w:tc>
          <w:tcPr>
            <w:tcW w:w="940" w:type="dxa"/>
            <w:tcBorders>
              <w:top w:val="nil"/>
              <w:left w:val="nil"/>
              <w:bottom w:val="single" w:sz="8" w:space="0" w:color="2F75B5"/>
              <w:right w:val="single" w:sz="8" w:space="0" w:color="2F75B5"/>
            </w:tcBorders>
            <w:shd w:val="clear" w:color="auto" w:fill="auto"/>
            <w:noWrap/>
            <w:vAlign w:val="center"/>
            <w:hideMark/>
          </w:tcPr>
          <w:p w14:paraId="11E048B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4528EE9"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5B615DAE"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0D3A3B2"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123BBB69"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1891532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1,628.0</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A2FFF3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1,629.0</w:t>
            </w:r>
          </w:p>
        </w:tc>
        <w:tc>
          <w:tcPr>
            <w:tcW w:w="940" w:type="dxa"/>
            <w:tcBorders>
              <w:top w:val="nil"/>
              <w:left w:val="nil"/>
              <w:bottom w:val="single" w:sz="8" w:space="0" w:color="2F75B5"/>
              <w:right w:val="single" w:sz="8" w:space="0" w:color="2F75B5"/>
            </w:tcBorders>
            <w:shd w:val="clear" w:color="auto" w:fill="auto"/>
            <w:noWrap/>
            <w:vAlign w:val="center"/>
            <w:hideMark/>
          </w:tcPr>
          <w:p w14:paraId="3E5EF17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1,699.9</w:t>
            </w:r>
          </w:p>
        </w:tc>
      </w:tr>
      <w:tr w:rsidR="00C34A4E" w:rsidRPr="00A83C94" w14:paraId="7E029B71"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153D00D"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7615585"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C1A9E23"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25.0%</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431A83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22.8%</w:t>
            </w:r>
          </w:p>
        </w:tc>
        <w:tc>
          <w:tcPr>
            <w:tcW w:w="940" w:type="dxa"/>
            <w:tcBorders>
              <w:top w:val="nil"/>
              <w:left w:val="nil"/>
              <w:bottom w:val="single" w:sz="8" w:space="0" w:color="2F75B5"/>
              <w:right w:val="single" w:sz="8" w:space="0" w:color="2F75B5"/>
            </w:tcBorders>
            <w:shd w:val="clear" w:color="auto" w:fill="auto"/>
            <w:noWrap/>
            <w:vAlign w:val="center"/>
            <w:hideMark/>
          </w:tcPr>
          <w:p w14:paraId="200F176E"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21.6%</w:t>
            </w:r>
          </w:p>
        </w:tc>
      </w:tr>
      <w:tr w:rsidR="00C34A4E" w:rsidRPr="00A83C94" w14:paraId="60C4C79D"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5123F01"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807D411"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0F5F6DB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1,622.7</w:t>
            </w:r>
          </w:p>
        </w:tc>
        <w:tc>
          <w:tcPr>
            <w:tcW w:w="940" w:type="dxa"/>
            <w:tcBorders>
              <w:top w:val="nil"/>
              <w:left w:val="nil"/>
              <w:bottom w:val="single" w:sz="8" w:space="0" w:color="2F75B5"/>
              <w:right w:val="single" w:sz="8" w:space="0" w:color="2F75B5"/>
            </w:tcBorders>
            <w:shd w:val="clear" w:color="auto" w:fill="auto"/>
            <w:noWrap/>
            <w:vAlign w:val="center"/>
            <w:hideMark/>
          </w:tcPr>
          <w:p w14:paraId="5AFFC6C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1,634.6</w:t>
            </w:r>
          </w:p>
        </w:tc>
        <w:tc>
          <w:tcPr>
            <w:tcW w:w="940" w:type="dxa"/>
            <w:tcBorders>
              <w:top w:val="nil"/>
              <w:left w:val="nil"/>
              <w:bottom w:val="single" w:sz="8" w:space="0" w:color="2F75B5"/>
              <w:right w:val="single" w:sz="8" w:space="0" w:color="2F75B5"/>
            </w:tcBorders>
            <w:shd w:val="clear" w:color="auto" w:fill="auto"/>
            <w:noWrap/>
            <w:vAlign w:val="center"/>
            <w:hideMark/>
          </w:tcPr>
          <w:p w14:paraId="217A02A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C34A4E" w:rsidRPr="00A83C94" w14:paraId="2C31EC21"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82AB10B"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8D6D920"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5546A4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26.7%</w:t>
            </w:r>
          </w:p>
        </w:tc>
        <w:tc>
          <w:tcPr>
            <w:tcW w:w="940" w:type="dxa"/>
            <w:tcBorders>
              <w:top w:val="nil"/>
              <w:left w:val="nil"/>
              <w:bottom w:val="single" w:sz="8" w:space="0" w:color="2F75B5"/>
              <w:right w:val="single" w:sz="8" w:space="0" w:color="2F75B5"/>
            </w:tcBorders>
            <w:shd w:val="clear" w:color="auto" w:fill="auto"/>
            <w:noWrap/>
            <w:vAlign w:val="center"/>
            <w:hideMark/>
          </w:tcPr>
          <w:p w14:paraId="127E14D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25.6%</w:t>
            </w:r>
          </w:p>
        </w:tc>
        <w:tc>
          <w:tcPr>
            <w:tcW w:w="940" w:type="dxa"/>
            <w:tcBorders>
              <w:top w:val="nil"/>
              <w:left w:val="nil"/>
              <w:bottom w:val="single" w:sz="8" w:space="0" w:color="2F75B5"/>
              <w:right w:val="single" w:sz="8" w:space="0" w:color="2F75B5"/>
            </w:tcBorders>
            <w:shd w:val="clear" w:color="auto" w:fill="auto"/>
            <w:noWrap/>
            <w:vAlign w:val="center"/>
            <w:hideMark/>
          </w:tcPr>
          <w:p w14:paraId="09F236EE"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C34A4E" w:rsidRPr="00A83C94" w14:paraId="4AFD4218"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123C7326"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341A4562"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6EE48C80"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0EF0AC7"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1,738.9</w:t>
            </w:r>
          </w:p>
        </w:tc>
        <w:tc>
          <w:tcPr>
            <w:tcW w:w="940" w:type="dxa"/>
            <w:tcBorders>
              <w:top w:val="nil"/>
              <w:left w:val="nil"/>
              <w:bottom w:val="single" w:sz="8" w:space="0" w:color="2F75B5"/>
              <w:right w:val="single" w:sz="8" w:space="0" w:color="2F75B5"/>
            </w:tcBorders>
            <w:shd w:val="clear" w:color="auto" w:fill="auto"/>
            <w:noWrap/>
            <w:vAlign w:val="center"/>
            <w:hideMark/>
          </w:tcPr>
          <w:p w14:paraId="7D7D4CEE"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1,708.3</w:t>
            </w:r>
          </w:p>
        </w:tc>
      </w:tr>
      <w:tr w:rsidR="00C34A4E" w:rsidRPr="00A83C94" w14:paraId="2807B568"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0DD6177"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7F10EC2"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5D0247B"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D147433"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25.3%</w:t>
            </w:r>
          </w:p>
        </w:tc>
        <w:tc>
          <w:tcPr>
            <w:tcW w:w="940" w:type="dxa"/>
            <w:tcBorders>
              <w:top w:val="nil"/>
              <w:left w:val="nil"/>
              <w:bottom w:val="single" w:sz="8" w:space="0" w:color="2F75B5"/>
              <w:right w:val="single" w:sz="8" w:space="0" w:color="2F75B5"/>
            </w:tcBorders>
            <w:shd w:val="clear" w:color="auto" w:fill="auto"/>
            <w:noWrap/>
            <w:vAlign w:val="center"/>
            <w:hideMark/>
          </w:tcPr>
          <w:p w14:paraId="24BAA990"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22.6%</w:t>
            </w:r>
          </w:p>
        </w:tc>
      </w:tr>
      <w:tr w:rsidR="00C34A4E" w:rsidRPr="00A83C94" w14:paraId="5841197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AC7242F"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4C3EAE7"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7B1772DC"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D9E650C"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1,762.2</w:t>
            </w:r>
          </w:p>
        </w:tc>
        <w:tc>
          <w:tcPr>
            <w:tcW w:w="940" w:type="dxa"/>
            <w:tcBorders>
              <w:top w:val="nil"/>
              <w:left w:val="nil"/>
              <w:bottom w:val="single" w:sz="8" w:space="0" w:color="2F75B5"/>
              <w:right w:val="single" w:sz="8" w:space="0" w:color="2F75B5"/>
            </w:tcBorders>
            <w:shd w:val="clear" w:color="auto" w:fill="auto"/>
            <w:noWrap/>
            <w:vAlign w:val="center"/>
            <w:hideMark/>
          </w:tcPr>
          <w:p w14:paraId="50975267" w14:textId="77777777" w:rsidR="00C34A4E" w:rsidRPr="00D51F9A" w:rsidRDefault="00C34A4E" w:rsidP="00733935">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en-US" w:eastAsia="en-US"/>
              </w:rPr>
              <w:t>1,84</w:t>
            </w:r>
            <w:r>
              <w:rPr>
                <w:rFonts w:cs="Calibri"/>
                <w:b w:val="0"/>
                <w:color w:val="000000"/>
                <w:sz w:val="20"/>
                <w:szCs w:val="20"/>
                <w:lang w:val="hy-AM" w:eastAsia="en-US"/>
              </w:rPr>
              <w:t>2</w:t>
            </w:r>
            <w:r w:rsidRPr="00387D6C">
              <w:rPr>
                <w:rFonts w:cs="Calibri"/>
                <w:b w:val="0"/>
                <w:color w:val="000000"/>
                <w:sz w:val="20"/>
                <w:szCs w:val="20"/>
                <w:lang w:val="en-US" w:eastAsia="en-US"/>
              </w:rPr>
              <w:t>.</w:t>
            </w:r>
            <w:r>
              <w:rPr>
                <w:rFonts w:cs="Calibri"/>
                <w:b w:val="0"/>
                <w:color w:val="000000"/>
                <w:sz w:val="20"/>
                <w:szCs w:val="20"/>
                <w:lang w:val="hy-AM" w:eastAsia="en-US"/>
              </w:rPr>
              <w:t>7</w:t>
            </w:r>
          </w:p>
        </w:tc>
      </w:tr>
      <w:tr w:rsidR="00C34A4E" w:rsidRPr="00A83C94" w14:paraId="2ADD9641"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47B31EA"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536BA9F"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FA22CB7"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B9A693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25.1%</w:t>
            </w:r>
          </w:p>
        </w:tc>
        <w:tc>
          <w:tcPr>
            <w:tcW w:w="940" w:type="dxa"/>
            <w:tcBorders>
              <w:top w:val="nil"/>
              <w:left w:val="nil"/>
              <w:bottom w:val="single" w:sz="8" w:space="0" w:color="2F75B5"/>
              <w:right w:val="single" w:sz="8" w:space="0" w:color="2F75B5"/>
            </w:tcBorders>
            <w:shd w:val="clear" w:color="auto" w:fill="auto"/>
            <w:noWrap/>
            <w:vAlign w:val="center"/>
            <w:hideMark/>
          </w:tcPr>
          <w:p w14:paraId="2DC2F27E"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r>
    </w:tbl>
    <w:p w14:paraId="11DA0439"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p>
    <w:p w14:paraId="73E0B28E"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0E2EE61A"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383E384E"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4602DF67"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77414ECD"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1F790D41"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01FE36FB" w14:textId="77777777" w:rsidR="00C34A4E" w:rsidRPr="00A83C94" w:rsidRDefault="00C34A4E" w:rsidP="00C34A4E">
      <w:pPr>
        <w:spacing w:before="0" w:line="259" w:lineRule="auto"/>
        <w:ind w:firstLine="0"/>
        <w:contextualSpacing w:val="0"/>
        <w:rPr>
          <w:rFonts w:eastAsia="Calibri"/>
          <w:bCs/>
          <w:i/>
          <w:iCs/>
          <w:color w:val="000000"/>
          <w:szCs w:val="22"/>
          <w:lang w:val="hy-AM" w:eastAsia="en-US"/>
        </w:rPr>
      </w:pPr>
    </w:p>
    <w:p w14:paraId="108FEFC9"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2.5.5.</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p w14:paraId="7CEEB920"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p>
    <w:tbl>
      <w:tblPr>
        <w:tblW w:w="7400" w:type="dxa"/>
        <w:tblInd w:w="1160" w:type="dxa"/>
        <w:tblLook w:val="04A0" w:firstRow="1" w:lastRow="0" w:firstColumn="1" w:lastColumn="0" w:noHBand="0" w:noVBand="1"/>
      </w:tblPr>
      <w:tblGrid>
        <w:gridCol w:w="1360"/>
        <w:gridCol w:w="3220"/>
        <w:gridCol w:w="940"/>
        <w:gridCol w:w="940"/>
        <w:gridCol w:w="940"/>
      </w:tblGrid>
      <w:tr w:rsidR="00C34A4E" w:rsidRPr="00A83C94" w14:paraId="36A5D7DB" w14:textId="77777777" w:rsidTr="00733935">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6D40FFED"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71A71850"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325CA096"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26896725"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0046C951"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C34A4E" w:rsidRPr="00A83C94" w14:paraId="1D67A89C" w14:textId="77777777" w:rsidTr="00733935">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1356C594"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02E6788A"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5EAAFB55"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226.2</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078C45F"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14124ED9"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530E942D" w14:textId="77777777" w:rsidTr="00733935">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2CBC30FB"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AAFCB86"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51FB250"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3.7%</w:t>
            </w:r>
          </w:p>
        </w:tc>
        <w:tc>
          <w:tcPr>
            <w:tcW w:w="940" w:type="dxa"/>
            <w:tcBorders>
              <w:top w:val="nil"/>
              <w:left w:val="nil"/>
              <w:bottom w:val="single" w:sz="8" w:space="0" w:color="2F75B5"/>
              <w:right w:val="single" w:sz="8" w:space="0" w:color="2F75B5"/>
            </w:tcBorders>
            <w:shd w:val="clear" w:color="auto" w:fill="auto"/>
            <w:noWrap/>
            <w:vAlign w:val="center"/>
            <w:hideMark/>
          </w:tcPr>
          <w:p w14:paraId="3C0890B6"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FA4744E"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409FC586"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15752E5"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3E13FF25"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20301445"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388.3</w:t>
            </w:r>
          </w:p>
        </w:tc>
        <w:tc>
          <w:tcPr>
            <w:tcW w:w="940" w:type="dxa"/>
            <w:tcBorders>
              <w:top w:val="nil"/>
              <w:left w:val="nil"/>
              <w:bottom w:val="single" w:sz="8" w:space="0" w:color="2F75B5"/>
              <w:right w:val="single" w:sz="8" w:space="0" w:color="2F75B5"/>
            </w:tcBorders>
            <w:shd w:val="clear" w:color="auto" w:fill="auto"/>
            <w:noWrap/>
            <w:vAlign w:val="center"/>
            <w:hideMark/>
          </w:tcPr>
          <w:p w14:paraId="6F866F22"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459.4</w:t>
            </w:r>
          </w:p>
        </w:tc>
        <w:tc>
          <w:tcPr>
            <w:tcW w:w="940" w:type="dxa"/>
            <w:tcBorders>
              <w:top w:val="nil"/>
              <w:left w:val="nil"/>
              <w:bottom w:val="single" w:sz="8" w:space="0" w:color="2F75B5"/>
              <w:right w:val="single" w:sz="8" w:space="0" w:color="2F75B5"/>
            </w:tcBorders>
            <w:shd w:val="clear" w:color="auto" w:fill="auto"/>
            <w:noWrap/>
            <w:vAlign w:val="center"/>
            <w:hideMark/>
          </w:tcPr>
          <w:p w14:paraId="136263EA"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555.5</w:t>
            </w:r>
          </w:p>
        </w:tc>
      </w:tr>
      <w:tr w:rsidR="00C34A4E" w:rsidRPr="00A83C94" w14:paraId="680C8BFF"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C698463"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708BA96"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4EAC03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5.6%</w:t>
            </w:r>
          </w:p>
        </w:tc>
        <w:tc>
          <w:tcPr>
            <w:tcW w:w="940" w:type="dxa"/>
            <w:tcBorders>
              <w:top w:val="nil"/>
              <w:left w:val="nil"/>
              <w:bottom w:val="single" w:sz="8" w:space="0" w:color="2F75B5"/>
              <w:right w:val="single" w:sz="8" w:space="0" w:color="2F75B5"/>
            </w:tcBorders>
            <w:shd w:val="clear" w:color="auto" w:fill="auto"/>
            <w:noWrap/>
            <w:vAlign w:val="center"/>
            <w:hideMark/>
          </w:tcPr>
          <w:p w14:paraId="6CDBFE60"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6.0%</w:t>
            </w:r>
          </w:p>
        </w:tc>
        <w:tc>
          <w:tcPr>
            <w:tcW w:w="940" w:type="dxa"/>
            <w:tcBorders>
              <w:top w:val="nil"/>
              <w:left w:val="nil"/>
              <w:bottom w:val="single" w:sz="8" w:space="0" w:color="2F75B5"/>
              <w:right w:val="single" w:sz="8" w:space="0" w:color="2F75B5"/>
            </w:tcBorders>
            <w:shd w:val="clear" w:color="auto" w:fill="auto"/>
            <w:noWrap/>
            <w:vAlign w:val="center"/>
            <w:hideMark/>
          </w:tcPr>
          <w:p w14:paraId="4EBA9C5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6.7%</w:t>
            </w:r>
          </w:p>
        </w:tc>
      </w:tr>
      <w:tr w:rsidR="00C34A4E" w:rsidRPr="00A83C94" w14:paraId="4A192346"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463A009"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CFF5069"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9BCAF80"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287.7</w:t>
            </w:r>
          </w:p>
        </w:tc>
        <w:tc>
          <w:tcPr>
            <w:tcW w:w="940" w:type="dxa"/>
            <w:tcBorders>
              <w:top w:val="nil"/>
              <w:left w:val="nil"/>
              <w:bottom w:val="single" w:sz="8" w:space="0" w:color="2F75B5"/>
              <w:right w:val="single" w:sz="8" w:space="0" w:color="2F75B5"/>
            </w:tcBorders>
            <w:shd w:val="clear" w:color="auto" w:fill="auto"/>
            <w:noWrap/>
            <w:vAlign w:val="center"/>
            <w:hideMark/>
          </w:tcPr>
          <w:p w14:paraId="46A595CB"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97073D9"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16A7711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16B0D4B"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2E9E06B"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153517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4.1%</w:t>
            </w:r>
          </w:p>
        </w:tc>
        <w:tc>
          <w:tcPr>
            <w:tcW w:w="940" w:type="dxa"/>
            <w:tcBorders>
              <w:top w:val="nil"/>
              <w:left w:val="nil"/>
              <w:bottom w:val="single" w:sz="8" w:space="0" w:color="2F75B5"/>
              <w:right w:val="single" w:sz="8" w:space="0" w:color="2F75B5"/>
            </w:tcBorders>
            <w:shd w:val="clear" w:color="auto" w:fill="auto"/>
            <w:noWrap/>
            <w:vAlign w:val="center"/>
            <w:hideMark/>
          </w:tcPr>
          <w:p w14:paraId="1469585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86DC83C"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67DB3111"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30AABAFA"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20D3DC11"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7AAE4A72"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222.2</w:t>
            </w:r>
          </w:p>
        </w:tc>
        <w:tc>
          <w:tcPr>
            <w:tcW w:w="940" w:type="dxa"/>
            <w:tcBorders>
              <w:top w:val="nil"/>
              <w:left w:val="nil"/>
              <w:bottom w:val="single" w:sz="8" w:space="0" w:color="2F75B5"/>
              <w:right w:val="single" w:sz="8" w:space="0" w:color="2F75B5"/>
            </w:tcBorders>
            <w:shd w:val="clear" w:color="auto" w:fill="auto"/>
            <w:noWrap/>
            <w:vAlign w:val="center"/>
            <w:hideMark/>
          </w:tcPr>
          <w:p w14:paraId="0B6AE23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250.0</w:t>
            </w:r>
          </w:p>
        </w:tc>
        <w:tc>
          <w:tcPr>
            <w:tcW w:w="940" w:type="dxa"/>
            <w:tcBorders>
              <w:top w:val="nil"/>
              <w:left w:val="nil"/>
              <w:bottom w:val="single" w:sz="8" w:space="0" w:color="2F75B5"/>
              <w:right w:val="single" w:sz="8" w:space="0" w:color="2F75B5"/>
            </w:tcBorders>
            <w:shd w:val="clear" w:color="auto" w:fill="auto"/>
            <w:noWrap/>
            <w:vAlign w:val="center"/>
            <w:hideMark/>
          </w:tcPr>
          <w:p w14:paraId="1E741F23"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326.2</w:t>
            </w:r>
          </w:p>
        </w:tc>
      </w:tr>
      <w:tr w:rsidR="00C34A4E" w:rsidRPr="00A83C94" w14:paraId="2872C18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EF65195"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AA4BD5D"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D01526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3.4%</w:t>
            </w:r>
          </w:p>
        </w:tc>
        <w:tc>
          <w:tcPr>
            <w:tcW w:w="940" w:type="dxa"/>
            <w:tcBorders>
              <w:top w:val="nil"/>
              <w:left w:val="nil"/>
              <w:bottom w:val="single" w:sz="8" w:space="0" w:color="2F75B5"/>
              <w:right w:val="single" w:sz="8" w:space="0" w:color="2F75B5"/>
            </w:tcBorders>
            <w:shd w:val="clear" w:color="auto" w:fill="auto"/>
            <w:noWrap/>
            <w:vAlign w:val="center"/>
            <w:hideMark/>
          </w:tcPr>
          <w:p w14:paraId="06C32D6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3.5%</w:t>
            </w:r>
          </w:p>
        </w:tc>
        <w:tc>
          <w:tcPr>
            <w:tcW w:w="940" w:type="dxa"/>
            <w:tcBorders>
              <w:top w:val="nil"/>
              <w:left w:val="nil"/>
              <w:bottom w:val="single" w:sz="8" w:space="0" w:color="2F75B5"/>
              <w:right w:val="single" w:sz="8" w:space="0" w:color="2F75B5"/>
            </w:tcBorders>
            <w:shd w:val="clear" w:color="auto" w:fill="auto"/>
            <w:noWrap/>
            <w:vAlign w:val="center"/>
            <w:hideMark/>
          </w:tcPr>
          <w:p w14:paraId="08B1CF84"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4.2%</w:t>
            </w:r>
          </w:p>
        </w:tc>
      </w:tr>
      <w:tr w:rsidR="00C34A4E" w:rsidRPr="00A83C94" w14:paraId="2D96981E"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57782A7"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4DC315C"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6E5E7774"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284.7</w:t>
            </w:r>
          </w:p>
        </w:tc>
        <w:tc>
          <w:tcPr>
            <w:tcW w:w="940" w:type="dxa"/>
            <w:tcBorders>
              <w:top w:val="nil"/>
              <w:left w:val="nil"/>
              <w:bottom w:val="single" w:sz="8" w:space="0" w:color="2F75B5"/>
              <w:right w:val="single" w:sz="8" w:space="0" w:color="2F75B5"/>
            </w:tcBorders>
            <w:shd w:val="clear" w:color="auto" w:fill="auto"/>
            <w:noWrap/>
            <w:vAlign w:val="center"/>
            <w:hideMark/>
          </w:tcPr>
          <w:p w14:paraId="39197F9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216.3</w:t>
            </w:r>
          </w:p>
        </w:tc>
        <w:tc>
          <w:tcPr>
            <w:tcW w:w="940" w:type="dxa"/>
            <w:tcBorders>
              <w:top w:val="nil"/>
              <w:left w:val="nil"/>
              <w:bottom w:val="single" w:sz="8" w:space="0" w:color="2F75B5"/>
              <w:right w:val="single" w:sz="8" w:space="0" w:color="2F75B5"/>
            </w:tcBorders>
            <w:shd w:val="clear" w:color="auto" w:fill="auto"/>
            <w:noWrap/>
            <w:vAlign w:val="center"/>
            <w:hideMark/>
          </w:tcPr>
          <w:p w14:paraId="2240DE23"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C34A4E" w:rsidRPr="00A83C94" w14:paraId="1D8FF4E1"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556819B"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2B6CE74"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A1B2C5B"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4.7%</w:t>
            </w:r>
          </w:p>
        </w:tc>
        <w:tc>
          <w:tcPr>
            <w:tcW w:w="940" w:type="dxa"/>
            <w:tcBorders>
              <w:top w:val="nil"/>
              <w:left w:val="nil"/>
              <w:bottom w:val="single" w:sz="8" w:space="0" w:color="2F75B5"/>
              <w:right w:val="single" w:sz="8" w:space="0" w:color="2F75B5"/>
            </w:tcBorders>
            <w:shd w:val="clear" w:color="auto" w:fill="auto"/>
            <w:noWrap/>
            <w:vAlign w:val="center"/>
            <w:hideMark/>
          </w:tcPr>
          <w:p w14:paraId="1F816E56"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3.4%</w:t>
            </w:r>
          </w:p>
        </w:tc>
        <w:tc>
          <w:tcPr>
            <w:tcW w:w="940" w:type="dxa"/>
            <w:tcBorders>
              <w:top w:val="nil"/>
              <w:left w:val="nil"/>
              <w:bottom w:val="single" w:sz="8" w:space="0" w:color="2F75B5"/>
              <w:right w:val="single" w:sz="8" w:space="0" w:color="2F75B5"/>
            </w:tcBorders>
            <w:shd w:val="clear" w:color="auto" w:fill="auto"/>
            <w:noWrap/>
            <w:vAlign w:val="center"/>
            <w:hideMark/>
          </w:tcPr>
          <w:p w14:paraId="43729376"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C34A4E" w:rsidRPr="00A83C94" w14:paraId="73454B93"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36B21B81"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69D5ED71"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4F02F020"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EC2E0EE"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197.2</w:t>
            </w:r>
          </w:p>
        </w:tc>
        <w:tc>
          <w:tcPr>
            <w:tcW w:w="940" w:type="dxa"/>
            <w:tcBorders>
              <w:top w:val="nil"/>
              <w:left w:val="nil"/>
              <w:bottom w:val="single" w:sz="8" w:space="0" w:color="2F75B5"/>
              <w:right w:val="single" w:sz="8" w:space="0" w:color="2F75B5"/>
            </w:tcBorders>
            <w:shd w:val="clear" w:color="auto" w:fill="auto"/>
            <w:noWrap/>
            <w:vAlign w:val="center"/>
            <w:hideMark/>
          </w:tcPr>
          <w:p w14:paraId="553BD41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292.6</w:t>
            </w:r>
          </w:p>
        </w:tc>
      </w:tr>
      <w:tr w:rsidR="00C34A4E" w:rsidRPr="00A83C94" w14:paraId="00349AB5"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4714DF3"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9C82D62"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F81D4BB"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2CAD263"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2.9%</w:t>
            </w:r>
          </w:p>
        </w:tc>
        <w:tc>
          <w:tcPr>
            <w:tcW w:w="940" w:type="dxa"/>
            <w:tcBorders>
              <w:top w:val="nil"/>
              <w:left w:val="nil"/>
              <w:bottom w:val="single" w:sz="8" w:space="0" w:color="2F75B5"/>
              <w:right w:val="single" w:sz="8" w:space="0" w:color="2F75B5"/>
            </w:tcBorders>
            <w:shd w:val="clear" w:color="auto" w:fill="auto"/>
            <w:noWrap/>
            <w:vAlign w:val="center"/>
            <w:hideMark/>
          </w:tcPr>
          <w:p w14:paraId="49F6129B"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3.9%</w:t>
            </w:r>
          </w:p>
        </w:tc>
      </w:tr>
      <w:tr w:rsidR="00C34A4E" w:rsidRPr="00A83C94" w14:paraId="420709BA"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D1FAF6C"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399BFBE"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7C5DA779"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FEEC9CA"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223.8</w:t>
            </w:r>
          </w:p>
        </w:tc>
        <w:tc>
          <w:tcPr>
            <w:tcW w:w="940" w:type="dxa"/>
            <w:tcBorders>
              <w:top w:val="nil"/>
              <w:left w:val="nil"/>
              <w:bottom w:val="single" w:sz="8" w:space="0" w:color="2F75B5"/>
              <w:right w:val="single" w:sz="8" w:space="0" w:color="2F75B5"/>
            </w:tcBorders>
            <w:shd w:val="clear" w:color="auto" w:fill="auto"/>
            <w:noWrap/>
            <w:vAlign w:val="center"/>
            <w:hideMark/>
          </w:tcPr>
          <w:p w14:paraId="76C01588" w14:textId="77777777" w:rsidR="00C34A4E" w:rsidRPr="00A83C94" w:rsidRDefault="00C34A4E" w:rsidP="00733935">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hy-AM" w:eastAsia="en-US"/>
              </w:rPr>
              <w:t>346.5</w:t>
            </w:r>
          </w:p>
        </w:tc>
      </w:tr>
      <w:tr w:rsidR="00C34A4E" w:rsidRPr="00A83C94" w14:paraId="392CDDF8"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30D0036"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4CDD0B6"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6CCBFB1"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7E2C08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3.2%</w:t>
            </w:r>
          </w:p>
        </w:tc>
        <w:tc>
          <w:tcPr>
            <w:tcW w:w="940" w:type="dxa"/>
            <w:tcBorders>
              <w:top w:val="nil"/>
              <w:left w:val="nil"/>
              <w:bottom w:val="single" w:sz="8" w:space="0" w:color="2F75B5"/>
              <w:right w:val="single" w:sz="8" w:space="0" w:color="2F75B5"/>
            </w:tcBorders>
            <w:shd w:val="clear" w:color="auto" w:fill="auto"/>
            <w:noWrap/>
            <w:vAlign w:val="center"/>
            <w:hideMark/>
          </w:tcPr>
          <w:p w14:paraId="71007246"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Pr>
                <w:rFonts w:cs="Calibri"/>
                <w:b w:val="0"/>
                <w:i/>
                <w:iCs/>
                <w:color w:val="000000"/>
                <w:sz w:val="20"/>
                <w:szCs w:val="20"/>
                <w:lang w:val="hy-AM" w:eastAsia="en-US"/>
              </w:rPr>
              <w:t>4.4</w:t>
            </w:r>
            <w:r w:rsidRPr="00A83C94">
              <w:rPr>
                <w:rFonts w:cs="Calibri"/>
                <w:b w:val="0"/>
                <w:i/>
                <w:iCs/>
                <w:color w:val="000000"/>
                <w:sz w:val="20"/>
                <w:szCs w:val="20"/>
                <w:lang w:val="en-US" w:eastAsia="en-US"/>
              </w:rPr>
              <w:t>%</w:t>
            </w:r>
          </w:p>
        </w:tc>
      </w:tr>
    </w:tbl>
    <w:p w14:paraId="094C345C"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p>
    <w:p w14:paraId="4B8168EA" w14:textId="77777777" w:rsidR="00C34A4E" w:rsidRPr="00A83C94" w:rsidRDefault="00C34A4E" w:rsidP="00C34A4E">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2.5.6.</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p w14:paraId="3EA2BB64" w14:textId="77777777" w:rsidR="00C34A4E" w:rsidRPr="00A83C94" w:rsidRDefault="00C34A4E" w:rsidP="00C34A4E">
      <w:pPr>
        <w:rPr>
          <w:lang w:val="hy-AM"/>
        </w:rPr>
      </w:pPr>
    </w:p>
    <w:tbl>
      <w:tblPr>
        <w:tblW w:w="7400" w:type="dxa"/>
        <w:tblInd w:w="1160" w:type="dxa"/>
        <w:tblLook w:val="04A0" w:firstRow="1" w:lastRow="0" w:firstColumn="1" w:lastColumn="0" w:noHBand="0" w:noVBand="1"/>
      </w:tblPr>
      <w:tblGrid>
        <w:gridCol w:w="1360"/>
        <w:gridCol w:w="3220"/>
        <w:gridCol w:w="940"/>
        <w:gridCol w:w="940"/>
        <w:gridCol w:w="940"/>
      </w:tblGrid>
      <w:tr w:rsidR="00C34A4E" w:rsidRPr="00A83C94" w14:paraId="2101610C" w14:textId="77777777" w:rsidTr="00733935">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03FBB1C4"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69DF55C9" w14:textId="77777777" w:rsidR="00C34A4E" w:rsidRPr="00A83C94" w:rsidRDefault="00C34A4E" w:rsidP="00733935">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37EAF8F4"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4C5D88EC"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3B5AAF3C" w14:textId="77777777" w:rsidR="00C34A4E" w:rsidRPr="00A83C94" w:rsidRDefault="00C34A4E" w:rsidP="00733935">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C34A4E" w:rsidRPr="00A83C94" w14:paraId="4BECAE43" w14:textId="77777777" w:rsidTr="00733935">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4CF4D171"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6713ABD9"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78B48ED4"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334.0</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41D8438A"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20A3EDF6"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1AEF6774" w14:textId="77777777" w:rsidTr="00733935">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51E62D82"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66CC705"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61BC8C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5.4%</w:t>
            </w:r>
          </w:p>
        </w:tc>
        <w:tc>
          <w:tcPr>
            <w:tcW w:w="940" w:type="dxa"/>
            <w:tcBorders>
              <w:top w:val="nil"/>
              <w:left w:val="nil"/>
              <w:bottom w:val="single" w:sz="8" w:space="0" w:color="2F75B5"/>
              <w:right w:val="single" w:sz="8" w:space="0" w:color="2F75B5"/>
            </w:tcBorders>
            <w:shd w:val="clear" w:color="auto" w:fill="auto"/>
            <w:noWrap/>
            <w:vAlign w:val="center"/>
            <w:hideMark/>
          </w:tcPr>
          <w:p w14:paraId="42F282D0"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C913D73"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2DEC3A56"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6D609E96"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2EB0CB57"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4F75A358"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157.6</w:t>
            </w:r>
          </w:p>
        </w:tc>
        <w:tc>
          <w:tcPr>
            <w:tcW w:w="940" w:type="dxa"/>
            <w:tcBorders>
              <w:top w:val="nil"/>
              <w:left w:val="nil"/>
              <w:bottom w:val="single" w:sz="8" w:space="0" w:color="2F75B5"/>
              <w:right w:val="single" w:sz="8" w:space="0" w:color="2F75B5"/>
            </w:tcBorders>
            <w:shd w:val="clear" w:color="auto" w:fill="auto"/>
            <w:noWrap/>
            <w:vAlign w:val="center"/>
            <w:hideMark/>
          </w:tcPr>
          <w:p w14:paraId="6F083F88"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169.0</w:t>
            </w:r>
          </w:p>
        </w:tc>
        <w:tc>
          <w:tcPr>
            <w:tcW w:w="940" w:type="dxa"/>
            <w:tcBorders>
              <w:top w:val="nil"/>
              <w:left w:val="nil"/>
              <w:bottom w:val="single" w:sz="8" w:space="0" w:color="2F75B5"/>
              <w:right w:val="single" w:sz="8" w:space="0" w:color="2F75B5"/>
            </w:tcBorders>
            <w:shd w:val="clear" w:color="auto" w:fill="auto"/>
            <w:noWrap/>
            <w:vAlign w:val="center"/>
            <w:hideMark/>
          </w:tcPr>
          <w:p w14:paraId="2A7A3912"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184.4</w:t>
            </w:r>
          </w:p>
        </w:tc>
      </w:tr>
      <w:tr w:rsidR="00C34A4E" w:rsidRPr="00A83C94" w14:paraId="0B577FFC"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A86C411"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F1C9D4F"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7CBD770"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w:t>
            </w:r>
          </w:p>
        </w:tc>
        <w:tc>
          <w:tcPr>
            <w:tcW w:w="940" w:type="dxa"/>
            <w:tcBorders>
              <w:top w:val="nil"/>
              <w:left w:val="nil"/>
              <w:bottom w:val="single" w:sz="8" w:space="0" w:color="2F75B5"/>
              <w:right w:val="single" w:sz="8" w:space="0" w:color="2F75B5"/>
            </w:tcBorders>
            <w:shd w:val="clear" w:color="auto" w:fill="auto"/>
            <w:noWrap/>
            <w:vAlign w:val="center"/>
            <w:hideMark/>
          </w:tcPr>
          <w:p w14:paraId="3214A15B"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w:t>
            </w:r>
          </w:p>
        </w:tc>
        <w:tc>
          <w:tcPr>
            <w:tcW w:w="940" w:type="dxa"/>
            <w:tcBorders>
              <w:top w:val="nil"/>
              <w:left w:val="nil"/>
              <w:bottom w:val="single" w:sz="8" w:space="0" w:color="2F75B5"/>
              <w:right w:val="single" w:sz="8" w:space="0" w:color="2F75B5"/>
            </w:tcBorders>
            <w:shd w:val="clear" w:color="auto" w:fill="auto"/>
            <w:noWrap/>
            <w:vAlign w:val="center"/>
            <w:hideMark/>
          </w:tcPr>
          <w:p w14:paraId="5C7EE65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w:t>
            </w:r>
          </w:p>
        </w:tc>
      </w:tr>
      <w:tr w:rsidR="00C34A4E" w:rsidRPr="00A83C94" w14:paraId="617D5A57"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6D59AFF"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BA8082C"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84E4A2A"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160.7</w:t>
            </w:r>
          </w:p>
        </w:tc>
        <w:tc>
          <w:tcPr>
            <w:tcW w:w="940" w:type="dxa"/>
            <w:tcBorders>
              <w:top w:val="nil"/>
              <w:left w:val="nil"/>
              <w:bottom w:val="single" w:sz="8" w:space="0" w:color="2F75B5"/>
              <w:right w:val="single" w:sz="8" w:space="0" w:color="2F75B5"/>
            </w:tcBorders>
            <w:shd w:val="clear" w:color="auto" w:fill="auto"/>
            <w:noWrap/>
            <w:vAlign w:val="center"/>
            <w:hideMark/>
          </w:tcPr>
          <w:p w14:paraId="2E80005B"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F9A6764"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68FACC3F"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0FFB4EB"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CCC51C6"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569C777"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w:t>
            </w:r>
          </w:p>
        </w:tc>
        <w:tc>
          <w:tcPr>
            <w:tcW w:w="940" w:type="dxa"/>
            <w:tcBorders>
              <w:top w:val="nil"/>
              <w:left w:val="nil"/>
              <w:bottom w:val="single" w:sz="8" w:space="0" w:color="2F75B5"/>
              <w:right w:val="single" w:sz="8" w:space="0" w:color="2F75B5"/>
            </w:tcBorders>
            <w:shd w:val="clear" w:color="auto" w:fill="auto"/>
            <w:noWrap/>
            <w:vAlign w:val="center"/>
            <w:hideMark/>
          </w:tcPr>
          <w:p w14:paraId="1615CBFE"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D3F85BF"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C34A4E" w:rsidRPr="00A83C94" w14:paraId="73F22C14"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87A813F"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0EBD5177"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0FEAF436"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361.5</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3A77503"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209.1</w:t>
            </w:r>
          </w:p>
        </w:tc>
        <w:tc>
          <w:tcPr>
            <w:tcW w:w="940" w:type="dxa"/>
            <w:tcBorders>
              <w:top w:val="nil"/>
              <w:left w:val="nil"/>
              <w:bottom w:val="single" w:sz="8" w:space="0" w:color="2F75B5"/>
              <w:right w:val="single" w:sz="8" w:space="0" w:color="2F75B5"/>
            </w:tcBorders>
            <w:shd w:val="clear" w:color="auto" w:fill="auto"/>
            <w:noWrap/>
            <w:vAlign w:val="center"/>
            <w:hideMark/>
          </w:tcPr>
          <w:p w14:paraId="0A40D32D"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140.2</w:t>
            </w:r>
          </w:p>
        </w:tc>
      </w:tr>
      <w:tr w:rsidR="00C34A4E" w:rsidRPr="00A83C94" w14:paraId="2F4477B3"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C91E717"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45B1F84"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6D4F3B3"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5.6%</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29617D6"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2.9%</w:t>
            </w:r>
          </w:p>
        </w:tc>
        <w:tc>
          <w:tcPr>
            <w:tcW w:w="940" w:type="dxa"/>
            <w:tcBorders>
              <w:top w:val="nil"/>
              <w:left w:val="nil"/>
              <w:bottom w:val="single" w:sz="8" w:space="0" w:color="2F75B5"/>
              <w:right w:val="single" w:sz="8" w:space="0" w:color="2F75B5"/>
            </w:tcBorders>
            <w:shd w:val="clear" w:color="auto" w:fill="auto"/>
            <w:noWrap/>
            <w:vAlign w:val="center"/>
            <w:hideMark/>
          </w:tcPr>
          <w:p w14:paraId="231D1F3F"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1.8%</w:t>
            </w:r>
          </w:p>
        </w:tc>
      </w:tr>
      <w:tr w:rsidR="00C34A4E" w:rsidRPr="00A83C94" w14:paraId="7FC5A233"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0B0D043"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A328A0F"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0FE734B3"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429.7</w:t>
            </w:r>
          </w:p>
        </w:tc>
        <w:tc>
          <w:tcPr>
            <w:tcW w:w="940" w:type="dxa"/>
            <w:tcBorders>
              <w:top w:val="nil"/>
              <w:left w:val="nil"/>
              <w:bottom w:val="single" w:sz="8" w:space="0" w:color="2F75B5"/>
              <w:right w:val="single" w:sz="8" w:space="0" w:color="2F75B5"/>
            </w:tcBorders>
            <w:shd w:val="clear" w:color="auto" w:fill="auto"/>
            <w:noWrap/>
            <w:vAlign w:val="center"/>
            <w:hideMark/>
          </w:tcPr>
          <w:p w14:paraId="33DD62F0"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341.4</w:t>
            </w:r>
          </w:p>
        </w:tc>
        <w:tc>
          <w:tcPr>
            <w:tcW w:w="940" w:type="dxa"/>
            <w:tcBorders>
              <w:top w:val="nil"/>
              <w:left w:val="nil"/>
              <w:bottom w:val="single" w:sz="8" w:space="0" w:color="2F75B5"/>
              <w:right w:val="single" w:sz="8" w:space="0" w:color="2F75B5"/>
            </w:tcBorders>
            <w:shd w:val="clear" w:color="auto" w:fill="auto"/>
            <w:noWrap/>
            <w:vAlign w:val="center"/>
            <w:hideMark/>
          </w:tcPr>
          <w:p w14:paraId="4F295599"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C34A4E" w:rsidRPr="00A83C94" w14:paraId="6DFAC557"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BEC73A4"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91D30D3"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FE6C4C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7.1%</w:t>
            </w:r>
          </w:p>
        </w:tc>
        <w:tc>
          <w:tcPr>
            <w:tcW w:w="940" w:type="dxa"/>
            <w:tcBorders>
              <w:top w:val="nil"/>
              <w:left w:val="nil"/>
              <w:bottom w:val="single" w:sz="8" w:space="0" w:color="2F75B5"/>
              <w:right w:val="single" w:sz="8" w:space="0" w:color="2F75B5"/>
            </w:tcBorders>
            <w:shd w:val="clear" w:color="auto" w:fill="auto"/>
            <w:noWrap/>
            <w:vAlign w:val="center"/>
            <w:hideMark/>
          </w:tcPr>
          <w:p w14:paraId="2316D923"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5.3%</w:t>
            </w:r>
          </w:p>
        </w:tc>
        <w:tc>
          <w:tcPr>
            <w:tcW w:w="940" w:type="dxa"/>
            <w:tcBorders>
              <w:top w:val="nil"/>
              <w:left w:val="nil"/>
              <w:bottom w:val="single" w:sz="8" w:space="0" w:color="2F75B5"/>
              <w:right w:val="single" w:sz="8" w:space="0" w:color="2F75B5"/>
            </w:tcBorders>
            <w:shd w:val="clear" w:color="auto" w:fill="auto"/>
            <w:noWrap/>
            <w:vAlign w:val="center"/>
            <w:hideMark/>
          </w:tcPr>
          <w:p w14:paraId="3E94CFF5"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C34A4E" w:rsidRPr="00A83C94" w14:paraId="32885A2B" w14:textId="77777777" w:rsidTr="00733935">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871848E" w14:textId="77777777" w:rsidR="00C34A4E" w:rsidRPr="00A83C94" w:rsidRDefault="00C34A4E"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45F70F6E"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3217D29E"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6F7C134"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318.8</w:t>
            </w:r>
          </w:p>
        </w:tc>
        <w:tc>
          <w:tcPr>
            <w:tcW w:w="940" w:type="dxa"/>
            <w:tcBorders>
              <w:top w:val="nil"/>
              <w:left w:val="nil"/>
              <w:bottom w:val="single" w:sz="8" w:space="0" w:color="2F75B5"/>
              <w:right w:val="single" w:sz="8" w:space="0" w:color="2F75B5"/>
            </w:tcBorders>
            <w:shd w:val="clear" w:color="auto" w:fill="auto"/>
            <w:noWrap/>
            <w:vAlign w:val="center"/>
            <w:hideMark/>
          </w:tcPr>
          <w:p w14:paraId="79BBBE81"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181.7</w:t>
            </w:r>
          </w:p>
        </w:tc>
      </w:tr>
      <w:tr w:rsidR="00C34A4E" w:rsidRPr="00A83C94" w14:paraId="4463FE09"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3F7EE7A"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9848367"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BB1F263"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4ACB659"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4.6%</w:t>
            </w:r>
          </w:p>
        </w:tc>
        <w:tc>
          <w:tcPr>
            <w:tcW w:w="940" w:type="dxa"/>
            <w:tcBorders>
              <w:top w:val="nil"/>
              <w:left w:val="nil"/>
              <w:bottom w:val="single" w:sz="8" w:space="0" w:color="2F75B5"/>
              <w:right w:val="single" w:sz="8" w:space="0" w:color="2F75B5"/>
            </w:tcBorders>
            <w:shd w:val="clear" w:color="auto" w:fill="auto"/>
            <w:noWrap/>
            <w:vAlign w:val="center"/>
            <w:hideMark/>
          </w:tcPr>
          <w:p w14:paraId="20DC743D"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w:t>
            </w:r>
          </w:p>
        </w:tc>
      </w:tr>
      <w:tr w:rsidR="00C34A4E" w:rsidRPr="00A83C94" w14:paraId="1852101C"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B1569BF"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F86B35C" w14:textId="77777777" w:rsidR="00C34A4E" w:rsidRPr="00A83C94" w:rsidRDefault="00C34A4E"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D9B8446"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22E3F95" w14:textId="77777777" w:rsidR="00C34A4E" w:rsidRPr="00A83C94" w:rsidRDefault="00C34A4E" w:rsidP="00733935">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329.1</w:t>
            </w:r>
          </w:p>
        </w:tc>
        <w:tc>
          <w:tcPr>
            <w:tcW w:w="940" w:type="dxa"/>
            <w:tcBorders>
              <w:top w:val="nil"/>
              <w:left w:val="nil"/>
              <w:bottom w:val="single" w:sz="8" w:space="0" w:color="2F75B5"/>
              <w:right w:val="single" w:sz="8" w:space="0" w:color="2F75B5"/>
            </w:tcBorders>
            <w:shd w:val="clear" w:color="auto" w:fill="auto"/>
            <w:noWrap/>
            <w:vAlign w:val="center"/>
            <w:hideMark/>
          </w:tcPr>
          <w:p w14:paraId="1349FBEB" w14:textId="77777777" w:rsidR="00C34A4E" w:rsidRPr="00387D6C" w:rsidRDefault="00C34A4E" w:rsidP="00733935">
            <w:pPr>
              <w:spacing w:before="0" w:line="240" w:lineRule="auto"/>
              <w:ind w:firstLine="0"/>
              <w:contextualSpacing w:val="0"/>
              <w:jc w:val="right"/>
              <w:rPr>
                <w:rFonts w:cs="Calibri"/>
                <w:b w:val="0"/>
                <w:color w:val="000000"/>
                <w:sz w:val="20"/>
                <w:szCs w:val="20"/>
                <w:lang w:val="hy-AM" w:eastAsia="en-US"/>
              </w:rPr>
            </w:pPr>
            <w:r>
              <w:rPr>
                <w:rFonts w:cs="Calibri"/>
                <w:b w:val="0"/>
                <w:color w:val="000000"/>
                <w:sz w:val="20"/>
                <w:szCs w:val="20"/>
                <w:lang w:val="hy-AM" w:eastAsia="en-US"/>
              </w:rPr>
              <w:t>243.0</w:t>
            </w:r>
          </w:p>
        </w:tc>
      </w:tr>
      <w:tr w:rsidR="00C34A4E" w:rsidRPr="00A83C94" w14:paraId="1A0B4A5C" w14:textId="77777777" w:rsidTr="00733935">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F40BC52" w14:textId="77777777" w:rsidR="00C34A4E" w:rsidRPr="00A83C94" w:rsidRDefault="00C34A4E" w:rsidP="00733935">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1854778" w14:textId="77777777" w:rsidR="00C34A4E" w:rsidRPr="00A83C94" w:rsidRDefault="00C34A4E" w:rsidP="00733935">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1138A7B" w14:textId="77777777" w:rsidR="00C34A4E" w:rsidRPr="00A83C94" w:rsidRDefault="00C34A4E"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5B459E4"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4.7%</w:t>
            </w:r>
          </w:p>
        </w:tc>
        <w:tc>
          <w:tcPr>
            <w:tcW w:w="940" w:type="dxa"/>
            <w:tcBorders>
              <w:top w:val="nil"/>
              <w:left w:val="nil"/>
              <w:bottom w:val="single" w:sz="8" w:space="0" w:color="2F75B5"/>
              <w:right w:val="single" w:sz="8" w:space="0" w:color="2F75B5"/>
            </w:tcBorders>
            <w:shd w:val="clear" w:color="auto" w:fill="auto"/>
            <w:noWrap/>
            <w:vAlign w:val="center"/>
            <w:hideMark/>
          </w:tcPr>
          <w:p w14:paraId="12E94511" w14:textId="77777777" w:rsidR="00C34A4E" w:rsidRPr="00A83C94" w:rsidRDefault="00C34A4E" w:rsidP="00733935">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w:t>
            </w:r>
            <w:r>
              <w:rPr>
                <w:rFonts w:cs="Calibri"/>
                <w:b w:val="0"/>
                <w:i/>
                <w:iCs/>
                <w:color w:val="000000"/>
                <w:sz w:val="20"/>
                <w:szCs w:val="20"/>
                <w:lang w:val="hy-AM" w:eastAsia="en-US"/>
              </w:rPr>
              <w:t>1</w:t>
            </w:r>
            <w:r w:rsidRPr="00A83C94">
              <w:rPr>
                <w:rFonts w:cs="Calibri"/>
                <w:b w:val="0"/>
                <w:i/>
                <w:iCs/>
                <w:color w:val="000000"/>
                <w:sz w:val="20"/>
                <w:szCs w:val="20"/>
                <w:lang w:val="en-US" w:eastAsia="en-US"/>
              </w:rPr>
              <w:t>%</w:t>
            </w:r>
          </w:p>
        </w:tc>
      </w:tr>
    </w:tbl>
    <w:p w14:paraId="3E307334" w14:textId="77777777" w:rsidR="00C34A4E" w:rsidRPr="00A83C94" w:rsidRDefault="00C34A4E" w:rsidP="00C34A4E">
      <w:pPr>
        <w:spacing w:before="0" w:after="160" w:line="259" w:lineRule="auto"/>
        <w:ind w:firstLine="0"/>
        <w:contextualSpacing w:val="0"/>
        <w:jc w:val="left"/>
        <w:rPr>
          <w:rFonts w:ascii="Calibri" w:eastAsia="Calibri" w:hAnsi="Calibri"/>
          <w:b w:val="0"/>
          <w:szCs w:val="22"/>
          <w:lang w:val="en-US" w:eastAsia="en-US"/>
        </w:rPr>
      </w:pPr>
    </w:p>
    <w:p w14:paraId="63C06C2D" w14:textId="77777777" w:rsidR="00C34A4E" w:rsidRDefault="00C34A4E" w:rsidP="00C34A4E">
      <w:pPr>
        <w:spacing w:before="0" w:line="240" w:lineRule="auto"/>
        <w:ind w:firstLine="0"/>
        <w:contextualSpacing w:val="0"/>
        <w:jc w:val="left"/>
        <w:rPr>
          <w:sz w:val="28"/>
          <w:szCs w:val="20"/>
          <w:lang w:val="hy-AM"/>
        </w:rPr>
      </w:pPr>
      <w:r>
        <w:rPr>
          <w:lang w:val="hy-AM"/>
        </w:rPr>
        <w:br w:type="page"/>
      </w:r>
    </w:p>
    <w:p w14:paraId="4AE193CE" w14:textId="44D053EE" w:rsidR="007D1ED6" w:rsidRPr="00A83C94" w:rsidRDefault="007D1ED6" w:rsidP="00A30EDC">
      <w:pPr>
        <w:pStyle w:val="Heading1"/>
        <w:rPr>
          <w:lang w:val="sk-SK"/>
        </w:rPr>
      </w:pPr>
      <w:bookmarkStart w:id="175" w:name="_Toc83996352"/>
      <w:r w:rsidRPr="00EB774C">
        <w:rPr>
          <w:lang w:val="hy-AM"/>
        </w:rPr>
        <w:t>ՄԱՍ</w:t>
      </w:r>
      <w:r w:rsidRPr="00A83C94">
        <w:rPr>
          <w:lang w:val="sk-SK"/>
        </w:rPr>
        <w:t xml:space="preserve"> II-</w:t>
      </w:r>
      <w:r w:rsidRPr="00EB774C">
        <w:rPr>
          <w:lang w:val="hy-AM"/>
        </w:rPr>
        <w:t>Ա</w:t>
      </w:r>
      <w:r w:rsidRPr="00A83C94">
        <w:rPr>
          <w:lang w:val="sk-SK"/>
        </w:rPr>
        <w:t xml:space="preserve"> </w:t>
      </w:r>
      <w:r w:rsidR="00E631EE" w:rsidRPr="00EB774C">
        <w:rPr>
          <w:lang w:val="hy-AM"/>
        </w:rPr>
        <w:t>ՊԵՏԱԿԱՆ</w:t>
      </w:r>
      <w:r w:rsidR="00E631EE" w:rsidRPr="00A83C94">
        <w:rPr>
          <w:lang w:val="sk-SK"/>
        </w:rPr>
        <w:t xml:space="preserve"> </w:t>
      </w:r>
      <w:r w:rsidR="00E631EE" w:rsidRPr="00EB774C">
        <w:rPr>
          <w:lang w:val="hy-AM"/>
        </w:rPr>
        <w:t>ԲՅՈՒՋԵԻ</w:t>
      </w:r>
      <w:r w:rsidR="00E631EE" w:rsidRPr="00A83C94">
        <w:rPr>
          <w:lang w:val="sk-SK"/>
        </w:rPr>
        <w:t xml:space="preserve"> </w:t>
      </w:r>
      <w:r w:rsidR="00E631EE" w:rsidRPr="00EB774C">
        <w:rPr>
          <w:lang w:val="hy-AM"/>
        </w:rPr>
        <w:t>ՑՈՒՑԱՆԻՇՆԵՐԻ</w:t>
      </w:r>
      <w:r w:rsidR="00E631EE" w:rsidRPr="00A83C94">
        <w:rPr>
          <w:lang w:val="sk-SK"/>
        </w:rPr>
        <w:t xml:space="preserve"> </w:t>
      </w:r>
      <w:r w:rsidR="00E631EE" w:rsidRPr="00EB774C">
        <w:rPr>
          <w:lang w:val="hy-AM"/>
        </w:rPr>
        <w:t>ԿԱՆԽԱՏԵՍՈՒՄՆԵՐ</w:t>
      </w:r>
      <w:bookmarkEnd w:id="175"/>
    </w:p>
    <w:p w14:paraId="4AF032DB" w14:textId="77777777" w:rsidR="00487E7A" w:rsidRPr="00A83C94" w:rsidRDefault="002F2ED2" w:rsidP="007730AA">
      <w:pPr>
        <w:keepNext/>
        <w:spacing w:before="0" w:line="276" w:lineRule="auto"/>
        <w:ind w:firstLine="566"/>
        <w:outlineLvl w:val="1"/>
        <w:rPr>
          <w:rFonts w:eastAsia="Calibri" w:cs="Times LatArm"/>
          <w:sz w:val="24"/>
          <w:lang w:val="hy-AM" w:eastAsia="en-US"/>
        </w:rPr>
      </w:pPr>
      <w:bookmarkStart w:id="176" w:name="_Toc26174926"/>
      <w:bookmarkStart w:id="177" w:name="_Toc83996353"/>
      <w:r w:rsidRPr="00A83C94">
        <w:rPr>
          <w:rFonts w:eastAsia="Calibri" w:cs="Times LatArm"/>
          <w:sz w:val="24"/>
          <w:lang w:val="hy-AM" w:eastAsia="en-US"/>
        </w:rPr>
        <w:t>Հ</w:t>
      </w:r>
      <w:r w:rsidR="00487E7A" w:rsidRPr="00A83C94">
        <w:rPr>
          <w:rFonts w:eastAsia="Calibri" w:cs="Times LatArm"/>
          <w:sz w:val="24"/>
          <w:lang w:val="hy-AM" w:eastAsia="en-US"/>
        </w:rPr>
        <w:t>արկաբյուջետային սկզբունքները և ցուցանիշները</w:t>
      </w:r>
      <w:bookmarkEnd w:id="176"/>
      <w:bookmarkEnd w:id="177"/>
    </w:p>
    <w:p w14:paraId="7BDBE069" w14:textId="0F227B45" w:rsidR="008B2220" w:rsidRPr="00A83C94" w:rsidRDefault="008B2220" w:rsidP="007730AA">
      <w:pPr>
        <w:spacing w:before="0" w:line="276" w:lineRule="auto"/>
        <w:ind w:firstLine="538"/>
        <w:rPr>
          <w:rFonts w:eastAsia="Calibri"/>
          <w:b w:val="0"/>
          <w:szCs w:val="22"/>
          <w:lang w:val="hy-AM" w:eastAsia="en-US"/>
        </w:rPr>
      </w:pPr>
      <w:r w:rsidRPr="00A83C94">
        <w:rPr>
          <w:rFonts w:eastAsia="Calibri"/>
          <w:b w:val="0"/>
          <w:szCs w:val="22"/>
          <w:lang w:val="hy-AM" w:eastAsia="en-US"/>
        </w:rPr>
        <w:t>ՀՀ 202</w:t>
      </w:r>
      <w:r w:rsidR="008C49D6" w:rsidRPr="00A83C94">
        <w:rPr>
          <w:rFonts w:eastAsia="Calibri"/>
          <w:b w:val="0"/>
          <w:szCs w:val="22"/>
          <w:lang w:val="hy-AM" w:eastAsia="en-US"/>
        </w:rPr>
        <w:t>2</w:t>
      </w:r>
      <w:r w:rsidRPr="00A83C94">
        <w:rPr>
          <w:rFonts w:eastAsia="Calibri"/>
          <w:b w:val="0"/>
          <w:szCs w:val="22"/>
          <w:lang w:val="hy-AM" w:eastAsia="en-US"/>
        </w:rPr>
        <w:t xml:space="preserve"> թվա</w:t>
      </w:r>
      <w:r w:rsidRPr="00A83C94">
        <w:rPr>
          <w:rFonts w:eastAsia="Calibri"/>
          <w:b w:val="0"/>
          <w:szCs w:val="22"/>
          <w:lang w:val="hy-AM" w:eastAsia="en-US"/>
        </w:rPr>
        <w:softHyphen/>
        <w:t>կա</w:t>
      </w:r>
      <w:r w:rsidRPr="00A83C94">
        <w:rPr>
          <w:rFonts w:eastAsia="Calibri"/>
          <w:b w:val="0"/>
          <w:szCs w:val="22"/>
          <w:lang w:val="hy-AM" w:eastAsia="en-US"/>
        </w:rPr>
        <w:softHyphen/>
      </w:r>
      <w:r w:rsidRPr="00A83C94">
        <w:rPr>
          <w:rFonts w:eastAsia="Calibri"/>
          <w:b w:val="0"/>
          <w:szCs w:val="22"/>
          <w:lang w:val="hy-AM" w:eastAsia="en-US"/>
        </w:rPr>
        <w:softHyphen/>
        <w:t>նի պետական բյուջեի նախագծի մշակման ընթացքում ՀՀ կա</w:t>
      </w:r>
      <w:r w:rsidRPr="00A83C94">
        <w:rPr>
          <w:rFonts w:eastAsia="Calibri"/>
          <w:b w:val="0"/>
          <w:szCs w:val="22"/>
          <w:lang w:val="hy-AM" w:eastAsia="en-US"/>
        </w:rPr>
        <w:softHyphen/>
        <w:t>ռա</w:t>
      </w:r>
      <w:r w:rsidRPr="00A83C94">
        <w:rPr>
          <w:rFonts w:eastAsia="Calibri"/>
          <w:b w:val="0"/>
          <w:szCs w:val="22"/>
          <w:lang w:val="hy-AM" w:eastAsia="en-US"/>
        </w:rPr>
        <w:softHyphen/>
        <w:t>վա</w:t>
      </w:r>
      <w:r w:rsidRPr="00A83C94">
        <w:rPr>
          <w:rFonts w:eastAsia="Calibri"/>
          <w:b w:val="0"/>
          <w:szCs w:val="22"/>
          <w:lang w:val="hy-AM" w:eastAsia="en-US"/>
        </w:rPr>
        <w:softHyphen/>
      </w:r>
      <w:r w:rsidRPr="00A83C94">
        <w:rPr>
          <w:rFonts w:eastAsia="Calibri"/>
          <w:b w:val="0"/>
          <w:szCs w:val="22"/>
          <w:lang w:val="hy-AM" w:eastAsia="en-US"/>
        </w:rPr>
        <w:softHyphen/>
        <w:t>րու</w:t>
      </w:r>
      <w:r w:rsidRPr="00A83C94">
        <w:rPr>
          <w:rFonts w:eastAsia="Calibri"/>
          <w:b w:val="0"/>
          <w:szCs w:val="22"/>
          <w:lang w:val="hy-AM" w:eastAsia="en-US"/>
        </w:rPr>
        <w:softHyphen/>
        <w:t>թյունն առաջնորդվել է ՀՀ 202</w:t>
      </w:r>
      <w:r w:rsidR="008C49D6" w:rsidRPr="00A83C94">
        <w:rPr>
          <w:rFonts w:eastAsia="Calibri"/>
          <w:b w:val="0"/>
          <w:szCs w:val="22"/>
          <w:lang w:val="hy-AM" w:eastAsia="en-US"/>
        </w:rPr>
        <w:t>2</w:t>
      </w:r>
      <w:r w:rsidRPr="00A83C94">
        <w:rPr>
          <w:rFonts w:eastAsia="Calibri"/>
          <w:b w:val="0"/>
          <w:szCs w:val="22"/>
          <w:lang w:val="hy-AM" w:eastAsia="en-US"/>
        </w:rPr>
        <w:t>-202</w:t>
      </w:r>
      <w:r w:rsidR="008C49D6" w:rsidRPr="00A83C94">
        <w:rPr>
          <w:rFonts w:eastAsia="Calibri"/>
          <w:b w:val="0"/>
          <w:szCs w:val="22"/>
          <w:lang w:val="hy-AM" w:eastAsia="en-US"/>
        </w:rPr>
        <w:t>4</w:t>
      </w:r>
      <w:r w:rsidRPr="00A83C94">
        <w:rPr>
          <w:rFonts w:eastAsia="Calibri"/>
          <w:b w:val="0"/>
          <w:szCs w:val="22"/>
          <w:lang w:val="hy-AM" w:eastAsia="en-US"/>
        </w:rPr>
        <w:t>թթ. Պետական միջնաժամկետ ծախսերի ծրագրով ամրագրված հիմնական սկզբունքներով: Ստորև բերված Աղյուսակ 1</w:t>
      </w:r>
      <w:r w:rsidRPr="00A83C94">
        <w:rPr>
          <w:rFonts w:eastAsia="Calibri"/>
          <w:b w:val="0"/>
          <w:szCs w:val="22"/>
          <w:lang w:val="hy-AM" w:eastAsia="en-US"/>
        </w:rPr>
        <w:noBreakHyphen/>
        <w:t>ում ներկայացված են 201</w:t>
      </w:r>
      <w:r w:rsidR="008C49D6" w:rsidRPr="00A83C94">
        <w:rPr>
          <w:rFonts w:eastAsia="Calibri"/>
          <w:b w:val="0"/>
          <w:szCs w:val="22"/>
          <w:lang w:val="hy-AM" w:eastAsia="en-US"/>
        </w:rPr>
        <w:t>8</w:t>
      </w:r>
      <w:r w:rsidRPr="00A83C94">
        <w:rPr>
          <w:rFonts w:eastAsia="Calibri"/>
          <w:b w:val="0"/>
          <w:szCs w:val="22"/>
          <w:lang w:val="hy-AM" w:eastAsia="en-US"/>
        </w:rPr>
        <w:t>-202</w:t>
      </w:r>
      <w:r w:rsidR="008C49D6" w:rsidRPr="00A83C94">
        <w:rPr>
          <w:rFonts w:eastAsia="Calibri"/>
          <w:b w:val="0"/>
          <w:szCs w:val="22"/>
          <w:lang w:val="hy-AM" w:eastAsia="en-US"/>
        </w:rPr>
        <w:t>2</w:t>
      </w:r>
      <w:r w:rsidRPr="00A83C94">
        <w:rPr>
          <w:rFonts w:eastAsia="Calibri"/>
          <w:b w:val="0"/>
          <w:szCs w:val="22"/>
          <w:lang w:val="hy-AM" w:eastAsia="en-US"/>
        </w:rPr>
        <w:t xml:space="preserve">թթ պետական բյուջեների ցուցանիշներն  արտացոլող ամփոփ ցուցանիշները: </w:t>
      </w:r>
    </w:p>
    <w:p w14:paraId="3D3D08B7" w14:textId="77777777" w:rsidR="008B2220" w:rsidRPr="00A83C94" w:rsidRDefault="008B2220" w:rsidP="007730AA">
      <w:pPr>
        <w:spacing w:before="0" w:line="276" w:lineRule="auto"/>
        <w:ind w:firstLine="538"/>
        <w:rPr>
          <w:rFonts w:eastAsia="Calibri"/>
          <w:b w:val="0"/>
          <w:szCs w:val="22"/>
          <w:lang w:val="hy-AM" w:eastAsia="en-US"/>
        </w:rPr>
      </w:pPr>
    </w:p>
    <w:p w14:paraId="698435F6" w14:textId="4689D417" w:rsidR="008B2220" w:rsidRPr="00A83C94" w:rsidRDefault="0025299D" w:rsidP="0025299D">
      <w:pPr>
        <w:pStyle w:val="Caption"/>
        <w:rPr>
          <w:b/>
          <w:i/>
          <w:sz w:val="20"/>
          <w:szCs w:val="20"/>
          <w:lang w:val="hy-AM"/>
        </w:rPr>
      </w:pPr>
      <w:bookmarkStart w:id="178" w:name="_Ref496723843"/>
      <w:bookmarkStart w:id="179" w:name="_Toc525773064"/>
      <w:bookmarkStart w:id="180" w:name="_Toc20590404"/>
      <w:bookmarkStart w:id="181" w:name="_Toc83928938"/>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w:t>
      </w:r>
      <w:r>
        <w:fldChar w:fldCharType="end"/>
      </w:r>
      <w:r w:rsidRPr="008B1D49">
        <w:rPr>
          <w:lang w:val="hy-AM"/>
        </w:rPr>
        <w:t xml:space="preserve">. </w:t>
      </w:r>
      <w:r w:rsidR="008B2220" w:rsidRPr="00A83C94">
        <w:rPr>
          <w:b/>
          <w:i/>
          <w:sz w:val="20"/>
          <w:szCs w:val="20"/>
          <w:lang w:val="hy-AM"/>
        </w:rPr>
        <w:t>201</w:t>
      </w:r>
      <w:r w:rsidR="008C49D6" w:rsidRPr="00A83C94">
        <w:rPr>
          <w:b/>
          <w:i/>
          <w:sz w:val="20"/>
          <w:szCs w:val="20"/>
          <w:lang w:val="hy-AM"/>
        </w:rPr>
        <w:t>8</w:t>
      </w:r>
      <w:r w:rsidR="008B2220" w:rsidRPr="00A83C94">
        <w:rPr>
          <w:b/>
          <w:i/>
          <w:sz w:val="20"/>
          <w:szCs w:val="20"/>
          <w:lang w:val="hy-AM"/>
        </w:rPr>
        <w:t>-202</w:t>
      </w:r>
      <w:r w:rsidR="008C49D6" w:rsidRPr="00A83C94">
        <w:rPr>
          <w:b/>
          <w:i/>
          <w:sz w:val="20"/>
          <w:szCs w:val="20"/>
          <w:lang w:val="hy-AM"/>
        </w:rPr>
        <w:t>2</w:t>
      </w:r>
      <w:r w:rsidR="008B2220" w:rsidRPr="00A83C94">
        <w:rPr>
          <w:b/>
          <w:i/>
          <w:sz w:val="20"/>
          <w:szCs w:val="20"/>
          <w:lang w:val="hy-AM"/>
        </w:rPr>
        <w:t>թթ պետական բյուջեի ամփոփ ցուցանիշները</w:t>
      </w:r>
      <w:bookmarkEnd w:id="178"/>
      <w:bookmarkEnd w:id="179"/>
      <w:bookmarkEnd w:id="180"/>
      <w:r w:rsidR="008B2220" w:rsidRPr="00A83C94">
        <w:rPr>
          <w:b/>
          <w:i/>
          <w:sz w:val="20"/>
          <w:szCs w:val="20"/>
          <w:lang w:val="hy-AM"/>
        </w:rPr>
        <w:t xml:space="preserve"> (մլրդ դրամով)</w:t>
      </w:r>
      <w:bookmarkEnd w:id="181"/>
    </w:p>
    <w:tbl>
      <w:tblPr>
        <w:tblW w:w="10034" w:type="dxa"/>
        <w:tblInd w:w="93" w:type="dxa"/>
        <w:tblLayout w:type="fixed"/>
        <w:tblLook w:val="04A0" w:firstRow="1" w:lastRow="0" w:firstColumn="1" w:lastColumn="0" w:noHBand="0" w:noVBand="1"/>
      </w:tblPr>
      <w:tblGrid>
        <w:gridCol w:w="3435"/>
        <w:gridCol w:w="1319"/>
        <w:gridCol w:w="1320"/>
        <w:gridCol w:w="1320"/>
        <w:gridCol w:w="1320"/>
        <w:gridCol w:w="1320"/>
      </w:tblGrid>
      <w:tr w:rsidR="008C49D6" w:rsidRPr="00A83C94" w14:paraId="6D98982D" w14:textId="77777777" w:rsidTr="008C49D6">
        <w:trPr>
          <w:trHeight w:val="885"/>
        </w:trPr>
        <w:tc>
          <w:tcPr>
            <w:tcW w:w="34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0170446" w14:textId="77777777" w:rsidR="008C49D6" w:rsidRPr="00A83C94" w:rsidRDefault="008C49D6" w:rsidP="008C49D6">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Ցուցանիշներ</w:t>
            </w:r>
          </w:p>
        </w:tc>
        <w:tc>
          <w:tcPr>
            <w:tcW w:w="1319" w:type="dxa"/>
            <w:tcBorders>
              <w:top w:val="single" w:sz="4" w:space="0" w:color="auto"/>
              <w:left w:val="nil"/>
              <w:bottom w:val="single" w:sz="4" w:space="0" w:color="auto"/>
              <w:right w:val="single" w:sz="4" w:space="0" w:color="auto"/>
            </w:tcBorders>
            <w:shd w:val="clear" w:color="auto" w:fill="4F81BD" w:themeFill="accent1"/>
            <w:vAlign w:val="center"/>
          </w:tcPr>
          <w:p w14:paraId="5E0BA61A" w14:textId="15F743D0" w:rsidR="008C49D6" w:rsidRPr="00A83C94" w:rsidRDefault="008C49D6" w:rsidP="008C49D6">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2018թ</w:t>
            </w:r>
            <w:r w:rsidRPr="00A83C94">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7FF027E1" w14:textId="44B31AD1" w:rsidR="008C49D6" w:rsidRPr="00A83C94" w:rsidRDefault="008C49D6" w:rsidP="008C49D6">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2019թ</w:t>
            </w:r>
            <w:r w:rsidRPr="00A83C94">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3B36ED48" w14:textId="67282176" w:rsidR="008C49D6" w:rsidRPr="00A83C94" w:rsidRDefault="008C49D6" w:rsidP="008C49D6">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2020թ</w:t>
            </w:r>
            <w:r w:rsidRPr="00A83C94">
              <w:rPr>
                <w:rFonts w:cs="Calibri"/>
                <w:color w:val="FFFFFF" w:themeColor="background1"/>
                <w:sz w:val="20"/>
                <w:szCs w:val="20"/>
                <w:lang w:val="en-US" w:eastAsia="en-US"/>
              </w:rPr>
              <w:br/>
            </w:r>
            <w:r w:rsidR="0057173F" w:rsidRPr="00A83C94">
              <w:rPr>
                <w:rFonts w:cs="Calibri"/>
                <w:color w:val="FFFFFF" w:themeColor="background1"/>
                <w:sz w:val="20"/>
                <w:szCs w:val="20"/>
                <w:lang w:val="en-US" w:eastAsia="en-US"/>
              </w:rP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4539B773" w14:textId="1A51F9C7" w:rsidR="008C49D6" w:rsidRPr="00A83C94" w:rsidRDefault="008C49D6" w:rsidP="008C49D6">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2021թ</w:t>
            </w:r>
            <w:r w:rsidRPr="00A83C94">
              <w:rPr>
                <w:rFonts w:cs="Calibri"/>
                <w:color w:val="FFFFFF" w:themeColor="background1"/>
                <w:sz w:val="20"/>
                <w:szCs w:val="20"/>
                <w:lang w:val="en-US" w:eastAsia="en-US"/>
              </w:rPr>
              <w:br/>
            </w:r>
            <w:r w:rsidR="00E651EB" w:rsidRPr="00A83C94">
              <w:rPr>
                <w:rFonts w:cs="Calibri"/>
                <w:color w:val="FFFFFF" w:themeColor="background1"/>
                <w:sz w:val="20"/>
                <w:szCs w:val="20"/>
                <w:lang w:val="en-US" w:eastAsia="en-US"/>
              </w:rPr>
              <w:t>բյուջե</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523F9DE1" w14:textId="0F17DFEF" w:rsidR="008C49D6" w:rsidRPr="00A83C94" w:rsidRDefault="008C49D6" w:rsidP="008C49D6">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2022թ</w:t>
            </w:r>
            <w:r w:rsidRPr="00A83C94">
              <w:rPr>
                <w:rFonts w:cs="Calibri"/>
                <w:color w:val="FFFFFF" w:themeColor="background1"/>
                <w:sz w:val="20"/>
                <w:szCs w:val="20"/>
                <w:lang w:val="en-US" w:eastAsia="en-US"/>
              </w:rPr>
              <w:br/>
              <w:t>կանխատեսում</w:t>
            </w:r>
          </w:p>
        </w:tc>
      </w:tr>
      <w:tr w:rsidR="00E5396F" w:rsidRPr="00A83C94" w14:paraId="2298103A"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212F594"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BE5F1" w:themeFill="accent1" w:themeFillTint="33"/>
            <w:noWrap/>
            <w:vAlign w:val="center"/>
          </w:tcPr>
          <w:p w14:paraId="7C63F2B9" w14:textId="2CEDD83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1,341.7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216399BF" w14:textId="0ACC5160"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1,565.5</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050DF5A7" w14:textId="39850FD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1,560.7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0395C32A" w14:textId="4598BBEF"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1,509.5</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236CDE47" w14:textId="73DA4ED4"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color w:val="000000"/>
                <w:sz w:val="20"/>
                <w:szCs w:val="20"/>
              </w:rPr>
              <w:t>1,946.4</w:t>
            </w:r>
          </w:p>
        </w:tc>
      </w:tr>
      <w:tr w:rsidR="00E5396F" w:rsidRPr="00A83C94" w14:paraId="2A5D8F9F"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3EB35105"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14:paraId="0037FF64" w14:textId="26942F87"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7F4D593F" w14:textId="1DF0030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5565AF63" w14:textId="1BB09A67"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3906479A" w14:textId="6120351C"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40F5A23B" w14:textId="72DEED29"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rFonts w:ascii="Calibri" w:hAnsi="Calibri" w:cs="Calibri"/>
                <w:color w:val="000000"/>
                <w:sz w:val="20"/>
                <w:szCs w:val="20"/>
              </w:rPr>
              <w:t> </w:t>
            </w:r>
          </w:p>
        </w:tc>
      </w:tr>
      <w:tr w:rsidR="00E5396F" w:rsidRPr="00A83C94" w14:paraId="12C2C1D7"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25B8699"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noWrap/>
            <w:vAlign w:val="center"/>
          </w:tcPr>
          <w:p w14:paraId="6C47927E" w14:textId="4B0E4343"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1,330.5</w:t>
            </w:r>
          </w:p>
        </w:tc>
        <w:tc>
          <w:tcPr>
            <w:tcW w:w="1320" w:type="dxa"/>
            <w:tcBorders>
              <w:top w:val="nil"/>
              <w:left w:val="nil"/>
              <w:bottom w:val="single" w:sz="4" w:space="0" w:color="auto"/>
              <w:right w:val="single" w:sz="4" w:space="0" w:color="auto"/>
            </w:tcBorders>
            <w:shd w:val="clear" w:color="auto" w:fill="auto"/>
            <w:noWrap/>
            <w:vAlign w:val="center"/>
            <w:hideMark/>
          </w:tcPr>
          <w:p w14:paraId="10CBCFBB" w14:textId="4BD1DAC7"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1,553.1</w:t>
            </w:r>
          </w:p>
        </w:tc>
        <w:tc>
          <w:tcPr>
            <w:tcW w:w="1320" w:type="dxa"/>
            <w:tcBorders>
              <w:top w:val="nil"/>
              <w:left w:val="nil"/>
              <w:bottom w:val="single" w:sz="4" w:space="0" w:color="auto"/>
              <w:right w:val="single" w:sz="4" w:space="0" w:color="auto"/>
            </w:tcBorders>
            <w:shd w:val="clear" w:color="auto" w:fill="auto"/>
            <w:noWrap/>
            <w:vAlign w:val="center"/>
            <w:hideMark/>
          </w:tcPr>
          <w:p w14:paraId="75ECF865" w14:textId="6BD90420"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1,507.5</w:t>
            </w:r>
          </w:p>
        </w:tc>
        <w:tc>
          <w:tcPr>
            <w:tcW w:w="1320" w:type="dxa"/>
            <w:tcBorders>
              <w:top w:val="nil"/>
              <w:left w:val="nil"/>
              <w:bottom w:val="single" w:sz="4" w:space="0" w:color="auto"/>
              <w:right w:val="single" w:sz="4" w:space="0" w:color="auto"/>
            </w:tcBorders>
            <w:shd w:val="clear" w:color="auto" w:fill="auto"/>
            <w:noWrap/>
            <w:vAlign w:val="center"/>
            <w:hideMark/>
          </w:tcPr>
          <w:p w14:paraId="1F023520" w14:textId="70F8F4FE"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1,485.2</w:t>
            </w:r>
          </w:p>
        </w:tc>
        <w:tc>
          <w:tcPr>
            <w:tcW w:w="1320" w:type="dxa"/>
            <w:tcBorders>
              <w:top w:val="nil"/>
              <w:left w:val="nil"/>
              <w:bottom w:val="single" w:sz="4" w:space="0" w:color="auto"/>
              <w:right w:val="single" w:sz="4" w:space="0" w:color="auto"/>
            </w:tcBorders>
            <w:shd w:val="clear" w:color="auto" w:fill="auto"/>
            <w:noWrap/>
            <w:vAlign w:val="center"/>
          </w:tcPr>
          <w:p w14:paraId="32BCDEF9" w14:textId="601CC711"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1,906.1</w:t>
            </w:r>
          </w:p>
        </w:tc>
      </w:tr>
      <w:tr w:rsidR="00E5396F" w:rsidRPr="00A83C94" w14:paraId="3D61597B"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5492FE3D"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14:paraId="26305FA6" w14:textId="2C0B01BE"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28D235F4" w14:textId="3D4E9A9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236C9288" w14:textId="0B8D27B0"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173E2A6C" w14:textId="41385172"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46EE41DB" w14:textId="6BCA8464"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rFonts w:ascii="Calibri" w:hAnsi="Calibri" w:cs="Calibri"/>
                <w:b w:val="0"/>
                <w:color w:val="000000"/>
                <w:sz w:val="20"/>
                <w:szCs w:val="20"/>
              </w:rPr>
              <w:t> </w:t>
            </w:r>
          </w:p>
        </w:tc>
      </w:tr>
      <w:tr w:rsidR="00E5396F" w:rsidRPr="00A83C94" w14:paraId="397F0422"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5AB2A53D"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 - հարկեր և պետական տուրքեր </w:t>
            </w:r>
          </w:p>
        </w:tc>
        <w:tc>
          <w:tcPr>
            <w:tcW w:w="1319" w:type="dxa"/>
            <w:tcBorders>
              <w:top w:val="nil"/>
              <w:left w:val="nil"/>
              <w:bottom w:val="single" w:sz="4" w:space="0" w:color="auto"/>
              <w:right w:val="single" w:sz="4" w:space="0" w:color="auto"/>
            </w:tcBorders>
            <w:shd w:val="clear" w:color="auto" w:fill="auto"/>
            <w:noWrap/>
            <w:vAlign w:val="center"/>
          </w:tcPr>
          <w:p w14:paraId="127A0209" w14:textId="3C1ED72C"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1,258.1</w:t>
            </w:r>
          </w:p>
        </w:tc>
        <w:tc>
          <w:tcPr>
            <w:tcW w:w="1320" w:type="dxa"/>
            <w:tcBorders>
              <w:top w:val="nil"/>
              <w:left w:val="nil"/>
              <w:bottom w:val="single" w:sz="4" w:space="0" w:color="auto"/>
              <w:right w:val="single" w:sz="4" w:space="0" w:color="auto"/>
            </w:tcBorders>
            <w:shd w:val="clear" w:color="auto" w:fill="auto"/>
            <w:noWrap/>
            <w:vAlign w:val="center"/>
            <w:hideMark/>
          </w:tcPr>
          <w:p w14:paraId="6DACC3D2" w14:textId="37C5F760"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1,464.3</w:t>
            </w:r>
          </w:p>
        </w:tc>
        <w:tc>
          <w:tcPr>
            <w:tcW w:w="1320" w:type="dxa"/>
            <w:tcBorders>
              <w:top w:val="nil"/>
              <w:left w:val="nil"/>
              <w:bottom w:val="single" w:sz="4" w:space="0" w:color="auto"/>
              <w:right w:val="single" w:sz="4" w:space="0" w:color="auto"/>
            </w:tcBorders>
            <w:shd w:val="clear" w:color="auto" w:fill="auto"/>
            <w:noWrap/>
            <w:vAlign w:val="center"/>
            <w:hideMark/>
          </w:tcPr>
          <w:p w14:paraId="17E1441B" w14:textId="375D949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1,385.2</w:t>
            </w:r>
          </w:p>
        </w:tc>
        <w:tc>
          <w:tcPr>
            <w:tcW w:w="1320" w:type="dxa"/>
            <w:tcBorders>
              <w:top w:val="nil"/>
              <w:left w:val="nil"/>
              <w:bottom w:val="single" w:sz="4" w:space="0" w:color="auto"/>
              <w:right w:val="single" w:sz="4" w:space="0" w:color="auto"/>
            </w:tcBorders>
            <w:shd w:val="clear" w:color="auto" w:fill="auto"/>
            <w:noWrap/>
            <w:vAlign w:val="center"/>
            <w:hideMark/>
          </w:tcPr>
          <w:p w14:paraId="37FE7A2E" w14:textId="17C69F31"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1,440.1</w:t>
            </w:r>
          </w:p>
        </w:tc>
        <w:tc>
          <w:tcPr>
            <w:tcW w:w="1320" w:type="dxa"/>
            <w:tcBorders>
              <w:top w:val="nil"/>
              <w:left w:val="nil"/>
              <w:bottom w:val="single" w:sz="4" w:space="0" w:color="auto"/>
              <w:right w:val="single" w:sz="4" w:space="0" w:color="auto"/>
            </w:tcBorders>
            <w:shd w:val="clear" w:color="auto" w:fill="auto"/>
            <w:noWrap/>
            <w:vAlign w:val="center"/>
          </w:tcPr>
          <w:p w14:paraId="38A1FD4B" w14:textId="3D4621DC" w:rsidR="00E5396F" w:rsidRPr="00E5396F" w:rsidRDefault="00E5396F" w:rsidP="00E5396F">
            <w:pPr>
              <w:spacing w:before="0" w:line="276" w:lineRule="auto"/>
              <w:ind w:firstLine="0"/>
              <w:contextualSpacing w:val="0"/>
              <w:jc w:val="center"/>
              <w:rPr>
                <w:rFonts w:cs="Calibri"/>
                <w:b w:val="0"/>
                <w:color w:val="000000"/>
                <w:sz w:val="20"/>
                <w:szCs w:val="20"/>
                <w:lang w:val="hy-AM" w:eastAsia="en-US"/>
              </w:rPr>
            </w:pPr>
            <w:r w:rsidRPr="00E5396F">
              <w:rPr>
                <w:b w:val="0"/>
                <w:color w:val="000000"/>
                <w:sz w:val="20"/>
                <w:szCs w:val="20"/>
              </w:rPr>
              <w:t>1,843.8</w:t>
            </w:r>
          </w:p>
        </w:tc>
      </w:tr>
      <w:tr w:rsidR="00E5396F" w:rsidRPr="00A83C94" w14:paraId="1D8F7D5B" w14:textId="77777777" w:rsidTr="008C49D6">
        <w:trPr>
          <w:trHeight w:val="431"/>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8CE56AE"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BE5F1" w:themeFill="accent1" w:themeFillTint="33"/>
            <w:noWrap/>
            <w:vAlign w:val="center"/>
          </w:tcPr>
          <w:p w14:paraId="7EE0323D" w14:textId="7755C4B7"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1,447.1</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79F456FA" w14:textId="3A369C5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1,629.4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2DB9A8BC" w14:textId="16D8D86F"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1,894.6</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468B0E23" w14:textId="7F226387" w:rsidR="00E5396F" w:rsidRPr="00A83C94" w:rsidRDefault="00E5396F" w:rsidP="00E5396F">
            <w:pPr>
              <w:spacing w:before="0" w:line="276" w:lineRule="auto"/>
              <w:ind w:firstLine="0"/>
              <w:contextualSpacing w:val="0"/>
              <w:jc w:val="center"/>
              <w:rPr>
                <w:rFonts w:cs="Calibri"/>
                <w:b w:val="0"/>
                <w:color w:val="000000"/>
                <w:sz w:val="20"/>
                <w:szCs w:val="20"/>
                <w:lang w:val="hy-AM" w:eastAsia="en-US"/>
              </w:rPr>
            </w:pPr>
            <w:r w:rsidRPr="00A83C94">
              <w:rPr>
                <w:color w:val="000000"/>
                <w:sz w:val="20"/>
                <w:szCs w:val="20"/>
              </w:rPr>
              <w:t>1,850.9</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5FAA2663" w14:textId="49CEBA2D" w:rsidR="00E5396F" w:rsidRPr="00193220" w:rsidRDefault="00E5396F" w:rsidP="00E5396F">
            <w:pPr>
              <w:spacing w:before="0" w:line="276" w:lineRule="auto"/>
              <w:ind w:firstLine="0"/>
              <w:contextualSpacing w:val="0"/>
              <w:jc w:val="center"/>
              <w:rPr>
                <w:rFonts w:cs="Calibri"/>
                <w:b w:val="0"/>
                <w:color w:val="000000"/>
                <w:sz w:val="20"/>
                <w:szCs w:val="20"/>
                <w:lang w:val="en-US" w:eastAsia="en-US"/>
              </w:rPr>
            </w:pPr>
            <w:r>
              <w:rPr>
                <w:color w:val="000000"/>
                <w:sz w:val="20"/>
                <w:szCs w:val="20"/>
              </w:rPr>
              <w:t>2,189.2</w:t>
            </w:r>
          </w:p>
        </w:tc>
      </w:tr>
      <w:tr w:rsidR="00E5396F" w:rsidRPr="00A83C94" w14:paraId="312A03C4"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24C8DA49"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14:paraId="486AEE46" w14:textId="0A7007B3"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4943BF68" w14:textId="06E41301"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4712D9AA" w14:textId="76B9D0F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39352347" w14:textId="5191CDF9"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46973070" w14:textId="30CEF75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rFonts w:ascii="Calibri" w:hAnsi="Calibri" w:cs="Calibri"/>
                <w:color w:val="000000"/>
                <w:sz w:val="20"/>
                <w:szCs w:val="20"/>
              </w:rPr>
              <w:t> </w:t>
            </w:r>
          </w:p>
        </w:tc>
      </w:tr>
      <w:tr w:rsidR="00E5396F" w:rsidRPr="00A83C94" w14:paraId="7D8B49A0"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33DF5031"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noWrap/>
            <w:vAlign w:val="center"/>
          </w:tcPr>
          <w:p w14:paraId="19144769" w14:textId="784C897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1,299.0</w:t>
            </w:r>
          </w:p>
        </w:tc>
        <w:tc>
          <w:tcPr>
            <w:tcW w:w="1320" w:type="dxa"/>
            <w:tcBorders>
              <w:top w:val="nil"/>
              <w:left w:val="nil"/>
              <w:bottom w:val="single" w:sz="4" w:space="0" w:color="auto"/>
              <w:right w:val="single" w:sz="4" w:space="0" w:color="auto"/>
            </w:tcBorders>
            <w:shd w:val="clear" w:color="auto" w:fill="auto"/>
            <w:noWrap/>
            <w:vAlign w:val="center"/>
            <w:hideMark/>
          </w:tcPr>
          <w:p w14:paraId="3A04584B" w14:textId="1966C5F9"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1,437.1</w:t>
            </w:r>
          </w:p>
        </w:tc>
        <w:tc>
          <w:tcPr>
            <w:tcW w:w="1320" w:type="dxa"/>
            <w:tcBorders>
              <w:top w:val="nil"/>
              <w:left w:val="nil"/>
              <w:bottom w:val="single" w:sz="4" w:space="0" w:color="auto"/>
              <w:right w:val="single" w:sz="4" w:space="0" w:color="auto"/>
            </w:tcBorders>
            <w:shd w:val="clear" w:color="auto" w:fill="auto"/>
            <w:noWrap/>
            <w:vAlign w:val="center"/>
            <w:hideMark/>
          </w:tcPr>
          <w:p w14:paraId="53BC0438" w14:textId="34F8061C"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1,668.5</w:t>
            </w:r>
          </w:p>
        </w:tc>
        <w:tc>
          <w:tcPr>
            <w:tcW w:w="1320" w:type="dxa"/>
            <w:tcBorders>
              <w:top w:val="nil"/>
              <w:left w:val="nil"/>
              <w:bottom w:val="single" w:sz="4" w:space="0" w:color="auto"/>
              <w:right w:val="single" w:sz="4" w:space="0" w:color="auto"/>
            </w:tcBorders>
            <w:shd w:val="clear" w:color="auto" w:fill="auto"/>
            <w:noWrap/>
            <w:vAlign w:val="center"/>
            <w:hideMark/>
          </w:tcPr>
          <w:p w14:paraId="6EFAC36A" w14:textId="2345CCE1" w:rsidR="00E5396F" w:rsidRPr="00A83C94" w:rsidRDefault="00E5396F" w:rsidP="00E5396F">
            <w:pPr>
              <w:spacing w:before="0" w:line="276" w:lineRule="auto"/>
              <w:ind w:firstLine="0"/>
              <w:contextualSpacing w:val="0"/>
              <w:jc w:val="center"/>
              <w:rPr>
                <w:rFonts w:cs="Calibri"/>
                <w:b w:val="0"/>
                <w:color w:val="000000"/>
                <w:sz w:val="20"/>
                <w:szCs w:val="20"/>
                <w:lang w:val="hy-AM" w:eastAsia="en-US"/>
              </w:rPr>
            </w:pPr>
            <w:r w:rsidRPr="00A83C94">
              <w:rPr>
                <w:b w:val="0"/>
                <w:color w:val="000000"/>
                <w:sz w:val="20"/>
                <w:szCs w:val="20"/>
              </w:rPr>
              <w:t>1,634.6</w:t>
            </w:r>
          </w:p>
        </w:tc>
        <w:tc>
          <w:tcPr>
            <w:tcW w:w="1320" w:type="dxa"/>
            <w:tcBorders>
              <w:top w:val="nil"/>
              <w:left w:val="nil"/>
              <w:bottom w:val="single" w:sz="4" w:space="0" w:color="auto"/>
              <w:right w:val="single" w:sz="4" w:space="0" w:color="auto"/>
            </w:tcBorders>
            <w:shd w:val="clear" w:color="auto" w:fill="auto"/>
            <w:noWrap/>
            <w:vAlign w:val="center"/>
          </w:tcPr>
          <w:p w14:paraId="2527A901" w14:textId="399861F3" w:rsidR="00E5396F" w:rsidRPr="00E5396F" w:rsidRDefault="00E5396F" w:rsidP="00E5396F">
            <w:pPr>
              <w:spacing w:before="0" w:line="276" w:lineRule="auto"/>
              <w:ind w:firstLine="0"/>
              <w:contextualSpacing w:val="0"/>
              <w:jc w:val="center"/>
              <w:rPr>
                <w:rFonts w:cs="Calibri"/>
                <w:b w:val="0"/>
                <w:color w:val="000000"/>
                <w:sz w:val="20"/>
                <w:szCs w:val="20"/>
                <w:lang w:val="hy-AM" w:eastAsia="en-US"/>
              </w:rPr>
            </w:pPr>
            <w:r w:rsidRPr="00E5396F">
              <w:rPr>
                <w:b w:val="0"/>
                <w:color w:val="000000"/>
                <w:sz w:val="20"/>
                <w:szCs w:val="20"/>
              </w:rPr>
              <w:t>1,842.7</w:t>
            </w:r>
          </w:p>
        </w:tc>
      </w:tr>
      <w:tr w:rsidR="00E5396F" w:rsidRPr="00A83C94" w14:paraId="42DE78C8" w14:textId="77777777" w:rsidTr="008C49D6">
        <w:trPr>
          <w:trHeight w:val="710"/>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3947D27" w14:textId="77777777" w:rsidR="00E5396F" w:rsidRPr="00A83C94" w:rsidRDefault="00E5396F" w:rsidP="00E5396F">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ոչ</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ֆինանսական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ակտիվների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հետ</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noWrap/>
            <w:vAlign w:val="center"/>
          </w:tcPr>
          <w:p w14:paraId="52922F16" w14:textId="50CA2CC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148.1</w:t>
            </w:r>
          </w:p>
        </w:tc>
        <w:tc>
          <w:tcPr>
            <w:tcW w:w="1320" w:type="dxa"/>
            <w:tcBorders>
              <w:top w:val="nil"/>
              <w:left w:val="nil"/>
              <w:bottom w:val="single" w:sz="4" w:space="0" w:color="auto"/>
              <w:right w:val="single" w:sz="4" w:space="0" w:color="auto"/>
            </w:tcBorders>
            <w:shd w:val="clear" w:color="auto" w:fill="auto"/>
            <w:noWrap/>
            <w:vAlign w:val="center"/>
            <w:hideMark/>
          </w:tcPr>
          <w:p w14:paraId="4D254ABD" w14:textId="591E5ACD"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192.3</w:t>
            </w:r>
          </w:p>
        </w:tc>
        <w:tc>
          <w:tcPr>
            <w:tcW w:w="1320" w:type="dxa"/>
            <w:tcBorders>
              <w:top w:val="nil"/>
              <w:left w:val="nil"/>
              <w:bottom w:val="single" w:sz="4" w:space="0" w:color="auto"/>
              <w:right w:val="single" w:sz="4" w:space="0" w:color="auto"/>
            </w:tcBorders>
            <w:shd w:val="clear" w:color="auto" w:fill="auto"/>
            <w:noWrap/>
            <w:vAlign w:val="center"/>
            <w:hideMark/>
          </w:tcPr>
          <w:p w14:paraId="2AB11625" w14:textId="7991BAB7"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226.2</w:t>
            </w:r>
          </w:p>
        </w:tc>
        <w:tc>
          <w:tcPr>
            <w:tcW w:w="1320" w:type="dxa"/>
            <w:tcBorders>
              <w:top w:val="nil"/>
              <w:left w:val="nil"/>
              <w:bottom w:val="single" w:sz="4" w:space="0" w:color="auto"/>
              <w:right w:val="single" w:sz="4" w:space="0" w:color="auto"/>
            </w:tcBorders>
            <w:shd w:val="clear" w:color="auto" w:fill="auto"/>
            <w:noWrap/>
            <w:vAlign w:val="center"/>
            <w:hideMark/>
          </w:tcPr>
          <w:p w14:paraId="66AB48FB" w14:textId="44BE7DCF"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216.3</w:t>
            </w:r>
          </w:p>
        </w:tc>
        <w:tc>
          <w:tcPr>
            <w:tcW w:w="1320" w:type="dxa"/>
            <w:tcBorders>
              <w:top w:val="nil"/>
              <w:left w:val="nil"/>
              <w:bottom w:val="single" w:sz="4" w:space="0" w:color="auto"/>
              <w:right w:val="single" w:sz="4" w:space="0" w:color="auto"/>
            </w:tcBorders>
            <w:shd w:val="clear" w:color="auto" w:fill="auto"/>
            <w:noWrap/>
            <w:vAlign w:val="center"/>
          </w:tcPr>
          <w:p w14:paraId="541BA038" w14:textId="60E069A2"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346.5</w:t>
            </w:r>
          </w:p>
        </w:tc>
      </w:tr>
      <w:tr w:rsidR="00E5396F" w:rsidRPr="00A83C94" w14:paraId="2A7B33F7"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BCC74D5"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BE5F1" w:themeFill="accent1" w:themeFillTint="33"/>
            <w:noWrap/>
            <w:vAlign w:val="center"/>
          </w:tcPr>
          <w:p w14:paraId="1DAB09F7" w14:textId="251D309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105.4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45AA0280" w14:textId="1DE8553E"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63.9</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262EC410" w14:textId="23CFCA54"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160.7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6B24724D" w14:textId="72CA668F" w:rsidR="00E5396F" w:rsidRPr="00A83C94" w:rsidRDefault="00E5396F" w:rsidP="00E5396F">
            <w:pPr>
              <w:spacing w:before="0" w:line="276" w:lineRule="auto"/>
              <w:ind w:firstLine="0"/>
              <w:contextualSpacing w:val="0"/>
              <w:jc w:val="center"/>
              <w:rPr>
                <w:rFonts w:cs="Calibri"/>
                <w:b w:val="0"/>
                <w:color w:val="000000"/>
                <w:sz w:val="20"/>
                <w:szCs w:val="20"/>
                <w:lang w:val="hy-AM" w:eastAsia="en-US"/>
              </w:rPr>
            </w:pPr>
            <w:r w:rsidRPr="00A83C94">
              <w:rPr>
                <w:color w:val="000000"/>
                <w:sz w:val="20"/>
                <w:szCs w:val="20"/>
              </w:rPr>
              <w:t>341.4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7041E1AA" w14:textId="10D33530" w:rsidR="00E5396F" w:rsidRPr="007F43DB" w:rsidRDefault="00E5396F" w:rsidP="00E5396F">
            <w:pPr>
              <w:spacing w:before="0" w:line="276" w:lineRule="auto"/>
              <w:ind w:firstLine="0"/>
              <w:contextualSpacing w:val="0"/>
              <w:jc w:val="center"/>
              <w:rPr>
                <w:rFonts w:cs="Calibri"/>
                <w:b w:val="0"/>
                <w:color w:val="000000"/>
                <w:sz w:val="20"/>
                <w:szCs w:val="20"/>
                <w:lang w:val="en-US" w:eastAsia="en-US"/>
              </w:rPr>
            </w:pPr>
            <w:r>
              <w:rPr>
                <w:color w:val="000000"/>
                <w:sz w:val="20"/>
                <w:szCs w:val="20"/>
              </w:rPr>
              <w:t>243.0</w:t>
            </w:r>
          </w:p>
        </w:tc>
      </w:tr>
      <w:tr w:rsidR="00E5396F" w:rsidRPr="00A83C94" w14:paraId="7DA354D0" w14:textId="77777777" w:rsidTr="008C49D6">
        <w:trPr>
          <w:trHeight w:val="345"/>
        </w:trPr>
        <w:tc>
          <w:tcPr>
            <w:tcW w:w="3435" w:type="dxa"/>
            <w:tcBorders>
              <w:top w:val="nil"/>
              <w:left w:val="single" w:sz="4" w:space="0" w:color="auto"/>
              <w:bottom w:val="single" w:sz="4" w:space="0" w:color="auto"/>
              <w:right w:val="single" w:sz="4" w:space="0" w:color="auto"/>
            </w:tcBorders>
            <w:shd w:val="clear" w:color="000000" w:fill="FFFFFF"/>
            <w:vAlign w:val="center"/>
            <w:hideMark/>
          </w:tcPr>
          <w:p w14:paraId="53855249" w14:textId="77777777" w:rsidR="00E5396F" w:rsidRPr="00A83C94" w:rsidRDefault="00E5396F" w:rsidP="00E5396F">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val="en-US" w:eastAsia="en-US"/>
              </w:rPr>
              <w:t>Բ</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Արտահայտված</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ՀՆԱ</w:t>
            </w:r>
            <w:r w:rsidRPr="00A83C94">
              <w:rPr>
                <w:rFonts w:cs="Calibri"/>
                <w:b w:val="0"/>
                <w:color w:val="000000"/>
                <w:sz w:val="20"/>
                <w:szCs w:val="20"/>
                <w:lang w:eastAsia="en-US"/>
              </w:rPr>
              <w:t>-</w:t>
            </w:r>
            <w:r w:rsidRPr="00A83C94">
              <w:rPr>
                <w:rFonts w:cs="Calibri"/>
                <w:b w:val="0"/>
                <w:color w:val="000000"/>
                <w:sz w:val="20"/>
                <w:szCs w:val="20"/>
                <w:lang w:val="en-US" w:eastAsia="en-US"/>
              </w:rPr>
              <w:t>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նկատմամբ</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ով</w:t>
            </w:r>
          </w:p>
        </w:tc>
        <w:tc>
          <w:tcPr>
            <w:tcW w:w="1319" w:type="dxa"/>
            <w:tcBorders>
              <w:top w:val="nil"/>
              <w:left w:val="nil"/>
              <w:bottom w:val="single" w:sz="4" w:space="0" w:color="auto"/>
              <w:right w:val="single" w:sz="4" w:space="0" w:color="auto"/>
            </w:tcBorders>
            <w:shd w:val="clear" w:color="000000" w:fill="FFFFFF"/>
            <w:vAlign w:val="center"/>
          </w:tcPr>
          <w:p w14:paraId="3CB2A644" w14:textId="2BF03DFE" w:rsidR="00E5396F" w:rsidRPr="00A83C94" w:rsidRDefault="00E5396F" w:rsidP="00E5396F">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vAlign w:val="center"/>
            <w:hideMark/>
          </w:tcPr>
          <w:p w14:paraId="2CA16030" w14:textId="3A87125D" w:rsidR="00E5396F" w:rsidRPr="00A83C94" w:rsidRDefault="00E5396F" w:rsidP="00E5396F">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45F3D0FA" w14:textId="6AD8527F" w:rsidR="00E5396F" w:rsidRPr="00A83C94" w:rsidRDefault="00E5396F" w:rsidP="00E5396F">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35A4E1DC" w14:textId="07E1D4BE" w:rsidR="00E5396F" w:rsidRPr="00A83C94" w:rsidRDefault="00E5396F" w:rsidP="00E5396F">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tcPr>
          <w:p w14:paraId="11798300" w14:textId="1764CF15" w:rsidR="00E5396F" w:rsidRPr="00A83C94" w:rsidRDefault="00E5396F" w:rsidP="00E5396F">
            <w:pPr>
              <w:spacing w:before="0" w:line="276" w:lineRule="auto"/>
              <w:ind w:firstLine="0"/>
              <w:contextualSpacing w:val="0"/>
              <w:jc w:val="center"/>
              <w:rPr>
                <w:rFonts w:cs="Calibri"/>
                <w:b w:val="0"/>
                <w:color w:val="000000"/>
                <w:sz w:val="20"/>
                <w:szCs w:val="20"/>
                <w:lang w:eastAsia="en-US"/>
              </w:rPr>
            </w:pPr>
            <w:r>
              <w:rPr>
                <w:rFonts w:ascii="Calibri" w:hAnsi="Calibri" w:cs="Calibri"/>
                <w:color w:val="000000"/>
                <w:sz w:val="20"/>
                <w:szCs w:val="20"/>
              </w:rPr>
              <w:t> </w:t>
            </w:r>
          </w:p>
        </w:tc>
      </w:tr>
      <w:tr w:rsidR="00E5396F" w:rsidRPr="00A83C94" w14:paraId="53B70E1D"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DF9AA24"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BE5F1" w:themeFill="accent1" w:themeFillTint="33"/>
            <w:vAlign w:val="center"/>
          </w:tcPr>
          <w:p w14:paraId="6E012D92" w14:textId="336FBFD4"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22.3%</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3E3E3C0A" w14:textId="7DFB9BB3"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23.8%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74922B2A" w14:textId="342B53FA"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25.2%</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268EDACD" w14:textId="5042A67A"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23.6%</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516CBDB8" w14:textId="0963728F"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color w:val="000000"/>
                <w:sz w:val="20"/>
                <w:szCs w:val="20"/>
              </w:rPr>
              <w:t>24.7%</w:t>
            </w:r>
          </w:p>
        </w:tc>
      </w:tr>
      <w:tr w:rsidR="00E5396F" w:rsidRPr="00A83C94" w14:paraId="78F99C78"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30A5594F"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14:paraId="525FFF52" w14:textId="19388BF9"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47D2BB8A" w14:textId="295E8974"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7A71734C" w14:textId="2ACBF13F"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6D612677" w14:textId="6CF2CA03"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430D86CF" w14:textId="5DAADD29"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rFonts w:ascii="Calibri" w:hAnsi="Calibri" w:cs="Calibri"/>
                <w:color w:val="000000"/>
                <w:sz w:val="20"/>
                <w:szCs w:val="20"/>
              </w:rPr>
              <w:t> </w:t>
            </w:r>
          </w:p>
        </w:tc>
      </w:tr>
      <w:tr w:rsidR="00E5396F" w:rsidRPr="00A83C94" w14:paraId="4E8BFB63"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1AF4AFAB"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vAlign w:val="center"/>
          </w:tcPr>
          <w:p w14:paraId="3803E134" w14:textId="5A384CFF"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22.1%</w:t>
            </w:r>
          </w:p>
        </w:tc>
        <w:tc>
          <w:tcPr>
            <w:tcW w:w="1320" w:type="dxa"/>
            <w:tcBorders>
              <w:top w:val="nil"/>
              <w:left w:val="nil"/>
              <w:bottom w:val="single" w:sz="4" w:space="0" w:color="auto"/>
              <w:right w:val="single" w:sz="4" w:space="0" w:color="auto"/>
            </w:tcBorders>
            <w:shd w:val="clear" w:color="auto" w:fill="auto"/>
            <w:vAlign w:val="center"/>
            <w:hideMark/>
          </w:tcPr>
          <w:p w14:paraId="07E35692" w14:textId="2D3E8044"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23.6%</w:t>
            </w:r>
          </w:p>
        </w:tc>
        <w:tc>
          <w:tcPr>
            <w:tcW w:w="1320" w:type="dxa"/>
            <w:tcBorders>
              <w:top w:val="nil"/>
              <w:left w:val="nil"/>
              <w:bottom w:val="single" w:sz="4" w:space="0" w:color="auto"/>
              <w:right w:val="single" w:sz="4" w:space="0" w:color="auto"/>
            </w:tcBorders>
            <w:shd w:val="clear" w:color="auto" w:fill="auto"/>
            <w:vAlign w:val="center"/>
            <w:hideMark/>
          </w:tcPr>
          <w:p w14:paraId="377CC7E0" w14:textId="08388C0D"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24.4%</w:t>
            </w:r>
          </w:p>
        </w:tc>
        <w:tc>
          <w:tcPr>
            <w:tcW w:w="1320" w:type="dxa"/>
            <w:tcBorders>
              <w:top w:val="nil"/>
              <w:left w:val="nil"/>
              <w:bottom w:val="single" w:sz="4" w:space="0" w:color="auto"/>
              <w:right w:val="single" w:sz="4" w:space="0" w:color="auto"/>
            </w:tcBorders>
            <w:shd w:val="clear" w:color="auto" w:fill="auto"/>
            <w:vAlign w:val="center"/>
            <w:hideMark/>
          </w:tcPr>
          <w:p w14:paraId="490CB5FD" w14:textId="4503223B"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23.2%</w:t>
            </w:r>
          </w:p>
        </w:tc>
        <w:tc>
          <w:tcPr>
            <w:tcW w:w="1320" w:type="dxa"/>
            <w:tcBorders>
              <w:top w:val="nil"/>
              <w:left w:val="nil"/>
              <w:bottom w:val="single" w:sz="4" w:space="0" w:color="auto"/>
              <w:right w:val="single" w:sz="4" w:space="0" w:color="auto"/>
            </w:tcBorders>
            <w:shd w:val="clear" w:color="auto" w:fill="auto"/>
            <w:vAlign w:val="center"/>
          </w:tcPr>
          <w:p w14:paraId="07AE8E0B" w14:textId="5616A8D7"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24.2%</w:t>
            </w:r>
          </w:p>
        </w:tc>
      </w:tr>
      <w:tr w:rsidR="00E5396F" w:rsidRPr="00A83C94" w14:paraId="368D901B"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B37D210"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14:paraId="5782AC7E" w14:textId="3799CEF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4B204134" w14:textId="22A5CC86"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2F724328" w14:textId="4DA3EEA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4D871226" w14:textId="25071219"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51D0139F" w14:textId="543BB258"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rFonts w:ascii="Calibri" w:hAnsi="Calibri" w:cs="Calibri"/>
                <w:b w:val="0"/>
                <w:color w:val="000000"/>
                <w:sz w:val="20"/>
                <w:szCs w:val="20"/>
              </w:rPr>
              <w:t> </w:t>
            </w:r>
          </w:p>
        </w:tc>
      </w:tr>
      <w:tr w:rsidR="00E5396F" w:rsidRPr="00A83C94" w14:paraId="6A5D3405" w14:textId="77777777" w:rsidTr="008C49D6">
        <w:trPr>
          <w:trHeight w:val="476"/>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FDE3160"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 հարկեր և պետական տուրքեր </w:t>
            </w:r>
          </w:p>
        </w:tc>
        <w:tc>
          <w:tcPr>
            <w:tcW w:w="1319" w:type="dxa"/>
            <w:tcBorders>
              <w:top w:val="nil"/>
              <w:left w:val="nil"/>
              <w:bottom w:val="single" w:sz="4" w:space="0" w:color="auto"/>
              <w:right w:val="single" w:sz="4" w:space="0" w:color="auto"/>
            </w:tcBorders>
            <w:shd w:val="clear" w:color="auto" w:fill="auto"/>
            <w:vAlign w:val="center"/>
          </w:tcPr>
          <w:p w14:paraId="3A191A59" w14:textId="6CE37303"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20.9%</w:t>
            </w:r>
          </w:p>
        </w:tc>
        <w:tc>
          <w:tcPr>
            <w:tcW w:w="1320" w:type="dxa"/>
            <w:tcBorders>
              <w:top w:val="nil"/>
              <w:left w:val="nil"/>
              <w:bottom w:val="single" w:sz="4" w:space="0" w:color="auto"/>
              <w:right w:val="single" w:sz="4" w:space="0" w:color="auto"/>
            </w:tcBorders>
            <w:shd w:val="clear" w:color="auto" w:fill="auto"/>
            <w:vAlign w:val="center"/>
            <w:hideMark/>
          </w:tcPr>
          <w:p w14:paraId="7014A684" w14:textId="2255E5EE"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22.3%</w:t>
            </w:r>
          </w:p>
        </w:tc>
        <w:tc>
          <w:tcPr>
            <w:tcW w:w="1320" w:type="dxa"/>
            <w:tcBorders>
              <w:top w:val="nil"/>
              <w:left w:val="nil"/>
              <w:bottom w:val="single" w:sz="4" w:space="0" w:color="auto"/>
              <w:right w:val="single" w:sz="4" w:space="0" w:color="auto"/>
            </w:tcBorders>
            <w:shd w:val="clear" w:color="auto" w:fill="auto"/>
            <w:vAlign w:val="center"/>
            <w:hideMark/>
          </w:tcPr>
          <w:p w14:paraId="6344FC27" w14:textId="63E460ED"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22.4%</w:t>
            </w:r>
          </w:p>
        </w:tc>
        <w:tc>
          <w:tcPr>
            <w:tcW w:w="1320" w:type="dxa"/>
            <w:tcBorders>
              <w:top w:val="nil"/>
              <w:left w:val="nil"/>
              <w:bottom w:val="single" w:sz="4" w:space="0" w:color="auto"/>
              <w:right w:val="single" w:sz="4" w:space="0" w:color="auto"/>
            </w:tcBorders>
            <w:shd w:val="clear" w:color="auto" w:fill="auto"/>
            <w:vAlign w:val="center"/>
            <w:hideMark/>
          </w:tcPr>
          <w:p w14:paraId="688A5B14" w14:textId="56D0830B"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22.5%</w:t>
            </w:r>
          </w:p>
        </w:tc>
        <w:tc>
          <w:tcPr>
            <w:tcW w:w="1320" w:type="dxa"/>
            <w:tcBorders>
              <w:top w:val="nil"/>
              <w:left w:val="nil"/>
              <w:bottom w:val="single" w:sz="4" w:space="0" w:color="auto"/>
              <w:right w:val="single" w:sz="4" w:space="0" w:color="auto"/>
            </w:tcBorders>
            <w:shd w:val="clear" w:color="auto" w:fill="auto"/>
            <w:vAlign w:val="center"/>
          </w:tcPr>
          <w:p w14:paraId="1ED4F239" w14:textId="56BE0129"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23.4%</w:t>
            </w:r>
          </w:p>
        </w:tc>
      </w:tr>
      <w:tr w:rsidR="00E5396F" w:rsidRPr="00A83C94" w14:paraId="4527B41D" w14:textId="77777777" w:rsidTr="008C49D6">
        <w:trPr>
          <w:trHeight w:val="440"/>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4A19051"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BE5F1" w:themeFill="accent1" w:themeFillTint="33"/>
            <w:vAlign w:val="center"/>
          </w:tcPr>
          <w:p w14:paraId="152A2781" w14:textId="67272866"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24.0%</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0D3A3C8F" w14:textId="5FF6422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24.8%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0E31F260" w14:textId="150E0E5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30.6%</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2D2BF7BC" w14:textId="1864D40C"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28.9%</w:t>
            </w:r>
          </w:p>
        </w:tc>
        <w:tc>
          <w:tcPr>
            <w:tcW w:w="1320" w:type="dxa"/>
            <w:tcBorders>
              <w:top w:val="nil"/>
              <w:left w:val="nil"/>
              <w:bottom w:val="single" w:sz="4" w:space="0" w:color="auto"/>
              <w:right w:val="single" w:sz="4" w:space="0" w:color="auto"/>
            </w:tcBorders>
            <w:shd w:val="clear" w:color="auto" w:fill="DBE5F1" w:themeFill="accent1" w:themeFillTint="33"/>
            <w:vAlign w:val="center"/>
          </w:tcPr>
          <w:p w14:paraId="0ACBBD3E" w14:textId="647E03A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color w:val="000000"/>
                <w:sz w:val="20"/>
                <w:szCs w:val="20"/>
              </w:rPr>
              <w:t>27.8%</w:t>
            </w:r>
          </w:p>
        </w:tc>
      </w:tr>
      <w:tr w:rsidR="00E5396F" w:rsidRPr="00A83C94" w14:paraId="1273F5D3"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1F35860B"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14:paraId="63640EBD" w14:textId="6A48504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10965216" w14:textId="733C645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71D7DF45" w14:textId="6EE278C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019D4CA3" w14:textId="0140716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tcPr>
          <w:p w14:paraId="0A91B25B" w14:textId="4A7F74DF"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rFonts w:ascii="Calibri" w:hAnsi="Calibri" w:cs="Calibri"/>
                <w:color w:val="000000"/>
                <w:sz w:val="20"/>
                <w:szCs w:val="20"/>
              </w:rPr>
              <w:t> </w:t>
            </w:r>
          </w:p>
        </w:tc>
      </w:tr>
      <w:tr w:rsidR="00E5396F" w:rsidRPr="00A83C94" w14:paraId="7187018B" w14:textId="77777777" w:rsidTr="008C49D6">
        <w:trPr>
          <w:trHeight w:val="449"/>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5AA5771"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vAlign w:val="center"/>
          </w:tcPr>
          <w:p w14:paraId="72E93339" w14:textId="0802D02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21.6%</w:t>
            </w:r>
          </w:p>
        </w:tc>
        <w:tc>
          <w:tcPr>
            <w:tcW w:w="1320" w:type="dxa"/>
            <w:tcBorders>
              <w:top w:val="nil"/>
              <w:left w:val="nil"/>
              <w:bottom w:val="single" w:sz="4" w:space="0" w:color="auto"/>
              <w:right w:val="single" w:sz="4" w:space="0" w:color="auto"/>
            </w:tcBorders>
            <w:shd w:val="clear" w:color="auto" w:fill="auto"/>
            <w:vAlign w:val="center"/>
            <w:hideMark/>
          </w:tcPr>
          <w:p w14:paraId="775EF77E" w14:textId="2023815E"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21.9%</w:t>
            </w:r>
          </w:p>
        </w:tc>
        <w:tc>
          <w:tcPr>
            <w:tcW w:w="1320" w:type="dxa"/>
            <w:tcBorders>
              <w:top w:val="nil"/>
              <w:left w:val="nil"/>
              <w:bottom w:val="single" w:sz="4" w:space="0" w:color="auto"/>
              <w:right w:val="single" w:sz="4" w:space="0" w:color="auto"/>
            </w:tcBorders>
            <w:shd w:val="clear" w:color="auto" w:fill="auto"/>
            <w:vAlign w:val="center"/>
            <w:hideMark/>
          </w:tcPr>
          <w:p w14:paraId="1149A705" w14:textId="1EB09B5A"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27.0%</w:t>
            </w:r>
          </w:p>
        </w:tc>
        <w:tc>
          <w:tcPr>
            <w:tcW w:w="1320" w:type="dxa"/>
            <w:tcBorders>
              <w:top w:val="nil"/>
              <w:left w:val="nil"/>
              <w:bottom w:val="single" w:sz="4" w:space="0" w:color="auto"/>
              <w:right w:val="single" w:sz="4" w:space="0" w:color="auto"/>
            </w:tcBorders>
            <w:shd w:val="clear" w:color="auto" w:fill="auto"/>
            <w:vAlign w:val="center"/>
            <w:hideMark/>
          </w:tcPr>
          <w:p w14:paraId="5199233D" w14:textId="7867BA4A"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25.6%</w:t>
            </w:r>
          </w:p>
        </w:tc>
        <w:tc>
          <w:tcPr>
            <w:tcW w:w="1320" w:type="dxa"/>
            <w:tcBorders>
              <w:top w:val="nil"/>
              <w:left w:val="nil"/>
              <w:bottom w:val="single" w:sz="4" w:space="0" w:color="auto"/>
              <w:right w:val="single" w:sz="4" w:space="0" w:color="auto"/>
            </w:tcBorders>
            <w:shd w:val="clear" w:color="auto" w:fill="auto"/>
            <w:vAlign w:val="center"/>
          </w:tcPr>
          <w:p w14:paraId="7AE9AC61" w14:textId="7BECC350"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23.4%</w:t>
            </w:r>
          </w:p>
        </w:tc>
      </w:tr>
      <w:tr w:rsidR="00E5396F" w:rsidRPr="00A83C94" w14:paraId="2A7D61BD" w14:textId="77777777" w:rsidTr="008C49D6">
        <w:trPr>
          <w:trHeight w:val="629"/>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3531885" w14:textId="77777777" w:rsidR="00E5396F" w:rsidRPr="00A83C94" w:rsidRDefault="00E5396F" w:rsidP="00E5396F">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ոչ</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ֆինանսական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ակտիվների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հետ</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vAlign w:val="center"/>
          </w:tcPr>
          <w:p w14:paraId="05E09D3B" w14:textId="3511875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2.5%</w:t>
            </w:r>
          </w:p>
        </w:tc>
        <w:tc>
          <w:tcPr>
            <w:tcW w:w="1320" w:type="dxa"/>
            <w:tcBorders>
              <w:top w:val="nil"/>
              <w:left w:val="nil"/>
              <w:bottom w:val="single" w:sz="4" w:space="0" w:color="auto"/>
              <w:right w:val="single" w:sz="4" w:space="0" w:color="auto"/>
            </w:tcBorders>
            <w:shd w:val="clear" w:color="auto" w:fill="auto"/>
            <w:vAlign w:val="center"/>
            <w:hideMark/>
          </w:tcPr>
          <w:p w14:paraId="14FC9E07" w14:textId="261FF277"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2.9%</w:t>
            </w:r>
          </w:p>
        </w:tc>
        <w:tc>
          <w:tcPr>
            <w:tcW w:w="1320" w:type="dxa"/>
            <w:tcBorders>
              <w:top w:val="nil"/>
              <w:left w:val="nil"/>
              <w:bottom w:val="single" w:sz="4" w:space="0" w:color="auto"/>
              <w:right w:val="single" w:sz="4" w:space="0" w:color="auto"/>
            </w:tcBorders>
            <w:shd w:val="clear" w:color="auto" w:fill="auto"/>
            <w:vAlign w:val="center"/>
            <w:hideMark/>
          </w:tcPr>
          <w:p w14:paraId="3A4731DC" w14:textId="15F998B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3.7%</w:t>
            </w:r>
          </w:p>
        </w:tc>
        <w:tc>
          <w:tcPr>
            <w:tcW w:w="1320" w:type="dxa"/>
            <w:tcBorders>
              <w:top w:val="nil"/>
              <w:left w:val="nil"/>
              <w:bottom w:val="single" w:sz="4" w:space="0" w:color="auto"/>
              <w:right w:val="single" w:sz="4" w:space="0" w:color="auto"/>
            </w:tcBorders>
            <w:shd w:val="clear" w:color="auto" w:fill="auto"/>
            <w:vAlign w:val="center"/>
            <w:hideMark/>
          </w:tcPr>
          <w:p w14:paraId="58508B0E" w14:textId="420689C3"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3.4%</w:t>
            </w:r>
          </w:p>
        </w:tc>
        <w:tc>
          <w:tcPr>
            <w:tcW w:w="1320" w:type="dxa"/>
            <w:tcBorders>
              <w:top w:val="nil"/>
              <w:left w:val="nil"/>
              <w:bottom w:val="single" w:sz="4" w:space="0" w:color="auto"/>
              <w:right w:val="single" w:sz="4" w:space="0" w:color="auto"/>
            </w:tcBorders>
            <w:shd w:val="clear" w:color="auto" w:fill="auto"/>
            <w:vAlign w:val="center"/>
          </w:tcPr>
          <w:p w14:paraId="24F37287" w14:textId="3CDA5A5E" w:rsidR="00E5396F" w:rsidRPr="00E5396F" w:rsidRDefault="00E5396F" w:rsidP="00E5396F">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4.4%</w:t>
            </w:r>
          </w:p>
        </w:tc>
      </w:tr>
      <w:tr w:rsidR="00E5396F" w:rsidRPr="00A83C94" w14:paraId="249190DC" w14:textId="77777777" w:rsidTr="008C49D6">
        <w:trPr>
          <w:trHeight w:val="440"/>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71B4815"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BE5F1" w:themeFill="accent1" w:themeFillTint="33"/>
            <w:vAlign w:val="center"/>
          </w:tcPr>
          <w:p w14:paraId="5CA91EDA" w14:textId="3300FD93"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5F116723" w14:textId="2E91F45E"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1.0%</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39AE90AB" w14:textId="502F6E38"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2.6%</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78F0B99F" w14:textId="2838954B"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5.3%</w:t>
            </w:r>
          </w:p>
        </w:tc>
        <w:tc>
          <w:tcPr>
            <w:tcW w:w="1320" w:type="dxa"/>
            <w:tcBorders>
              <w:top w:val="nil"/>
              <w:left w:val="nil"/>
              <w:bottom w:val="single" w:sz="4" w:space="0" w:color="auto"/>
              <w:right w:val="single" w:sz="4" w:space="0" w:color="auto"/>
            </w:tcBorders>
            <w:shd w:val="clear" w:color="auto" w:fill="DBE5F1" w:themeFill="accent1" w:themeFillTint="33"/>
            <w:vAlign w:val="center"/>
          </w:tcPr>
          <w:p w14:paraId="460E103B" w14:textId="13B1AB99"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color w:val="000000"/>
                <w:sz w:val="20"/>
                <w:szCs w:val="20"/>
              </w:rPr>
              <w:t>3.1%</w:t>
            </w:r>
          </w:p>
        </w:tc>
      </w:tr>
      <w:tr w:rsidR="00E5396F" w:rsidRPr="00A83C94" w14:paraId="1D21B9AD" w14:textId="77777777" w:rsidTr="008C49D6">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7F6F1133" w14:textId="77777777" w:rsidR="00E5396F" w:rsidRPr="00A83C94" w:rsidRDefault="00E5396F" w:rsidP="00E5396F">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Անվանական ՀՆԱ (մլրդ դրամ)</w:t>
            </w:r>
          </w:p>
        </w:tc>
        <w:tc>
          <w:tcPr>
            <w:tcW w:w="1319" w:type="dxa"/>
            <w:tcBorders>
              <w:top w:val="nil"/>
              <w:left w:val="nil"/>
              <w:bottom w:val="single" w:sz="4" w:space="0" w:color="auto"/>
              <w:right w:val="single" w:sz="4" w:space="0" w:color="auto"/>
            </w:tcBorders>
            <w:shd w:val="clear" w:color="auto" w:fill="auto"/>
            <w:noWrap/>
            <w:vAlign w:val="center"/>
          </w:tcPr>
          <w:p w14:paraId="62F3C417" w14:textId="46DC9915"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6,017.0</w:t>
            </w:r>
          </w:p>
        </w:tc>
        <w:tc>
          <w:tcPr>
            <w:tcW w:w="1320" w:type="dxa"/>
            <w:tcBorders>
              <w:top w:val="nil"/>
              <w:left w:val="nil"/>
              <w:bottom w:val="single" w:sz="4" w:space="0" w:color="auto"/>
              <w:right w:val="single" w:sz="4" w:space="0" w:color="auto"/>
            </w:tcBorders>
            <w:shd w:val="clear" w:color="auto" w:fill="auto"/>
            <w:noWrap/>
            <w:vAlign w:val="center"/>
            <w:hideMark/>
          </w:tcPr>
          <w:p w14:paraId="3CB69C38" w14:textId="7495EC6C"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6,569.0</w:t>
            </w:r>
          </w:p>
        </w:tc>
        <w:tc>
          <w:tcPr>
            <w:tcW w:w="1320" w:type="dxa"/>
            <w:tcBorders>
              <w:top w:val="nil"/>
              <w:left w:val="nil"/>
              <w:bottom w:val="single" w:sz="4" w:space="0" w:color="auto"/>
              <w:right w:val="single" w:sz="4" w:space="0" w:color="auto"/>
            </w:tcBorders>
            <w:shd w:val="clear" w:color="auto" w:fill="auto"/>
            <w:noWrap/>
            <w:vAlign w:val="center"/>
            <w:hideMark/>
          </w:tcPr>
          <w:p w14:paraId="4493DF78" w14:textId="14091771"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6,181.7</w:t>
            </w:r>
          </w:p>
        </w:tc>
        <w:tc>
          <w:tcPr>
            <w:tcW w:w="1320" w:type="dxa"/>
            <w:tcBorders>
              <w:top w:val="nil"/>
              <w:left w:val="nil"/>
              <w:bottom w:val="single" w:sz="4" w:space="0" w:color="auto"/>
              <w:right w:val="single" w:sz="4" w:space="0" w:color="auto"/>
            </w:tcBorders>
            <w:shd w:val="clear" w:color="auto" w:fill="auto"/>
            <w:noWrap/>
            <w:vAlign w:val="center"/>
            <w:hideMark/>
          </w:tcPr>
          <w:p w14:paraId="77F0D13D" w14:textId="75960FA2"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6,395.3</w:t>
            </w:r>
          </w:p>
        </w:tc>
        <w:tc>
          <w:tcPr>
            <w:tcW w:w="1320" w:type="dxa"/>
            <w:tcBorders>
              <w:top w:val="nil"/>
              <w:left w:val="nil"/>
              <w:bottom w:val="single" w:sz="4" w:space="0" w:color="auto"/>
              <w:right w:val="single" w:sz="4" w:space="0" w:color="auto"/>
            </w:tcBorders>
            <w:shd w:val="clear" w:color="auto" w:fill="auto"/>
            <w:noWrap/>
            <w:vAlign w:val="center"/>
          </w:tcPr>
          <w:p w14:paraId="6C97F869" w14:textId="765FFFBB" w:rsidR="00E5396F" w:rsidRPr="00A83C94" w:rsidRDefault="00E5396F" w:rsidP="00E5396F">
            <w:pPr>
              <w:spacing w:before="0" w:line="276" w:lineRule="auto"/>
              <w:ind w:firstLine="0"/>
              <w:contextualSpacing w:val="0"/>
              <w:jc w:val="center"/>
              <w:rPr>
                <w:rFonts w:cs="Calibri"/>
                <w:b w:val="0"/>
                <w:color w:val="000000"/>
                <w:sz w:val="20"/>
                <w:szCs w:val="20"/>
                <w:lang w:val="en-US" w:eastAsia="en-US"/>
              </w:rPr>
            </w:pPr>
            <w:r>
              <w:rPr>
                <w:color w:val="000000"/>
                <w:sz w:val="20"/>
                <w:szCs w:val="20"/>
              </w:rPr>
              <w:t>7,869.4</w:t>
            </w:r>
          </w:p>
        </w:tc>
      </w:tr>
    </w:tbl>
    <w:p w14:paraId="657E70B4" w14:textId="77777777" w:rsidR="009473A9" w:rsidRPr="00A83C94" w:rsidRDefault="009473A9" w:rsidP="007730AA">
      <w:pPr>
        <w:spacing w:before="0" w:line="276" w:lineRule="auto"/>
        <w:ind w:firstLine="538"/>
        <w:rPr>
          <w:rFonts w:eastAsia="Calibri"/>
          <w:b w:val="0"/>
          <w:szCs w:val="22"/>
          <w:lang w:val="hy-AM" w:eastAsia="en-US"/>
        </w:rPr>
      </w:pPr>
    </w:p>
    <w:p w14:paraId="6C02D4D1" w14:textId="77777777" w:rsidR="009473A9" w:rsidRPr="00A83C94" w:rsidRDefault="009473A9" w:rsidP="007730AA">
      <w:pPr>
        <w:spacing w:before="0" w:line="276" w:lineRule="auto"/>
        <w:ind w:firstLine="538"/>
        <w:rPr>
          <w:rFonts w:eastAsia="Calibri"/>
          <w:b w:val="0"/>
          <w:szCs w:val="22"/>
          <w:lang w:val="hy-AM" w:eastAsia="en-US"/>
        </w:rPr>
      </w:pPr>
    </w:p>
    <w:p w14:paraId="00A89A8D" w14:textId="5AA8FB41" w:rsidR="008B2220" w:rsidRPr="00A83C94" w:rsidRDefault="008B2220" w:rsidP="007730AA">
      <w:pPr>
        <w:spacing w:before="0" w:line="276" w:lineRule="auto"/>
        <w:ind w:firstLine="538"/>
        <w:rPr>
          <w:rFonts w:eastAsia="Calibri"/>
          <w:b w:val="0"/>
          <w:szCs w:val="22"/>
          <w:lang w:val="hy-AM" w:eastAsia="en-US"/>
        </w:rPr>
      </w:pPr>
      <w:r w:rsidRPr="00A83C94">
        <w:rPr>
          <w:rFonts w:eastAsia="Calibri"/>
          <w:b w:val="0"/>
          <w:szCs w:val="22"/>
          <w:lang w:val="hy-AM" w:eastAsia="en-US"/>
        </w:rPr>
        <w:t xml:space="preserve">Հիմք ընդունելով ՀՆԱ-ի </w:t>
      </w:r>
      <w:r w:rsidR="009473A9" w:rsidRPr="00A83C94">
        <w:rPr>
          <w:rFonts w:eastAsia="Calibri"/>
          <w:b w:val="0"/>
          <w:szCs w:val="22"/>
          <w:lang w:val="hy-AM" w:eastAsia="en-US"/>
        </w:rPr>
        <w:t>24</w:t>
      </w:r>
      <w:r w:rsidRPr="00A83C94">
        <w:rPr>
          <w:rFonts w:eastAsia="Calibri"/>
          <w:b w:val="0"/>
          <w:szCs w:val="22"/>
          <w:lang w:val="hy-AM" w:eastAsia="en-US"/>
        </w:rPr>
        <w:t>.</w:t>
      </w:r>
      <w:r w:rsidR="009473A9" w:rsidRPr="00A83C94">
        <w:rPr>
          <w:rFonts w:eastAsia="Calibri"/>
          <w:b w:val="0"/>
          <w:szCs w:val="22"/>
          <w:lang w:val="hy-AM" w:eastAsia="en-US"/>
        </w:rPr>
        <w:t>7</w:t>
      </w:r>
      <w:r w:rsidRPr="00A83C94">
        <w:rPr>
          <w:rFonts w:eastAsia="Calibri"/>
          <w:b w:val="0"/>
          <w:szCs w:val="22"/>
          <w:lang w:val="hy-AM" w:eastAsia="en-US"/>
        </w:rPr>
        <w:t xml:space="preserve"> %-ի չափով կանխատեսված ՀՀ 202</w:t>
      </w:r>
      <w:r w:rsidR="009473A9" w:rsidRPr="00A83C94">
        <w:rPr>
          <w:rFonts w:eastAsia="Calibri"/>
          <w:b w:val="0"/>
          <w:szCs w:val="22"/>
          <w:lang w:val="hy-AM" w:eastAsia="en-US"/>
        </w:rPr>
        <w:t>2</w:t>
      </w:r>
      <w:r w:rsidRPr="00A83C94">
        <w:rPr>
          <w:rFonts w:eastAsia="Calibri"/>
          <w:b w:val="0"/>
          <w:szCs w:val="22"/>
          <w:lang w:val="hy-AM" w:eastAsia="en-US"/>
        </w:rPr>
        <w:t xml:space="preserve"> թվականի պե</w:t>
      </w:r>
      <w:r w:rsidRPr="00A83C94">
        <w:rPr>
          <w:rFonts w:eastAsia="Calibri"/>
          <w:b w:val="0"/>
          <w:szCs w:val="22"/>
          <w:lang w:val="hy-AM" w:eastAsia="en-US"/>
        </w:rPr>
        <w:softHyphen/>
        <w:t>տա</w:t>
      </w:r>
      <w:r w:rsidRPr="00A83C94">
        <w:rPr>
          <w:rFonts w:eastAsia="Calibri"/>
          <w:b w:val="0"/>
          <w:szCs w:val="22"/>
          <w:lang w:val="hy-AM" w:eastAsia="en-US"/>
        </w:rPr>
        <w:softHyphen/>
        <w:t>կան բյու</w:t>
      </w:r>
      <w:r w:rsidRPr="00A83C94">
        <w:rPr>
          <w:rFonts w:eastAsia="Calibri"/>
          <w:b w:val="0"/>
          <w:szCs w:val="22"/>
          <w:lang w:val="hy-AM" w:eastAsia="en-US"/>
        </w:rPr>
        <w:softHyphen/>
        <w:t>ջեի եկամուտների մակարդակը և ելնելով ՀՆԱ-ի</w:t>
      </w:r>
      <w:r w:rsidR="009473A9" w:rsidRPr="00A83C94">
        <w:rPr>
          <w:rFonts w:eastAsia="Calibri"/>
          <w:b w:val="0"/>
          <w:szCs w:val="22"/>
          <w:lang w:val="hy-AM" w:eastAsia="en-US"/>
        </w:rPr>
        <w:t xml:space="preserve"> </w:t>
      </w:r>
      <w:r w:rsidRPr="00A83C94">
        <w:rPr>
          <w:rFonts w:eastAsia="Calibri"/>
          <w:b w:val="0"/>
          <w:szCs w:val="22"/>
          <w:lang w:val="hy-AM" w:eastAsia="en-US"/>
        </w:rPr>
        <w:t>3</w:t>
      </w:r>
      <w:r w:rsidR="009473A9" w:rsidRPr="00A83C94">
        <w:rPr>
          <w:rFonts w:eastAsia="Calibri"/>
          <w:b w:val="0"/>
          <w:szCs w:val="22"/>
          <w:lang w:val="hy-AM" w:eastAsia="en-US"/>
        </w:rPr>
        <w:t>.</w:t>
      </w:r>
      <w:r w:rsidR="006C11AC" w:rsidRPr="006C11AC">
        <w:rPr>
          <w:rFonts w:eastAsia="Calibri"/>
          <w:b w:val="0"/>
          <w:szCs w:val="22"/>
          <w:lang w:val="hy-AM" w:eastAsia="en-US"/>
        </w:rPr>
        <w:t>1</w:t>
      </w:r>
      <w:r w:rsidRPr="00A83C94">
        <w:rPr>
          <w:rFonts w:eastAsia="Calibri"/>
          <w:b w:val="0"/>
          <w:szCs w:val="22"/>
          <w:lang w:val="hy-AM" w:eastAsia="en-US"/>
        </w:rPr>
        <w:t xml:space="preserve"> %-ի չափով դեֆի</w:t>
      </w:r>
      <w:r w:rsidRPr="00A83C94">
        <w:rPr>
          <w:rFonts w:eastAsia="Calibri"/>
          <w:b w:val="0"/>
          <w:szCs w:val="22"/>
          <w:lang w:val="hy-AM" w:eastAsia="en-US"/>
        </w:rPr>
        <w:softHyphen/>
        <w:t>ցի</w:t>
      </w:r>
      <w:r w:rsidRPr="00A83C94">
        <w:rPr>
          <w:rFonts w:eastAsia="Calibri"/>
          <w:b w:val="0"/>
          <w:szCs w:val="22"/>
          <w:lang w:val="hy-AM" w:eastAsia="en-US"/>
        </w:rPr>
        <w:softHyphen/>
        <w:t>տի ֆինան</w:t>
      </w:r>
      <w:r w:rsidRPr="00A83C94">
        <w:rPr>
          <w:rFonts w:eastAsia="Calibri"/>
          <w:b w:val="0"/>
          <w:szCs w:val="22"/>
          <w:lang w:val="hy-AM" w:eastAsia="en-US"/>
        </w:rPr>
        <w:softHyphen/>
        <w:t>սա</w:t>
      </w:r>
      <w:r w:rsidRPr="00A83C94">
        <w:rPr>
          <w:rFonts w:eastAsia="Calibri"/>
          <w:b w:val="0"/>
          <w:szCs w:val="22"/>
          <w:lang w:val="hy-AM" w:eastAsia="en-US"/>
        </w:rPr>
        <w:softHyphen/>
        <w:t>վոր</w:t>
      </w:r>
      <w:r w:rsidRPr="00A83C94">
        <w:rPr>
          <w:rFonts w:eastAsia="Calibri"/>
          <w:b w:val="0"/>
          <w:szCs w:val="22"/>
          <w:lang w:val="hy-AM" w:eastAsia="en-US"/>
        </w:rPr>
        <w:softHyphen/>
        <w:t>ման հնարավորություններից, ՀՀ կառավարությունը ծրագրում է 202</w:t>
      </w:r>
      <w:r w:rsidR="009473A9" w:rsidRPr="00A83C94">
        <w:rPr>
          <w:rFonts w:eastAsia="Calibri"/>
          <w:b w:val="0"/>
          <w:szCs w:val="22"/>
          <w:lang w:val="hy-AM" w:eastAsia="en-US"/>
        </w:rPr>
        <w:t>2</w:t>
      </w:r>
      <w:r w:rsidRPr="00A83C94">
        <w:rPr>
          <w:rFonts w:eastAsia="Calibri"/>
          <w:b w:val="0"/>
          <w:szCs w:val="22"/>
          <w:lang w:val="hy-AM" w:eastAsia="en-US"/>
        </w:rPr>
        <w:t xml:space="preserve"> թվա</w:t>
      </w:r>
      <w:r w:rsidRPr="00A83C94">
        <w:rPr>
          <w:rFonts w:eastAsia="Calibri"/>
          <w:b w:val="0"/>
          <w:szCs w:val="22"/>
          <w:lang w:val="hy-AM" w:eastAsia="en-US"/>
        </w:rPr>
        <w:softHyphen/>
        <w:t>կանին ապահովել ծախսերը ՀՆԱ-ի 2</w:t>
      </w:r>
      <w:r w:rsidR="006C11AC" w:rsidRPr="006C11AC">
        <w:rPr>
          <w:rFonts w:eastAsia="Calibri"/>
          <w:b w:val="0"/>
          <w:szCs w:val="22"/>
          <w:lang w:val="hy-AM" w:eastAsia="en-US"/>
        </w:rPr>
        <w:t>7</w:t>
      </w:r>
      <w:r w:rsidRPr="00A83C94">
        <w:rPr>
          <w:rFonts w:eastAsia="Calibri"/>
          <w:b w:val="0"/>
          <w:szCs w:val="22"/>
          <w:lang w:val="hy-AM" w:eastAsia="en-US"/>
        </w:rPr>
        <w:t>.</w:t>
      </w:r>
      <w:r w:rsidR="006C11AC" w:rsidRPr="006C11AC">
        <w:rPr>
          <w:rFonts w:eastAsia="Calibri"/>
          <w:b w:val="0"/>
          <w:szCs w:val="22"/>
          <w:lang w:val="hy-AM" w:eastAsia="en-US"/>
        </w:rPr>
        <w:t>8</w:t>
      </w:r>
      <w:r w:rsidRPr="00A83C94">
        <w:rPr>
          <w:rFonts w:eastAsia="Calibri"/>
          <w:b w:val="0"/>
          <w:szCs w:val="22"/>
          <w:lang w:val="hy-AM" w:eastAsia="en-US"/>
        </w:rPr>
        <w:t xml:space="preserve"> %-ի կամ </w:t>
      </w:r>
      <w:r w:rsidR="009473A9" w:rsidRPr="00A83C94">
        <w:rPr>
          <w:rFonts w:eastAsia="Calibri"/>
          <w:b w:val="0"/>
          <w:szCs w:val="22"/>
          <w:lang w:val="hy-AM" w:eastAsia="en-US"/>
        </w:rPr>
        <w:t>2,</w:t>
      </w:r>
      <w:r w:rsidR="006C11AC" w:rsidRPr="006C11AC">
        <w:rPr>
          <w:rFonts w:eastAsia="Calibri"/>
          <w:b w:val="0"/>
          <w:szCs w:val="22"/>
          <w:lang w:val="hy-AM" w:eastAsia="en-US"/>
        </w:rPr>
        <w:t>18</w:t>
      </w:r>
      <w:r w:rsidR="00E5396F" w:rsidRPr="00E5396F">
        <w:rPr>
          <w:rFonts w:eastAsia="Calibri"/>
          <w:b w:val="0"/>
          <w:szCs w:val="22"/>
          <w:lang w:val="hy-AM" w:eastAsia="en-US"/>
        </w:rPr>
        <w:t>9</w:t>
      </w:r>
      <w:r w:rsidR="009473A9" w:rsidRPr="00A83C94">
        <w:rPr>
          <w:rFonts w:eastAsia="Calibri"/>
          <w:b w:val="0"/>
          <w:szCs w:val="22"/>
          <w:lang w:val="hy-AM" w:eastAsia="en-US"/>
        </w:rPr>
        <w:t>.</w:t>
      </w:r>
      <w:r w:rsidR="00E5396F" w:rsidRPr="00E5396F">
        <w:rPr>
          <w:rFonts w:eastAsia="Calibri"/>
          <w:b w:val="0"/>
          <w:szCs w:val="22"/>
          <w:lang w:val="hy-AM" w:eastAsia="en-US"/>
        </w:rPr>
        <w:t>2</w:t>
      </w:r>
      <w:r w:rsidR="009473A9" w:rsidRPr="00A83C94">
        <w:rPr>
          <w:rFonts w:eastAsia="Calibri"/>
          <w:b w:val="0"/>
          <w:szCs w:val="22"/>
          <w:lang w:val="hy-AM" w:eastAsia="en-US"/>
        </w:rPr>
        <w:t xml:space="preserve"> </w:t>
      </w:r>
      <w:r w:rsidRPr="00A83C94">
        <w:rPr>
          <w:rFonts w:eastAsia="Calibri"/>
          <w:b w:val="0"/>
          <w:szCs w:val="22"/>
          <w:lang w:val="hy-AM" w:eastAsia="en-US"/>
        </w:rPr>
        <w:t>մլրդ դրամի չափով:</w:t>
      </w:r>
    </w:p>
    <w:p w14:paraId="5F3DCB0B" w14:textId="77777777" w:rsidR="00487E7A" w:rsidRPr="00A83C94" w:rsidRDefault="00487E7A" w:rsidP="007730AA">
      <w:pPr>
        <w:spacing w:before="0" w:line="276" w:lineRule="auto"/>
        <w:rPr>
          <w:lang w:val="hy-AM"/>
        </w:rPr>
      </w:pPr>
    </w:p>
    <w:p w14:paraId="60A34B33" w14:textId="77777777" w:rsidR="00DE6C7D" w:rsidRPr="00A83C94" w:rsidRDefault="00DE6C7D">
      <w:pPr>
        <w:spacing w:before="0" w:line="240" w:lineRule="auto"/>
        <w:ind w:firstLine="0"/>
        <w:contextualSpacing w:val="0"/>
        <w:jc w:val="left"/>
        <w:rPr>
          <w:lang w:val="hy-AM"/>
        </w:rPr>
      </w:pPr>
      <w:r w:rsidRPr="00A83C94">
        <w:rPr>
          <w:lang w:val="hy-AM"/>
        </w:rPr>
        <w:br w:type="page"/>
      </w:r>
    </w:p>
    <w:p w14:paraId="6028ED11" w14:textId="77777777" w:rsidR="00D379EC" w:rsidRPr="00EB774C" w:rsidRDefault="00D379EC" w:rsidP="00A30EDC">
      <w:pPr>
        <w:pStyle w:val="Heading1"/>
        <w:rPr>
          <w:lang w:val="hy-AM"/>
        </w:rPr>
      </w:pPr>
      <w:bookmarkStart w:id="182" w:name="_Toc83996354"/>
      <w:r w:rsidRPr="00EB774C">
        <w:rPr>
          <w:lang w:val="hy-AM"/>
        </w:rPr>
        <w:t>ՄԱՍ II – Բ.</w:t>
      </w:r>
      <w:r w:rsidR="00311F2E" w:rsidRPr="00EB774C">
        <w:rPr>
          <w:lang w:val="hy-AM"/>
        </w:rPr>
        <w:t xml:space="preserve"> </w:t>
      </w:r>
      <w:r w:rsidRPr="00EB774C">
        <w:rPr>
          <w:lang w:val="hy-AM"/>
        </w:rPr>
        <w:t>ՀԱՐԿԱԲՅՈՒՋԵՏԱՅԻՆ ՑՈՒՑԱՆԻՇՆԵՐԻ ԿԱՆԽԱՏԵՍՈՒՄ</w:t>
      </w:r>
      <w:bookmarkEnd w:id="182"/>
    </w:p>
    <w:p w14:paraId="1D1BA096" w14:textId="5B8A55BF" w:rsidR="0064687E" w:rsidRPr="00A83C94" w:rsidRDefault="0064687E" w:rsidP="007730AA">
      <w:pPr>
        <w:spacing w:before="0" w:line="276" w:lineRule="auto"/>
        <w:ind w:firstLine="538"/>
        <w:rPr>
          <w:rFonts w:eastAsia="Calibri"/>
          <w:b w:val="0"/>
          <w:szCs w:val="22"/>
          <w:lang w:val="hy-AM" w:eastAsia="en-US"/>
        </w:rPr>
      </w:pPr>
      <w:r w:rsidRPr="00A83C94">
        <w:rPr>
          <w:rFonts w:eastAsia="Calibri"/>
          <w:b w:val="0"/>
          <w:szCs w:val="22"/>
          <w:lang w:val="hy-AM" w:eastAsia="en-US"/>
        </w:rPr>
        <w:t>ՀՀ 202</w:t>
      </w:r>
      <w:r w:rsidR="009D4C7A" w:rsidRPr="00A83C94">
        <w:rPr>
          <w:rFonts w:eastAsia="Calibri"/>
          <w:b w:val="0"/>
          <w:szCs w:val="22"/>
          <w:lang w:val="hy-AM" w:eastAsia="en-US"/>
        </w:rPr>
        <w:t>2</w:t>
      </w:r>
      <w:r w:rsidRPr="00A83C94">
        <w:rPr>
          <w:rFonts w:eastAsia="Calibri"/>
          <w:b w:val="0"/>
          <w:szCs w:val="22"/>
          <w:lang w:val="hy-AM" w:eastAsia="en-US"/>
        </w:rPr>
        <w:t xml:space="preserve"> թվականի պետական բյուջեի նախագծով նախատեսված բյուջետային եկա</w:t>
      </w:r>
      <w:r w:rsidRPr="00A83C94">
        <w:rPr>
          <w:rFonts w:eastAsia="Calibri"/>
          <w:b w:val="0"/>
          <w:szCs w:val="22"/>
          <w:lang w:val="hy-AM" w:eastAsia="en-US"/>
        </w:rPr>
        <w:softHyphen/>
        <w:t>մուտների կազմում, ինչպես և նախորդ տարիներին, գերակշիռ մաս են կազմում հար</w:t>
      </w:r>
      <w:r w:rsidRPr="00A83C94">
        <w:rPr>
          <w:rFonts w:eastAsia="Calibri"/>
          <w:b w:val="0"/>
          <w:szCs w:val="22"/>
          <w:lang w:val="hy-AM" w:eastAsia="en-US"/>
        </w:rPr>
        <w:softHyphen/>
        <w:t xml:space="preserve">կային եկամուտների և պետական տուրքերի գծով ակնկալվող մուտքերը, ինչը ներկայացված է </w:t>
      </w:r>
      <w:r w:rsidR="002025BB" w:rsidRPr="00A83C94">
        <w:rPr>
          <w:rFonts w:eastAsia="Calibri"/>
          <w:b w:val="0"/>
          <w:szCs w:val="22"/>
          <w:lang w:val="hy-AM" w:eastAsia="en-US"/>
        </w:rPr>
        <w:t>գծապատկերում</w:t>
      </w:r>
      <w:r w:rsidRPr="00A83C94">
        <w:rPr>
          <w:rFonts w:eastAsia="Calibri"/>
          <w:b w:val="0"/>
          <w:szCs w:val="22"/>
          <w:lang w:val="hy-AM" w:eastAsia="en-US"/>
        </w:rPr>
        <w:t>:</w:t>
      </w:r>
    </w:p>
    <w:p w14:paraId="47EC5430" w14:textId="111CC6F8" w:rsidR="0064687E" w:rsidRPr="00A83C94" w:rsidRDefault="0064687E" w:rsidP="007730AA">
      <w:pPr>
        <w:spacing w:before="0" w:line="276" w:lineRule="auto"/>
        <w:ind w:firstLine="538"/>
        <w:rPr>
          <w:rFonts w:eastAsia="Calibri"/>
          <w:b w:val="0"/>
          <w:szCs w:val="22"/>
          <w:lang w:val="hy-AM" w:eastAsia="en-US"/>
        </w:rPr>
      </w:pPr>
      <w:bookmarkStart w:id="183" w:name="_Ref497897119"/>
      <w:bookmarkStart w:id="184" w:name="_Toc525773080"/>
      <w:r w:rsidRPr="00A83C94">
        <w:rPr>
          <w:rFonts w:eastAsia="Calibri"/>
          <w:b w:val="0"/>
          <w:szCs w:val="22"/>
          <w:lang w:val="hy-AM" w:eastAsia="en-US"/>
        </w:rPr>
        <w:t xml:space="preserve"> </w:t>
      </w:r>
      <w:bookmarkStart w:id="185" w:name="_Toc530250447"/>
      <w:r w:rsidRPr="00A83C94">
        <w:rPr>
          <w:rFonts w:eastAsia="Calibri"/>
          <w:b w:val="0"/>
          <w:szCs w:val="22"/>
          <w:lang w:val="hy-AM" w:eastAsia="en-US"/>
        </w:rPr>
        <w:t>ՀՀ 20</w:t>
      </w:r>
      <w:r w:rsidR="009D4C7A" w:rsidRPr="00A83C94">
        <w:rPr>
          <w:rFonts w:eastAsia="Calibri"/>
          <w:b w:val="0"/>
          <w:szCs w:val="22"/>
          <w:lang w:val="hy-AM" w:eastAsia="en-US"/>
        </w:rPr>
        <w:t>22</w:t>
      </w:r>
      <w:r w:rsidRPr="00A83C94">
        <w:rPr>
          <w:rFonts w:eastAsia="Calibri"/>
          <w:b w:val="0"/>
          <w:szCs w:val="22"/>
          <w:lang w:val="hy-AM" w:eastAsia="en-US"/>
        </w:rPr>
        <w:t xml:space="preserve"> թվականի պետական բյուջեի նախագծով նախատեսված բյուջետային եկամուտների կառուցվածքը (%-ով ընդհանուրի նկատմամբ)</w:t>
      </w:r>
      <w:bookmarkEnd w:id="183"/>
      <w:bookmarkEnd w:id="184"/>
      <w:bookmarkEnd w:id="185"/>
      <w:r w:rsidRPr="00A83C94">
        <w:rPr>
          <w:rFonts w:eastAsia="Calibri"/>
          <w:b w:val="0"/>
          <w:szCs w:val="22"/>
          <w:lang w:val="hy-AM" w:eastAsia="en-US"/>
        </w:rPr>
        <w:tab/>
      </w:r>
    </w:p>
    <w:p w14:paraId="50668A08" w14:textId="77777777" w:rsidR="0064687E" w:rsidRPr="00A83C94" w:rsidRDefault="0064687E" w:rsidP="007730AA">
      <w:pPr>
        <w:spacing w:before="0" w:line="276" w:lineRule="auto"/>
        <w:ind w:firstLine="538"/>
        <w:rPr>
          <w:rFonts w:eastAsia="Calibri"/>
          <w:b w:val="0"/>
          <w:szCs w:val="22"/>
          <w:lang w:val="hy-AM" w:eastAsia="en-US"/>
        </w:rPr>
      </w:pPr>
    </w:p>
    <w:p w14:paraId="08CA3185" w14:textId="77777777" w:rsidR="0064687E" w:rsidRPr="00A83C94" w:rsidRDefault="0064687E" w:rsidP="007730AA">
      <w:pPr>
        <w:spacing w:before="0" w:line="276" w:lineRule="auto"/>
        <w:ind w:firstLine="538"/>
        <w:rPr>
          <w:rFonts w:eastAsia="Calibri"/>
          <w:b w:val="0"/>
          <w:szCs w:val="22"/>
          <w:lang w:val="hy-AM" w:eastAsia="en-US"/>
        </w:rPr>
      </w:pPr>
      <w:r w:rsidRPr="00A83C94">
        <w:rPr>
          <w:rFonts w:eastAsia="Calibri"/>
          <w:b w:val="0"/>
          <w:noProof/>
          <w:szCs w:val="22"/>
          <w:lang w:val="en-US" w:eastAsia="en-US"/>
        </w:rPr>
        <w:drawing>
          <wp:inline distT="0" distB="0" distL="0" distR="0" wp14:anchorId="7B52F200" wp14:editId="68C7A266">
            <wp:extent cx="5157989" cy="2311758"/>
            <wp:effectExtent l="0" t="0" r="508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FDA8246" w14:textId="77777777" w:rsidR="0060175E" w:rsidRPr="00A83C94" w:rsidRDefault="0060175E" w:rsidP="007730AA">
      <w:pPr>
        <w:spacing w:before="0" w:line="276" w:lineRule="auto"/>
        <w:ind w:firstLine="538"/>
        <w:rPr>
          <w:rFonts w:eastAsia="Calibri"/>
          <w:b w:val="0"/>
          <w:szCs w:val="22"/>
          <w:lang w:val="hy-AM" w:eastAsia="en-US"/>
        </w:rPr>
      </w:pPr>
    </w:p>
    <w:p w14:paraId="0CC491CC" w14:textId="68134898" w:rsidR="0064687E" w:rsidRPr="00A83C94" w:rsidRDefault="0064687E" w:rsidP="007730AA">
      <w:pPr>
        <w:spacing w:before="0" w:line="276" w:lineRule="auto"/>
        <w:ind w:firstLine="538"/>
        <w:rPr>
          <w:rFonts w:eastAsia="Calibri"/>
          <w:b w:val="0"/>
          <w:szCs w:val="22"/>
          <w:lang w:val="hy-AM" w:eastAsia="en-US"/>
        </w:rPr>
      </w:pPr>
      <w:r w:rsidRPr="00A83C94">
        <w:rPr>
          <w:rFonts w:eastAsia="Calibri"/>
          <w:b w:val="0"/>
          <w:szCs w:val="22"/>
          <w:lang w:val="hy-AM" w:eastAsia="en-US"/>
        </w:rPr>
        <w:t>ՀՀ 202</w:t>
      </w:r>
      <w:r w:rsidR="009D4C7A" w:rsidRPr="00A83C94">
        <w:rPr>
          <w:rFonts w:eastAsia="Calibri"/>
          <w:b w:val="0"/>
          <w:szCs w:val="22"/>
          <w:lang w:val="hy-AM" w:eastAsia="en-US"/>
        </w:rPr>
        <w:t>2</w:t>
      </w:r>
      <w:r w:rsidRPr="00A83C94">
        <w:rPr>
          <w:rFonts w:eastAsia="Calibri"/>
          <w:b w:val="0"/>
          <w:szCs w:val="22"/>
          <w:lang w:val="hy-AM" w:eastAsia="en-US"/>
        </w:rPr>
        <w:t xml:space="preserve"> թվականի պետական բյուջեի նախագծով նախատեսվել է 1,</w:t>
      </w:r>
      <w:r w:rsidR="009473A9" w:rsidRPr="00A83C94">
        <w:rPr>
          <w:rFonts w:eastAsia="Calibri"/>
          <w:b w:val="0"/>
          <w:szCs w:val="22"/>
          <w:lang w:val="hy-AM" w:eastAsia="en-US"/>
        </w:rPr>
        <w:t>946</w:t>
      </w:r>
      <w:r w:rsidR="00426B9F" w:rsidRPr="00A83C94">
        <w:rPr>
          <w:rFonts w:eastAsia="Calibri"/>
          <w:b w:val="0"/>
          <w:szCs w:val="22"/>
          <w:lang w:val="hy-AM" w:eastAsia="en-US"/>
        </w:rPr>
        <w:t>.</w:t>
      </w:r>
      <w:r w:rsidR="009473A9" w:rsidRPr="00A83C94">
        <w:rPr>
          <w:rFonts w:eastAsia="Calibri"/>
          <w:b w:val="0"/>
          <w:szCs w:val="22"/>
          <w:lang w:val="hy-AM" w:eastAsia="en-US"/>
        </w:rPr>
        <w:t>4</w:t>
      </w:r>
      <w:r w:rsidRPr="00A83C94">
        <w:rPr>
          <w:rFonts w:eastAsia="Calibri"/>
          <w:b w:val="0"/>
          <w:szCs w:val="22"/>
          <w:lang w:val="hy-AM" w:eastAsia="en-US"/>
        </w:rPr>
        <w:t xml:space="preserve"> մլրդ դրամ եկա</w:t>
      </w:r>
      <w:r w:rsidRPr="00A83C94">
        <w:rPr>
          <w:rFonts w:eastAsia="Calibri"/>
          <w:b w:val="0"/>
          <w:szCs w:val="22"/>
          <w:lang w:val="hy-AM" w:eastAsia="en-US"/>
        </w:rPr>
        <w:softHyphen/>
        <w:t>մուտ</w:t>
      </w:r>
      <w:r w:rsidRPr="00A83C94">
        <w:rPr>
          <w:rFonts w:eastAsia="Calibri"/>
          <w:b w:val="0"/>
          <w:szCs w:val="22"/>
          <w:lang w:val="hy-AM" w:eastAsia="en-US"/>
        </w:rPr>
        <w:softHyphen/>
      </w:r>
      <w:r w:rsidRPr="00A83C94">
        <w:rPr>
          <w:rFonts w:eastAsia="Calibri"/>
          <w:b w:val="0"/>
          <w:szCs w:val="22"/>
          <w:lang w:val="hy-AM" w:eastAsia="en-US"/>
        </w:rPr>
        <w:softHyphen/>
        <w:t>ներ, որից հարկային եկամուտների և պետական տուրքերի գծով</w:t>
      </w:r>
      <w:r w:rsidR="00426B9F" w:rsidRPr="00A83C94">
        <w:rPr>
          <w:rFonts w:eastAsia="Calibri"/>
          <w:b w:val="0"/>
          <w:szCs w:val="22"/>
          <w:lang w:val="hy-AM" w:eastAsia="en-US"/>
        </w:rPr>
        <w:t>` 1,</w:t>
      </w:r>
      <w:r w:rsidR="009473A9" w:rsidRPr="00A83C94">
        <w:rPr>
          <w:rFonts w:eastAsia="Calibri"/>
          <w:b w:val="0"/>
          <w:szCs w:val="22"/>
          <w:lang w:val="hy-AM" w:eastAsia="en-US"/>
        </w:rPr>
        <w:t>843</w:t>
      </w:r>
      <w:r w:rsidR="00426B9F" w:rsidRPr="00A83C94">
        <w:rPr>
          <w:rFonts w:eastAsia="Calibri"/>
          <w:b w:val="0"/>
          <w:szCs w:val="22"/>
          <w:lang w:val="hy-AM" w:eastAsia="en-US"/>
        </w:rPr>
        <w:t>.</w:t>
      </w:r>
      <w:r w:rsidR="009473A9" w:rsidRPr="00A83C94">
        <w:rPr>
          <w:rFonts w:eastAsia="Calibri"/>
          <w:b w:val="0"/>
          <w:szCs w:val="22"/>
          <w:lang w:val="hy-AM" w:eastAsia="en-US"/>
        </w:rPr>
        <w:t>8</w:t>
      </w:r>
      <w:r w:rsidRPr="00A83C94">
        <w:rPr>
          <w:rFonts w:eastAsia="Calibri"/>
          <w:b w:val="0"/>
          <w:szCs w:val="22"/>
          <w:lang w:val="hy-AM" w:eastAsia="en-US"/>
        </w:rPr>
        <w:t xml:space="preserve"> մլրդ դրամ:</w:t>
      </w:r>
      <w:r w:rsidRPr="00A83C94">
        <w:rPr>
          <w:rFonts w:ascii="Calibri" w:eastAsia="Calibri" w:hAnsi="Calibri" w:cs="Calibri"/>
          <w:b w:val="0"/>
          <w:szCs w:val="22"/>
          <w:lang w:val="hy-AM" w:eastAsia="en-US"/>
        </w:rPr>
        <w:t> </w:t>
      </w:r>
      <w:r w:rsidRPr="00A83C94">
        <w:rPr>
          <w:rFonts w:eastAsia="Calibri"/>
          <w:b w:val="0"/>
          <w:szCs w:val="22"/>
          <w:lang w:val="hy-AM" w:eastAsia="en-US"/>
        </w:rPr>
        <w:t>Բյուջետային եկամուտների` ըստ առանձին եկամտատեսակների կանխա</w:t>
      </w:r>
      <w:r w:rsidRPr="00A83C94">
        <w:rPr>
          <w:rFonts w:eastAsia="Calibri"/>
          <w:b w:val="0"/>
          <w:szCs w:val="22"/>
          <w:lang w:val="hy-AM" w:eastAsia="en-US"/>
        </w:rPr>
        <w:softHyphen/>
        <w:t>տե</w:t>
      </w:r>
      <w:r w:rsidRPr="00A83C94">
        <w:rPr>
          <w:rFonts w:eastAsia="Calibri"/>
          <w:b w:val="0"/>
          <w:szCs w:val="22"/>
          <w:lang w:val="hy-AM" w:eastAsia="en-US"/>
        </w:rPr>
        <w:softHyphen/>
        <w:t>սում</w:t>
      </w:r>
      <w:r w:rsidRPr="00A83C94">
        <w:rPr>
          <w:rFonts w:eastAsia="Calibri"/>
          <w:b w:val="0"/>
          <w:szCs w:val="22"/>
          <w:lang w:val="hy-AM" w:eastAsia="en-US"/>
        </w:rPr>
        <w:softHyphen/>
        <w:t>ների ման</w:t>
      </w:r>
      <w:r w:rsidRPr="00A83C94">
        <w:rPr>
          <w:rFonts w:eastAsia="Calibri"/>
          <w:b w:val="0"/>
          <w:szCs w:val="22"/>
          <w:lang w:val="hy-AM" w:eastAsia="en-US"/>
        </w:rPr>
        <w:softHyphen/>
      </w:r>
      <w:r w:rsidRPr="00A83C94">
        <w:rPr>
          <w:rFonts w:eastAsia="Calibri"/>
          <w:b w:val="0"/>
          <w:szCs w:val="22"/>
          <w:lang w:val="hy-AM" w:eastAsia="en-US"/>
        </w:rPr>
        <w:softHyphen/>
        <w:t>րամասները ներկայացված են «Հայաստանի Հանրապետության 20</w:t>
      </w:r>
      <w:r w:rsidR="009473A9" w:rsidRPr="00A83C94">
        <w:rPr>
          <w:rFonts w:eastAsia="Calibri"/>
          <w:b w:val="0"/>
          <w:szCs w:val="22"/>
          <w:lang w:val="hy-AM" w:eastAsia="en-US"/>
        </w:rPr>
        <w:t>2</w:t>
      </w:r>
      <w:r w:rsidRPr="00A83C94">
        <w:rPr>
          <w:rFonts w:eastAsia="Calibri"/>
          <w:b w:val="0"/>
          <w:szCs w:val="22"/>
          <w:lang w:val="hy-AM" w:eastAsia="en-US"/>
        </w:rPr>
        <w:t>2 թվականի պե</w:t>
      </w:r>
      <w:r w:rsidRPr="00A83C94">
        <w:rPr>
          <w:rFonts w:eastAsia="Calibri"/>
          <w:b w:val="0"/>
          <w:szCs w:val="22"/>
          <w:lang w:val="hy-AM" w:eastAsia="en-US"/>
        </w:rPr>
        <w:softHyphen/>
        <w:t>տա</w:t>
      </w:r>
      <w:r w:rsidRPr="00A83C94">
        <w:rPr>
          <w:rFonts w:eastAsia="Calibri"/>
          <w:b w:val="0"/>
          <w:szCs w:val="22"/>
          <w:lang w:val="hy-AM" w:eastAsia="en-US"/>
        </w:rPr>
        <w:softHyphen/>
      </w:r>
      <w:r w:rsidRPr="00A83C94">
        <w:rPr>
          <w:rFonts w:eastAsia="Calibri"/>
          <w:b w:val="0"/>
          <w:szCs w:val="22"/>
          <w:lang w:val="hy-AM" w:eastAsia="en-US"/>
        </w:rPr>
        <w:softHyphen/>
        <w:t>կան բյուջեի մասին» ՀՀ օրենքի նախագծի բացատրագրի` եկամուտների կան</w:t>
      </w:r>
      <w:r w:rsidRPr="00A83C94">
        <w:rPr>
          <w:rFonts w:eastAsia="Calibri"/>
          <w:b w:val="0"/>
          <w:szCs w:val="22"/>
          <w:lang w:val="hy-AM" w:eastAsia="en-US"/>
        </w:rPr>
        <w:softHyphen/>
        <w:t>խա</w:t>
      </w:r>
      <w:r w:rsidRPr="00A83C94">
        <w:rPr>
          <w:rFonts w:eastAsia="Calibri"/>
          <w:b w:val="0"/>
          <w:szCs w:val="22"/>
          <w:lang w:val="hy-AM" w:eastAsia="en-US"/>
        </w:rPr>
        <w:softHyphen/>
        <w:t>տես</w:t>
      </w:r>
      <w:r w:rsidRPr="00A83C94">
        <w:rPr>
          <w:rFonts w:eastAsia="Calibri"/>
          <w:b w:val="0"/>
          <w:szCs w:val="22"/>
          <w:lang w:val="hy-AM" w:eastAsia="en-US"/>
        </w:rPr>
        <w:softHyphen/>
        <w:t>մանը վերաբերվող մասում (սույն ուղերձի մաս 3):</w:t>
      </w:r>
    </w:p>
    <w:p w14:paraId="6C19F4D5" w14:textId="77777777" w:rsidR="00BF7CB6" w:rsidRPr="00A83C94" w:rsidRDefault="00BF7CB6" w:rsidP="007730AA">
      <w:pPr>
        <w:spacing w:before="0" w:line="276" w:lineRule="auto"/>
        <w:ind w:firstLine="538"/>
        <w:rPr>
          <w:rFonts w:eastAsia="Calibri"/>
          <w:b w:val="0"/>
          <w:szCs w:val="22"/>
          <w:lang w:val="hy-AM" w:eastAsia="en-US"/>
        </w:rPr>
      </w:pPr>
    </w:p>
    <w:p w14:paraId="3AD27249" w14:textId="572109A4" w:rsidR="00D379EC" w:rsidRPr="00A83C94" w:rsidRDefault="00374E17" w:rsidP="002F7255">
      <w:pPr>
        <w:pStyle w:val="Heading2"/>
      </w:pPr>
      <w:r w:rsidRPr="00A83C94">
        <w:t xml:space="preserve">     </w:t>
      </w:r>
      <w:bookmarkStart w:id="186" w:name="_Toc83996355"/>
      <w:r w:rsidR="00D252CA" w:rsidRPr="00A83C94">
        <w:t>202</w:t>
      </w:r>
      <w:r w:rsidR="00DB483F" w:rsidRPr="00A83C94">
        <w:t>2</w:t>
      </w:r>
      <w:r w:rsidR="00D252CA" w:rsidRPr="00A83C94">
        <w:t xml:space="preserve"> </w:t>
      </w:r>
      <w:r w:rsidR="00D379EC" w:rsidRPr="00A83C94">
        <w:t xml:space="preserve">ԹՎԱԿԱՆԻ ԾԱԽՍԵՐԻ ՄԱԿԱՐԴԱԿԸ </w:t>
      </w:r>
      <w:r w:rsidR="003F3E0E" w:rsidRPr="00A83C94">
        <w:t>ԵՎ</w:t>
      </w:r>
      <w:r w:rsidR="00D379EC" w:rsidRPr="00A83C94">
        <w:t xml:space="preserve"> ԳԵՐԱԿԱՅՈՒԹՅՈՒՆՆԵՐԸ</w:t>
      </w:r>
      <w:bookmarkEnd w:id="186"/>
    </w:p>
    <w:p w14:paraId="36772B5E" w14:textId="2A8FC585" w:rsidR="008B2220" w:rsidRPr="00A83C94" w:rsidRDefault="008B2220" w:rsidP="00A5558B">
      <w:pPr>
        <w:pStyle w:val="BodyText2"/>
      </w:pPr>
      <w:bookmarkStart w:id="187" w:name="_Toc48835701"/>
      <w:r w:rsidRPr="00A83C94">
        <w:t>Հաշվի առնելով ՀՀ 202</w:t>
      </w:r>
      <w:r w:rsidR="00DB483F" w:rsidRPr="00A83C94">
        <w:t>2</w:t>
      </w:r>
      <w:r w:rsidRPr="00A83C94">
        <w:t xml:space="preserve"> թվականի պետական բյուջեի եկամուտների կանխատեսվող մակարդակը և դեֆիցիտի ու պետական պարտքի նպատակային ցուցանիշները, որոնք ներկա</w:t>
      </w:r>
      <w:r w:rsidRPr="00A83C94">
        <w:softHyphen/>
        <w:t>յացվում են հաջորդ բաժնում, ՀՀ կառավարությունը ՀՀ 202</w:t>
      </w:r>
      <w:r w:rsidR="00DB483F" w:rsidRPr="00A83C94">
        <w:t>2</w:t>
      </w:r>
      <w:r w:rsidRPr="00A83C94">
        <w:t xml:space="preserve"> թվականի պետական բյուջեի ծախսերի ծավալը առաջարկում է սահմանել</w:t>
      </w:r>
      <w:r w:rsidR="00DB483F" w:rsidRPr="00A83C94">
        <w:t xml:space="preserve"> 2</w:t>
      </w:r>
      <w:r w:rsidRPr="00A83C94">
        <w:t>,</w:t>
      </w:r>
      <w:r w:rsidR="00034648" w:rsidRPr="00034648">
        <w:t>18</w:t>
      </w:r>
      <w:r w:rsidR="00E5396F" w:rsidRPr="00E5396F">
        <w:t>9</w:t>
      </w:r>
      <w:r w:rsidRPr="00A83C94">
        <w:t>.</w:t>
      </w:r>
      <w:r w:rsidR="00E5396F" w:rsidRPr="00E5396F">
        <w:t>2</w:t>
      </w:r>
      <w:r w:rsidRPr="00A83C94">
        <w:t xml:space="preserve"> մլրդ դրամի չափով:</w:t>
      </w:r>
    </w:p>
    <w:p w14:paraId="09D5502D" w14:textId="54D9DBE5" w:rsidR="00A90732" w:rsidRPr="00A83C94" w:rsidRDefault="008B2220" w:rsidP="00A90732">
      <w:pPr>
        <w:pStyle w:val="BodyText2"/>
      </w:pPr>
      <w:r w:rsidRPr="00A83C94">
        <w:t>ՀՀ կա</w:t>
      </w:r>
      <w:r w:rsidRPr="00A83C94">
        <w:softHyphen/>
        <w:t>ռա</w:t>
      </w:r>
      <w:r w:rsidRPr="00A83C94">
        <w:softHyphen/>
        <w:t>վա</w:t>
      </w:r>
      <w:r w:rsidRPr="00A83C94">
        <w:softHyphen/>
        <w:t>րու</w:t>
      </w:r>
      <w:r w:rsidRPr="00A83C94">
        <w:softHyphen/>
        <w:t>թ</w:t>
      </w:r>
      <w:r w:rsidRPr="00A83C94">
        <w:softHyphen/>
        <w:t>յ</w:t>
      </w:r>
      <w:r w:rsidR="00A90732" w:rsidRPr="00A83C94">
        <w:t>ա</w:t>
      </w:r>
      <w:r w:rsidRPr="00A83C94">
        <w:t xml:space="preserve">ն </w:t>
      </w:r>
      <w:r w:rsidR="00A90732" w:rsidRPr="00A83C94">
        <w:t>2022 թվականի</w:t>
      </w:r>
      <w:r w:rsidRPr="00A83C94">
        <w:t xml:space="preserve"> ծախ</w:t>
      </w:r>
      <w:r w:rsidRPr="00A83C94">
        <w:softHyphen/>
        <w:t>սային գերա</w:t>
      </w:r>
      <w:r w:rsidRPr="00A83C94">
        <w:softHyphen/>
        <w:t>կա</w:t>
      </w:r>
      <w:r w:rsidRPr="00A83C94">
        <w:softHyphen/>
        <w:t>յու</w:t>
      </w:r>
      <w:r w:rsidRPr="00A83C94">
        <w:softHyphen/>
        <w:t>թ</w:t>
      </w:r>
      <w:r w:rsidRPr="00A83C94">
        <w:softHyphen/>
        <w:t>յուն</w:t>
      </w:r>
      <w:r w:rsidRPr="00A83C94">
        <w:softHyphen/>
        <w:t>ները</w:t>
      </w:r>
      <w:r w:rsidR="00A90732" w:rsidRPr="00A83C94">
        <w:t xml:space="preserve"> բխում են ՀՀ կառավարության 2021 թվականի օգոստոսի 18-ի թիվ 1363-Ա որոշմամբ հաստատված ՀՀ կառավարության 2021-2026թթ. ծրագրի առաջնահերթություններից:</w:t>
      </w:r>
    </w:p>
    <w:p w14:paraId="44D5CEA3" w14:textId="77777777" w:rsidR="002F7255" w:rsidRPr="00A83C94" w:rsidRDefault="002F7255" w:rsidP="00A90732">
      <w:pPr>
        <w:pStyle w:val="BodyText2"/>
      </w:pPr>
    </w:p>
    <w:p w14:paraId="56C3A17A" w14:textId="77777777" w:rsidR="00D379EC" w:rsidRPr="00A83C94" w:rsidRDefault="00F523A4" w:rsidP="002F7255">
      <w:pPr>
        <w:pStyle w:val="Heading2"/>
        <w:rPr>
          <w:lang w:val="es-ES"/>
        </w:rPr>
      </w:pPr>
      <w:bookmarkStart w:id="188" w:name="_Toc83996356"/>
      <w:r w:rsidRPr="00A83C94">
        <w:t>ՊԵՏԱԿԱՆ</w:t>
      </w:r>
      <w:r w:rsidRPr="00A83C94">
        <w:rPr>
          <w:lang w:val="es-ES"/>
        </w:rPr>
        <w:t xml:space="preserve"> </w:t>
      </w:r>
      <w:r w:rsidRPr="00A83C94">
        <w:t>ԲՅՈՒՋԵԻ</w:t>
      </w:r>
      <w:r w:rsidRPr="00A83C94">
        <w:rPr>
          <w:lang w:val="es-ES"/>
        </w:rPr>
        <w:t xml:space="preserve"> </w:t>
      </w:r>
      <w:r w:rsidRPr="00A83C94">
        <w:t>ԴԵՖԻՑԻՏԻ</w:t>
      </w:r>
      <w:r w:rsidRPr="00A83C94">
        <w:rPr>
          <w:lang w:val="es-ES"/>
        </w:rPr>
        <w:t xml:space="preserve"> (</w:t>
      </w:r>
      <w:r w:rsidRPr="00A83C94">
        <w:t>ՊԱԿԱՍՈՒՐԴԻ</w:t>
      </w:r>
      <w:r w:rsidRPr="00A83C94">
        <w:rPr>
          <w:lang w:val="es-ES"/>
        </w:rPr>
        <w:t xml:space="preserve">) </w:t>
      </w:r>
      <w:r w:rsidRPr="00A83C94">
        <w:t>ԵՎ</w:t>
      </w:r>
      <w:r w:rsidRPr="00A83C94">
        <w:rPr>
          <w:lang w:val="es-ES"/>
        </w:rPr>
        <w:t xml:space="preserve"> </w:t>
      </w:r>
      <w:r w:rsidRPr="00A83C94">
        <w:t>ՊԱՐՏՔԻ</w:t>
      </w:r>
      <w:r w:rsidRPr="00A83C94">
        <w:rPr>
          <w:lang w:val="es-ES"/>
        </w:rPr>
        <w:t xml:space="preserve"> </w:t>
      </w:r>
      <w:r w:rsidRPr="00A83C94">
        <w:t>ՄԱԿԱՐԴԱԿԸ</w:t>
      </w:r>
      <w:bookmarkEnd w:id="188"/>
    </w:p>
    <w:p w14:paraId="43CD3812" w14:textId="731EC673" w:rsidR="008B2220" w:rsidRPr="00A83C94" w:rsidRDefault="008B2220" w:rsidP="00A5558B">
      <w:pPr>
        <w:pStyle w:val="BodyText2"/>
        <w:rPr>
          <w:lang w:val="es-ES"/>
        </w:rPr>
      </w:pPr>
      <w:bookmarkStart w:id="189" w:name="_Toc76556774"/>
      <w:bookmarkStart w:id="190" w:name="_Toc76456833"/>
      <w:bookmarkEnd w:id="187"/>
      <w:r w:rsidRPr="00A83C94">
        <w:t>ՀՀ</w:t>
      </w:r>
      <w:r w:rsidRPr="00A83C94">
        <w:rPr>
          <w:lang w:val="es-ES"/>
        </w:rPr>
        <w:t xml:space="preserve"> </w:t>
      </w:r>
      <w:r w:rsidRPr="00A83C94">
        <w:t>202</w:t>
      </w:r>
      <w:r w:rsidR="00A90732" w:rsidRPr="00A83C94">
        <w:rPr>
          <w:lang w:val="es-ES"/>
        </w:rPr>
        <w:t>2</w:t>
      </w:r>
      <w:r w:rsidRPr="00A83C94">
        <w:rPr>
          <w:lang w:val="es-ES"/>
        </w:rPr>
        <w:t xml:space="preserve"> </w:t>
      </w:r>
      <w:r w:rsidRPr="00A83C94">
        <w:t>թվականի</w:t>
      </w:r>
      <w:r w:rsidRPr="00A83C94">
        <w:rPr>
          <w:lang w:val="es-ES"/>
        </w:rPr>
        <w:t xml:space="preserve"> </w:t>
      </w:r>
      <w:r w:rsidRPr="00A83C94">
        <w:t>պետական</w:t>
      </w:r>
      <w:r w:rsidRPr="00A83C94">
        <w:rPr>
          <w:lang w:val="es-ES"/>
        </w:rPr>
        <w:t xml:space="preserve"> </w:t>
      </w:r>
      <w:r w:rsidRPr="00A83C94">
        <w:t>բյուջեի</w:t>
      </w:r>
      <w:r w:rsidRPr="00A83C94">
        <w:rPr>
          <w:lang w:val="es-ES"/>
        </w:rPr>
        <w:t xml:space="preserve"> </w:t>
      </w:r>
      <w:r w:rsidRPr="00A83C94">
        <w:t>դեֆիցիտը</w:t>
      </w:r>
      <w:r w:rsidRPr="00A83C94">
        <w:rPr>
          <w:lang w:val="es-ES"/>
        </w:rPr>
        <w:t xml:space="preserve"> </w:t>
      </w:r>
      <w:r w:rsidRPr="00A83C94">
        <w:t xml:space="preserve">ծրագրավորվել է ՀՆԱ-ի </w:t>
      </w:r>
      <w:r w:rsidR="00A90732" w:rsidRPr="00A83C94">
        <w:rPr>
          <w:lang w:val="es-ES"/>
        </w:rPr>
        <w:t>3</w:t>
      </w:r>
      <w:r w:rsidRPr="00A83C94">
        <w:rPr>
          <w:lang w:val="es-ES"/>
        </w:rPr>
        <w:t>.</w:t>
      </w:r>
      <w:r w:rsidR="00670B50">
        <w:rPr>
          <w:lang w:val="es-ES"/>
        </w:rPr>
        <w:t>1</w:t>
      </w:r>
      <w:r w:rsidRPr="00A83C94">
        <w:t xml:space="preserve"> %-ի չա</w:t>
      </w:r>
      <w:r w:rsidRPr="00A83C94">
        <w:softHyphen/>
        <w:t xml:space="preserve">փով և կազմում է </w:t>
      </w:r>
      <w:r w:rsidR="00355573">
        <w:rPr>
          <w:lang w:val="es-ES"/>
        </w:rPr>
        <w:t>24</w:t>
      </w:r>
      <w:r w:rsidR="00E5396F">
        <w:rPr>
          <w:lang w:val="es-ES"/>
        </w:rPr>
        <w:t>3</w:t>
      </w:r>
      <w:r w:rsidRPr="00A83C94">
        <w:rPr>
          <w:lang w:val="es-ES"/>
        </w:rPr>
        <w:t>.</w:t>
      </w:r>
      <w:r w:rsidR="00E5396F">
        <w:rPr>
          <w:lang w:val="es-ES"/>
        </w:rPr>
        <w:t>0</w:t>
      </w:r>
      <w:r w:rsidRPr="00A83C94">
        <w:t xml:space="preserve"> մլրդ դրամ: Դեֆիցիտի ֆինանսավորման ներքին աղբյուրների հիմ</w:t>
      </w:r>
      <w:r w:rsidRPr="00A83C94">
        <w:softHyphen/>
        <w:t>նա</w:t>
      </w:r>
      <w:r w:rsidRPr="00A83C94">
        <w:softHyphen/>
        <w:t>կան մասը ՀՀ 202</w:t>
      </w:r>
      <w:r w:rsidR="00A90732" w:rsidRPr="00A83C94">
        <w:rPr>
          <w:lang w:val="es-ES"/>
        </w:rPr>
        <w:t>2</w:t>
      </w:r>
      <w:r w:rsidRPr="00A83C94">
        <w:t xml:space="preserve"> թվականին ձևավորվելու է պե</w:t>
      </w:r>
      <w:r w:rsidRPr="00A83C94">
        <w:softHyphen/>
      </w:r>
      <w:r w:rsidRPr="00A83C94">
        <w:softHyphen/>
        <w:t>տական արժեթղթերի տեղաբաշխումից գոյացող մուտքերից, կայունացման</w:t>
      </w:r>
      <w:r w:rsidRPr="00A83C94">
        <w:rPr>
          <w:lang w:val="es-ES"/>
        </w:rPr>
        <w:t xml:space="preserve"> </w:t>
      </w:r>
      <w:r w:rsidRPr="00A83C94">
        <w:t>դեպոզիտային</w:t>
      </w:r>
      <w:r w:rsidRPr="00A83C94">
        <w:rPr>
          <w:lang w:val="es-ES"/>
        </w:rPr>
        <w:t xml:space="preserve"> </w:t>
      </w:r>
      <w:r w:rsidRPr="00A83C94">
        <w:t>հաշվի</w:t>
      </w:r>
      <w:r w:rsidRPr="00A83C94">
        <w:rPr>
          <w:lang w:val="es-ES"/>
        </w:rPr>
        <w:t xml:space="preserve"> </w:t>
      </w:r>
      <w:r w:rsidRPr="00A83C94">
        <w:t>միջոցներից</w:t>
      </w:r>
      <w:r w:rsidRPr="00A83C94">
        <w:rPr>
          <w:lang w:val="es-ES"/>
        </w:rPr>
        <w:t xml:space="preserve">, </w:t>
      </w:r>
      <w:r w:rsidRPr="00A83C94">
        <w:t>ինչպես նաև տնտեսվարող սուբյեկտներին տրա</w:t>
      </w:r>
      <w:r w:rsidRPr="00A83C94">
        <w:softHyphen/>
        <w:t>մադրված բյուջետային վարկերի</w:t>
      </w:r>
      <w:r w:rsidRPr="00A83C94">
        <w:rPr>
          <w:lang w:val="es-ES"/>
        </w:rPr>
        <w:t xml:space="preserve"> </w:t>
      </w:r>
      <w:r w:rsidRPr="00A83C94">
        <w:t>զուտ</w:t>
      </w:r>
      <w:r w:rsidRPr="00A83C94">
        <w:rPr>
          <w:lang w:val="es-ES"/>
        </w:rPr>
        <w:t xml:space="preserve"> </w:t>
      </w:r>
      <w:r w:rsidRPr="00A83C94">
        <w:t>մուտքերից</w:t>
      </w:r>
      <w:r w:rsidRPr="00A83C94">
        <w:rPr>
          <w:lang w:val="es-ES"/>
        </w:rPr>
        <w:t xml:space="preserve"> (</w:t>
      </w:r>
      <w:r w:rsidRPr="00A83C94">
        <w:t>տրամադրվածից</w:t>
      </w:r>
      <w:r w:rsidRPr="00A83C94">
        <w:rPr>
          <w:lang w:val="es-ES"/>
        </w:rPr>
        <w:t xml:space="preserve"> </w:t>
      </w:r>
      <w:r w:rsidRPr="00A83C94">
        <w:t>հանած</w:t>
      </w:r>
      <w:r w:rsidRPr="00A83C94">
        <w:rPr>
          <w:lang w:val="es-ES"/>
        </w:rPr>
        <w:t xml:space="preserve"> </w:t>
      </w:r>
      <w:r w:rsidRPr="00A83C94">
        <w:t>մարումները</w:t>
      </w:r>
      <w:r w:rsidRPr="00A83C94">
        <w:rPr>
          <w:lang w:val="es-ES"/>
        </w:rPr>
        <w:t>):</w:t>
      </w:r>
      <w:r w:rsidR="002F7255" w:rsidRPr="00A83C94">
        <w:rPr>
          <w:lang w:val="es-ES"/>
        </w:rPr>
        <w:t xml:space="preserve"> </w:t>
      </w:r>
      <w:r w:rsidRPr="00A83C94">
        <w:t>Դեռևս</w:t>
      </w:r>
      <w:r w:rsidRPr="00A83C94">
        <w:rPr>
          <w:lang w:val="es-ES"/>
        </w:rPr>
        <w:t xml:space="preserve"> </w:t>
      </w:r>
      <w:r w:rsidRPr="00A83C94">
        <w:t>զգալի</w:t>
      </w:r>
      <w:r w:rsidRPr="00A83C94">
        <w:rPr>
          <w:lang w:val="es-ES"/>
        </w:rPr>
        <w:t xml:space="preserve"> </w:t>
      </w:r>
      <w:r w:rsidRPr="00A83C94">
        <w:t>են</w:t>
      </w:r>
      <w:r w:rsidRPr="00A83C94">
        <w:rPr>
          <w:lang w:val="es-ES"/>
        </w:rPr>
        <w:t xml:space="preserve"> </w:t>
      </w:r>
      <w:r w:rsidRPr="00A83C94">
        <w:t>արտաքին</w:t>
      </w:r>
      <w:r w:rsidRPr="00A83C94">
        <w:rPr>
          <w:lang w:val="es-ES"/>
        </w:rPr>
        <w:t xml:space="preserve"> </w:t>
      </w:r>
      <w:r w:rsidRPr="00A83C94">
        <w:t>աղբյուրներից</w:t>
      </w:r>
      <w:r w:rsidRPr="00A83C94">
        <w:rPr>
          <w:lang w:val="es-ES"/>
        </w:rPr>
        <w:t xml:space="preserve">` </w:t>
      </w:r>
      <w:r w:rsidRPr="00A83C94">
        <w:t>միջազգային</w:t>
      </w:r>
      <w:r w:rsidRPr="00A83C94">
        <w:rPr>
          <w:lang w:val="es-ES"/>
        </w:rPr>
        <w:t xml:space="preserve"> </w:t>
      </w:r>
      <w:r w:rsidRPr="00A83C94">
        <w:t>կազմակերպություններից</w:t>
      </w:r>
      <w:r w:rsidRPr="00A83C94">
        <w:rPr>
          <w:lang w:val="es-ES"/>
        </w:rPr>
        <w:t xml:space="preserve"> </w:t>
      </w:r>
      <w:r w:rsidRPr="00A83C94">
        <w:t>և</w:t>
      </w:r>
      <w:r w:rsidRPr="00A83C94">
        <w:rPr>
          <w:lang w:val="es-ES"/>
        </w:rPr>
        <w:t xml:space="preserve"> </w:t>
      </w:r>
      <w:r w:rsidRPr="00A83C94">
        <w:t>օտարեր</w:t>
      </w:r>
      <w:r w:rsidRPr="00A83C94">
        <w:rPr>
          <w:lang w:val="es-ES"/>
        </w:rPr>
        <w:softHyphen/>
      </w:r>
      <w:r w:rsidRPr="00A83C94">
        <w:t>կր</w:t>
      </w:r>
      <w:r w:rsidRPr="00A83C94">
        <w:rPr>
          <w:lang w:val="es-ES"/>
        </w:rPr>
        <w:softHyphen/>
      </w:r>
      <w:r w:rsidRPr="00A83C94">
        <w:t>յա</w:t>
      </w:r>
      <w:r w:rsidRPr="00A83C94">
        <w:rPr>
          <w:lang w:val="es-ES"/>
        </w:rPr>
        <w:t xml:space="preserve"> </w:t>
      </w:r>
      <w:r w:rsidRPr="00A83C94">
        <w:t>պետություն</w:t>
      </w:r>
      <w:r w:rsidRPr="00A83C94">
        <w:rPr>
          <w:lang w:val="es-ES"/>
        </w:rPr>
        <w:softHyphen/>
      </w:r>
      <w:r w:rsidRPr="00A83C94">
        <w:t>նե</w:t>
      </w:r>
      <w:r w:rsidRPr="00A83C94">
        <w:rPr>
          <w:lang w:val="es-ES"/>
        </w:rPr>
        <w:softHyphen/>
      </w:r>
      <w:r w:rsidRPr="00A83C94">
        <w:t>րից</w:t>
      </w:r>
      <w:r w:rsidRPr="00A83C94">
        <w:rPr>
          <w:lang w:val="es-ES"/>
        </w:rPr>
        <w:t xml:space="preserve"> </w:t>
      </w:r>
      <w:r w:rsidRPr="00A83C94">
        <w:t>ստաց</w:t>
      </w:r>
      <w:r w:rsidRPr="00A83C94">
        <w:rPr>
          <w:lang w:val="es-ES"/>
        </w:rPr>
        <w:softHyphen/>
      </w:r>
      <w:r w:rsidRPr="00A83C94">
        <w:t>վելիք</w:t>
      </w:r>
      <w:r w:rsidRPr="00A83C94">
        <w:rPr>
          <w:lang w:val="es-ES"/>
        </w:rPr>
        <w:t xml:space="preserve"> </w:t>
      </w:r>
      <w:r w:rsidRPr="00A83C94">
        <w:t>վարկերի</w:t>
      </w:r>
      <w:r w:rsidRPr="00A83C94">
        <w:rPr>
          <w:lang w:val="es-ES"/>
        </w:rPr>
        <w:t xml:space="preserve"> </w:t>
      </w:r>
      <w:r w:rsidRPr="00A83C94">
        <w:t>հաշվին</w:t>
      </w:r>
      <w:r w:rsidRPr="00A83C94">
        <w:rPr>
          <w:lang w:val="es-ES"/>
        </w:rPr>
        <w:t xml:space="preserve"> </w:t>
      </w:r>
      <w:r w:rsidRPr="00A83C94">
        <w:t>պետական</w:t>
      </w:r>
      <w:r w:rsidRPr="00A83C94">
        <w:rPr>
          <w:lang w:val="es-ES"/>
        </w:rPr>
        <w:t xml:space="preserve"> </w:t>
      </w:r>
      <w:r w:rsidRPr="00A83C94">
        <w:t>բյուջեի</w:t>
      </w:r>
      <w:r w:rsidRPr="00A83C94">
        <w:rPr>
          <w:lang w:val="es-ES"/>
        </w:rPr>
        <w:t xml:space="preserve"> </w:t>
      </w:r>
      <w:r w:rsidRPr="00A83C94">
        <w:t>դեֆիցիտի</w:t>
      </w:r>
      <w:r w:rsidRPr="00A83C94">
        <w:rPr>
          <w:lang w:val="es-ES"/>
        </w:rPr>
        <w:t xml:space="preserve"> </w:t>
      </w:r>
      <w:r w:rsidRPr="00A83C94">
        <w:t>ֆի</w:t>
      </w:r>
      <w:r w:rsidRPr="00A83C94">
        <w:rPr>
          <w:lang w:val="es-ES"/>
        </w:rPr>
        <w:softHyphen/>
      </w:r>
      <w:r w:rsidRPr="00A83C94">
        <w:t>նան</w:t>
      </w:r>
      <w:r w:rsidRPr="00A83C94">
        <w:rPr>
          <w:lang w:val="es-ES"/>
        </w:rPr>
        <w:softHyphen/>
      </w:r>
      <w:r w:rsidRPr="00A83C94">
        <w:t>սա</w:t>
      </w:r>
      <w:r w:rsidRPr="00A83C94">
        <w:rPr>
          <w:lang w:val="es-ES"/>
        </w:rPr>
        <w:softHyphen/>
      </w:r>
      <w:r w:rsidRPr="00A83C94">
        <w:t>վորմանն</w:t>
      </w:r>
      <w:r w:rsidRPr="00A83C94">
        <w:rPr>
          <w:lang w:val="es-ES"/>
        </w:rPr>
        <w:t xml:space="preserve"> </w:t>
      </w:r>
      <w:r w:rsidRPr="00A83C94">
        <w:t>ուղղվող</w:t>
      </w:r>
      <w:r w:rsidRPr="00A83C94">
        <w:rPr>
          <w:lang w:val="es-ES"/>
        </w:rPr>
        <w:t xml:space="preserve"> </w:t>
      </w:r>
      <w:r w:rsidRPr="00A83C94">
        <w:t>միջոց</w:t>
      </w:r>
      <w:r w:rsidRPr="00A83C94">
        <w:rPr>
          <w:lang w:val="es-ES"/>
        </w:rPr>
        <w:softHyphen/>
      </w:r>
      <w:r w:rsidRPr="00A83C94">
        <w:t>ները</w:t>
      </w:r>
      <w:r w:rsidRPr="00A83C94">
        <w:rPr>
          <w:lang w:val="es-ES"/>
        </w:rPr>
        <w:t xml:space="preserve">: </w:t>
      </w:r>
    </w:p>
    <w:p w14:paraId="32ECEAC0" w14:textId="5DE7C79E" w:rsidR="008B2220" w:rsidRPr="00A83C94" w:rsidRDefault="008B2220" w:rsidP="00A5558B">
      <w:pPr>
        <w:pStyle w:val="BodyText2"/>
        <w:rPr>
          <w:lang w:val="es-ES"/>
        </w:rPr>
      </w:pPr>
      <w:r w:rsidRPr="00A83C94">
        <w:t>Համաձայն</w:t>
      </w:r>
      <w:r w:rsidRPr="00A83C94">
        <w:rPr>
          <w:lang w:val="es-ES"/>
        </w:rPr>
        <w:t xml:space="preserve"> </w:t>
      </w:r>
      <w:r w:rsidRPr="00A83C94">
        <w:t>կանխատեսումների</w:t>
      </w:r>
      <w:r w:rsidRPr="00A83C94">
        <w:rPr>
          <w:lang w:val="es-ES"/>
        </w:rPr>
        <w:t xml:space="preserve"> </w:t>
      </w:r>
      <w:r w:rsidRPr="00A83C94">
        <w:t>ծրագրային</w:t>
      </w:r>
      <w:r w:rsidRPr="00A83C94">
        <w:rPr>
          <w:lang w:val="es-ES"/>
        </w:rPr>
        <w:t xml:space="preserve"> </w:t>
      </w:r>
      <w:r w:rsidRPr="00A83C94">
        <w:t>ժամանակահատվածում</w:t>
      </w:r>
      <w:r w:rsidRPr="00A83C94">
        <w:rPr>
          <w:lang w:val="es-ES"/>
        </w:rPr>
        <w:t xml:space="preserve"> </w:t>
      </w:r>
      <w:r w:rsidRPr="00A83C94">
        <w:t>արտաքին</w:t>
      </w:r>
      <w:r w:rsidRPr="00A83C94">
        <w:rPr>
          <w:lang w:val="es-ES"/>
        </w:rPr>
        <w:t xml:space="preserve"> </w:t>
      </w:r>
      <w:r w:rsidRPr="00A83C94">
        <w:t>օժան</w:t>
      </w:r>
      <w:r w:rsidRPr="00A83C94">
        <w:rPr>
          <w:lang w:val="es-ES"/>
        </w:rPr>
        <w:softHyphen/>
      </w:r>
      <w:r w:rsidRPr="00A83C94">
        <w:t>դա</w:t>
      </w:r>
      <w:r w:rsidRPr="00A83C94">
        <w:rPr>
          <w:lang w:val="es-ES"/>
        </w:rPr>
        <w:softHyphen/>
      </w:r>
      <w:r w:rsidRPr="00A83C94">
        <w:rPr>
          <w:lang w:val="es-ES"/>
        </w:rPr>
        <w:softHyphen/>
      </w:r>
      <w:r w:rsidRPr="00A83C94">
        <w:t>կության</w:t>
      </w:r>
      <w:r w:rsidRPr="00A83C94">
        <w:rPr>
          <w:lang w:val="es-ES"/>
        </w:rPr>
        <w:t xml:space="preserve"> </w:t>
      </w:r>
      <w:r w:rsidRPr="00A83C94">
        <w:t>կառուցվածքում</w:t>
      </w:r>
      <w:r w:rsidRPr="00A83C94">
        <w:rPr>
          <w:lang w:val="es-ES"/>
        </w:rPr>
        <w:t xml:space="preserve"> </w:t>
      </w:r>
      <w:r w:rsidRPr="00A83C94">
        <w:t>գերակշռելու</w:t>
      </w:r>
      <w:r w:rsidRPr="00A83C94">
        <w:rPr>
          <w:lang w:val="es-ES"/>
        </w:rPr>
        <w:t xml:space="preserve"> </w:t>
      </w:r>
      <w:r w:rsidRPr="00A83C94">
        <w:t>են</w:t>
      </w:r>
      <w:r w:rsidRPr="00A83C94">
        <w:rPr>
          <w:lang w:val="es-ES"/>
        </w:rPr>
        <w:t xml:space="preserve"> </w:t>
      </w:r>
      <w:r w:rsidRPr="00A83C94">
        <w:t>նպատա</w:t>
      </w:r>
      <w:r w:rsidRPr="00A83C94">
        <w:rPr>
          <w:lang w:val="es-ES"/>
        </w:rPr>
        <w:softHyphen/>
      </w:r>
      <w:r w:rsidRPr="00A83C94">
        <w:t>կային</w:t>
      </w:r>
      <w:r w:rsidRPr="00A83C94">
        <w:rPr>
          <w:lang w:val="es-ES"/>
        </w:rPr>
        <w:t xml:space="preserve"> </w:t>
      </w:r>
      <w:r w:rsidRPr="00A83C94">
        <w:t>ծրագրերի</w:t>
      </w:r>
      <w:r w:rsidRPr="00A83C94">
        <w:rPr>
          <w:lang w:val="es-ES"/>
        </w:rPr>
        <w:t xml:space="preserve"> </w:t>
      </w:r>
      <w:r w:rsidRPr="00A83C94">
        <w:t>ֆինանսավորման</w:t>
      </w:r>
      <w:r w:rsidRPr="00A83C94">
        <w:rPr>
          <w:lang w:val="es-ES"/>
        </w:rPr>
        <w:t xml:space="preserve"> </w:t>
      </w:r>
      <w:r w:rsidRPr="00A83C94">
        <w:t>համար</w:t>
      </w:r>
      <w:r w:rsidRPr="00A83C94">
        <w:rPr>
          <w:lang w:val="es-ES"/>
        </w:rPr>
        <w:t xml:space="preserve"> </w:t>
      </w:r>
      <w:r w:rsidRPr="00A83C94">
        <w:t>նախատեսված</w:t>
      </w:r>
      <w:r w:rsidRPr="00A83C94">
        <w:rPr>
          <w:lang w:val="es-ES"/>
        </w:rPr>
        <w:t xml:space="preserve"> </w:t>
      </w:r>
      <w:r w:rsidRPr="00A83C94">
        <w:t>բյուջետային</w:t>
      </w:r>
      <w:r w:rsidRPr="00A83C94">
        <w:rPr>
          <w:lang w:val="es-ES"/>
        </w:rPr>
        <w:t xml:space="preserve"> </w:t>
      </w:r>
      <w:r w:rsidRPr="00A83C94">
        <w:t>աջակցության</w:t>
      </w:r>
      <w:r w:rsidRPr="00A83C94">
        <w:rPr>
          <w:lang w:val="es-ES"/>
        </w:rPr>
        <w:t xml:space="preserve"> </w:t>
      </w:r>
      <w:r w:rsidRPr="00A83C94">
        <w:t>պաշ</w:t>
      </w:r>
      <w:r w:rsidRPr="00A83C94">
        <w:rPr>
          <w:lang w:val="es-ES"/>
        </w:rPr>
        <w:softHyphen/>
      </w:r>
      <w:r w:rsidRPr="00A83C94">
        <w:t>տո</w:t>
      </w:r>
      <w:r w:rsidRPr="00A83C94">
        <w:rPr>
          <w:lang w:val="es-ES"/>
        </w:rPr>
        <w:softHyphen/>
      </w:r>
      <w:r w:rsidRPr="00A83C94">
        <w:t>նա</w:t>
      </w:r>
      <w:r w:rsidRPr="00A83C94">
        <w:rPr>
          <w:lang w:val="es-ES"/>
        </w:rPr>
        <w:softHyphen/>
      </w:r>
      <w:r w:rsidRPr="00A83C94">
        <w:t>կան</w:t>
      </w:r>
      <w:r w:rsidRPr="00A83C94">
        <w:rPr>
          <w:lang w:val="es-ES"/>
        </w:rPr>
        <w:t xml:space="preserve"> </w:t>
      </w:r>
      <w:r w:rsidRPr="00A83C94">
        <w:t>դրամաշնորհներն</w:t>
      </w:r>
      <w:r w:rsidRPr="00A83C94">
        <w:rPr>
          <w:lang w:val="es-ES"/>
        </w:rPr>
        <w:t xml:space="preserve"> </w:t>
      </w:r>
      <w:r w:rsidRPr="00A83C94">
        <w:t>ու</w:t>
      </w:r>
      <w:r w:rsidRPr="00A83C94">
        <w:rPr>
          <w:lang w:val="es-ES"/>
        </w:rPr>
        <w:t xml:space="preserve"> </w:t>
      </w:r>
      <w:r w:rsidRPr="00A83C94">
        <w:t>վարկերը</w:t>
      </w:r>
      <w:r w:rsidRPr="00A83C94">
        <w:rPr>
          <w:lang w:val="es-ES"/>
        </w:rPr>
        <w:t xml:space="preserve"> (98.</w:t>
      </w:r>
      <w:r w:rsidR="00094160" w:rsidRPr="00A83C94">
        <w:rPr>
          <w:lang w:val="es-ES"/>
        </w:rPr>
        <w:t>3</w:t>
      </w:r>
      <w:r w:rsidRPr="00A83C94">
        <w:rPr>
          <w:lang w:val="es-ES"/>
        </w:rPr>
        <w:t>%):</w:t>
      </w:r>
    </w:p>
    <w:p w14:paraId="1D2FA2BE" w14:textId="0910DD2C" w:rsidR="00D379EC" w:rsidRPr="00A83C94" w:rsidRDefault="0025299D" w:rsidP="0025299D">
      <w:pPr>
        <w:pStyle w:val="Caption"/>
        <w:rPr>
          <w:lang w:val="es-ES"/>
        </w:rPr>
      </w:pPr>
      <w:bookmarkStart w:id="191" w:name="_Ref497916450"/>
      <w:bookmarkStart w:id="192" w:name="_Toc525773066"/>
      <w:bookmarkStart w:id="193" w:name="_Toc20590406"/>
      <w:bookmarkStart w:id="194" w:name="_Toc83928939"/>
      <w:bookmarkEnd w:id="189"/>
      <w:r>
        <w:t>Աղյուսակ</w:t>
      </w:r>
      <w:r w:rsidRPr="008B1D49">
        <w:rPr>
          <w:lang w:val="es-ES"/>
        </w:rPr>
        <w:t xml:space="preserve"> </w:t>
      </w:r>
      <w:r>
        <w:fldChar w:fldCharType="begin"/>
      </w:r>
      <w:r w:rsidRPr="008B1D49">
        <w:rPr>
          <w:lang w:val="es-ES"/>
        </w:rPr>
        <w:instrText xml:space="preserve"> SEQ </w:instrText>
      </w:r>
      <w:r>
        <w:instrText>Աղյուսակ</w:instrText>
      </w:r>
      <w:r w:rsidRPr="008B1D49">
        <w:rPr>
          <w:lang w:val="es-ES"/>
        </w:rPr>
        <w:instrText xml:space="preserve"> \* ARABIC </w:instrText>
      </w:r>
      <w:r>
        <w:fldChar w:fldCharType="separate"/>
      </w:r>
      <w:r w:rsidR="0077355D">
        <w:rPr>
          <w:noProof/>
          <w:lang w:val="es-ES"/>
        </w:rPr>
        <w:t>2</w:t>
      </w:r>
      <w:r>
        <w:fldChar w:fldCharType="end"/>
      </w:r>
      <w:r w:rsidR="00A2480A" w:rsidRPr="008150A1">
        <w:rPr>
          <w:rFonts w:ascii="Cambria Math" w:hAnsi="Cambria Math" w:cs="Cambria Math"/>
          <w:lang w:val="hy-AM"/>
        </w:rPr>
        <w:t>․</w:t>
      </w:r>
      <w:r w:rsidR="00D02A2D" w:rsidRPr="00A83C94">
        <w:rPr>
          <w:b/>
          <w:i/>
          <w:sz w:val="20"/>
          <w:szCs w:val="20"/>
          <w:lang w:val="hy-AM"/>
        </w:rPr>
        <w:t xml:space="preserve"> </w:t>
      </w:r>
      <w:r w:rsidR="00116E97" w:rsidRPr="00A83C94">
        <w:rPr>
          <w:b/>
          <w:i/>
          <w:sz w:val="20"/>
          <w:szCs w:val="20"/>
          <w:lang w:val="hy-AM"/>
        </w:rPr>
        <w:t>202</w:t>
      </w:r>
      <w:r w:rsidR="001D270B" w:rsidRPr="001D270B">
        <w:rPr>
          <w:b/>
          <w:i/>
          <w:sz w:val="20"/>
          <w:szCs w:val="20"/>
          <w:lang w:val="es-ES"/>
        </w:rPr>
        <w:t>2</w:t>
      </w:r>
      <w:r w:rsidR="00D379EC" w:rsidRPr="00A83C94">
        <w:rPr>
          <w:b/>
          <w:i/>
          <w:sz w:val="20"/>
          <w:szCs w:val="20"/>
          <w:lang w:val="hy-AM"/>
        </w:rPr>
        <w:t>թ ակնկալվող արտաքին օժանդակությունն ըստ բնույթի</w:t>
      </w:r>
      <w:bookmarkEnd w:id="191"/>
      <w:bookmarkEnd w:id="192"/>
      <w:bookmarkEnd w:id="193"/>
      <w:bookmarkEnd w:id="19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6"/>
        <w:gridCol w:w="1570"/>
        <w:gridCol w:w="3214"/>
      </w:tblGrid>
      <w:tr w:rsidR="00D379EC" w:rsidRPr="00813A99" w14:paraId="6ECCF2D8" w14:textId="77777777" w:rsidTr="00FE7AE9">
        <w:trPr>
          <w:trHeight w:val="551"/>
        </w:trPr>
        <w:tc>
          <w:tcPr>
            <w:tcW w:w="2544" w:type="pct"/>
            <w:shd w:val="clear" w:color="auto" w:fill="548DD4" w:themeFill="text2" w:themeFillTint="99"/>
            <w:noWrap/>
            <w:tcMar>
              <w:top w:w="0" w:type="dxa"/>
              <w:left w:w="57" w:type="dxa"/>
              <w:bottom w:w="0" w:type="dxa"/>
              <w:right w:w="113" w:type="dxa"/>
            </w:tcMar>
            <w:vAlign w:val="center"/>
          </w:tcPr>
          <w:bookmarkEnd w:id="190"/>
          <w:p w14:paraId="47831ABB" w14:textId="77777777" w:rsidR="00D379EC" w:rsidRPr="00A83C94" w:rsidRDefault="00D379EC" w:rsidP="007730AA">
            <w:pPr>
              <w:pStyle w:val="1fa"/>
              <w:spacing w:line="276" w:lineRule="auto"/>
              <w:rPr>
                <w:b/>
                <w:color w:val="FFFFFF" w:themeColor="background1"/>
                <w:szCs w:val="20"/>
              </w:rPr>
            </w:pPr>
            <w:r w:rsidRPr="00A83C94">
              <w:rPr>
                <w:b/>
                <w:color w:val="FFFFFF" w:themeColor="background1"/>
                <w:szCs w:val="20"/>
              </w:rPr>
              <w:t>Ցուցանիշներ</w:t>
            </w:r>
          </w:p>
        </w:tc>
        <w:tc>
          <w:tcPr>
            <w:tcW w:w="806" w:type="pct"/>
            <w:shd w:val="clear" w:color="auto" w:fill="548DD4" w:themeFill="text2" w:themeFillTint="99"/>
            <w:vAlign w:val="center"/>
          </w:tcPr>
          <w:p w14:paraId="0BA54B42" w14:textId="77777777" w:rsidR="00D379EC" w:rsidRPr="00A83C94" w:rsidRDefault="00D379EC" w:rsidP="007730AA">
            <w:pPr>
              <w:pStyle w:val="1fa"/>
              <w:spacing w:line="276" w:lineRule="auto"/>
              <w:rPr>
                <w:b/>
                <w:color w:val="FFFFFF" w:themeColor="background1"/>
                <w:szCs w:val="20"/>
              </w:rPr>
            </w:pPr>
            <w:r w:rsidRPr="00A83C94">
              <w:rPr>
                <w:b/>
                <w:color w:val="FFFFFF" w:themeColor="background1"/>
                <w:szCs w:val="20"/>
              </w:rPr>
              <w:t>Գումարը (մլրդ դրամներով)</w:t>
            </w:r>
          </w:p>
        </w:tc>
        <w:tc>
          <w:tcPr>
            <w:tcW w:w="1650" w:type="pct"/>
            <w:shd w:val="clear" w:color="auto" w:fill="548DD4" w:themeFill="text2" w:themeFillTint="99"/>
            <w:vAlign w:val="center"/>
          </w:tcPr>
          <w:p w14:paraId="5F44D5DA" w14:textId="77777777" w:rsidR="00D379EC" w:rsidRPr="00A83C94" w:rsidRDefault="00D379EC" w:rsidP="007730AA">
            <w:pPr>
              <w:pStyle w:val="1fa"/>
              <w:spacing w:line="276" w:lineRule="auto"/>
              <w:rPr>
                <w:b/>
                <w:color w:val="FFFFFF" w:themeColor="background1"/>
                <w:szCs w:val="20"/>
              </w:rPr>
            </w:pPr>
            <w:r w:rsidRPr="00A83C94">
              <w:rPr>
                <w:b/>
                <w:color w:val="FFFFFF" w:themeColor="background1"/>
                <w:szCs w:val="20"/>
              </w:rPr>
              <w:t>Տեսակարար կշիռը արտաքին օժան</w:t>
            </w:r>
            <w:r w:rsidRPr="00A83C94">
              <w:rPr>
                <w:b/>
                <w:color w:val="FFFFFF" w:themeColor="background1"/>
                <w:szCs w:val="20"/>
              </w:rPr>
              <w:softHyphen/>
              <w:t>դա</w:t>
            </w:r>
            <w:r w:rsidRPr="00A83C94">
              <w:rPr>
                <w:b/>
                <w:color w:val="FFFFFF" w:themeColor="background1"/>
                <w:szCs w:val="20"/>
              </w:rPr>
              <w:softHyphen/>
              <w:t>կութ</w:t>
            </w:r>
            <w:r w:rsidRPr="00A83C94">
              <w:rPr>
                <w:b/>
                <w:color w:val="FFFFFF" w:themeColor="background1"/>
                <w:szCs w:val="20"/>
              </w:rPr>
              <w:softHyphen/>
              <w:t>յան ընդհանուր գումարում (%)</w:t>
            </w:r>
          </w:p>
        </w:tc>
      </w:tr>
      <w:tr w:rsidR="00D379EC" w:rsidRPr="00A83C94" w14:paraId="7F800108" w14:textId="77777777" w:rsidTr="0011656D">
        <w:tc>
          <w:tcPr>
            <w:tcW w:w="2544" w:type="pct"/>
            <w:shd w:val="clear" w:color="auto" w:fill="DBE5F1" w:themeFill="accent1" w:themeFillTint="33"/>
            <w:noWrap/>
            <w:tcMar>
              <w:top w:w="0" w:type="dxa"/>
              <w:left w:w="57" w:type="dxa"/>
              <w:bottom w:w="0" w:type="dxa"/>
              <w:right w:w="113" w:type="dxa"/>
            </w:tcMar>
          </w:tcPr>
          <w:p w14:paraId="478D42D4" w14:textId="77777777" w:rsidR="00D379EC" w:rsidRPr="00A83C94" w:rsidRDefault="00D379EC" w:rsidP="007730AA">
            <w:pPr>
              <w:pStyle w:val="1fa"/>
              <w:spacing w:line="276" w:lineRule="auto"/>
              <w:jc w:val="left"/>
              <w:rPr>
                <w:b/>
                <w:color w:val="auto"/>
                <w:szCs w:val="20"/>
              </w:rPr>
            </w:pPr>
            <w:r w:rsidRPr="00A83C94">
              <w:rPr>
                <w:color w:val="auto"/>
                <w:szCs w:val="20"/>
              </w:rPr>
              <w:t>1.</w:t>
            </w:r>
            <w:r w:rsidR="007705D1" w:rsidRPr="00A83C94">
              <w:rPr>
                <w:color w:val="auto"/>
                <w:szCs w:val="20"/>
              </w:rPr>
              <w:t xml:space="preserve"> </w:t>
            </w:r>
            <w:r w:rsidRPr="00A83C94">
              <w:rPr>
                <w:rFonts w:cs="Arial"/>
                <w:color w:val="auto"/>
                <w:szCs w:val="20"/>
              </w:rPr>
              <w:t>Ընդհանուր</w:t>
            </w:r>
            <w:r w:rsidRPr="00A83C94">
              <w:rPr>
                <w:color w:val="auto"/>
                <w:szCs w:val="20"/>
              </w:rPr>
              <w:t xml:space="preserve"> </w:t>
            </w:r>
            <w:r w:rsidRPr="00A83C94">
              <w:rPr>
                <w:rFonts w:cs="Arial"/>
                <w:color w:val="auto"/>
                <w:szCs w:val="20"/>
              </w:rPr>
              <w:t>բնույթի</w:t>
            </w:r>
            <w:r w:rsidRPr="00A83C94">
              <w:rPr>
                <w:color w:val="auto"/>
                <w:szCs w:val="20"/>
              </w:rPr>
              <w:t xml:space="preserve"> </w:t>
            </w:r>
            <w:r w:rsidRPr="00A83C94">
              <w:rPr>
                <w:rFonts w:cs="Arial"/>
                <w:color w:val="auto"/>
                <w:szCs w:val="20"/>
              </w:rPr>
              <w:t>բյուջետային</w:t>
            </w:r>
            <w:r w:rsidRPr="00A83C94">
              <w:rPr>
                <w:color w:val="auto"/>
                <w:szCs w:val="20"/>
              </w:rPr>
              <w:t xml:space="preserve"> </w:t>
            </w:r>
            <w:r w:rsidRPr="00A83C94">
              <w:rPr>
                <w:rFonts w:cs="Arial"/>
                <w:color w:val="auto"/>
                <w:szCs w:val="20"/>
              </w:rPr>
              <w:t>օժանդակություն</w:t>
            </w:r>
          </w:p>
        </w:tc>
        <w:tc>
          <w:tcPr>
            <w:tcW w:w="806" w:type="pct"/>
            <w:shd w:val="clear" w:color="auto" w:fill="DBE5F1" w:themeFill="accent1" w:themeFillTint="33"/>
            <w:vAlign w:val="center"/>
          </w:tcPr>
          <w:p w14:paraId="11498A52" w14:textId="662E6A01" w:rsidR="00D379EC" w:rsidRPr="00A83C94" w:rsidRDefault="00C26541" w:rsidP="00C26541">
            <w:pPr>
              <w:pStyle w:val="1fa"/>
              <w:spacing w:line="276" w:lineRule="auto"/>
              <w:rPr>
                <w:color w:val="auto"/>
                <w:szCs w:val="20"/>
              </w:rPr>
            </w:pPr>
            <w:r w:rsidRPr="00A83C94">
              <w:rPr>
                <w:color w:val="auto"/>
                <w:szCs w:val="20"/>
              </w:rPr>
              <w:t>5</w:t>
            </w:r>
            <w:r w:rsidR="00471BB8" w:rsidRPr="00A83C94">
              <w:rPr>
                <w:color w:val="auto"/>
                <w:szCs w:val="20"/>
              </w:rPr>
              <w:t>.</w:t>
            </w:r>
            <w:r w:rsidRPr="00A83C94">
              <w:rPr>
                <w:color w:val="auto"/>
                <w:szCs w:val="20"/>
              </w:rPr>
              <w:t>3</w:t>
            </w:r>
          </w:p>
        </w:tc>
        <w:tc>
          <w:tcPr>
            <w:tcW w:w="1650" w:type="pct"/>
            <w:shd w:val="clear" w:color="auto" w:fill="DBE5F1" w:themeFill="accent1" w:themeFillTint="33"/>
            <w:vAlign w:val="center"/>
          </w:tcPr>
          <w:p w14:paraId="4D4C3452" w14:textId="6422404D" w:rsidR="00CE1547" w:rsidRPr="00A83C94" w:rsidRDefault="00F74EFB" w:rsidP="00F74EFB">
            <w:pPr>
              <w:pStyle w:val="1fa"/>
              <w:spacing w:line="276" w:lineRule="auto"/>
              <w:rPr>
                <w:color w:val="auto"/>
                <w:szCs w:val="20"/>
              </w:rPr>
            </w:pPr>
            <w:r w:rsidRPr="00A83C94">
              <w:rPr>
                <w:color w:val="auto"/>
                <w:szCs w:val="20"/>
              </w:rPr>
              <w:t>0</w:t>
            </w:r>
            <w:r w:rsidR="001E4747" w:rsidRPr="00A83C94">
              <w:rPr>
                <w:color w:val="auto"/>
                <w:szCs w:val="20"/>
              </w:rPr>
              <w:t>.</w:t>
            </w:r>
            <w:r w:rsidRPr="00A83C94">
              <w:rPr>
                <w:color w:val="auto"/>
                <w:szCs w:val="20"/>
              </w:rPr>
              <w:t>2</w:t>
            </w:r>
          </w:p>
        </w:tc>
      </w:tr>
      <w:tr w:rsidR="00D379EC" w:rsidRPr="00A83C94" w14:paraId="2CD1FB52" w14:textId="77777777" w:rsidTr="00E31E26">
        <w:tc>
          <w:tcPr>
            <w:tcW w:w="2544" w:type="pct"/>
            <w:noWrap/>
            <w:tcMar>
              <w:top w:w="0" w:type="dxa"/>
              <w:left w:w="57" w:type="dxa"/>
              <w:bottom w:w="0" w:type="dxa"/>
              <w:right w:w="113" w:type="dxa"/>
            </w:tcMar>
          </w:tcPr>
          <w:p w14:paraId="6CB4888A" w14:textId="77777777" w:rsidR="00D379EC" w:rsidRPr="00A83C94" w:rsidRDefault="00D379EC" w:rsidP="007730AA">
            <w:pPr>
              <w:pStyle w:val="1fa"/>
              <w:spacing w:line="276" w:lineRule="auto"/>
              <w:jc w:val="left"/>
              <w:rPr>
                <w:color w:val="auto"/>
                <w:szCs w:val="20"/>
              </w:rPr>
            </w:pPr>
            <w:r w:rsidRPr="00A83C94">
              <w:rPr>
                <w:color w:val="auto"/>
                <w:szCs w:val="20"/>
              </w:rPr>
              <w:t>1.1 Պաշտոնական դրամաշնորհներ</w:t>
            </w:r>
          </w:p>
        </w:tc>
        <w:tc>
          <w:tcPr>
            <w:tcW w:w="806" w:type="pct"/>
            <w:vAlign w:val="center"/>
          </w:tcPr>
          <w:p w14:paraId="64E7010E" w14:textId="7B5EB433" w:rsidR="00D379EC" w:rsidRPr="00A83C94" w:rsidRDefault="00C26541" w:rsidP="00C26541">
            <w:pPr>
              <w:pStyle w:val="1fa"/>
              <w:spacing w:line="276" w:lineRule="auto"/>
              <w:rPr>
                <w:color w:val="auto"/>
                <w:szCs w:val="20"/>
              </w:rPr>
            </w:pPr>
            <w:r w:rsidRPr="00A83C94">
              <w:rPr>
                <w:color w:val="auto"/>
                <w:szCs w:val="20"/>
              </w:rPr>
              <w:t>5</w:t>
            </w:r>
            <w:r w:rsidR="00471BB8" w:rsidRPr="00A83C94">
              <w:rPr>
                <w:color w:val="auto"/>
                <w:szCs w:val="20"/>
              </w:rPr>
              <w:t>.</w:t>
            </w:r>
            <w:r w:rsidRPr="00A83C94">
              <w:rPr>
                <w:color w:val="auto"/>
                <w:szCs w:val="20"/>
              </w:rPr>
              <w:t>3</w:t>
            </w:r>
          </w:p>
        </w:tc>
        <w:tc>
          <w:tcPr>
            <w:tcW w:w="1650" w:type="pct"/>
            <w:vAlign w:val="center"/>
          </w:tcPr>
          <w:p w14:paraId="0D2057B9" w14:textId="77777777" w:rsidR="00D379EC" w:rsidRPr="00A83C94" w:rsidRDefault="00015BFA" w:rsidP="007730AA">
            <w:pPr>
              <w:pStyle w:val="1fa"/>
              <w:spacing w:line="276" w:lineRule="auto"/>
              <w:rPr>
                <w:color w:val="auto"/>
                <w:szCs w:val="20"/>
              </w:rPr>
            </w:pPr>
            <w:r w:rsidRPr="00A83C94">
              <w:rPr>
                <w:color w:val="auto"/>
                <w:szCs w:val="20"/>
              </w:rPr>
              <w:t>X</w:t>
            </w:r>
          </w:p>
        </w:tc>
      </w:tr>
      <w:tr w:rsidR="00D379EC" w:rsidRPr="00E93945" w14:paraId="28992DB0" w14:textId="77777777" w:rsidTr="0011656D">
        <w:trPr>
          <w:trHeight w:val="291"/>
        </w:trPr>
        <w:tc>
          <w:tcPr>
            <w:tcW w:w="2544" w:type="pct"/>
            <w:shd w:val="clear" w:color="auto" w:fill="DBE5F1" w:themeFill="accent1" w:themeFillTint="33"/>
            <w:noWrap/>
            <w:tcMar>
              <w:top w:w="0" w:type="dxa"/>
              <w:left w:w="57" w:type="dxa"/>
              <w:bottom w:w="0" w:type="dxa"/>
              <w:right w:w="113" w:type="dxa"/>
            </w:tcMar>
          </w:tcPr>
          <w:p w14:paraId="0EA34B97" w14:textId="77777777" w:rsidR="00D379EC" w:rsidRPr="00A83C94" w:rsidRDefault="00D379EC" w:rsidP="007730AA">
            <w:pPr>
              <w:pStyle w:val="1fa"/>
              <w:spacing w:line="276" w:lineRule="auto"/>
              <w:jc w:val="left"/>
              <w:rPr>
                <w:b/>
                <w:color w:val="auto"/>
                <w:szCs w:val="20"/>
              </w:rPr>
            </w:pPr>
            <w:r w:rsidRPr="00A83C94">
              <w:rPr>
                <w:color w:val="auto"/>
                <w:szCs w:val="20"/>
              </w:rPr>
              <w:t>2. Ծրագրային (նպատակային) օժանդակություն</w:t>
            </w:r>
          </w:p>
        </w:tc>
        <w:tc>
          <w:tcPr>
            <w:tcW w:w="806" w:type="pct"/>
            <w:shd w:val="clear" w:color="auto" w:fill="DBE5F1" w:themeFill="accent1" w:themeFillTint="33"/>
            <w:vAlign w:val="center"/>
          </w:tcPr>
          <w:p w14:paraId="29978852" w14:textId="732AE6C5" w:rsidR="00D379EC" w:rsidRPr="00A83C94" w:rsidRDefault="00E93945" w:rsidP="00E93945">
            <w:pPr>
              <w:pStyle w:val="1fa"/>
              <w:spacing w:line="276" w:lineRule="auto"/>
              <w:rPr>
                <w:color w:val="auto"/>
                <w:szCs w:val="20"/>
              </w:rPr>
            </w:pPr>
            <w:r>
              <w:rPr>
                <w:color w:val="auto"/>
                <w:szCs w:val="20"/>
              </w:rPr>
              <w:t>264.1</w:t>
            </w:r>
          </w:p>
        </w:tc>
        <w:tc>
          <w:tcPr>
            <w:tcW w:w="1650" w:type="pct"/>
            <w:shd w:val="clear" w:color="auto" w:fill="DBE5F1" w:themeFill="accent1" w:themeFillTint="33"/>
            <w:vAlign w:val="center"/>
          </w:tcPr>
          <w:p w14:paraId="35556890" w14:textId="2144E8AF" w:rsidR="00D379EC" w:rsidRPr="00A83C94" w:rsidRDefault="006E2163" w:rsidP="00E93945">
            <w:pPr>
              <w:pStyle w:val="1fa"/>
              <w:spacing w:line="276" w:lineRule="auto"/>
              <w:rPr>
                <w:color w:val="auto"/>
                <w:szCs w:val="20"/>
              </w:rPr>
            </w:pPr>
            <w:r w:rsidRPr="00A83C94">
              <w:rPr>
                <w:color w:val="auto"/>
                <w:szCs w:val="20"/>
              </w:rPr>
              <w:t>9</w:t>
            </w:r>
            <w:r w:rsidR="00471BB8" w:rsidRPr="00A83C94">
              <w:rPr>
                <w:color w:val="auto"/>
                <w:szCs w:val="20"/>
              </w:rPr>
              <w:t>8.</w:t>
            </w:r>
            <w:r w:rsidR="00E93945">
              <w:rPr>
                <w:color w:val="auto"/>
                <w:szCs w:val="20"/>
              </w:rPr>
              <w:t>0</w:t>
            </w:r>
          </w:p>
        </w:tc>
      </w:tr>
      <w:tr w:rsidR="00D379EC" w:rsidRPr="00E93945" w14:paraId="7D9424D6" w14:textId="77777777" w:rsidTr="00E31E26">
        <w:tc>
          <w:tcPr>
            <w:tcW w:w="2544" w:type="pct"/>
            <w:noWrap/>
            <w:tcMar>
              <w:top w:w="0" w:type="dxa"/>
              <w:left w:w="57" w:type="dxa"/>
              <w:bottom w:w="0" w:type="dxa"/>
              <w:right w:w="113" w:type="dxa"/>
            </w:tcMar>
          </w:tcPr>
          <w:p w14:paraId="177A7675" w14:textId="77777777" w:rsidR="00D379EC" w:rsidRPr="00A83C94" w:rsidRDefault="00D379EC" w:rsidP="007730AA">
            <w:pPr>
              <w:pStyle w:val="1fa"/>
              <w:spacing w:line="276" w:lineRule="auto"/>
              <w:jc w:val="left"/>
              <w:rPr>
                <w:color w:val="auto"/>
                <w:szCs w:val="20"/>
              </w:rPr>
            </w:pPr>
            <w:r w:rsidRPr="00A83C94">
              <w:rPr>
                <w:color w:val="auto"/>
                <w:szCs w:val="20"/>
              </w:rPr>
              <w:t>2.1 Պաշտոնական դրամաշնորհներ</w:t>
            </w:r>
          </w:p>
        </w:tc>
        <w:tc>
          <w:tcPr>
            <w:tcW w:w="806" w:type="pct"/>
            <w:vAlign w:val="center"/>
          </w:tcPr>
          <w:p w14:paraId="501F1ED9" w14:textId="6647E470" w:rsidR="00D379EC" w:rsidRPr="00A83C94" w:rsidRDefault="00C26541" w:rsidP="00C26541">
            <w:pPr>
              <w:pStyle w:val="1fa"/>
              <w:spacing w:line="276" w:lineRule="auto"/>
              <w:rPr>
                <w:color w:val="auto"/>
                <w:szCs w:val="20"/>
              </w:rPr>
            </w:pPr>
            <w:r w:rsidRPr="00A83C94">
              <w:rPr>
                <w:color w:val="auto"/>
                <w:szCs w:val="20"/>
              </w:rPr>
              <w:t>35</w:t>
            </w:r>
            <w:r w:rsidR="000902F4" w:rsidRPr="00A83C94">
              <w:rPr>
                <w:color w:val="auto"/>
                <w:szCs w:val="20"/>
              </w:rPr>
              <w:t>.</w:t>
            </w:r>
            <w:r w:rsidRPr="00A83C94">
              <w:rPr>
                <w:color w:val="auto"/>
                <w:szCs w:val="20"/>
              </w:rPr>
              <w:t>0</w:t>
            </w:r>
          </w:p>
        </w:tc>
        <w:tc>
          <w:tcPr>
            <w:tcW w:w="1650" w:type="pct"/>
            <w:vAlign w:val="center"/>
          </w:tcPr>
          <w:p w14:paraId="54EF5B73" w14:textId="77777777" w:rsidR="00D379EC" w:rsidRPr="00A83C94" w:rsidRDefault="00015BFA" w:rsidP="007730AA">
            <w:pPr>
              <w:pStyle w:val="1fa"/>
              <w:spacing w:line="276" w:lineRule="auto"/>
              <w:rPr>
                <w:color w:val="auto"/>
                <w:szCs w:val="20"/>
              </w:rPr>
            </w:pPr>
            <w:r w:rsidRPr="00A83C94">
              <w:rPr>
                <w:color w:val="auto"/>
                <w:szCs w:val="20"/>
              </w:rPr>
              <w:t>X</w:t>
            </w:r>
          </w:p>
        </w:tc>
      </w:tr>
      <w:tr w:rsidR="00D379EC" w:rsidRPr="00E93945" w14:paraId="75EAB5B0" w14:textId="77777777" w:rsidTr="00E31E26">
        <w:trPr>
          <w:trHeight w:val="244"/>
        </w:trPr>
        <w:tc>
          <w:tcPr>
            <w:tcW w:w="2544" w:type="pct"/>
            <w:tcBorders>
              <w:bottom w:val="single" w:sz="6" w:space="0" w:color="auto"/>
            </w:tcBorders>
            <w:noWrap/>
            <w:tcMar>
              <w:top w:w="0" w:type="dxa"/>
              <w:left w:w="57" w:type="dxa"/>
              <w:bottom w:w="0" w:type="dxa"/>
              <w:right w:w="113" w:type="dxa"/>
            </w:tcMar>
          </w:tcPr>
          <w:p w14:paraId="375632AF" w14:textId="77777777" w:rsidR="00D379EC" w:rsidRPr="00A83C94" w:rsidRDefault="00D379EC" w:rsidP="007730AA">
            <w:pPr>
              <w:pStyle w:val="1fa"/>
              <w:spacing w:line="276" w:lineRule="auto"/>
              <w:jc w:val="left"/>
              <w:rPr>
                <w:color w:val="auto"/>
                <w:szCs w:val="20"/>
              </w:rPr>
            </w:pPr>
            <w:r w:rsidRPr="00A83C94">
              <w:rPr>
                <w:color w:val="auto"/>
                <w:szCs w:val="20"/>
              </w:rPr>
              <w:t>2.2 Վարկեր</w:t>
            </w:r>
          </w:p>
        </w:tc>
        <w:tc>
          <w:tcPr>
            <w:tcW w:w="806" w:type="pct"/>
            <w:tcBorders>
              <w:bottom w:val="single" w:sz="6" w:space="0" w:color="auto"/>
            </w:tcBorders>
            <w:vAlign w:val="center"/>
          </w:tcPr>
          <w:p w14:paraId="00E330AE" w14:textId="25DE7660" w:rsidR="00D379EC" w:rsidRPr="00A83C94" w:rsidRDefault="00C1223D" w:rsidP="00E93945">
            <w:pPr>
              <w:pStyle w:val="1fa"/>
              <w:spacing w:line="276" w:lineRule="auto"/>
              <w:rPr>
                <w:color w:val="auto"/>
                <w:szCs w:val="20"/>
              </w:rPr>
            </w:pPr>
            <w:r w:rsidRPr="00A83C94">
              <w:rPr>
                <w:color w:val="auto"/>
                <w:szCs w:val="20"/>
              </w:rPr>
              <w:t>2</w:t>
            </w:r>
            <w:r w:rsidR="00E93945">
              <w:rPr>
                <w:color w:val="auto"/>
                <w:szCs w:val="20"/>
              </w:rPr>
              <w:t>29</w:t>
            </w:r>
            <w:r w:rsidR="002049F3" w:rsidRPr="00A83C94">
              <w:rPr>
                <w:color w:val="auto"/>
                <w:szCs w:val="20"/>
              </w:rPr>
              <w:t>.</w:t>
            </w:r>
            <w:r w:rsidRPr="00A83C94">
              <w:rPr>
                <w:color w:val="auto"/>
                <w:szCs w:val="20"/>
              </w:rPr>
              <w:t>1</w:t>
            </w:r>
          </w:p>
        </w:tc>
        <w:tc>
          <w:tcPr>
            <w:tcW w:w="1650" w:type="pct"/>
            <w:tcBorders>
              <w:bottom w:val="single" w:sz="6" w:space="0" w:color="auto"/>
            </w:tcBorders>
            <w:vAlign w:val="center"/>
          </w:tcPr>
          <w:p w14:paraId="26CF332B" w14:textId="77777777" w:rsidR="00D379EC" w:rsidRPr="00A83C94" w:rsidRDefault="00015BFA" w:rsidP="007730AA">
            <w:pPr>
              <w:pStyle w:val="1fa"/>
              <w:spacing w:line="276" w:lineRule="auto"/>
              <w:rPr>
                <w:color w:val="auto"/>
                <w:szCs w:val="20"/>
              </w:rPr>
            </w:pPr>
            <w:r w:rsidRPr="00A83C94">
              <w:rPr>
                <w:color w:val="auto"/>
                <w:szCs w:val="20"/>
              </w:rPr>
              <w:t>X</w:t>
            </w:r>
          </w:p>
        </w:tc>
      </w:tr>
      <w:tr w:rsidR="00D379EC" w:rsidRPr="00E93945" w14:paraId="7999D968" w14:textId="77777777" w:rsidTr="0011656D">
        <w:tc>
          <w:tcPr>
            <w:tcW w:w="2544" w:type="pct"/>
            <w:shd w:val="clear" w:color="auto" w:fill="DBE5F1" w:themeFill="accent1" w:themeFillTint="33"/>
            <w:noWrap/>
            <w:tcMar>
              <w:top w:w="0" w:type="dxa"/>
              <w:left w:w="57" w:type="dxa"/>
              <w:bottom w:w="0" w:type="dxa"/>
              <w:right w:w="113" w:type="dxa"/>
            </w:tcMar>
          </w:tcPr>
          <w:p w14:paraId="484907B4" w14:textId="77777777" w:rsidR="00D379EC" w:rsidRPr="00A83C94" w:rsidRDefault="00D379EC" w:rsidP="007730AA">
            <w:pPr>
              <w:pStyle w:val="1fa"/>
              <w:spacing w:line="276" w:lineRule="auto"/>
              <w:jc w:val="left"/>
              <w:rPr>
                <w:b/>
                <w:color w:val="auto"/>
                <w:szCs w:val="20"/>
              </w:rPr>
            </w:pPr>
            <w:r w:rsidRPr="00A83C94">
              <w:rPr>
                <w:color w:val="auto"/>
                <w:szCs w:val="20"/>
              </w:rPr>
              <w:t>Ընդամենը արտաքին օժանդակություն</w:t>
            </w:r>
          </w:p>
        </w:tc>
        <w:tc>
          <w:tcPr>
            <w:tcW w:w="806" w:type="pct"/>
            <w:shd w:val="clear" w:color="auto" w:fill="DBE5F1" w:themeFill="accent1" w:themeFillTint="33"/>
            <w:vAlign w:val="center"/>
          </w:tcPr>
          <w:p w14:paraId="34B94FB2" w14:textId="23E342D3" w:rsidR="00D379EC" w:rsidRPr="00A83C94" w:rsidRDefault="00E93945" w:rsidP="00E93945">
            <w:pPr>
              <w:pStyle w:val="1fa"/>
              <w:spacing w:line="276" w:lineRule="auto"/>
              <w:rPr>
                <w:color w:val="auto"/>
                <w:szCs w:val="20"/>
                <w:lang w:eastAsia="en-US"/>
              </w:rPr>
            </w:pPr>
            <w:r>
              <w:rPr>
                <w:color w:val="auto"/>
                <w:szCs w:val="20"/>
              </w:rPr>
              <w:t>269</w:t>
            </w:r>
            <w:r w:rsidR="00C1223D" w:rsidRPr="00A83C94">
              <w:rPr>
                <w:color w:val="auto"/>
                <w:szCs w:val="20"/>
              </w:rPr>
              <w:t>.4</w:t>
            </w:r>
          </w:p>
        </w:tc>
        <w:tc>
          <w:tcPr>
            <w:tcW w:w="1650" w:type="pct"/>
            <w:shd w:val="clear" w:color="auto" w:fill="DBE5F1" w:themeFill="accent1" w:themeFillTint="33"/>
            <w:vAlign w:val="center"/>
          </w:tcPr>
          <w:p w14:paraId="44332832" w14:textId="77777777" w:rsidR="00D379EC" w:rsidRPr="00A83C94" w:rsidRDefault="00D379EC" w:rsidP="007730AA">
            <w:pPr>
              <w:pStyle w:val="1fa"/>
              <w:spacing w:line="276" w:lineRule="auto"/>
              <w:rPr>
                <w:color w:val="auto"/>
                <w:szCs w:val="20"/>
              </w:rPr>
            </w:pPr>
          </w:p>
        </w:tc>
      </w:tr>
    </w:tbl>
    <w:p w14:paraId="2790C46F" w14:textId="77777777" w:rsidR="00D379EC" w:rsidRPr="00A83C94" w:rsidRDefault="00D379EC" w:rsidP="00A5558B">
      <w:pPr>
        <w:pStyle w:val="BodyText2"/>
      </w:pPr>
      <w:r w:rsidRPr="00A83C94">
        <w:t>Բյուջետային փաթեթում ընդհանուր բնույթի բյուջետային օժանդակության թերստաց</w:t>
      </w:r>
      <w:r w:rsidRPr="00A83C94">
        <w:softHyphen/>
        <w:t>ման պայ</w:t>
      </w:r>
      <w:r w:rsidRPr="00A83C94">
        <w:softHyphen/>
      </w:r>
      <w:r w:rsidRPr="00A83C94">
        <w:softHyphen/>
        <w:t>մաններում ծախսերի վերանայման անհրաժեշտության առաջացման դեպ</w:t>
      </w:r>
      <w:r w:rsidRPr="00A83C94">
        <w:softHyphen/>
        <w:t>քում այդ վերանայումն իրականացվելու է` ելնելով ծախսերի գե</w:t>
      </w:r>
      <w:r w:rsidRPr="00A83C94">
        <w:softHyphen/>
        <w:t>րա</w:t>
      </w:r>
      <w:r w:rsidRPr="00A83C94">
        <w:softHyphen/>
      </w:r>
      <w:r w:rsidRPr="00A83C94">
        <w:softHyphen/>
      </w:r>
      <w:r w:rsidRPr="00A83C94">
        <w:softHyphen/>
        <w:t>կա</w:t>
      </w:r>
      <w:r w:rsidRPr="00A83C94">
        <w:softHyphen/>
        <w:t>յու</w:t>
      </w:r>
      <w:r w:rsidRPr="00A83C94">
        <w:softHyphen/>
        <w:t>թյան աստիճանից: Ծրագրային (նպատակային) պաշտոնական դրամաշ</w:t>
      </w:r>
      <w:r w:rsidRPr="00A83C94">
        <w:softHyphen/>
        <w:t>նորհ</w:t>
      </w:r>
      <w:r w:rsidRPr="00A83C94">
        <w:softHyphen/>
        <w:t>ների և վար</w:t>
      </w:r>
      <w:r w:rsidRPr="00A83C94">
        <w:softHyphen/>
      </w:r>
      <w:r w:rsidRPr="00A83C94">
        <w:softHyphen/>
        <w:t>կերի թերս</w:t>
      </w:r>
      <w:r w:rsidRPr="00A83C94">
        <w:softHyphen/>
        <w:t>տացումը հանգեցնելու է այն ծրագրերի գծով ծախսերի կրճատ</w:t>
      </w:r>
      <w:r w:rsidRPr="00A83C94">
        <w:softHyphen/>
        <w:t>մա</w:t>
      </w:r>
      <w:r w:rsidRPr="00A83C94">
        <w:softHyphen/>
        <w:t>նը, որոնք ան</w:t>
      </w:r>
      <w:r w:rsidRPr="00A83C94">
        <w:softHyphen/>
        <w:t>մի</w:t>
      </w:r>
      <w:r w:rsidRPr="00A83C94">
        <w:softHyphen/>
        <w:t>ջա</w:t>
      </w:r>
      <w:r w:rsidRPr="00A83C94">
        <w:softHyphen/>
      </w:r>
      <w:r w:rsidRPr="00A83C94">
        <w:softHyphen/>
        <w:t xml:space="preserve">կանորեն </w:t>
      </w:r>
      <w:r w:rsidRPr="00A83C94">
        <w:softHyphen/>
        <w:t>կապակցված են ֆինանսավորման այդ աղբյուրներին</w:t>
      </w:r>
      <w:r w:rsidR="00BE34C6" w:rsidRPr="00A83C94">
        <w:t>:</w:t>
      </w:r>
      <w:r w:rsidRPr="00A83C94">
        <w:t xml:space="preserve"> </w:t>
      </w:r>
    </w:p>
    <w:p w14:paraId="77CC9184" w14:textId="535FEDC8" w:rsidR="00D379EC" w:rsidRPr="00A83C94" w:rsidRDefault="00D379EC" w:rsidP="00A5558B">
      <w:pPr>
        <w:pStyle w:val="BodyText2"/>
      </w:pPr>
      <w:r w:rsidRPr="00A83C94">
        <w:t>ՀՀ 20</w:t>
      </w:r>
      <w:r w:rsidR="000E1796" w:rsidRPr="00A83C94">
        <w:t>2</w:t>
      </w:r>
      <w:r w:rsidR="00097DA7" w:rsidRPr="00A83C94">
        <w:t>2</w:t>
      </w:r>
      <w:r w:rsidRPr="00A83C94">
        <w:t xml:space="preserve"> թվականի պետական բյուջեի նախագծի հաշվարկներում «Հայաստանի Հան</w:t>
      </w:r>
      <w:r w:rsidRPr="00A83C94">
        <w:softHyphen/>
        <w:t>րա</w:t>
      </w:r>
      <w:r w:rsidRPr="00A83C94">
        <w:softHyphen/>
        <w:t>պետության բյուջետային հա</w:t>
      </w:r>
      <w:r w:rsidRPr="00A83C94">
        <w:softHyphen/>
        <w:t>մակարգի մասին» ՀՀ օրենքի 21-րդ հոդվածի 8.1-րդ մա</w:t>
      </w:r>
      <w:r w:rsidRPr="00A83C94">
        <w:softHyphen/>
        <w:t>սի պա</w:t>
      </w:r>
      <w:r w:rsidRPr="00A83C94">
        <w:softHyphen/>
      </w:r>
      <w:r w:rsidRPr="00A83C94">
        <w:softHyphen/>
        <w:t>հան</w:t>
      </w:r>
      <w:r w:rsidRPr="00A83C94">
        <w:softHyphen/>
        <w:t>ջի համաձայն կիրառ</w:t>
      </w:r>
      <w:r w:rsidRPr="00A83C94">
        <w:softHyphen/>
        <w:t>վել են ս.թ</w:t>
      </w:r>
      <w:r w:rsidR="00EA2106" w:rsidRPr="00A83C94">
        <w:t xml:space="preserve">. </w:t>
      </w:r>
      <w:r w:rsidR="00097DA7" w:rsidRPr="00A83C94">
        <w:t>սեպտեմբեր</w:t>
      </w:r>
      <w:r w:rsidR="00EA2106" w:rsidRPr="00A83C94">
        <w:t>ի</w:t>
      </w:r>
      <w:r w:rsidRPr="00A83C94">
        <w:t xml:space="preserve"> </w:t>
      </w:r>
      <w:r w:rsidR="00097DA7" w:rsidRPr="00A83C94">
        <w:t>1</w:t>
      </w:r>
      <w:r w:rsidR="00F46255" w:rsidRPr="00A83C94">
        <w:t xml:space="preserve">-ի </w:t>
      </w:r>
      <w:r w:rsidRPr="00A83C94">
        <w:t>դրությամբ ՀՀ արտար</w:t>
      </w:r>
      <w:r w:rsidRPr="00A83C94">
        <w:softHyphen/>
        <w:t>ժու</w:t>
      </w:r>
      <w:r w:rsidRPr="00A83C94">
        <w:softHyphen/>
        <w:t>թա</w:t>
      </w:r>
      <w:r w:rsidRPr="00A83C94">
        <w:softHyphen/>
        <w:t>յին շու</w:t>
      </w:r>
      <w:r w:rsidRPr="00A83C94">
        <w:softHyphen/>
      </w:r>
      <w:r w:rsidRPr="00A83C94">
        <w:softHyphen/>
        <w:t>կա</w:t>
      </w:r>
      <w:r w:rsidRPr="00A83C94">
        <w:softHyphen/>
        <w:t>յում ձևավորված տա</w:t>
      </w:r>
      <w:r w:rsidRPr="00A83C94">
        <w:softHyphen/>
        <w:t>րա</w:t>
      </w:r>
      <w:r w:rsidRPr="00A83C94">
        <w:softHyphen/>
        <w:t>դրա</w:t>
      </w:r>
      <w:r w:rsidRPr="00A83C94">
        <w:softHyphen/>
        <w:t>մի փոխարժեքները ՀՀ դրամով:</w:t>
      </w:r>
    </w:p>
    <w:p w14:paraId="7DF761D2" w14:textId="25E92862" w:rsidR="00D379EC" w:rsidRPr="00A83C94" w:rsidRDefault="0025299D" w:rsidP="0025299D">
      <w:pPr>
        <w:pStyle w:val="Caption"/>
        <w:rPr>
          <w:b/>
          <w:i/>
          <w:sz w:val="20"/>
          <w:szCs w:val="20"/>
          <w:lang w:val="hy-AM"/>
        </w:rPr>
      </w:pPr>
      <w:bookmarkStart w:id="195" w:name="_Toc525773067"/>
      <w:bookmarkStart w:id="196" w:name="_Toc20590407"/>
      <w:bookmarkStart w:id="197" w:name="_Toc83928940"/>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3</w:t>
      </w:r>
      <w:r>
        <w:fldChar w:fldCharType="end"/>
      </w:r>
      <w:r w:rsidR="00D02A2D" w:rsidRPr="008150A1">
        <w:rPr>
          <w:rFonts w:ascii="Cambria Math" w:hAnsi="Cambria Math" w:cs="Cambria Math"/>
          <w:lang w:val="hy-AM"/>
        </w:rPr>
        <w:t>․</w:t>
      </w:r>
      <w:r w:rsidR="00D02A2D" w:rsidRPr="00A83C94">
        <w:rPr>
          <w:rFonts w:ascii="Cambria Math" w:hAnsi="Cambria Math"/>
          <w:lang w:val="hy-AM"/>
        </w:rPr>
        <w:t xml:space="preserve"> </w:t>
      </w:r>
      <w:r w:rsidR="000E1796" w:rsidRPr="00A83C94">
        <w:rPr>
          <w:b/>
          <w:i/>
          <w:sz w:val="20"/>
          <w:szCs w:val="20"/>
          <w:lang w:val="hy-AM"/>
        </w:rPr>
        <w:t>ՀՀ 202</w:t>
      </w:r>
      <w:r w:rsidR="00097DA7" w:rsidRPr="00A83C94">
        <w:rPr>
          <w:b/>
          <w:i/>
          <w:sz w:val="20"/>
          <w:szCs w:val="20"/>
          <w:lang w:val="hy-AM"/>
        </w:rPr>
        <w:t>2</w:t>
      </w:r>
      <w:r w:rsidR="00D379EC" w:rsidRPr="00A83C94">
        <w:rPr>
          <w:b/>
          <w:i/>
          <w:sz w:val="20"/>
          <w:szCs w:val="20"/>
          <w:lang w:val="hy-AM"/>
        </w:rPr>
        <w:t xml:space="preserve"> թվականի պետական բյուջեի նախագծի հաշվարկներում կիրառված տարադրամների փոխարժեք</w:t>
      </w:r>
      <w:r w:rsidR="00D379EC" w:rsidRPr="00A83C94">
        <w:rPr>
          <w:b/>
          <w:i/>
          <w:sz w:val="20"/>
          <w:szCs w:val="20"/>
          <w:lang w:val="hy-AM"/>
        </w:rPr>
        <w:softHyphen/>
        <w:t>ները ՀՀ դրամով</w:t>
      </w:r>
      <w:bookmarkEnd w:id="195"/>
      <w:bookmarkEnd w:id="196"/>
      <w:bookmarkEnd w:id="197"/>
    </w:p>
    <w:tbl>
      <w:tblPr>
        <w:tblW w:w="7215" w:type="dxa"/>
        <w:tblInd w:w="93" w:type="dxa"/>
        <w:tblLayout w:type="fixed"/>
        <w:tblLook w:val="0000" w:firstRow="0" w:lastRow="0" w:firstColumn="0" w:lastColumn="0" w:noHBand="0" w:noVBand="0"/>
      </w:tblPr>
      <w:tblGrid>
        <w:gridCol w:w="5235"/>
        <w:gridCol w:w="1980"/>
      </w:tblGrid>
      <w:tr w:rsidR="00BF7CB6" w:rsidRPr="00A83C94" w14:paraId="2AE23AD5" w14:textId="77777777" w:rsidTr="00BF7CB6">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4F81BD" w:themeFill="accent1"/>
            <w:noWrap/>
            <w:vAlign w:val="center"/>
          </w:tcPr>
          <w:p w14:paraId="1670B2A6" w14:textId="77777777" w:rsidR="00D379EC" w:rsidRPr="00A83C94" w:rsidRDefault="00D379EC" w:rsidP="007730AA">
            <w:pPr>
              <w:pStyle w:val="1fa"/>
              <w:spacing w:line="276" w:lineRule="auto"/>
              <w:rPr>
                <w:b/>
                <w:color w:val="FFFFFF" w:themeColor="background1"/>
              </w:rPr>
            </w:pPr>
            <w:r w:rsidRPr="00A83C94">
              <w:rPr>
                <w:b/>
                <w:color w:val="FFFFFF" w:themeColor="background1"/>
              </w:rPr>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tcPr>
          <w:p w14:paraId="7C82396E" w14:textId="77777777" w:rsidR="00D379EC" w:rsidRPr="00A83C94" w:rsidRDefault="00D379EC" w:rsidP="007730AA">
            <w:pPr>
              <w:pStyle w:val="1fa"/>
              <w:spacing w:line="276" w:lineRule="auto"/>
              <w:rPr>
                <w:b/>
                <w:color w:val="FFFFFF" w:themeColor="background1"/>
              </w:rPr>
            </w:pPr>
            <w:r w:rsidRPr="00A83C94">
              <w:rPr>
                <w:b/>
                <w:color w:val="FFFFFF" w:themeColor="background1"/>
              </w:rPr>
              <w:t>Փոխարժեքը</w:t>
            </w:r>
            <w:r w:rsidR="007705D1" w:rsidRPr="00A83C94">
              <w:rPr>
                <w:b/>
                <w:color w:val="FFFFFF" w:themeColor="background1"/>
              </w:rPr>
              <w:t xml:space="preserve"> </w:t>
            </w:r>
            <w:r w:rsidRPr="00A83C94">
              <w:rPr>
                <w:b/>
                <w:color w:val="FFFFFF" w:themeColor="background1"/>
              </w:rPr>
              <w:t>ՀՀ դրամով</w:t>
            </w:r>
          </w:p>
        </w:tc>
      </w:tr>
      <w:tr w:rsidR="00D379EC" w:rsidRPr="00A83C94" w14:paraId="0A136B95"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43F7B93F" w14:textId="77777777" w:rsidR="00D379EC" w:rsidRPr="00A83C94" w:rsidRDefault="00D379EC" w:rsidP="007730AA">
            <w:pPr>
              <w:pStyle w:val="1fa"/>
              <w:spacing w:line="276" w:lineRule="auto"/>
              <w:jc w:val="left"/>
              <w:rPr>
                <w:color w:val="auto"/>
              </w:rPr>
            </w:pPr>
            <w:r w:rsidRPr="00A83C94">
              <w:rPr>
                <w:color w:val="auto"/>
              </w:rPr>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8A84C0" w14:textId="77777777" w:rsidR="00D379EC" w:rsidRPr="00A83C94" w:rsidRDefault="00485C0B" w:rsidP="00097DA7">
            <w:pPr>
              <w:pStyle w:val="1fa"/>
              <w:spacing w:line="276" w:lineRule="auto"/>
              <w:rPr>
                <w:color w:val="auto"/>
              </w:rPr>
            </w:pPr>
            <w:r w:rsidRPr="00A83C94">
              <w:rPr>
                <w:color w:val="auto"/>
              </w:rPr>
              <w:t>4</w:t>
            </w:r>
            <w:r w:rsidR="008B5F4E" w:rsidRPr="00A83C94">
              <w:rPr>
                <w:color w:val="auto"/>
                <w:lang w:val="hy-AM"/>
              </w:rPr>
              <w:t>93</w:t>
            </w:r>
            <w:r w:rsidRPr="00A83C94">
              <w:rPr>
                <w:color w:val="auto"/>
              </w:rPr>
              <w:t>.</w:t>
            </w:r>
            <w:r w:rsidR="008B5F4E" w:rsidRPr="00A83C94">
              <w:rPr>
                <w:color w:val="auto"/>
                <w:lang w:val="hy-AM"/>
              </w:rPr>
              <w:t>6</w:t>
            </w:r>
            <w:r w:rsidR="00097DA7" w:rsidRPr="00A83C94">
              <w:rPr>
                <w:color w:val="auto"/>
              </w:rPr>
              <w:t>0</w:t>
            </w:r>
          </w:p>
        </w:tc>
      </w:tr>
      <w:tr w:rsidR="00D379EC" w:rsidRPr="00A83C94" w14:paraId="2C22C946" w14:textId="77777777"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2612DE97" w14:textId="77777777" w:rsidR="00D379EC" w:rsidRPr="00A83C94" w:rsidRDefault="00D379EC" w:rsidP="007730AA">
            <w:pPr>
              <w:pStyle w:val="1fa"/>
              <w:spacing w:line="276" w:lineRule="auto"/>
              <w:jc w:val="left"/>
              <w:rPr>
                <w:color w:val="auto"/>
              </w:rPr>
            </w:pPr>
            <w:r w:rsidRPr="00A83C94">
              <w:rPr>
                <w:color w:val="auto"/>
              </w:rPr>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F207D2" w14:textId="77777777" w:rsidR="00D379EC" w:rsidRPr="00A83C94" w:rsidRDefault="00485C0B" w:rsidP="00097DA7">
            <w:pPr>
              <w:pStyle w:val="1fa"/>
              <w:spacing w:line="276" w:lineRule="auto"/>
              <w:rPr>
                <w:color w:val="auto"/>
              </w:rPr>
            </w:pPr>
            <w:r w:rsidRPr="00A83C94">
              <w:rPr>
                <w:color w:val="auto"/>
              </w:rPr>
              <w:t>5</w:t>
            </w:r>
            <w:r w:rsidR="00097DA7" w:rsidRPr="00A83C94">
              <w:rPr>
                <w:color w:val="auto"/>
              </w:rPr>
              <w:t>83</w:t>
            </w:r>
            <w:r w:rsidRPr="00A83C94">
              <w:rPr>
                <w:color w:val="auto"/>
              </w:rPr>
              <w:t>.</w:t>
            </w:r>
            <w:r w:rsidR="00097DA7" w:rsidRPr="00A83C94">
              <w:rPr>
                <w:color w:val="auto"/>
              </w:rPr>
              <w:t>34</w:t>
            </w:r>
          </w:p>
        </w:tc>
      </w:tr>
      <w:tr w:rsidR="00D379EC" w:rsidRPr="00A83C94" w14:paraId="53D14F83"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14:paraId="4D904EEE" w14:textId="77777777" w:rsidR="00D379EC" w:rsidRPr="00A83C94" w:rsidRDefault="00D379EC" w:rsidP="007730AA">
            <w:pPr>
              <w:pStyle w:val="1fa"/>
              <w:spacing w:line="276" w:lineRule="auto"/>
              <w:jc w:val="left"/>
              <w:rPr>
                <w:color w:val="auto"/>
              </w:rPr>
            </w:pPr>
            <w:r w:rsidRPr="00A83C94">
              <w:rPr>
                <w:color w:val="auto"/>
              </w:rPr>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30EBC2" w14:textId="77777777" w:rsidR="00D379EC" w:rsidRPr="00A83C94" w:rsidRDefault="00485C0B" w:rsidP="00097DA7">
            <w:pPr>
              <w:pStyle w:val="1fa"/>
              <w:spacing w:line="276" w:lineRule="auto"/>
              <w:rPr>
                <w:color w:val="auto"/>
              </w:rPr>
            </w:pPr>
            <w:r w:rsidRPr="00A83C94">
              <w:rPr>
                <w:color w:val="auto"/>
              </w:rPr>
              <w:t>6</w:t>
            </w:r>
            <w:r w:rsidR="008B5F4E" w:rsidRPr="00A83C94">
              <w:rPr>
                <w:color w:val="auto"/>
                <w:lang w:val="hy-AM"/>
              </w:rPr>
              <w:t>7</w:t>
            </w:r>
            <w:r w:rsidR="00097DA7" w:rsidRPr="00A83C94">
              <w:rPr>
                <w:color w:val="auto"/>
              </w:rPr>
              <w:t>9</w:t>
            </w:r>
            <w:r w:rsidRPr="00A83C94">
              <w:rPr>
                <w:color w:val="auto"/>
              </w:rPr>
              <w:t>.</w:t>
            </w:r>
            <w:r w:rsidR="00097DA7" w:rsidRPr="00A83C94">
              <w:rPr>
                <w:color w:val="auto"/>
              </w:rPr>
              <w:t>05</w:t>
            </w:r>
          </w:p>
        </w:tc>
      </w:tr>
      <w:tr w:rsidR="00D379EC" w:rsidRPr="00A83C94" w14:paraId="148F878A" w14:textId="77777777"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14:paraId="1FE42CDC" w14:textId="77777777" w:rsidR="00D379EC" w:rsidRPr="00A83C94" w:rsidRDefault="00D379EC" w:rsidP="007730AA">
            <w:pPr>
              <w:pStyle w:val="1fa"/>
              <w:spacing w:line="276" w:lineRule="auto"/>
              <w:jc w:val="left"/>
              <w:rPr>
                <w:color w:val="auto"/>
              </w:rPr>
            </w:pPr>
            <w:r w:rsidRPr="00A83C94">
              <w:rPr>
                <w:color w:val="auto"/>
              </w:rPr>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99A65A" w14:textId="77777777" w:rsidR="00D379EC" w:rsidRPr="00A83C94" w:rsidRDefault="00FC5B0B" w:rsidP="007730AA">
            <w:pPr>
              <w:pStyle w:val="1fa"/>
              <w:spacing w:line="276" w:lineRule="auto"/>
              <w:rPr>
                <w:color w:val="auto"/>
                <w:lang w:val="ru-RU"/>
              </w:rPr>
            </w:pPr>
            <w:r w:rsidRPr="00A83C94">
              <w:rPr>
                <w:color w:val="auto"/>
                <w:lang w:val="hy-AM"/>
              </w:rPr>
              <w:t>6</w:t>
            </w:r>
            <w:r w:rsidR="00A655E1" w:rsidRPr="00A83C94">
              <w:rPr>
                <w:color w:val="auto"/>
              </w:rPr>
              <w:t>.</w:t>
            </w:r>
            <w:r w:rsidR="00097DA7" w:rsidRPr="00A83C94">
              <w:rPr>
                <w:color w:val="auto"/>
                <w:lang w:val="hy-AM"/>
              </w:rPr>
              <w:t>7</w:t>
            </w:r>
            <w:r w:rsidR="008B5F4E" w:rsidRPr="00A83C94">
              <w:rPr>
                <w:color w:val="auto"/>
                <w:lang w:val="hy-AM"/>
              </w:rPr>
              <w:t>5</w:t>
            </w:r>
          </w:p>
        </w:tc>
      </w:tr>
      <w:tr w:rsidR="00D379EC" w:rsidRPr="00A83C94" w14:paraId="02143BCF" w14:textId="77777777"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14:paraId="614F7F7D" w14:textId="77777777" w:rsidR="00D379EC" w:rsidRPr="00A83C94" w:rsidRDefault="00D379EC" w:rsidP="007730AA">
            <w:pPr>
              <w:pStyle w:val="1fa"/>
              <w:spacing w:line="276" w:lineRule="auto"/>
              <w:jc w:val="left"/>
              <w:rPr>
                <w:color w:val="auto"/>
              </w:rPr>
            </w:pPr>
            <w:r w:rsidRPr="00A83C94">
              <w:rPr>
                <w:color w:val="auto"/>
              </w:rPr>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DACDC1" w14:textId="77777777" w:rsidR="00D379EC" w:rsidRPr="00A83C94" w:rsidRDefault="00FC5B0B" w:rsidP="00097DA7">
            <w:pPr>
              <w:pStyle w:val="1fa"/>
              <w:spacing w:line="276" w:lineRule="auto"/>
              <w:rPr>
                <w:color w:val="auto"/>
              </w:rPr>
            </w:pPr>
            <w:r w:rsidRPr="00A83C94">
              <w:rPr>
                <w:color w:val="auto"/>
                <w:lang w:val="hy-AM"/>
              </w:rPr>
              <w:t>538</w:t>
            </w:r>
            <w:r w:rsidR="00485C0B" w:rsidRPr="00A83C94">
              <w:rPr>
                <w:color w:val="auto"/>
              </w:rPr>
              <w:t>.</w:t>
            </w:r>
            <w:r w:rsidR="00097DA7" w:rsidRPr="00A83C94">
              <w:rPr>
                <w:color w:val="auto"/>
                <w:lang w:val="hy-AM"/>
              </w:rPr>
              <w:t>57</w:t>
            </w:r>
          </w:p>
        </w:tc>
      </w:tr>
      <w:tr w:rsidR="00D379EC" w:rsidRPr="00A83C94" w14:paraId="7A5804D9" w14:textId="77777777"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14:paraId="5D472DBE" w14:textId="77777777" w:rsidR="00D379EC" w:rsidRPr="00A83C94" w:rsidRDefault="00D379EC" w:rsidP="007730AA">
            <w:pPr>
              <w:pStyle w:val="1fa"/>
              <w:spacing w:line="276" w:lineRule="auto"/>
              <w:jc w:val="left"/>
              <w:rPr>
                <w:color w:val="auto"/>
              </w:rPr>
            </w:pPr>
            <w:r w:rsidRPr="00A83C94">
              <w:rPr>
                <w:color w:val="auto"/>
              </w:rPr>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B2BF0D" w14:textId="77777777" w:rsidR="00D379EC" w:rsidRPr="00A83C94" w:rsidRDefault="00097DA7" w:rsidP="00097DA7">
            <w:pPr>
              <w:pStyle w:val="1fa"/>
              <w:spacing w:line="276" w:lineRule="auto"/>
              <w:rPr>
                <w:color w:val="auto"/>
              </w:rPr>
            </w:pPr>
            <w:r w:rsidRPr="00A83C94">
              <w:rPr>
                <w:color w:val="auto"/>
                <w:lang w:val="hy-AM"/>
              </w:rPr>
              <w:t>391</w:t>
            </w:r>
            <w:r w:rsidR="00FC5B0B" w:rsidRPr="00A83C94">
              <w:rPr>
                <w:color w:val="auto"/>
                <w:lang w:val="hy-AM"/>
              </w:rPr>
              <w:t>.</w:t>
            </w:r>
            <w:r w:rsidRPr="00A83C94">
              <w:rPr>
                <w:color w:val="auto"/>
              </w:rPr>
              <w:t>75</w:t>
            </w:r>
          </w:p>
        </w:tc>
      </w:tr>
      <w:tr w:rsidR="00D379EC" w:rsidRPr="00A83C94" w14:paraId="3AD415D6"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1DBF02B4" w14:textId="77777777" w:rsidR="00D379EC" w:rsidRPr="00A83C94" w:rsidRDefault="00D379EC" w:rsidP="007730AA">
            <w:pPr>
              <w:pStyle w:val="1fa"/>
              <w:spacing w:line="276" w:lineRule="auto"/>
              <w:jc w:val="left"/>
              <w:rPr>
                <w:color w:val="auto"/>
              </w:rPr>
            </w:pPr>
            <w:r w:rsidRPr="00A83C94">
              <w:rPr>
                <w:color w:val="auto"/>
              </w:rPr>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D76F42" w14:textId="77777777" w:rsidR="00D379EC" w:rsidRPr="00A83C94" w:rsidRDefault="000E1796" w:rsidP="00097DA7">
            <w:pPr>
              <w:pStyle w:val="1fa"/>
              <w:spacing w:line="276" w:lineRule="auto"/>
              <w:rPr>
                <w:color w:val="auto"/>
                <w:lang w:val="hy-AM"/>
              </w:rPr>
            </w:pPr>
            <w:r w:rsidRPr="00A83C94">
              <w:rPr>
                <w:color w:val="auto"/>
              </w:rPr>
              <w:t>4</w:t>
            </w:r>
            <w:r w:rsidR="00097DA7" w:rsidRPr="00A83C94">
              <w:rPr>
                <w:color w:val="auto"/>
              </w:rPr>
              <w:t>4</w:t>
            </w:r>
            <w:r w:rsidR="00A655E1" w:rsidRPr="00A83C94">
              <w:rPr>
                <w:color w:val="auto"/>
              </w:rPr>
              <w:t>.</w:t>
            </w:r>
            <w:r w:rsidR="00097DA7" w:rsidRPr="00A83C94">
              <w:rPr>
                <w:color w:val="auto"/>
              </w:rPr>
              <w:t>76</w:t>
            </w:r>
          </w:p>
        </w:tc>
      </w:tr>
      <w:tr w:rsidR="00D379EC" w:rsidRPr="00A83C94" w14:paraId="2EB0D545"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75568AEE" w14:textId="77777777" w:rsidR="00D379EC" w:rsidRPr="00A83C94" w:rsidRDefault="00D379EC" w:rsidP="007730AA">
            <w:pPr>
              <w:pStyle w:val="1fa"/>
              <w:spacing w:line="276" w:lineRule="auto"/>
              <w:jc w:val="left"/>
              <w:rPr>
                <w:color w:val="auto"/>
              </w:rPr>
            </w:pPr>
            <w:r w:rsidRPr="00A83C94">
              <w:rPr>
                <w:color w:val="auto"/>
              </w:rPr>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1CC4A6" w14:textId="77777777" w:rsidR="00D379EC" w:rsidRPr="00A83C94" w:rsidRDefault="00FC5B0B" w:rsidP="00097DA7">
            <w:pPr>
              <w:pStyle w:val="1fa"/>
              <w:spacing w:line="276" w:lineRule="auto"/>
              <w:rPr>
                <w:color w:val="auto"/>
                <w:lang w:val="hy-AM"/>
              </w:rPr>
            </w:pPr>
            <w:r w:rsidRPr="00A83C94">
              <w:rPr>
                <w:color w:val="auto"/>
                <w:lang w:val="ru-RU"/>
              </w:rPr>
              <w:t>7</w:t>
            </w:r>
            <w:r w:rsidR="00097DA7" w:rsidRPr="00A83C94">
              <w:rPr>
                <w:color w:val="auto"/>
              </w:rPr>
              <w:t>6</w:t>
            </w:r>
            <w:r w:rsidR="00485C0B" w:rsidRPr="00A83C94">
              <w:rPr>
                <w:color w:val="auto"/>
                <w:lang w:val="ru-RU"/>
              </w:rPr>
              <w:t>.</w:t>
            </w:r>
            <w:r w:rsidR="00097DA7" w:rsidRPr="00A83C94">
              <w:rPr>
                <w:color w:val="auto"/>
              </w:rPr>
              <w:t>31</w:t>
            </w:r>
          </w:p>
        </w:tc>
      </w:tr>
    </w:tbl>
    <w:p w14:paraId="01DA853B" w14:textId="7519C078" w:rsidR="007E430F" w:rsidRPr="00A83C94" w:rsidRDefault="007E430F" w:rsidP="002F7255">
      <w:pPr>
        <w:pStyle w:val="Heading3"/>
      </w:pPr>
      <w:bookmarkStart w:id="198" w:name="_Toc83996357"/>
      <w:r w:rsidRPr="00A83C94">
        <w:t>Պետական բյուջեի դեֆիցիտի ֆինանսավորման աղբյուրները</w:t>
      </w:r>
      <w:bookmarkEnd w:id="198"/>
    </w:p>
    <w:p w14:paraId="6DAF1A7A" w14:textId="762F9FAA" w:rsidR="00B12CF6" w:rsidRPr="007C4A2C" w:rsidRDefault="00B12CF6" w:rsidP="00B12CF6">
      <w:pPr>
        <w:spacing w:before="0" w:line="276" w:lineRule="auto"/>
        <w:ind w:firstLine="600"/>
        <w:contextualSpacing w:val="0"/>
        <w:rPr>
          <w:rFonts w:cs="Sylfaen"/>
          <w:b w:val="0"/>
          <w:szCs w:val="22"/>
          <w:lang w:val="hy-AM" w:eastAsia="en-US"/>
        </w:rPr>
      </w:pPr>
      <w:bookmarkStart w:id="199" w:name="_Toc57655464"/>
      <w:bookmarkStart w:id="200" w:name="_Toc57655465"/>
      <w:r w:rsidRPr="00BF7CB6">
        <w:rPr>
          <w:rFonts w:cs="Sylfaen"/>
          <w:b w:val="0"/>
          <w:szCs w:val="22"/>
          <w:lang w:val="hy-AM" w:eastAsia="en-US"/>
        </w:rPr>
        <w:t>Պետական</w:t>
      </w:r>
      <w:r w:rsidRPr="00F92656">
        <w:rPr>
          <w:rFonts w:cs="Sylfaen"/>
          <w:b w:val="0"/>
          <w:szCs w:val="22"/>
          <w:lang w:val="hy-AM" w:eastAsia="en-US"/>
        </w:rPr>
        <w:t xml:space="preserve">  </w:t>
      </w:r>
      <w:r w:rsidRPr="00BF7CB6">
        <w:rPr>
          <w:rFonts w:cs="Sylfaen"/>
          <w:b w:val="0"/>
          <w:szCs w:val="22"/>
          <w:lang w:val="hy-AM" w:eastAsia="en-US"/>
        </w:rPr>
        <w:t>բյուջեի</w:t>
      </w:r>
      <w:r w:rsidRPr="00F92656">
        <w:rPr>
          <w:rFonts w:cs="Sylfaen"/>
          <w:b w:val="0"/>
          <w:szCs w:val="22"/>
          <w:lang w:val="hy-AM" w:eastAsia="en-US"/>
        </w:rPr>
        <w:t xml:space="preserve"> </w:t>
      </w:r>
      <w:r w:rsidRPr="00BF7CB6">
        <w:rPr>
          <w:rFonts w:cs="Sylfaen"/>
          <w:b w:val="0"/>
          <w:szCs w:val="22"/>
          <w:lang w:val="hy-AM" w:eastAsia="en-US"/>
        </w:rPr>
        <w:t>ձևավորումը 202</w:t>
      </w:r>
      <w:r>
        <w:rPr>
          <w:rFonts w:cs="Sylfaen"/>
          <w:b w:val="0"/>
          <w:szCs w:val="22"/>
          <w:lang w:val="hy-AM" w:eastAsia="en-US"/>
        </w:rPr>
        <w:t>2</w:t>
      </w:r>
      <w:r w:rsidRPr="00BF7CB6">
        <w:rPr>
          <w:rFonts w:cs="Sylfaen"/>
          <w:b w:val="0"/>
          <w:szCs w:val="22"/>
          <w:lang w:val="hy-AM" w:eastAsia="en-US"/>
        </w:rPr>
        <w:t xml:space="preserve"> թվականին շարունակելու </w:t>
      </w:r>
      <w:r w:rsidRPr="00F92656">
        <w:rPr>
          <w:rFonts w:cs="Sylfaen"/>
          <w:b w:val="0"/>
          <w:szCs w:val="22"/>
          <w:lang w:val="hy-AM" w:eastAsia="en-US"/>
        </w:rPr>
        <w:t xml:space="preserve"> </w:t>
      </w:r>
      <w:r w:rsidRPr="00BF7CB6">
        <w:rPr>
          <w:rFonts w:cs="Sylfaen"/>
          <w:b w:val="0"/>
          <w:szCs w:val="22"/>
          <w:lang w:val="hy-AM" w:eastAsia="en-US"/>
        </w:rPr>
        <w:t>է</w:t>
      </w:r>
      <w:r w:rsidRPr="00F92656">
        <w:rPr>
          <w:rFonts w:cs="Sylfaen"/>
          <w:b w:val="0"/>
          <w:szCs w:val="22"/>
          <w:lang w:val="hy-AM" w:eastAsia="en-US"/>
        </w:rPr>
        <w:t xml:space="preserve"> </w:t>
      </w:r>
      <w:r w:rsidRPr="00BF7CB6">
        <w:rPr>
          <w:rFonts w:cs="Sylfaen"/>
          <w:b w:val="0"/>
          <w:szCs w:val="22"/>
          <w:lang w:val="hy-AM" w:eastAsia="en-US"/>
        </w:rPr>
        <w:t>ընթանալ</w:t>
      </w:r>
      <w:r w:rsidRPr="00F92656">
        <w:rPr>
          <w:rFonts w:cs="Sylfaen"/>
          <w:b w:val="0"/>
          <w:szCs w:val="22"/>
          <w:lang w:val="hy-AM" w:eastAsia="en-US"/>
        </w:rPr>
        <w:t xml:space="preserve"> </w:t>
      </w:r>
      <w:r w:rsidRPr="00BF7CB6">
        <w:rPr>
          <w:rFonts w:cs="Sylfaen"/>
          <w:b w:val="0"/>
          <w:szCs w:val="22"/>
          <w:lang w:val="hy-AM" w:eastAsia="en-US"/>
        </w:rPr>
        <w:t>բյուջե</w:t>
      </w:r>
      <w:r w:rsidRPr="00BF7CB6">
        <w:rPr>
          <w:rFonts w:cs="Sylfaen"/>
          <w:b w:val="0"/>
          <w:szCs w:val="22"/>
          <w:lang w:val="hy-AM" w:eastAsia="en-US"/>
        </w:rPr>
        <w:softHyphen/>
        <w:t>տա</w:t>
      </w:r>
      <w:r w:rsidRPr="00BF7CB6">
        <w:rPr>
          <w:rFonts w:cs="Sylfaen"/>
          <w:b w:val="0"/>
          <w:szCs w:val="22"/>
          <w:lang w:val="hy-AM" w:eastAsia="en-US"/>
        </w:rPr>
        <w:softHyphen/>
        <w:t>յին</w:t>
      </w:r>
      <w:r w:rsidRPr="00F92656">
        <w:rPr>
          <w:rFonts w:cs="Sylfaen"/>
          <w:b w:val="0"/>
          <w:szCs w:val="22"/>
          <w:lang w:val="hy-AM" w:eastAsia="en-US"/>
        </w:rPr>
        <w:t xml:space="preserve"> </w:t>
      </w:r>
      <w:r w:rsidRPr="00BF7CB6">
        <w:rPr>
          <w:rFonts w:cs="Sylfaen"/>
          <w:b w:val="0"/>
          <w:szCs w:val="22"/>
          <w:lang w:val="hy-AM" w:eastAsia="en-US"/>
        </w:rPr>
        <w:t>եկա</w:t>
      </w:r>
      <w:r w:rsidRPr="00BF7CB6">
        <w:rPr>
          <w:rFonts w:cs="Sylfaen"/>
          <w:b w:val="0"/>
          <w:szCs w:val="22"/>
          <w:lang w:val="hy-AM" w:eastAsia="en-US"/>
        </w:rPr>
        <w:softHyphen/>
        <w:t>մուտների</w:t>
      </w:r>
      <w:r w:rsidRPr="00F92656">
        <w:rPr>
          <w:rFonts w:cs="Sylfaen"/>
          <w:b w:val="0"/>
          <w:szCs w:val="22"/>
          <w:lang w:val="hy-AM" w:eastAsia="en-US"/>
        </w:rPr>
        <w:t xml:space="preserve"> </w:t>
      </w:r>
      <w:r w:rsidRPr="00BF7CB6">
        <w:rPr>
          <w:rFonts w:cs="Sylfaen"/>
          <w:b w:val="0"/>
          <w:szCs w:val="22"/>
          <w:lang w:val="hy-AM" w:eastAsia="en-US"/>
        </w:rPr>
        <w:t>նկատ</w:t>
      </w:r>
      <w:r w:rsidRPr="00BF7CB6">
        <w:rPr>
          <w:rFonts w:cs="Sylfaen"/>
          <w:b w:val="0"/>
          <w:szCs w:val="22"/>
          <w:lang w:val="hy-AM" w:eastAsia="en-US"/>
        </w:rPr>
        <w:softHyphen/>
        <w:t>մամբ</w:t>
      </w:r>
      <w:r w:rsidRPr="00F92656">
        <w:rPr>
          <w:rFonts w:cs="Sylfaen"/>
          <w:b w:val="0"/>
          <w:szCs w:val="22"/>
          <w:lang w:val="hy-AM" w:eastAsia="en-US"/>
        </w:rPr>
        <w:t xml:space="preserve"> </w:t>
      </w:r>
      <w:r w:rsidRPr="00BF7CB6">
        <w:rPr>
          <w:rFonts w:cs="Sylfaen"/>
          <w:b w:val="0"/>
          <w:szCs w:val="22"/>
          <w:lang w:val="hy-AM" w:eastAsia="en-US"/>
        </w:rPr>
        <w:t>ծախսերի</w:t>
      </w:r>
      <w:r w:rsidRPr="00F92656">
        <w:rPr>
          <w:rFonts w:cs="Sylfaen"/>
          <w:b w:val="0"/>
          <w:szCs w:val="22"/>
          <w:lang w:val="hy-AM" w:eastAsia="en-US"/>
        </w:rPr>
        <w:t xml:space="preserve"> </w:t>
      </w:r>
      <w:r w:rsidRPr="00BF7CB6">
        <w:rPr>
          <w:rFonts w:cs="Sylfaen"/>
          <w:b w:val="0"/>
          <w:szCs w:val="22"/>
          <w:lang w:val="hy-AM" w:eastAsia="en-US"/>
        </w:rPr>
        <w:t>գերազանցմամբ</w:t>
      </w:r>
      <w:r w:rsidRPr="00F92656">
        <w:rPr>
          <w:rFonts w:cs="Sylfaen"/>
          <w:b w:val="0"/>
          <w:szCs w:val="22"/>
          <w:lang w:val="hy-AM" w:eastAsia="en-US"/>
        </w:rPr>
        <w:t xml:space="preserve">, </w:t>
      </w:r>
      <w:r w:rsidRPr="00BF7CB6">
        <w:rPr>
          <w:rFonts w:cs="Sylfaen"/>
          <w:b w:val="0"/>
          <w:szCs w:val="22"/>
          <w:lang w:val="hy-AM" w:eastAsia="en-US"/>
        </w:rPr>
        <w:t>ընդ</w:t>
      </w:r>
      <w:r w:rsidRPr="00F92656">
        <w:rPr>
          <w:rFonts w:cs="Sylfaen"/>
          <w:b w:val="0"/>
          <w:szCs w:val="22"/>
          <w:lang w:val="hy-AM" w:eastAsia="en-US"/>
        </w:rPr>
        <w:t xml:space="preserve"> </w:t>
      </w:r>
      <w:r w:rsidRPr="00BF7CB6">
        <w:rPr>
          <w:rFonts w:cs="Sylfaen"/>
          <w:b w:val="0"/>
          <w:szCs w:val="22"/>
          <w:lang w:val="hy-AM" w:eastAsia="en-US"/>
        </w:rPr>
        <w:t>որում՝</w:t>
      </w:r>
      <w:r w:rsidRPr="00F92656">
        <w:rPr>
          <w:rFonts w:cs="Sylfaen"/>
          <w:b w:val="0"/>
          <w:szCs w:val="22"/>
          <w:lang w:val="hy-AM" w:eastAsia="en-US"/>
        </w:rPr>
        <w:t xml:space="preserve"> </w:t>
      </w:r>
      <w:r w:rsidRPr="00BF7CB6">
        <w:rPr>
          <w:rFonts w:cs="Sylfaen"/>
          <w:b w:val="0"/>
          <w:szCs w:val="22"/>
          <w:lang w:val="hy-AM" w:eastAsia="en-US"/>
        </w:rPr>
        <w:t>բյուջետային</w:t>
      </w:r>
      <w:r w:rsidRPr="00F92656">
        <w:rPr>
          <w:rFonts w:cs="Sylfaen"/>
          <w:b w:val="0"/>
          <w:szCs w:val="22"/>
          <w:lang w:val="hy-AM" w:eastAsia="en-US"/>
        </w:rPr>
        <w:t xml:space="preserve"> </w:t>
      </w:r>
      <w:r w:rsidRPr="00BF7CB6">
        <w:rPr>
          <w:rFonts w:cs="Sylfaen"/>
          <w:b w:val="0"/>
          <w:szCs w:val="22"/>
          <w:lang w:val="hy-AM" w:eastAsia="en-US"/>
        </w:rPr>
        <w:t>դեֆիցի</w:t>
      </w:r>
      <w:r w:rsidRPr="00BF7CB6">
        <w:rPr>
          <w:rFonts w:cs="Sylfaen"/>
          <w:b w:val="0"/>
          <w:szCs w:val="22"/>
          <w:lang w:val="hy-AM" w:eastAsia="en-US"/>
        </w:rPr>
        <w:softHyphen/>
        <w:t>տի</w:t>
      </w:r>
      <w:r w:rsidRPr="00F92656">
        <w:rPr>
          <w:rFonts w:cs="Sylfaen"/>
          <w:b w:val="0"/>
          <w:szCs w:val="22"/>
          <w:lang w:val="hy-AM" w:eastAsia="en-US"/>
        </w:rPr>
        <w:t xml:space="preserve"> </w:t>
      </w:r>
      <w:r w:rsidRPr="00BF7CB6">
        <w:rPr>
          <w:rFonts w:cs="Sylfaen"/>
          <w:b w:val="0"/>
          <w:szCs w:val="22"/>
          <w:lang w:val="hy-AM" w:eastAsia="en-US"/>
        </w:rPr>
        <w:t>ֆինան</w:t>
      </w:r>
      <w:r w:rsidRPr="00F92656">
        <w:rPr>
          <w:rFonts w:cs="Sylfaen"/>
          <w:b w:val="0"/>
          <w:szCs w:val="22"/>
          <w:lang w:val="hy-AM" w:eastAsia="en-US"/>
        </w:rPr>
        <w:softHyphen/>
      </w:r>
      <w:r w:rsidRPr="00BF7CB6">
        <w:rPr>
          <w:rFonts w:cs="Sylfaen"/>
          <w:b w:val="0"/>
          <w:szCs w:val="22"/>
          <w:lang w:val="hy-AM" w:eastAsia="en-US"/>
        </w:rPr>
        <w:softHyphen/>
        <w:t>սա</w:t>
      </w:r>
      <w:r w:rsidRPr="00BF7CB6">
        <w:rPr>
          <w:rFonts w:cs="Sylfaen"/>
          <w:b w:val="0"/>
          <w:szCs w:val="22"/>
          <w:lang w:val="hy-AM" w:eastAsia="en-US"/>
        </w:rPr>
        <w:softHyphen/>
        <w:t>վորման</w:t>
      </w:r>
      <w:r w:rsidRPr="00F92656">
        <w:rPr>
          <w:rFonts w:cs="Sylfaen"/>
          <w:b w:val="0"/>
          <w:szCs w:val="22"/>
          <w:lang w:val="hy-AM" w:eastAsia="en-US"/>
        </w:rPr>
        <w:t xml:space="preserve"> </w:t>
      </w:r>
      <w:r w:rsidRPr="00BF7CB6">
        <w:rPr>
          <w:rFonts w:cs="Sylfaen"/>
          <w:b w:val="0"/>
          <w:szCs w:val="22"/>
          <w:lang w:val="hy-AM" w:eastAsia="en-US"/>
        </w:rPr>
        <w:t>համար</w:t>
      </w:r>
      <w:r w:rsidRPr="00F92656">
        <w:rPr>
          <w:rFonts w:cs="Sylfaen"/>
          <w:b w:val="0"/>
          <w:szCs w:val="22"/>
          <w:lang w:val="hy-AM" w:eastAsia="en-US"/>
        </w:rPr>
        <w:t xml:space="preserve"> </w:t>
      </w:r>
      <w:r w:rsidRPr="00BF7CB6">
        <w:rPr>
          <w:rFonts w:cs="Sylfaen"/>
          <w:b w:val="0"/>
          <w:szCs w:val="22"/>
          <w:lang w:val="hy-AM" w:eastAsia="en-US"/>
        </w:rPr>
        <w:t>միջոց</w:t>
      </w:r>
      <w:r w:rsidRPr="00BF7CB6">
        <w:rPr>
          <w:rFonts w:cs="Sylfaen"/>
          <w:b w:val="0"/>
          <w:szCs w:val="22"/>
          <w:lang w:val="hy-AM" w:eastAsia="en-US"/>
        </w:rPr>
        <w:softHyphen/>
        <w:t>ների</w:t>
      </w:r>
      <w:r w:rsidRPr="00F92656">
        <w:rPr>
          <w:rFonts w:cs="Sylfaen"/>
          <w:b w:val="0"/>
          <w:szCs w:val="22"/>
          <w:lang w:val="hy-AM" w:eastAsia="en-US"/>
        </w:rPr>
        <w:t xml:space="preserve"> </w:t>
      </w:r>
      <w:r w:rsidRPr="00BF7CB6">
        <w:rPr>
          <w:rFonts w:cs="Sylfaen"/>
          <w:b w:val="0"/>
          <w:szCs w:val="22"/>
          <w:lang w:val="hy-AM" w:eastAsia="en-US"/>
        </w:rPr>
        <w:t>ներգրավումն</w:t>
      </w:r>
      <w:r w:rsidRPr="00F92656">
        <w:rPr>
          <w:rFonts w:cs="Sylfaen"/>
          <w:b w:val="0"/>
          <w:szCs w:val="22"/>
          <w:lang w:val="hy-AM" w:eastAsia="en-US"/>
        </w:rPr>
        <w:t xml:space="preserve"> </w:t>
      </w:r>
      <w:r w:rsidRPr="00BF7CB6">
        <w:rPr>
          <w:rFonts w:cs="Sylfaen"/>
          <w:b w:val="0"/>
          <w:szCs w:val="22"/>
          <w:lang w:val="hy-AM" w:eastAsia="en-US"/>
        </w:rPr>
        <w:t>իրականացվելու</w:t>
      </w:r>
      <w:r w:rsidRPr="00F92656">
        <w:rPr>
          <w:rFonts w:cs="Sylfaen"/>
          <w:b w:val="0"/>
          <w:szCs w:val="22"/>
          <w:lang w:val="hy-AM" w:eastAsia="en-US"/>
        </w:rPr>
        <w:t xml:space="preserve"> </w:t>
      </w:r>
      <w:r w:rsidRPr="00BF7CB6">
        <w:rPr>
          <w:rFonts w:cs="Sylfaen"/>
          <w:b w:val="0"/>
          <w:szCs w:val="22"/>
          <w:lang w:val="hy-AM" w:eastAsia="en-US"/>
        </w:rPr>
        <w:t>է</w:t>
      </w:r>
      <w:r w:rsidRPr="00F92656">
        <w:rPr>
          <w:rFonts w:cs="Sylfaen"/>
          <w:b w:val="0"/>
          <w:szCs w:val="22"/>
          <w:lang w:val="hy-AM" w:eastAsia="en-US"/>
        </w:rPr>
        <w:t xml:space="preserve"> </w:t>
      </w:r>
      <w:r w:rsidRPr="00BF7CB6">
        <w:rPr>
          <w:rFonts w:cs="Sylfaen"/>
          <w:b w:val="0"/>
          <w:szCs w:val="22"/>
          <w:lang w:val="hy-AM" w:eastAsia="en-US"/>
        </w:rPr>
        <w:t>ինչպես</w:t>
      </w:r>
      <w:r w:rsidRPr="00F92656">
        <w:rPr>
          <w:rFonts w:cs="Sylfaen"/>
          <w:b w:val="0"/>
          <w:szCs w:val="22"/>
          <w:lang w:val="hy-AM" w:eastAsia="en-US"/>
        </w:rPr>
        <w:t xml:space="preserve"> </w:t>
      </w:r>
      <w:r w:rsidRPr="00BF7CB6">
        <w:rPr>
          <w:rFonts w:cs="Sylfaen"/>
          <w:b w:val="0"/>
          <w:szCs w:val="22"/>
          <w:lang w:val="hy-AM" w:eastAsia="en-US"/>
        </w:rPr>
        <w:t>ներքին</w:t>
      </w:r>
      <w:r w:rsidRPr="00F92656">
        <w:rPr>
          <w:rFonts w:cs="Sylfaen"/>
          <w:b w:val="0"/>
          <w:szCs w:val="22"/>
          <w:lang w:val="hy-AM" w:eastAsia="en-US"/>
        </w:rPr>
        <w:t xml:space="preserve">, </w:t>
      </w:r>
      <w:r w:rsidRPr="00BF7CB6">
        <w:rPr>
          <w:rFonts w:cs="Sylfaen"/>
          <w:b w:val="0"/>
          <w:szCs w:val="22"/>
          <w:lang w:val="hy-AM" w:eastAsia="en-US"/>
        </w:rPr>
        <w:t>այն</w:t>
      </w:r>
      <w:r w:rsidRPr="00BF7CB6">
        <w:rPr>
          <w:rFonts w:cs="Sylfaen"/>
          <w:b w:val="0"/>
          <w:szCs w:val="22"/>
          <w:lang w:val="hy-AM" w:eastAsia="en-US"/>
        </w:rPr>
        <w:softHyphen/>
        <w:t>պես</w:t>
      </w:r>
      <w:r w:rsidRPr="00F92656">
        <w:rPr>
          <w:rFonts w:cs="Sylfaen"/>
          <w:b w:val="0"/>
          <w:szCs w:val="22"/>
          <w:lang w:val="hy-AM" w:eastAsia="en-US"/>
        </w:rPr>
        <w:t xml:space="preserve"> </w:t>
      </w:r>
      <w:r w:rsidRPr="00BF7CB6">
        <w:rPr>
          <w:rFonts w:cs="Sylfaen"/>
          <w:b w:val="0"/>
          <w:szCs w:val="22"/>
          <w:lang w:val="hy-AM" w:eastAsia="en-US"/>
        </w:rPr>
        <w:t>էլ</w:t>
      </w:r>
      <w:r w:rsidRPr="00F92656">
        <w:rPr>
          <w:rFonts w:cs="Sylfaen"/>
          <w:b w:val="0"/>
          <w:szCs w:val="22"/>
          <w:lang w:val="hy-AM" w:eastAsia="en-US"/>
        </w:rPr>
        <w:t xml:space="preserve">  </w:t>
      </w:r>
      <w:r w:rsidRPr="00BF7CB6">
        <w:rPr>
          <w:rFonts w:cs="Sylfaen"/>
          <w:b w:val="0"/>
          <w:szCs w:val="22"/>
          <w:lang w:val="hy-AM" w:eastAsia="en-US"/>
        </w:rPr>
        <w:t>արտա</w:t>
      </w:r>
      <w:r w:rsidRPr="00BF7CB6">
        <w:rPr>
          <w:rFonts w:cs="Sylfaen"/>
          <w:b w:val="0"/>
          <w:szCs w:val="22"/>
          <w:lang w:val="hy-AM" w:eastAsia="en-US"/>
        </w:rPr>
        <w:softHyphen/>
        <w:t>քին աղբյուր</w:t>
      </w:r>
      <w:r w:rsidRPr="00BF7CB6">
        <w:rPr>
          <w:rFonts w:cs="Sylfaen"/>
          <w:b w:val="0"/>
          <w:szCs w:val="22"/>
          <w:lang w:val="hy-AM" w:eastAsia="en-US"/>
        </w:rPr>
        <w:softHyphen/>
        <w:t xml:space="preserve">ներից, համապատասխանաբար` </w:t>
      </w:r>
      <w:r>
        <w:rPr>
          <w:rFonts w:cs="Sylfaen"/>
          <w:b w:val="0"/>
          <w:szCs w:val="22"/>
          <w:lang w:val="af-ZA" w:eastAsia="en-US"/>
        </w:rPr>
        <w:t>285</w:t>
      </w:r>
      <w:r w:rsidR="00866F8F">
        <w:rPr>
          <w:rFonts w:cs="Sylfaen"/>
          <w:b w:val="0"/>
          <w:szCs w:val="22"/>
          <w:lang w:val="af-ZA" w:eastAsia="en-US"/>
        </w:rPr>
        <w:t>.2</w:t>
      </w:r>
      <w:r>
        <w:rPr>
          <w:rFonts w:cs="Sylfaen"/>
          <w:b w:val="0"/>
          <w:szCs w:val="22"/>
          <w:lang w:val="hy-AM" w:eastAsia="en-US"/>
        </w:rPr>
        <w:t xml:space="preserve"> մլրդ</w:t>
      </w:r>
      <w:r w:rsidRPr="007C4A2C">
        <w:rPr>
          <w:rFonts w:cs="Sylfaen"/>
          <w:b w:val="0"/>
          <w:szCs w:val="22"/>
          <w:lang w:val="hy-AM" w:eastAsia="en-US"/>
        </w:rPr>
        <w:t xml:space="preserve"> դրամի և </w:t>
      </w:r>
      <w:r w:rsidRPr="007C4A2C">
        <w:rPr>
          <w:rFonts w:cs="Sylfaen"/>
          <w:b w:val="0"/>
          <w:szCs w:val="22"/>
          <w:lang w:val="af-ZA" w:eastAsia="en-US"/>
        </w:rPr>
        <w:t>-</w:t>
      </w:r>
      <w:r w:rsidRPr="00576C53">
        <w:rPr>
          <w:rFonts w:cs="Sylfaen"/>
          <w:b w:val="0"/>
          <w:szCs w:val="22"/>
          <w:lang w:val="af-ZA" w:eastAsia="en-US"/>
        </w:rPr>
        <w:t>42.</w:t>
      </w:r>
      <w:r w:rsidR="00866F8F">
        <w:rPr>
          <w:rFonts w:cs="Sylfaen"/>
          <w:b w:val="0"/>
          <w:szCs w:val="22"/>
          <w:lang w:val="af-ZA" w:eastAsia="en-US"/>
        </w:rPr>
        <w:t>2</w:t>
      </w:r>
      <w:r w:rsidRPr="007C4A2C">
        <w:rPr>
          <w:rFonts w:cs="Sylfaen"/>
          <w:b w:val="0"/>
          <w:szCs w:val="22"/>
          <w:lang w:val="hy-AM" w:eastAsia="en-US"/>
        </w:rPr>
        <w:t xml:space="preserve"> </w:t>
      </w:r>
      <w:r>
        <w:rPr>
          <w:rFonts w:cs="Sylfaen"/>
          <w:b w:val="0"/>
          <w:szCs w:val="22"/>
          <w:lang w:val="hy-AM" w:eastAsia="en-US"/>
        </w:rPr>
        <w:t>մլրդ</w:t>
      </w:r>
      <w:r>
        <w:rPr>
          <w:rFonts w:ascii="Cambria Math" w:hAnsi="Cambria Math" w:cs="Sylfaen"/>
          <w:b w:val="0"/>
          <w:szCs w:val="22"/>
          <w:lang w:val="hy-AM" w:eastAsia="en-US"/>
        </w:rPr>
        <w:t>․</w:t>
      </w:r>
      <w:r w:rsidRPr="007C4A2C">
        <w:rPr>
          <w:rFonts w:cs="Sylfaen"/>
          <w:b w:val="0"/>
          <w:szCs w:val="22"/>
          <w:lang w:val="hy-AM" w:eastAsia="en-US"/>
        </w:rPr>
        <w:t xml:space="preserve"> դրամի չափով: </w:t>
      </w:r>
    </w:p>
    <w:p w14:paraId="7197A936" w14:textId="77777777" w:rsidR="00B12CF6" w:rsidRPr="00282E66" w:rsidRDefault="00B12CF6" w:rsidP="00B12CF6">
      <w:pPr>
        <w:spacing w:before="0" w:line="276" w:lineRule="auto"/>
        <w:ind w:firstLine="600"/>
        <w:contextualSpacing w:val="0"/>
        <w:rPr>
          <w:rFonts w:cs="Sylfaen"/>
          <w:b w:val="0"/>
          <w:color w:val="FF0000"/>
          <w:szCs w:val="22"/>
          <w:lang w:val="hy-AM" w:eastAsia="en-US"/>
        </w:rPr>
      </w:pPr>
      <w:r w:rsidRPr="00BF7CB6">
        <w:rPr>
          <w:rFonts w:cs="Sylfaen"/>
          <w:b w:val="0"/>
          <w:szCs w:val="22"/>
          <w:lang w:val="hy-AM" w:eastAsia="en-US"/>
        </w:rPr>
        <w:t>ՀՀ 202</w:t>
      </w:r>
      <w:r w:rsidRPr="00282E66">
        <w:rPr>
          <w:rFonts w:cs="Sylfaen"/>
          <w:b w:val="0"/>
          <w:szCs w:val="22"/>
          <w:lang w:val="hy-AM" w:eastAsia="en-US"/>
        </w:rPr>
        <w:t>2</w:t>
      </w:r>
      <w:r w:rsidRPr="00BF7CB6">
        <w:rPr>
          <w:rFonts w:cs="Sylfaen"/>
          <w:b w:val="0"/>
          <w:szCs w:val="22"/>
          <w:lang w:val="hy-AM" w:eastAsia="en-US"/>
        </w:rPr>
        <w:t xml:space="preserve"> թվականի պետական բյուջեի նախագծով դեֆիցիտի ֆինանսավորման նպա</w:t>
      </w:r>
      <w:r w:rsidRPr="00BF7CB6">
        <w:rPr>
          <w:rFonts w:cs="Sylfaen"/>
          <w:b w:val="0"/>
          <w:szCs w:val="22"/>
          <w:lang w:val="hy-AM" w:eastAsia="en-US"/>
        </w:rPr>
        <w:softHyphen/>
        <w:t>տա</w:t>
      </w:r>
      <w:r w:rsidRPr="00BF7CB6">
        <w:rPr>
          <w:rFonts w:cs="Sylfaen"/>
          <w:b w:val="0"/>
          <w:szCs w:val="22"/>
          <w:lang w:val="hy-AM" w:eastAsia="en-US"/>
        </w:rPr>
        <w:softHyphen/>
        <w:t>կով ներքին աղբյուրներից ներգրավվող փոխառու զուտ միջոցների ընդհանուր գու</w:t>
      </w:r>
      <w:r w:rsidRPr="00BF7CB6">
        <w:rPr>
          <w:rFonts w:cs="Sylfaen"/>
          <w:b w:val="0"/>
          <w:szCs w:val="22"/>
          <w:lang w:val="hy-AM" w:eastAsia="en-US"/>
        </w:rPr>
        <w:softHyphen/>
        <w:t>մարը ծրագ</w:t>
      </w:r>
      <w:r w:rsidRPr="00BF7CB6">
        <w:rPr>
          <w:rFonts w:cs="Sylfaen"/>
          <w:b w:val="0"/>
          <w:szCs w:val="22"/>
          <w:lang w:val="hy-AM" w:eastAsia="en-US"/>
        </w:rPr>
        <w:softHyphen/>
        <w:t>րա</w:t>
      </w:r>
      <w:r w:rsidRPr="00BF7CB6">
        <w:rPr>
          <w:rFonts w:cs="Sylfaen"/>
          <w:b w:val="0"/>
          <w:szCs w:val="22"/>
          <w:lang w:val="hy-AM" w:eastAsia="en-US"/>
        </w:rPr>
        <w:softHyphen/>
        <w:t xml:space="preserve">վորվում է շուրջ </w:t>
      </w:r>
      <w:r>
        <w:rPr>
          <w:rFonts w:cs="Sylfaen"/>
          <w:b w:val="0"/>
          <w:szCs w:val="22"/>
          <w:lang w:val="hy-AM" w:eastAsia="en-US"/>
        </w:rPr>
        <w:t>250</w:t>
      </w:r>
      <w:r w:rsidRPr="00BF7CB6">
        <w:rPr>
          <w:rFonts w:cs="Sylfaen"/>
          <w:b w:val="0"/>
          <w:szCs w:val="22"/>
          <w:lang w:val="hy-AM" w:eastAsia="en-US"/>
        </w:rPr>
        <w:t xml:space="preserve"> մլրդ դրամի չափով, ընդ որում, փոխառու միջոցների մուտ</w:t>
      </w:r>
      <w:r w:rsidRPr="00BF7CB6">
        <w:rPr>
          <w:rFonts w:cs="Sylfaen"/>
          <w:b w:val="0"/>
          <w:szCs w:val="22"/>
          <w:lang w:val="hy-AM" w:eastAsia="en-US"/>
        </w:rPr>
        <w:softHyphen/>
        <w:t>քերի ներ</w:t>
      </w:r>
      <w:r w:rsidRPr="00BF7CB6">
        <w:rPr>
          <w:rFonts w:cs="Sylfaen"/>
          <w:b w:val="0"/>
          <w:szCs w:val="22"/>
          <w:lang w:val="hy-AM" w:eastAsia="en-US"/>
        </w:rPr>
        <w:softHyphen/>
        <w:t>գրա</w:t>
      </w:r>
      <w:r w:rsidRPr="00BF7CB6">
        <w:rPr>
          <w:rFonts w:cs="Sylfaen"/>
          <w:b w:val="0"/>
          <w:szCs w:val="22"/>
          <w:lang w:val="hy-AM" w:eastAsia="en-US"/>
        </w:rPr>
        <w:softHyphen/>
        <w:t>վու</w:t>
      </w:r>
      <w:r w:rsidRPr="00BF7CB6">
        <w:rPr>
          <w:rFonts w:cs="Sylfaen"/>
          <w:b w:val="0"/>
          <w:szCs w:val="22"/>
          <w:lang w:val="hy-AM" w:eastAsia="en-US"/>
        </w:rPr>
        <w:softHyphen/>
        <w:t>մը ամբողջությամբ նախատեսվում է ապահովել պետական արժեթղթերի թողար</w:t>
      </w:r>
      <w:r w:rsidRPr="00BF7CB6">
        <w:rPr>
          <w:rFonts w:cs="Sylfaen"/>
          <w:b w:val="0"/>
          <w:szCs w:val="22"/>
          <w:lang w:val="hy-AM" w:eastAsia="en-US"/>
        </w:rPr>
        <w:softHyphen/>
        <w:t>կումից: Ֆի</w:t>
      </w:r>
      <w:r w:rsidRPr="00BF7CB6">
        <w:rPr>
          <w:rFonts w:cs="Sylfaen"/>
          <w:b w:val="0"/>
          <w:szCs w:val="22"/>
          <w:lang w:val="hy-AM" w:eastAsia="en-US"/>
        </w:rPr>
        <w:softHyphen/>
        <w:t>նան</w:t>
      </w:r>
      <w:r w:rsidRPr="00BF7CB6">
        <w:rPr>
          <w:rFonts w:cs="Sylfaen"/>
          <w:b w:val="0"/>
          <w:szCs w:val="22"/>
          <w:lang w:val="hy-AM" w:eastAsia="en-US"/>
        </w:rPr>
        <w:softHyphen/>
        <w:t>սա</w:t>
      </w:r>
      <w:r w:rsidRPr="00BF7CB6">
        <w:rPr>
          <w:rFonts w:cs="Sylfaen"/>
          <w:b w:val="0"/>
          <w:szCs w:val="22"/>
          <w:lang w:val="hy-AM" w:eastAsia="en-US"/>
        </w:rPr>
        <w:softHyphen/>
        <w:t>կան ակտիվներից 202</w:t>
      </w:r>
      <w:r w:rsidRPr="00282E66">
        <w:rPr>
          <w:rFonts w:cs="Sylfaen"/>
          <w:b w:val="0"/>
          <w:szCs w:val="22"/>
          <w:lang w:val="hy-AM" w:eastAsia="en-US"/>
        </w:rPr>
        <w:t>2</w:t>
      </w:r>
      <w:r w:rsidRPr="00BF7CB6">
        <w:rPr>
          <w:rFonts w:cs="Sylfaen"/>
          <w:b w:val="0"/>
          <w:szCs w:val="22"/>
          <w:lang w:val="hy-AM" w:eastAsia="en-US"/>
        </w:rPr>
        <w:t xml:space="preserve"> թվականի զուտ մուտքերը ծրագրավորվում են շուրջ </w:t>
      </w:r>
      <w:r>
        <w:rPr>
          <w:rFonts w:cs="Sylfaen"/>
          <w:b w:val="0"/>
          <w:szCs w:val="22"/>
          <w:lang w:val="hy-AM" w:eastAsia="en-US"/>
        </w:rPr>
        <w:t>3</w:t>
      </w:r>
      <w:r w:rsidRPr="00576C53">
        <w:rPr>
          <w:rFonts w:cs="Sylfaen"/>
          <w:b w:val="0"/>
          <w:szCs w:val="22"/>
          <w:lang w:val="hy-AM" w:eastAsia="en-US"/>
        </w:rPr>
        <w:t>5</w:t>
      </w:r>
      <w:r w:rsidRPr="00675C8F">
        <w:rPr>
          <w:rFonts w:cs="Sylfaen"/>
          <w:b w:val="0"/>
          <w:szCs w:val="22"/>
          <w:lang w:val="hy-AM" w:eastAsia="en-US"/>
        </w:rPr>
        <w:t>.</w:t>
      </w:r>
      <w:r w:rsidRPr="00576C53">
        <w:rPr>
          <w:rFonts w:cs="Sylfaen"/>
          <w:b w:val="0"/>
          <w:szCs w:val="22"/>
          <w:lang w:val="hy-AM" w:eastAsia="en-US"/>
        </w:rPr>
        <w:t>1</w:t>
      </w:r>
      <w:r w:rsidRPr="00675C8F">
        <w:rPr>
          <w:rFonts w:cs="Sylfaen"/>
          <w:b w:val="0"/>
          <w:szCs w:val="22"/>
          <w:lang w:val="hy-AM" w:eastAsia="en-US"/>
        </w:rPr>
        <w:t xml:space="preserve"> մլրդ դրամ, ընդ որում, վարկերի և փոխատվությունների տրամադրման գծով՝ </w:t>
      </w:r>
      <w:r>
        <w:rPr>
          <w:rFonts w:cs="Sylfaen"/>
          <w:b w:val="0"/>
          <w:szCs w:val="22"/>
          <w:lang w:val="hy-AM" w:eastAsia="en-US"/>
        </w:rPr>
        <w:t>-</w:t>
      </w:r>
      <w:r w:rsidRPr="00675C8F">
        <w:rPr>
          <w:rFonts w:cs="Sylfaen"/>
          <w:b w:val="0"/>
          <w:szCs w:val="22"/>
          <w:lang w:val="hy-AM" w:eastAsia="en-US"/>
        </w:rPr>
        <w:t>61.0 մլրդ դրամ, իսկ տնտես</w:t>
      </w:r>
      <w:r w:rsidRPr="00675C8F">
        <w:rPr>
          <w:rFonts w:cs="Sylfaen"/>
          <w:b w:val="0"/>
          <w:szCs w:val="22"/>
          <w:lang w:val="hy-AM" w:eastAsia="en-US"/>
        </w:rPr>
        <w:softHyphen/>
      </w:r>
      <w:r w:rsidRPr="00675C8F">
        <w:rPr>
          <w:rFonts w:cs="Sylfaen"/>
          <w:b w:val="0"/>
          <w:szCs w:val="22"/>
          <w:lang w:val="hy-AM" w:eastAsia="en-US"/>
        </w:rPr>
        <w:softHyphen/>
        <w:t>վարող և այլ սուբյեկտներին տրա</w:t>
      </w:r>
      <w:r w:rsidRPr="00675C8F">
        <w:rPr>
          <w:rFonts w:cs="Sylfaen"/>
          <w:b w:val="0"/>
          <w:szCs w:val="22"/>
          <w:lang w:val="hy-AM" w:eastAsia="en-US"/>
        </w:rPr>
        <w:softHyphen/>
        <w:t>մադրված բյուջետային վարկերի և փոխատ</w:t>
      </w:r>
      <w:r w:rsidRPr="00675C8F">
        <w:rPr>
          <w:rFonts w:cs="Sylfaen"/>
          <w:b w:val="0"/>
          <w:szCs w:val="22"/>
          <w:lang w:val="hy-AM" w:eastAsia="en-US"/>
        </w:rPr>
        <w:softHyphen/>
        <w:t>վու</w:t>
      </w:r>
      <w:r w:rsidRPr="00675C8F">
        <w:rPr>
          <w:rFonts w:cs="Sylfaen"/>
          <w:b w:val="0"/>
          <w:szCs w:val="22"/>
          <w:lang w:val="hy-AM" w:eastAsia="en-US"/>
        </w:rPr>
        <w:softHyphen/>
        <w:t>թյուն</w:t>
      </w:r>
      <w:r w:rsidRPr="00675C8F">
        <w:rPr>
          <w:rFonts w:cs="Sylfaen"/>
          <w:b w:val="0"/>
          <w:szCs w:val="22"/>
          <w:lang w:val="hy-AM" w:eastAsia="en-US"/>
        </w:rPr>
        <w:softHyphen/>
        <w:t>նե</w:t>
      </w:r>
      <w:r w:rsidRPr="00675C8F">
        <w:rPr>
          <w:rFonts w:cs="Sylfaen"/>
          <w:b w:val="0"/>
          <w:szCs w:val="22"/>
          <w:lang w:val="hy-AM" w:eastAsia="en-US"/>
        </w:rPr>
        <w:softHyphen/>
        <w:t>րի վերադարձից մուտ</w:t>
      </w:r>
      <w:r w:rsidRPr="00675C8F">
        <w:rPr>
          <w:rFonts w:cs="Sylfaen"/>
          <w:b w:val="0"/>
          <w:szCs w:val="22"/>
          <w:lang w:val="hy-AM" w:eastAsia="en-US"/>
        </w:rPr>
        <w:softHyphen/>
        <w:t>քե</w:t>
      </w:r>
      <w:r w:rsidRPr="00675C8F">
        <w:rPr>
          <w:rFonts w:cs="Sylfaen"/>
          <w:b w:val="0"/>
          <w:szCs w:val="22"/>
          <w:lang w:val="hy-AM" w:eastAsia="en-US"/>
        </w:rPr>
        <w:softHyphen/>
        <w:t>րի գծով` 34.6 մ</w:t>
      </w:r>
      <w:r>
        <w:rPr>
          <w:rFonts w:cs="Sylfaen"/>
          <w:b w:val="0"/>
          <w:szCs w:val="22"/>
          <w:lang w:val="hy-AM" w:eastAsia="en-US"/>
        </w:rPr>
        <w:t xml:space="preserve">լրդ դրամ, </w:t>
      </w:r>
      <w:r w:rsidRPr="00576C53">
        <w:rPr>
          <w:rFonts w:cs="Sylfaen"/>
          <w:b w:val="0"/>
          <w:szCs w:val="22"/>
          <w:lang w:val="hy-AM" w:eastAsia="en-US"/>
        </w:rPr>
        <w:t>կայունացմա</w:t>
      </w:r>
      <w:r>
        <w:rPr>
          <w:rFonts w:cs="Sylfaen"/>
          <w:b w:val="0"/>
          <w:szCs w:val="22"/>
          <w:lang w:val="hy-AM" w:eastAsia="en-US"/>
        </w:rPr>
        <w:t>ն դեպոզիտային հաշվից միջոցներ</w:t>
      </w:r>
      <w:r w:rsidRPr="00576C53">
        <w:rPr>
          <w:rFonts w:cs="Sylfaen"/>
          <w:b w:val="0"/>
          <w:szCs w:val="22"/>
          <w:lang w:val="hy-AM" w:eastAsia="en-US"/>
        </w:rPr>
        <w:t>`</w:t>
      </w:r>
      <w:r>
        <w:rPr>
          <w:rFonts w:cs="Sylfaen"/>
          <w:b w:val="0"/>
          <w:szCs w:val="22"/>
          <w:lang w:val="hy-AM" w:eastAsia="en-US"/>
        </w:rPr>
        <w:t xml:space="preserve">  6</w:t>
      </w:r>
      <w:r w:rsidRPr="00576C53">
        <w:rPr>
          <w:rFonts w:cs="Sylfaen"/>
          <w:b w:val="0"/>
          <w:szCs w:val="22"/>
          <w:lang w:val="hy-AM" w:eastAsia="en-US"/>
        </w:rPr>
        <w:t>1</w:t>
      </w:r>
      <w:r>
        <w:rPr>
          <w:rFonts w:cs="Sylfaen"/>
          <w:b w:val="0"/>
          <w:szCs w:val="22"/>
          <w:lang w:val="hy-AM" w:eastAsia="en-US"/>
        </w:rPr>
        <w:t>.</w:t>
      </w:r>
      <w:r w:rsidRPr="00576C53">
        <w:rPr>
          <w:rFonts w:cs="Sylfaen"/>
          <w:b w:val="0"/>
          <w:szCs w:val="22"/>
          <w:lang w:val="hy-AM" w:eastAsia="en-US"/>
        </w:rPr>
        <w:t>5</w:t>
      </w:r>
      <w:r>
        <w:rPr>
          <w:rFonts w:cs="Sylfaen"/>
          <w:b w:val="0"/>
          <w:szCs w:val="22"/>
          <w:lang w:val="hy-AM" w:eastAsia="en-US"/>
        </w:rPr>
        <w:t xml:space="preserve"> մլրդ դրամ:</w:t>
      </w:r>
    </w:p>
    <w:p w14:paraId="62437639" w14:textId="75CE8DBE" w:rsidR="00B12CF6" w:rsidRPr="00BF7CB6" w:rsidRDefault="00B12CF6" w:rsidP="00B12CF6">
      <w:pPr>
        <w:spacing w:before="0" w:line="276" w:lineRule="auto"/>
        <w:ind w:firstLine="600"/>
        <w:contextualSpacing w:val="0"/>
        <w:rPr>
          <w:rFonts w:cs="Sylfaen"/>
          <w:b w:val="0"/>
          <w:szCs w:val="22"/>
          <w:lang w:val="hy-AM" w:eastAsia="en-US"/>
        </w:rPr>
      </w:pPr>
      <w:r w:rsidRPr="00BF7CB6">
        <w:rPr>
          <w:rFonts w:cs="Sylfaen"/>
          <w:b w:val="0"/>
          <w:szCs w:val="22"/>
          <w:lang w:val="hy-AM" w:eastAsia="en-US"/>
        </w:rPr>
        <w:t>ՀՀ 202</w:t>
      </w:r>
      <w:r w:rsidRPr="00282E66">
        <w:rPr>
          <w:rFonts w:cs="Sylfaen"/>
          <w:b w:val="0"/>
          <w:szCs w:val="22"/>
          <w:lang w:val="hy-AM" w:eastAsia="en-US"/>
        </w:rPr>
        <w:t>2</w:t>
      </w:r>
      <w:r w:rsidRPr="00BF7CB6">
        <w:rPr>
          <w:rFonts w:cs="Sylfaen"/>
          <w:b w:val="0"/>
          <w:szCs w:val="22"/>
          <w:lang w:val="hy-AM" w:eastAsia="en-US"/>
        </w:rPr>
        <w:t xml:space="preserve"> թվականի պետական բյուջեի նախագծով դեֆիցիտի ֆինանսավորման նպա</w:t>
      </w:r>
      <w:r w:rsidRPr="00BF7CB6">
        <w:rPr>
          <w:rFonts w:cs="Sylfaen"/>
          <w:b w:val="0"/>
          <w:szCs w:val="22"/>
          <w:lang w:val="hy-AM" w:eastAsia="en-US"/>
        </w:rPr>
        <w:softHyphen/>
        <w:t>տա</w:t>
      </w:r>
      <w:r w:rsidRPr="00BF7CB6">
        <w:rPr>
          <w:rFonts w:cs="Sylfaen"/>
          <w:b w:val="0"/>
          <w:szCs w:val="22"/>
          <w:lang w:val="hy-AM" w:eastAsia="en-US"/>
        </w:rPr>
        <w:softHyphen/>
        <w:t>կով արտաքին աղբյուրներից ներգրավվող փոխառու զուտ միջոցների ծրա</w:t>
      </w:r>
      <w:r w:rsidRPr="00BF7CB6">
        <w:rPr>
          <w:rFonts w:cs="Sylfaen"/>
          <w:b w:val="0"/>
          <w:szCs w:val="22"/>
          <w:lang w:val="hy-AM" w:eastAsia="en-US"/>
        </w:rPr>
        <w:softHyphen/>
        <w:t>գր</w:t>
      </w:r>
      <w:r w:rsidRPr="00BF7CB6">
        <w:rPr>
          <w:rFonts w:cs="Sylfaen"/>
          <w:b w:val="0"/>
          <w:szCs w:val="22"/>
          <w:lang w:val="hy-AM" w:eastAsia="en-US"/>
        </w:rPr>
        <w:softHyphen/>
        <w:t>ված ընդ</w:t>
      </w:r>
      <w:r w:rsidRPr="00BF7CB6">
        <w:rPr>
          <w:rFonts w:cs="Sylfaen"/>
          <w:b w:val="0"/>
          <w:szCs w:val="22"/>
          <w:lang w:val="hy-AM" w:eastAsia="en-US"/>
        </w:rPr>
        <w:softHyphen/>
        <w:t>հա</w:t>
      </w:r>
      <w:r w:rsidRPr="00BF7CB6">
        <w:rPr>
          <w:rFonts w:cs="Sylfaen"/>
          <w:b w:val="0"/>
          <w:szCs w:val="22"/>
          <w:lang w:val="hy-AM" w:eastAsia="en-US"/>
        </w:rPr>
        <w:softHyphen/>
        <w:t>նուր գու</w:t>
      </w:r>
      <w:r w:rsidRPr="00BF7CB6">
        <w:rPr>
          <w:rFonts w:cs="Sylfaen"/>
          <w:b w:val="0"/>
          <w:szCs w:val="22"/>
          <w:lang w:val="hy-AM" w:eastAsia="en-US"/>
        </w:rPr>
        <w:softHyphen/>
        <w:t>մա</w:t>
      </w:r>
      <w:r w:rsidRPr="00BF7CB6">
        <w:rPr>
          <w:rFonts w:cs="Sylfaen"/>
          <w:b w:val="0"/>
          <w:szCs w:val="22"/>
          <w:lang w:val="hy-AM" w:eastAsia="en-US"/>
        </w:rPr>
        <w:softHyphen/>
        <w:t xml:space="preserve">րը՝ </w:t>
      </w:r>
      <w:r w:rsidRPr="007C4A2C">
        <w:rPr>
          <w:rFonts w:cs="Sylfaen"/>
          <w:b w:val="0"/>
          <w:szCs w:val="22"/>
          <w:lang w:val="hy-AM" w:eastAsia="en-US"/>
        </w:rPr>
        <w:t>-</w:t>
      </w:r>
      <w:r>
        <w:rPr>
          <w:rFonts w:cs="Sylfaen"/>
          <w:b w:val="0"/>
          <w:szCs w:val="22"/>
          <w:lang w:val="hy-AM" w:eastAsia="en-US"/>
        </w:rPr>
        <w:t>42,</w:t>
      </w:r>
      <w:r w:rsidR="00866F8F" w:rsidRPr="00866F8F">
        <w:rPr>
          <w:rFonts w:cs="Sylfaen"/>
          <w:b w:val="0"/>
          <w:szCs w:val="22"/>
          <w:lang w:val="hy-AM" w:eastAsia="en-US"/>
        </w:rPr>
        <w:t>2</w:t>
      </w:r>
      <w:r w:rsidRPr="00BF7CB6">
        <w:rPr>
          <w:rFonts w:cs="Sylfaen"/>
          <w:b w:val="0"/>
          <w:szCs w:val="22"/>
          <w:lang w:val="hy-AM" w:eastAsia="en-US"/>
        </w:rPr>
        <w:t xml:space="preserve"> մլրդ դրամ</w:t>
      </w:r>
      <w:r>
        <w:rPr>
          <w:rFonts w:cs="Sylfaen"/>
          <w:b w:val="0"/>
          <w:szCs w:val="22"/>
          <w:lang w:val="hy-AM" w:eastAsia="en-US"/>
        </w:rPr>
        <w:t>, որը</w:t>
      </w:r>
      <w:r w:rsidRPr="00BF7CB6">
        <w:rPr>
          <w:rFonts w:cs="Sylfaen"/>
          <w:b w:val="0"/>
          <w:szCs w:val="22"/>
          <w:lang w:val="hy-AM" w:eastAsia="en-US"/>
        </w:rPr>
        <w:t xml:space="preserve"> հաշվարկվել է որպես միջազ</w:t>
      </w:r>
      <w:r w:rsidRPr="00BF7CB6">
        <w:rPr>
          <w:rFonts w:cs="Sylfaen"/>
          <w:b w:val="0"/>
          <w:szCs w:val="22"/>
          <w:lang w:val="hy-AM" w:eastAsia="en-US"/>
        </w:rPr>
        <w:softHyphen/>
        <w:t>գային կազմակեր</w:t>
      </w:r>
      <w:r w:rsidRPr="00BF7CB6">
        <w:rPr>
          <w:rFonts w:cs="Sylfaen"/>
          <w:b w:val="0"/>
          <w:szCs w:val="22"/>
          <w:lang w:val="hy-AM" w:eastAsia="en-US"/>
        </w:rPr>
        <w:softHyphen/>
        <w:t>պություններից և օտար</w:t>
      </w:r>
      <w:r w:rsidRPr="00BF7CB6">
        <w:rPr>
          <w:rFonts w:cs="Sylfaen"/>
          <w:b w:val="0"/>
          <w:szCs w:val="22"/>
          <w:lang w:val="hy-AM" w:eastAsia="en-US"/>
        </w:rPr>
        <w:softHyphen/>
        <w:t>եր</w:t>
      </w:r>
      <w:r w:rsidRPr="00BF7CB6">
        <w:rPr>
          <w:rFonts w:cs="Sylfaen"/>
          <w:b w:val="0"/>
          <w:szCs w:val="22"/>
          <w:lang w:val="hy-AM" w:eastAsia="en-US"/>
        </w:rPr>
        <w:softHyphen/>
        <w:t>կրյա պետություններից Հայաս</w:t>
      </w:r>
      <w:r w:rsidRPr="00BF7CB6">
        <w:rPr>
          <w:rFonts w:cs="Sylfaen"/>
          <w:b w:val="0"/>
          <w:szCs w:val="22"/>
          <w:lang w:val="hy-AM" w:eastAsia="en-US"/>
        </w:rPr>
        <w:softHyphen/>
        <w:t>տանի Հան</w:t>
      </w:r>
      <w:r w:rsidRPr="00BF7CB6">
        <w:rPr>
          <w:rFonts w:cs="Sylfaen"/>
          <w:b w:val="0"/>
          <w:szCs w:val="22"/>
          <w:lang w:val="hy-AM" w:eastAsia="en-US"/>
        </w:rPr>
        <w:softHyphen/>
        <w:t>րապե</w:t>
      </w:r>
      <w:r w:rsidRPr="00BF7CB6">
        <w:rPr>
          <w:rFonts w:cs="Sylfaen"/>
          <w:b w:val="0"/>
          <w:szCs w:val="22"/>
          <w:lang w:val="hy-AM" w:eastAsia="en-US"/>
        </w:rPr>
        <w:softHyphen/>
        <w:t>տությանը 202</w:t>
      </w:r>
      <w:r w:rsidRPr="00282E66">
        <w:rPr>
          <w:rFonts w:cs="Sylfaen"/>
          <w:b w:val="0"/>
          <w:szCs w:val="22"/>
          <w:lang w:val="hy-AM" w:eastAsia="en-US"/>
        </w:rPr>
        <w:t>2</w:t>
      </w:r>
      <w:r w:rsidRPr="00BF7CB6">
        <w:rPr>
          <w:rFonts w:cs="Sylfaen"/>
          <w:b w:val="0"/>
          <w:szCs w:val="22"/>
          <w:lang w:val="hy-AM" w:eastAsia="en-US"/>
        </w:rPr>
        <w:t xml:space="preserve"> թվականին տրա</w:t>
      </w:r>
      <w:r w:rsidRPr="00BF7CB6">
        <w:rPr>
          <w:rFonts w:cs="Sylfaen"/>
          <w:b w:val="0"/>
          <w:szCs w:val="22"/>
          <w:lang w:val="hy-AM" w:eastAsia="en-US"/>
        </w:rPr>
        <w:softHyphen/>
        <w:t>մադր</w:t>
      </w:r>
      <w:r w:rsidRPr="00BF7CB6">
        <w:rPr>
          <w:rFonts w:cs="Sylfaen"/>
          <w:b w:val="0"/>
          <w:szCs w:val="22"/>
          <w:lang w:val="hy-AM" w:eastAsia="en-US"/>
        </w:rPr>
        <w:softHyphen/>
        <w:t>վե</w:t>
      </w:r>
      <w:r w:rsidRPr="00BF7CB6">
        <w:rPr>
          <w:rFonts w:cs="Sylfaen"/>
          <w:b w:val="0"/>
          <w:szCs w:val="22"/>
          <w:lang w:val="hy-AM" w:eastAsia="en-US"/>
        </w:rPr>
        <w:softHyphen/>
        <w:t>լիք վարկերի (որոնց մասն ունի հս</w:t>
      </w:r>
      <w:r>
        <w:rPr>
          <w:rFonts w:cs="Sylfaen"/>
          <w:b w:val="0"/>
          <w:szCs w:val="22"/>
          <w:lang w:val="hy-AM" w:eastAsia="en-US"/>
        </w:rPr>
        <w:t>տակ ծրագրային ուղղվա</w:t>
      </w:r>
      <w:r>
        <w:rPr>
          <w:rFonts w:cs="Sylfaen"/>
          <w:b w:val="0"/>
          <w:szCs w:val="22"/>
          <w:lang w:val="hy-AM" w:eastAsia="en-US"/>
        </w:rPr>
        <w:softHyphen/>
        <w:t>ծություն),</w:t>
      </w:r>
      <w:r w:rsidRPr="00BF7CB6">
        <w:rPr>
          <w:rFonts w:cs="Sylfaen"/>
          <w:b w:val="0"/>
          <w:szCs w:val="22"/>
          <w:lang w:val="hy-AM" w:eastAsia="en-US"/>
        </w:rPr>
        <w:t xml:space="preserve"> մինչ այդ արդեն ստաց</w:t>
      </w:r>
      <w:r w:rsidRPr="00BF7CB6">
        <w:rPr>
          <w:rFonts w:cs="Sylfaen"/>
          <w:b w:val="0"/>
          <w:szCs w:val="22"/>
          <w:lang w:val="hy-AM" w:eastAsia="en-US"/>
        </w:rPr>
        <w:softHyphen/>
      </w:r>
      <w:r w:rsidRPr="00BF7CB6">
        <w:rPr>
          <w:rFonts w:cs="Sylfaen"/>
          <w:b w:val="0"/>
          <w:szCs w:val="22"/>
          <w:lang w:val="hy-AM" w:eastAsia="en-US"/>
        </w:rPr>
        <w:softHyphen/>
        <w:t>ված վարկերի, ըստ վար</w:t>
      </w:r>
      <w:r w:rsidRPr="00BF7CB6">
        <w:rPr>
          <w:rFonts w:cs="Sylfaen"/>
          <w:b w:val="0"/>
          <w:szCs w:val="22"/>
          <w:lang w:val="hy-AM" w:eastAsia="en-US"/>
        </w:rPr>
        <w:softHyphen/>
      </w:r>
      <w:r w:rsidRPr="00BF7CB6">
        <w:rPr>
          <w:rFonts w:cs="Sylfaen"/>
          <w:b w:val="0"/>
          <w:szCs w:val="22"/>
          <w:lang w:val="hy-AM" w:eastAsia="en-US"/>
        </w:rPr>
        <w:softHyphen/>
        <w:t>կային պայ</w:t>
      </w:r>
      <w:r w:rsidRPr="00BF7CB6">
        <w:rPr>
          <w:rFonts w:cs="Sylfaen"/>
          <w:b w:val="0"/>
          <w:szCs w:val="22"/>
          <w:lang w:val="hy-AM" w:eastAsia="en-US"/>
        </w:rPr>
        <w:softHyphen/>
        <w:t>մանագրերով նախա</w:t>
      </w:r>
      <w:r w:rsidRPr="00BF7CB6">
        <w:rPr>
          <w:rFonts w:cs="Sylfaen"/>
          <w:b w:val="0"/>
          <w:szCs w:val="22"/>
          <w:lang w:val="hy-AM" w:eastAsia="en-US"/>
        </w:rPr>
        <w:softHyphen/>
        <w:t>տեսված ժամ</w:t>
      </w:r>
      <w:r w:rsidRPr="00BF7CB6">
        <w:rPr>
          <w:rFonts w:cs="Sylfaen"/>
          <w:b w:val="0"/>
          <w:szCs w:val="22"/>
          <w:lang w:val="hy-AM" w:eastAsia="en-US"/>
        </w:rPr>
        <w:softHyphen/>
        <w:t>կետ</w:t>
      </w:r>
      <w:r w:rsidRPr="00BF7CB6">
        <w:rPr>
          <w:rFonts w:cs="Sylfaen"/>
          <w:b w:val="0"/>
          <w:szCs w:val="22"/>
          <w:lang w:val="hy-AM" w:eastAsia="en-US"/>
        </w:rPr>
        <w:softHyphen/>
      </w:r>
      <w:r w:rsidRPr="00BF7CB6">
        <w:rPr>
          <w:rFonts w:cs="Sylfaen"/>
          <w:b w:val="0"/>
          <w:szCs w:val="22"/>
          <w:lang w:val="hy-AM" w:eastAsia="en-US"/>
        </w:rPr>
        <w:softHyphen/>
        <w:t>նե</w:t>
      </w:r>
      <w:r w:rsidRPr="00BF7CB6">
        <w:rPr>
          <w:rFonts w:cs="Sylfaen"/>
          <w:b w:val="0"/>
          <w:szCs w:val="22"/>
          <w:lang w:val="hy-AM" w:eastAsia="en-US"/>
        </w:rPr>
        <w:softHyphen/>
        <w:t>րի, մարման գու</w:t>
      </w:r>
      <w:r w:rsidRPr="00BF7CB6">
        <w:rPr>
          <w:rFonts w:cs="Sylfaen"/>
          <w:b w:val="0"/>
          <w:szCs w:val="22"/>
          <w:lang w:val="hy-AM" w:eastAsia="en-US"/>
        </w:rPr>
        <w:softHyphen/>
        <w:t>մար</w:t>
      </w:r>
      <w:r w:rsidRPr="00BF7CB6">
        <w:rPr>
          <w:rFonts w:cs="Sylfaen"/>
          <w:b w:val="0"/>
          <w:szCs w:val="22"/>
          <w:lang w:val="hy-AM" w:eastAsia="en-US"/>
        </w:rPr>
        <w:softHyphen/>
        <w:t>ների (նշված զուտ մուտքերի վերա</w:t>
      </w:r>
      <w:r w:rsidRPr="00BF7CB6">
        <w:rPr>
          <w:rFonts w:cs="Sylfaen"/>
          <w:b w:val="0"/>
          <w:szCs w:val="22"/>
          <w:lang w:val="hy-AM" w:eastAsia="en-US"/>
        </w:rPr>
        <w:softHyphen/>
        <w:t>բերյալ մանրա</w:t>
      </w:r>
      <w:r w:rsidRPr="00BF7CB6">
        <w:rPr>
          <w:rFonts w:cs="Sylfaen"/>
          <w:b w:val="0"/>
          <w:szCs w:val="22"/>
          <w:lang w:val="hy-AM" w:eastAsia="en-US"/>
        </w:rPr>
        <w:softHyphen/>
        <w:t>մասն հա</w:t>
      </w:r>
      <w:r w:rsidRPr="00BF7CB6">
        <w:rPr>
          <w:rFonts w:cs="Sylfaen"/>
          <w:b w:val="0"/>
          <w:szCs w:val="22"/>
          <w:lang w:val="hy-AM" w:eastAsia="en-US"/>
        </w:rPr>
        <w:softHyphen/>
        <w:t>մա</w:t>
      </w:r>
      <w:r w:rsidRPr="00BF7CB6">
        <w:rPr>
          <w:rFonts w:cs="Sylfaen"/>
          <w:b w:val="0"/>
          <w:szCs w:val="22"/>
          <w:lang w:val="hy-AM" w:eastAsia="en-US"/>
        </w:rPr>
        <w:softHyphen/>
        <w:t>պատասխան տեղե</w:t>
      </w:r>
      <w:r w:rsidRPr="00BF7CB6">
        <w:rPr>
          <w:rFonts w:cs="Sylfaen"/>
          <w:b w:val="0"/>
          <w:szCs w:val="22"/>
          <w:lang w:val="hy-AM" w:eastAsia="en-US"/>
        </w:rPr>
        <w:softHyphen/>
        <w:t>կատ</w:t>
      </w:r>
      <w:r w:rsidRPr="00BF7CB6">
        <w:rPr>
          <w:rFonts w:cs="Sylfaen"/>
          <w:b w:val="0"/>
          <w:szCs w:val="22"/>
          <w:lang w:val="hy-AM" w:eastAsia="en-US"/>
        </w:rPr>
        <w:softHyphen/>
      </w:r>
      <w:r w:rsidRPr="00BF7CB6">
        <w:rPr>
          <w:rFonts w:cs="Sylfaen"/>
          <w:b w:val="0"/>
          <w:szCs w:val="22"/>
          <w:lang w:val="hy-AM" w:eastAsia="en-US"/>
        </w:rPr>
        <w:softHyphen/>
        <w:t>վու</w:t>
      </w:r>
      <w:r w:rsidRPr="00BF7CB6">
        <w:rPr>
          <w:rFonts w:cs="Sylfaen"/>
          <w:b w:val="0"/>
          <w:szCs w:val="22"/>
          <w:lang w:val="hy-AM" w:eastAsia="en-US"/>
        </w:rPr>
        <w:softHyphen/>
        <w:t>թ</w:t>
      </w:r>
      <w:r w:rsidRPr="00BF7CB6">
        <w:rPr>
          <w:rFonts w:cs="Sylfaen"/>
          <w:b w:val="0"/>
          <w:szCs w:val="22"/>
          <w:lang w:val="hy-AM" w:eastAsia="en-US"/>
        </w:rPr>
        <w:softHyphen/>
        <w:t>յու</w:t>
      </w:r>
      <w:r w:rsidRPr="00BF7CB6">
        <w:rPr>
          <w:rFonts w:cs="Sylfaen"/>
          <w:b w:val="0"/>
          <w:szCs w:val="22"/>
          <w:lang w:val="hy-AM" w:eastAsia="en-US"/>
        </w:rPr>
        <w:softHyphen/>
        <w:t xml:space="preserve">նը բերված է սույն բացատրագրի </w:t>
      </w:r>
      <w:r w:rsidRPr="00344F81">
        <w:rPr>
          <w:rFonts w:cs="Sylfaen"/>
          <w:b w:val="0"/>
          <w:szCs w:val="22"/>
          <w:lang w:val="hy-AM" w:eastAsia="en-US"/>
        </w:rPr>
        <w:t>N 4 հավելվածում, NN 17-20</w:t>
      </w:r>
      <w:r w:rsidRPr="00BF7CB6">
        <w:rPr>
          <w:rFonts w:cs="Sylfaen"/>
          <w:b w:val="0"/>
          <w:szCs w:val="22"/>
          <w:lang w:val="hy-AM" w:eastAsia="en-US"/>
        </w:rPr>
        <w:t xml:space="preserve"> աղ</w:t>
      </w:r>
      <w:r w:rsidRPr="00BF7CB6">
        <w:rPr>
          <w:rFonts w:cs="Sylfaen"/>
          <w:b w:val="0"/>
          <w:szCs w:val="22"/>
          <w:lang w:val="hy-AM" w:eastAsia="en-US"/>
        </w:rPr>
        <w:softHyphen/>
        <w:t>յուսակ</w:t>
      </w:r>
      <w:r w:rsidRPr="00BF7CB6">
        <w:rPr>
          <w:rFonts w:cs="Sylfaen"/>
          <w:b w:val="0"/>
          <w:szCs w:val="22"/>
          <w:lang w:val="hy-AM" w:eastAsia="en-US"/>
        </w:rPr>
        <w:softHyphen/>
        <w:t>ներում և «ՀՀ պետական պար</w:t>
      </w:r>
      <w:r w:rsidRPr="00BF7CB6">
        <w:rPr>
          <w:rFonts w:cs="Sylfaen"/>
          <w:b w:val="0"/>
          <w:szCs w:val="22"/>
          <w:lang w:val="hy-AM" w:eastAsia="en-US"/>
        </w:rPr>
        <w:softHyphen/>
        <w:t>տքը» բաժնում)</w:t>
      </w:r>
      <w:r w:rsidRPr="00E26A13">
        <w:rPr>
          <w:rFonts w:cs="Sylfaen"/>
          <w:b w:val="0"/>
          <w:szCs w:val="22"/>
          <w:lang w:val="hy-AM" w:eastAsia="en-US"/>
        </w:rPr>
        <w:t xml:space="preserve"> և արտարժութային պետական պարտատոմսերի տեղաբաշխումից մուտքերի հանրագումար</w:t>
      </w:r>
      <w:r w:rsidRPr="00BF7CB6">
        <w:rPr>
          <w:rFonts w:cs="Sylfaen"/>
          <w:b w:val="0"/>
          <w:szCs w:val="22"/>
          <w:lang w:val="hy-AM" w:eastAsia="en-US"/>
        </w:rPr>
        <w:t>: Ֆի</w:t>
      </w:r>
      <w:r w:rsidRPr="00BF7CB6">
        <w:rPr>
          <w:rFonts w:cs="Sylfaen"/>
          <w:b w:val="0"/>
          <w:szCs w:val="22"/>
          <w:lang w:val="hy-AM" w:eastAsia="en-US"/>
        </w:rPr>
        <w:softHyphen/>
        <w:t>ն</w:t>
      </w:r>
      <w:r>
        <w:rPr>
          <w:rFonts w:cs="Sylfaen"/>
          <w:b w:val="0"/>
          <w:szCs w:val="22"/>
          <w:lang w:val="hy-AM" w:eastAsia="en-US"/>
        </w:rPr>
        <w:t>ան</w:t>
      </w:r>
      <w:r>
        <w:rPr>
          <w:rFonts w:cs="Sylfaen"/>
          <w:b w:val="0"/>
          <w:szCs w:val="22"/>
          <w:lang w:val="hy-AM" w:eastAsia="en-US"/>
        </w:rPr>
        <w:softHyphen/>
        <w:t>սա</w:t>
      </w:r>
      <w:r>
        <w:rPr>
          <w:rFonts w:cs="Sylfaen"/>
          <w:b w:val="0"/>
          <w:szCs w:val="22"/>
          <w:lang w:val="hy-AM" w:eastAsia="en-US"/>
        </w:rPr>
        <w:softHyphen/>
        <w:t>կան ակտիվներից 202</w:t>
      </w:r>
      <w:r w:rsidRPr="007C4A2C">
        <w:rPr>
          <w:rFonts w:cs="Sylfaen"/>
          <w:b w:val="0"/>
          <w:szCs w:val="22"/>
          <w:lang w:val="hy-AM" w:eastAsia="en-US"/>
        </w:rPr>
        <w:t>2</w:t>
      </w:r>
      <w:r w:rsidRPr="00BF7CB6">
        <w:rPr>
          <w:rFonts w:cs="Sylfaen"/>
          <w:b w:val="0"/>
          <w:szCs w:val="22"/>
          <w:lang w:val="hy-AM" w:eastAsia="en-US"/>
        </w:rPr>
        <w:t xml:space="preserve"> թվականի զուտ մուտքերը ծրագրավորվում են շուրջ </w:t>
      </w:r>
      <w:r>
        <w:rPr>
          <w:rFonts w:cs="Sylfaen"/>
          <w:b w:val="0"/>
          <w:szCs w:val="22"/>
          <w:lang w:val="hy-AM" w:eastAsia="en-US"/>
        </w:rPr>
        <w:t>102</w:t>
      </w:r>
      <w:r w:rsidRPr="007C4A2C">
        <w:rPr>
          <w:rFonts w:cs="Sylfaen"/>
          <w:b w:val="0"/>
          <w:szCs w:val="22"/>
          <w:lang w:val="hy-AM" w:eastAsia="en-US"/>
        </w:rPr>
        <w:t>.</w:t>
      </w:r>
      <w:r>
        <w:rPr>
          <w:rFonts w:cs="Sylfaen"/>
          <w:b w:val="0"/>
          <w:szCs w:val="22"/>
          <w:lang w:val="hy-AM" w:eastAsia="en-US"/>
        </w:rPr>
        <w:t>3</w:t>
      </w:r>
      <w:r w:rsidRPr="007C4A2C">
        <w:rPr>
          <w:rFonts w:cs="Sylfaen"/>
          <w:b w:val="0"/>
          <w:szCs w:val="22"/>
          <w:lang w:val="hy-AM" w:eastAsia="en-US"/>
        </w:rPr>
        <w:t xml:space="preserve"> </w:t>
      </w:r>
      <w:r w:rsidRPr="00BF7CB6">
        <w:rPr>
          <w:rFonts w:cs="Sylfaen"/>
          <w:b w:val="0"/>
          <w:szCs w:val="22"/>
          <w:lang w:val="hy-AM" w:eastAsia="en-US"/>
        </w:rPr>
        <w:t>մլրդ դրամ:</w:t>
      </w:r>
      <w:r>
        <w:rPr>
          <w:rFonts w:cs="Sylfaen"/>
          <w:b w:val="0"/>
          <w:szCs w:val="22"/>
          <w:lang w:val="hy-AM" w:eastAsia="en-US"/>
        </w:rPr>
        <w:t xml:space="preserve"> Նախագծով նախատեսվել է վարկերի և փոխատվությունների ստացում 229.1 մլրդ դրամի չափով, որից -</w:t>
      </w:r>
      <w:r w:rsidRPr="00B42F1B">
        <w:rPr>
          <w:rFonts w:cs="Sylfaen"/>
          <w:b w:val="0"/>
          <w:szCs w:val="22"/>
          <w:lang w:val="hy-AM" w:eastAsia="en-US"/>
        </w:rPr>
        <w:t>1</w:t>
      </w:r>
      <w:r>
        <w:rPr>
          <w:rFonts w:cs="Sylfaen"/>
          <w:b w:val="0"/>
          <w:szCs w:val="22"/>
          <w:lang w:val="hy-AM" w:eastAsia="en-US"/>
        </w:rPr>
        <w:t>2</w:t>
      </w:r>
      <w:r w:rsidRPr="009D65FB">
        <w:rPr>
          <w:rFonts w:cs="Sylfaen"/>
          <w:b w:val="0"/>
          <w:szCs w:val="22"/>
          <w:lang w:val="hy-AM" w:eastAsia="en-US"/>
        </w:rPr>
        <w:t>6</w:t>
      </w:r>
      <w:r>
        <w:rPr>
          <w:rFonts w:cs="Sylfaen"/>
          <w:b w:val="0"/>
          <w:szCs w:val="22"/>
          <w:lang w:val="hy-AM" w:eastAsia="en-US"/>
        </w:rPr>
        <w:t>.</w:t>
      </w:r>
      <w:r w:rsidRPr="009D65FB">
        <w:rPr>
          <w:rFonts w:cs="Sylfaen"/>
          <w:b w:val="0"/>
          <w:szCs w:val="22"/>
          <w:lang w:val="hy-AM" w:eastAsia="en-US"/>
        </w:rPr>
        <w:t>7</w:t>
      </w:r>
      <w:r>
        <w:rPr>
          <w:rFonts w:cs="Sylfaen"/>
          <w:b w:val="0"/>
          <w:szCs w:val="22"/>
          <w:lang w:val="hy-AM" w:eastAsia="en-US"/>
        </w:rPr>
        <w:t xml:space="preserve"> մլրդ դրամը կուղղվի ստացված վարկերի և փոխատվությունների մարմանը:</w:t>
      </w:r>
      <w:r w:rsidRPr="00BF7CB6">
        <w:rPr>
          <w:rFonts w:cs="Sylfaen"/>
          <w:b w:val="0"/>
          <w:szCs w:val="22"/>
          <w:lang w:val="hy-AM" w:eastAsia="en-US"/>
        </w:rPr>
        <w:t xml:space="preserve"> Արցախի Հանրապետությանը տրամադրվող միջպետա</w:t>
      </w:r>
      <w:r>
        <w:rPr>
          <w:rFonts w:cs="Sylfaen"/>
          <w:b w:val="0"/>
          <w:szCs w:val="22"/>
          <w:lang w:val="hy-AM" w:eastAsia="en-US"/>
        </w:rPr>
        <w:t>կան վարկի գումարը կազմում է 144.0</w:t>
      </w:r>
      <w:r w:rsidRPr="00BF7CB6">
        <w:rPr>
          <w:rFonts w:cs="Sylfaen"/>
          <w:b w:val="0"/>
          <w:szCs w:val="22"/>
          <w:lang w:val="hy-AM" w:eastAsia="en-US"/>
        </w:rPr>
        <w:t xml:space="preserve"> մլրդ դրամ:</w:t>
      </w:r>
    </w:p>
    <w:p w14:paraId="511B616A" w14:textId="77777777" w:rsidR="00B12CF6" w:rsidRPr="00BF7CB6" w:rsidRDefault="00B12CF6" w:rsidP="00866F8F">
      <w:pPr>
        <w:spacing w:before="0" w:line="276" w:lineRule="auto"/>
        <w:ind w:firstLine="630"/>
        <w:contextualSpacing w:val="0"/>
        <w:rPr>
          <w:b w:val="0"/>
          <w:szCs w:val="22"/>
          <w:lang w:val="hy-AM" w:eastAsia="en-US"/>
        </w:rPr>
      </w:pPr>
      <w:r w:rsidRPr="00BF7CB6">
        <w:rPr>
          <w:rFonts w:cs="Sylfaen"/>
          <w:b w:val="0"/>
          <w:szCs w:val="22"/>
          <w:lang w:val="hy-AM" w:eastAsia="en-US"/>
        </w:rPr>
        <w:t>Ստորև</w:t>
      </w:r>
      <w:r w:rsidRPr="00BF7CB6">
        <w:rPr>
          <w:b w:val="0"/>
          <w:szCs w:val="22"/>
          <w:lang w:val="hy-AM" w:eastAsia="en-US"/>
        </w:rPr>
        <w:t xml:space="preserve"> </w:t>
      </w:r>
      <w:r w:rsidRPr="00BF7CB6">
        <w:rPr>
          <w:rFonts w:cs="Sylfaen"/>
          <w:b w:val="0"/>
          <w:szCs w:val="22"/>
          <w:lang w:val="hy-AM" w:eastAsia="en-US"/>
        </w:rPr>
        <w:t>ներկայացվում</w:t>
      </w:r>
      <w:r w:rsidRPr="00BF7CB6">
        <w:rPr>
          <w:b w:val="0"/>
          <w:szCs w:val="22"/>
          <w:lang w:val="hy-AM" w:eastAsia="en-US"/>
        </w:rPr>
        <w:t xml:space="preserve"> են </w:t>
      </w:r>
      <w:r w:rsidRPr="00BF7CB6">
        <w:rPr>
          <w:rFonts w:cs="Sylfaen"/>
          <w:b w:val="0"/>
          <w:szCs w:val="22"/>
          <w:lang w:val="hy-AM" w:eastAsia="en-US"/>
        </w:rPr>
        <w:t>ՀՀ</w:t>
      </w:r>
      <w:r w:rsidRPr="00BF7CB6">
        <w:rPr>
          <w:b w:val="0"/>
          <w:szCs w:val="22"/>
          <w:lang w:val="hy-AM" w:eastAsia="en-US"/>
        </w:rPr>
        <w:t xml:space="preserve"> 201</w:t>
      </w:r>
      <w:r w:rsidRPr="00282E66">
        <w:rPr>
          <w:b w:val="0"/>
          <w:szCs w:val="22"/>
          <w:lang w:val="hy-AM" w:eastAsia="en-US"/>
        </w:rPr>
        <w:t>8</w:t>
      </w:r>
      <w:r w:rsidRPr="00BF7CB6">
        <w:rPr>
          <w:b w:val="0"/>
          <w:szCs w:val="22"/>
          <w:lang w:val="hy-AM" w:eastAsia="en-US"/>
        </w:rPr>
        <w:t>-202</w:t>
      </w:r>
      <w:r w:rsidRPr="00282E66">
        <w:rPr>
          <w:b w:val="0"/>
          <w:szCs w:val="22"/>
          <w:lang w:val="hy-AM" w:eastAsia="en-US"/>
        </w:rPr>
        <w:t>2</w:t>
      </w:r>
      <w:r w:rsidRPr="00BF7CB6">
        <w:rPr>
          <w:b w:val="0"/>
          <w:szCs w:val="22"/>
          <w:lang w:val="hy-AM" w:eastAsia="en-US"/>
        </w:rPr>
        <w:t xml:space="preserve"> թվակա</w:t>
      </w:r>
      <w:r w:rsidRPr="00BF7CB6">
        <w:rPr>
          <w:rFonts w:cs="Sylfaen"/>
          <w:b w:val="0"/>
          <w:szCs w:val="22"/>
          <w:lang w:val="hy-AM" w:eastAsia="en-US"/>
        </w:rPr>
        <w:t>նների</w:t>
      </w:r>
      <w:r w:rsidRPr="00BF7CB6">
        <w:rPr>
          <w:b w:val="0"/>
          <w:szCs w:val="22"/>
          <w:lang w:val="hy-AM" w:eastAsia="en-US"/>
        </w:rPr>
        <w:t xml:space="preserve"> </w:t>
      </w:r>
      <w:r w:rsidRPr="00BF7CB6">
        <w:rPr>
          <w:rFonts w:cs="Sylfaen"/>
          <w:b w:val="0"/>
          <w:szCs w:val="22"/>
          <w:lang w:val="hy-AM" w:eastAsia="en-US"/>
        </w:rPr>
        <w:t>պետական</w:t>
      </w:r>
      <w:r w:rsidRPr="00BF7CB6">
        <w:rPr>
          <w:b w:val="0"/>
          <w:szCs w:val="22"/>
          <w:lang w:val="hy-AM" w:eastAsia="en-US"/>
        </w:rPr>
        <w:t xml:space="preserve"> </w:t>
      </w:r>
      <w:r w:rsidRPr="00BF7CB6">
        <w:rPr>
          <w:rFonts w:cs="Sylfaen"/>
          <w:b w:val="0"/>
          <w:szCs w:val="22"/>
          <w:lang w:val="hy-AM" w:eastAsia="en-US"/>
        </w:rPr>
        <w:t>բյուջեների</w:t>
      </w:r>
      <w:r w:rsidRPr="00BF7CB6">
        <w:rPr>
          <w:b w:val="0"/>
          <w:szCs w:val="22"/>
          <w:lang w:val="hy-AM" w:eastAsia="en-US"/>
        </w:rPr>
        <w:t xml:space="preserve"> </w:t>
      </w:r>
      <w:r w:rsidRPr="00BF7CB6">
        <w:rPr>
          <w:rFonts w:cs="Sylfaen"/>
          <w:b w:val="0"/>
          <w:szCs w:val="22"/>
          <w:lang w:val="hy-AM" w:eastAsia="en-US"/>
        </w:rPr>
        <w:t>դեֆիցիտի</w:t>
      </w:r>
      <w:r w:rsidRPr="00BF7CB6">
        <w:rPr>
          <w:b w:val="0"/>
          <w:szCs w:val="22"/>
          <w:lang w:val="hy-AM" w:eastAsia="en-US"/>
        </w:rPr>
        <w:t xml:space="preserve"> </w:t>
      </w:r>
      <w:r w:rsidRPr="00BF7CB6">
        <w:rPr>
          <w:rFonts w:cs="Sylfaen"/>
          <w:b w:val="0"/>
          <w:szCs w:val="22"/>
          <w:lang w:val="hy-AM" w:eastAsia="en-US"/>
        </w:rPr>
        <w:t>ֆինան</w:t>
      </w:r>
      <w:r w:rsidRPr="00BF7CB6">
        <w:rPr>
          <w:rFonts w:cs="Sylfaen"/>
          <w:b w:val="0"/>
          <w:szCs w:val="22"/>
          <w:lang w:val="hy-AM" w:eastAsia="en-US"/>
        </w:rPr>
        <w:softHyphen/>
        <w:t>սա</w:t>
      </w:r>
      <w:r w:rsidRPr="00BF7CB6">
        <w:rPr>
          <w:rFonts w:cs="Sylfaen"/>
          <w:b w:val="0"/>
          <w:szCs w:val="22"/>
          <w:lang w:val="hy-AM" w:eastAsia="en-US"/>
        </w:rPr>
        <w:softHyphen/>
      </w:r>
      <w:r w:rsidRPr="00BF7CB6">
        <w:rPr>
          <w:rFonts w:cs="Sylfaen"/>
          <w:b w:val="0"/>
          <w:szCs w:val="22"/>
          <w:lang w:val="hy-AM" w:eastAsia="en-US"/>
        </w:rPr>
        <w:softHyphen/>
        <w:t>վորման</w:t>
      </w:r>
      <w:r w:rsidRPr="00BF7CB6">
        <w:rPr>
          <w:b w:val="0"/>
          <w:szCs w:val="22"/>
          <w:lang w:val="hy-AM" w:eastAsia="en-US"/>
        </w:rPr>
        <w:t xml:space="preserve"> </w:t>
      </w:r>
      <w:r w:rsidRPr="00BF7CB6">
        <w:rPr>
          <w:rFonts w:cs="Sylfaen"/>
          <w:b w:val="0"/>
          <w:szCs w:val="22"/>
          <w:lang w:val="hy-AM" w:eastAsia="en-US"/>
        </w:rPr>
        <w:t>աղբյուրները</w:t>
      </w:r>
      <w:r w:rsidRPr="00BF7CB6">
        <w:rPr>
          <w:b w:val="0"/>
          <w:szCs w:val="22"/>
          <w:lang w:val="hy-AM" w:eastAsia="en-US"/>
        </w:rPr>
        <w:t xml:space="preserve"> (</w:t>
      </w:r>
      <w:r w:rsidRPr="00BF7CB6">
        <w:rPr>
          <w:rFonts w:cs="Sylfaen"/>
          <w:b w:val="0"/>
          <w:szCs w:val="22"/>
          <w:lang w:val="hy-AM" w:eastAsia="en-US"/>
        </w:rPr>
        <w:t>տես</w:t>
      </w:r>
      <w:r w:rsidRPr="00BF7CB6">
        <w:rPr>
          <w:b w:val="0"/>
          <w:szCs w:val="22"/>
          <w:lang w:val="hy-AM" w:eastAsia="en-US"/>
        </w:rPr>
        <w:t xml:space="preserve"> </w:t>
      </w:r>
      <w:r w:rsidRPr="00BF7CB6">
        <w:rPr>
          <w:rFonts w:cs="Sylfaen"/>
          <w:b w:val="0"/>
          <w:szCs w:val="22"/>
          <w:lang w:val="hy-AM" w:eastAsia="en-US"/>
        </w:rPr>
        <w:t>Աղյուսակ</w:t>
      </w:r>
      <w:r w:rsidRPr="00BF7CB6">
        <w:rPr>
          <w:b w:val="0"/>
          <w:szCs w:val="22"/>
          <w:lang w:val="hy-AM" w:eastAsia="en-US"/>
        </w:rPr>
        <w:t xml:space="preserve"> </w:t>
      </w:r>
      <w:r>
        <w:rPr>
          <w:b w:val="0"/>
          <w:szCs w:val="22"/>
          <w:lang w:val="hy-AM" w:eastAsia="en-US"/>
        </w:rPr>
        <w:t>4</w:t>
      </w:r>
      <w:r w:rsidRPr="00BF7CB6">
        <w:rPr>
          <w:b w:val="0"/>
          <w:szCs w:val="22"/>
          <w:lang w:val="hy-AM" w:eastAsia="en-US"/>
        </w:rPr>
        <w:t>):</w:t>
      </w:r>
    </w:p>
    <w:p w14:paraId="3C48B58B" w14:textId="77777777" w:rsidR="002E2142" w:rsidRDefault="002E2142" w:rsidP="0025299D">
      <w:pPr>
        <w:pStyle w:val="Caption"/>
        <w:rPr>
          <w:lang w:val="hy-AM"/>
        </w:rPr>
      </w:pPr>
      <w:bookmarkStart w:id="201" w:name="_Toc83728697"/>
      <w:bookmarkStart w:id="202" w:name="_Toc83928941"/>
    </w:p>
    <w:p w14:paraId="462CCE7B" w14:textId="77777777" w:rsidR="002E2142" w:rsidRDefault="002E2142" w:rsidP="0025299D">
      <w:pPr>
        <w:pStyle w:val="Caption"/>
        <w:rPr>
          <w:lang w:val="hy-AM"/>
        </w:rPr>
      </w:pPr>
    </w:p>
    <w:p w14:paraId="37BFEDE5" w14:textId="77777777" w:rsidR="002E2142" w:rsidRDefault="002E2142" w:rsidP="0025299D">
      <w:pPr>
        <w:pStyle w:val="Caption"/>
        <w:rPr>
          <w:lang w:val="hy-AM"/>
        </w:rPr>
      </w:pPr>
    </w:p>
    <w:p w14:paraId="6703479E" w14:textId="77777777" w:rsidR="002E2142" w:rsidRDefault="002E2142" w:rsidP="0025299D">
      <w:pPr>
        <w:pStyle w:val="Caption"/>
        <w:rPr>
          <w:lang w:val="hy-AM"/>
        </w:rPr>
      </w:pPr>
    </w:p>
    <w:p w14:paraId="5C28796E" w14:textId="77777777" w:rsidR="002E2142" w:rsidRDefault="002E2142" w:rsidP="0025299D">
      <w:pPr>
        <w:pStyle w:val="Caption"/>
        <w:rPr>
          <w:lang w:val="hy-AM"/>
        </w:rPr>
      </w:pPr>
    </w:p>
    <w:p w14:paraId="5ABB1564" w14:textId="77777777" w:rsidR="002E2142" w:rsidRDefault="002E2142" w:rsidP="0025299D">
      <w:pPr>
        <w:pStyle w:val="Caption"/>
        <w:rPr>
          <w:lang w:val="hy-AM"/>
        </w:rPr>
      </w:pPr>
    </w:p>
    <w:p w14:paraId="63039DB7" w14:textId="77777777" w:rsidR="002E2142" w:rsidRDefault="002E2142" w:rsidP="0025299D">
      <w:pPr>
        <w:pStyle w:val="Caption"/>
        <w:rPr>
          <w:lang w:val="hy-AM"/>
        </w:rPr>
      </w:pPr>
    </w:p>
    <w:p w14:paraId="15F98E2D" w14:textId="77777777" w:rsidR="002E2142" w:rsidRDefault="002E2142" w:rsidP="0025299D">
      <w:pPr>
        <w:pStyle w:val="Caption"/>
        <w:rPr>
          <w:lang w:val="hy-AM"/>
        </w:rPr>
      </w:pPr>
    </w:p>
    <w:p w14:paraId="3301EA23" w14:textId="77777777" w:rsidR="002E2142" w:rsidRDefault="002E2142" w:rsidP="0025299D">
      <w:pPr>
        <w:pStyle w:val="Caption"/>
        <w:rPr>
          <w:lang w:val="hy-AM"/>
        </w:rPr>
      </w:pPr>
    </w:p>
    <w:p w14:paraId="22751140" w14:textId="5C531370" w:rsidR="00B12CF6" w:rsidRPr="00A2480A" w:rsidRDefault="0025299D" w:rsidP="0025299D">
      <w:pPr>
        <w:pStyle w:val="Caption"/>
        <w:rPr>
          <w:b/>
          <w:i/>
          <w:sz w:val="20"/>
          <w:szCs w:val="20"/>
          <w:lang w:val="hy-AM"/>
        </w:rPr>
      </w:pPr>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4</w:t>
      </w:r>
      <w:r>
        <w:fldChar w:fldCharType="end"/>
      </w:r>
      <w:r w:rsidR="00B12CF6" w:rsidRPr="008150A1">
        <w:rPr>
          <w:rFonts w:ascii="Cambria Math" w:hAnsi="Cambria Math" w:cs="Cambria Math"/>
          <w:lang w:val="hy-AM"/>
        </w:rPr>
        <w:t>․</w:t>
      </w:r>
      <w:r w:rsidR="00B12CF6">
        <w:rPr>
          <w:rFonts w:ascii="Cambria Math" w:hAnsi="Cambria Math"/>
          <w:lang w:val="hy-AM"/>
        </w:rPr>
        <w:t xml:space="preserve"> </w:t>
      </w:r>
      <w:r w:rsidR="00B12CF6" w:rsidRPr="00A2480A">
        <w:rPr>
          <w:b/>
          <w:i/>
          <w:sz w:val="20"/>
          <w:szCs w:val="20"/>
          <w:lang w:val="hy-AM"/>
        </w:rPr>
        <w:t>ՀՀ 201</w:t>
      </w:r>
      <w:r w:rsidR="00B12CF6" w:rsidRPr="00282E66">
        <w:rPr>
          <w:b/>
          <w:i/>
          <w:sz w:val="20"/>
          <w:szCs w:val="20"/>
          <w:lang w:val="hy-AM"/>
        </w:rPr>
        <w:t>8</w:t>
      </w:r>
      <w:r w:rsidR="00B12CF6" w:rsidRPr="00A2480A">
        <w:rPr>
          <w:b/>
          <w:i/>
          <w:sz w:val="20"/>
          <w:szCs w:val="20"/>
          <w:lang w:val="hy-AM"/>
        </w:rPr>
        <w:t>-202</w:t>
      </w:r>
      <w:r w:rsidR="00B12CF6" w:rsidRPr="00282E66">
        <w:rPr>
          <w:b/>
          <w:i/>
          <w:sz w:val="20"/>
          <w:szCs w:val="20"/>
          <w:lang w:val="hy-AM"/>
        </w:rPr>
        <w:t>2</w:t>
      </w:r>
      <w:r w:rsidR="00B12CF6" w:rsidRPr="00A2480A">
        <w:rPr>
          <w:b/>
          <w:i/>
          <w:sz w:val="20"/>
          <w:szCs w:val="20"/>
          <w:lang w:val="hy-AM"/>
        </w:rPr>
        <w:t>թթ</w:t>
      </w:r>
      <w:r w:rsidR="00B12CF6" w:rsidRPr="00A120D1">
        <w:rPr>
          <w:b/>
          <w:i/>
          <w:sz w:val="20"/>
          <w:szCs w:val="20"/>
          <w:lang w:val="hy-AM"/>
        </w:rPr>
        <w:t>.</w:t>
      </w:r>
      <w:r w:rsidR="00B12CF6" w:rsidRPr="00A2480A">
        <w:rPr>
          <w:b/>
          <w:i/>
          <w:sz w:val="20"/>
          <w:szCs w:val="20"/>
          <w:lang w:val="hy-AM"/>
        </w:rPr>
        <w:t xml:space="preserve"> պետական բյուջեների դեֆիցիտի ֆինանսավորման աղբյուրները (մլն դրամ)</w:t>
      </w:r>
      <w:bookmarkEnd w:id="201"/>
      <w:bookmarkEnd w:id="202"/>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43"/>
        <w:gridCol w:w="1344"/>
        <w:gridCol w:w="1343"/>
        <w:gridCol w:w="1469"/>
        <w:gridCol w:w="1219"/>
      </w:tblGrid>
      <w:tr w:rsidR="00B12CF6" w:rsidRPr="00BF7CB6" w14:paraId="390C0A63" w14:textId="77777777" w:rsidTr="00733935">
        <w:trPr>
          <w:trHeight w:val="810"/>
        </w:trPr>
        <w:tc>
          <w:tcPr>
            <w:tcW w:w="2610" w:type="dxa"/>
            <w:shd w:val="clear" w:color="auto" w:fill="4F81BD" w:themeFill="accent1"/>
            <w:vAlign w:val="center"/>
            <w:hideMark/>
          </w:tcPr>
          <w:p w14:paraId="002393C1"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Sylfaen"/>
                <w:color w:val="FFFFFF" w:themeColor="background1"/>
                <w:sz w:val="20"/>
                <w:szCs w:val="20"/>
                <w:lang w:val="en-US" w:eastAsia="en-US"/>
              </w:rPr>
              <w:t>Ցուցանիշներ</w:t>
            </w:r>
          </w:p>
        </w:tc>
        <w:tc>
          <w:tcPr>
            <w:tcW w:w="1343" w:type="dxa"/>
            <w:shd w:val="clear" w:color="auto" w:fill="4F81BD" w:themeFill="accent1"/>
            <w:vAlign w:val="center"/>
            <w:hideMark/>
          </w:tcPr>
          <w:p w14:paraId="6FE7FBDF"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201</w:t>
            </w:r>
            <w:r>
              <w:rPr>
                <w:rFonts w:cs="Calibri"/>
                <w:color w:val="FFFFFF" w:themeColor="background1"/>
                <w:sz w:val="20"/>
                <w:szCs w:val="20"/>
                <w:lang w:val="en-US" w:eastAsia="en-US"/>
              </w:rPr>
              <w:t>8</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փաստ</w:t>
            </w:r>
          </w:p>
        </w:tc>
        <w:tc>
          <w:tcPr>
            <w:tcW w:w="1344" w:type="dxa"/>
            <w:shd w:val="clear" w:color="auto" w:fill="4F81BD" w:themeFill="accent1"/>
            <w:vAlign w:val="center"/>
            <w:hideMark/>
          </w:tcPr>
          <w:p w14:paraId="31B69306"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w:t>
            </w:r>
            <w:r>
              <w:rPr>
                <w:rFonts w:cs="Calibri"/>
                <w:color w:val="FFFFFF" w:themeColor="background1"/>
                <w:sz w:val="20"/>
                <w:szCs w:val="20"/>
                <w:lang w:val="en-US" w:eastAsia="en-US"/>
              </w:rPr>
              <w:t>019</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փաստ</w:t>
            </w:r>
          </w:p>
        </w:tc>
        <w:tc>
          <w:tcPr>
            <w:tcW w:w="1343" w:type="dxa"/>
            <w:shd w:val="clear" w:color="auto" w:fill="4F81BD" w:themeFill="accent1"/>
            <w:vAlign w:val="center"/>
            <w:hideMark/>
          </w:tcPr>
          <w:p w14:paraId="44331C87"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w:t>
            </w:r>
            <w:r>
              <w:rPr>
                <w:rFonts w:cs="Calibri"/>
                <w:color w:val="FFFFFF" w:themeColor="background1"/>
                <w:sz w:val="20"/>
                <w:szCs w:val="20"/>
                <w:lang w:val="en-US" w:eastAsia="en-US"/>
              </w:rPr>
              <w:t>20</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փաստ</w:t>
            </w:r>
          </w:p>
        </w:tc>
        <w:tc>
          <w:tcPr>
            <w:tcW w:w="1469" w:type="dxa"/>
            <w:shd w:val="clear" w:color="auto" w:fill="4F81BD" w:themeFill="accent1"/>
            <w:vAlign w:val="center"/>
            <w:hideMark/>
          </w:tcPr>
          <w:p w14:paraId="77DA4E97" w14:textId="77777777" w:rsidR="00B12CF6" w:rsidRPr="002044EA" w:rsidRDefault="00B12CF6" w:rsidP="00733935">
            <w:pPr>
              <w:spacing w:before="0" w:line="276" w:lineRule="auto"/>
              <w:ind w:firstLine="0"/>
              <w:contextualSpacing w:val="0"/>
              <w:jc w:val="center"/>
              <w:rPr>
                <w:rFonts w:cs="Calibri"/>
                <w:color w:val="FF0000"/>
                <w:sz w:val="20"/>
                <w:szCs w:val="20"/>
                <w:lang w:val="en-US" w:eastAsia="en-US"/>
              </w:rPr>
            </w:pPr>
            <w:r w:rsidRPr="00282E66">
              <w:rPr>
                <w:rFonts w:cs="Calibri"/>
                <w:color w:val="FFFFFF" w:themeColor="background1"/>
                <w:sz w:val="20"/>
                <w:szCs w:val="20"/>
                <w:lang w:val="en-US" w:eastAsia="en-US"/>
              </w:rPr>
              <w:t>2021թ</w:t>
            </w:r>
            <w:r w:rsidRPr="00282E66">
              <w:rPr>
                <w:rFonts w:cs="Calibri"/>
                <w:color w:val="FFFFFF" w:themeColor="background1"/>
                <w:sz w:val="20"/>
                <w:szCs w:val="20"/>
                <w:lang w:val="en-US" w:eastAsia="en-US"/>
              </w:rPr>
              <w:br/>
              <w:t>բյուջե</w:t>
            </w:r>
          </w:p>
        </w:tc>
        <w:tc>
          <w:tcPr>
            <w:tcW w:w="1219" w:type="dxa"/>
            <w:shd w:val="clear" w:color="auto" w:fill="4F81BD" w:themeFill="accent1"/>
            <w:vAlign w:val="center"/>
            <w:hideMark/>
          </w:tcPr>
          <w:p w14:paraId="0D05F81C"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202</w:t>
            </w:r>
            <w:r>
              <w:rPr>
                <w:rFonts w:cs="Calibri"/>
                <w:color w:val="FFFFFF" w:themeColor="background1"/>
                <w:sz w:val="20"/>
                <w:szCs w:val="20"/>
                <w:lang w:val="en-US" w:eastAsia="en-US"/>
              </w:rPr>
              <w:t>2</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կանխատեսում</w:t>
            </w:r>
          </w:p>
        </w:tc>
      </w:tr>
      <w:tr w:rsidR="00B12CF6" w:rsidRPr="00BF7CB6" w14:paraId="7C9B0AF2" w14:textId="77777777" w:rsidTr="00733935">
        <w:trPr>
          <w:trHeight w:val="1826"/>
        </w:trPr>
        <w:tc>
          <w:tcPr>
            <w:tcW w:w="2610" w:type="dxa"/>
            <w:shd w:val="clear" w:color="auto" w:fill="DBE5F1" w:themeFill="accent1" w:themeFillTint="33"/>
            <w:vAlign w:val="center"/>
            <w:hideMark/>
          </w:tcPr>
          <w:p w14:paraId="1DF744FE" w14:textId="77777777" w:rsidR="00B12CF6" w:rsidRPr="00CB6CBD" w:rsidRDefault="00B12CF6" w:rsidP="00733935">
            <w:pPr>
              <w:spacing w:before="0" w:line="240" w:lineRule="auto"/>
              <w:ind w:firstLine="0"/>
              <w:contextualSpacing w:val="0"/>
              <w:jc w:val="left"/>
              <w:rPr>
                <w:rFonts w:cs="Calibri"/>
                <w:b w:val="0"/>
                <w:sz w:val="20"/>
                <w:szCs w:val="20"/>
                <w:lang w:eastAsia="en-US"/>
              </w:rPr>
            </w:pPr>
            <w:r w:rsidRPr="00BF7CB6">
              <w:rPr>
                <w:rFonts w:cs="Calibri"/>
                <w:b w:val="0"/>
                <w:sz w:val="20"/>
                <w:szCs w:val="20"/>
                <w:lang w:val="en-US" w:eastAsia="en-US"/>
              </w:rPr>
              <w:t>Պետական</w:t>
            </w:r>
            <w:r w:rsidRPr="00CB6CBD">
              <w:rPr>
                <w:rFonts w:cs="Calibri"/>
                <w:b w:val="0"/>
                <w:sz w:val="20"/>
                <w:szCs w:val="20"/>
                <w:lang w:eastAsia="en-US"/>
              </w:rPr>
              <w:t xml:space="preserve">  </w:t>
            </w:r>
            <w:r w:rsidRPr="00BF7CB6">
              <w:rPr>
                <w:rFonts w:cs="Calibri"/>
                <w:b w:val="0"/>
                <w:sz w:val="20"/>
                <w:szCs w:val="20"/>
                <w:lang w:val="en-US" w:eastAsia="en-US"/>
              </w:rPr>
              <w:t>բյուջեի</w:t>
            </w:r>
            <w:r w:rsidRPr="00CB6CBD">
              <w:rPr>
                <w:rFonts w:cs="Calibri"/>
                <w:b w:val="0"/>
                <w:sz w:val="20"/>
                <w:szCs w:val="20"/>
                <w:lang w:eastAsia="en-US"/>
              </w:rPr>
              <w:t xml:space="preserve">  </w:t>
            </w:r>
            <w:r w:rsidRPr="00BF7CB6">
              <w:rPr>
                <w:rFonts w:cs="Calibri"/>
                <w:b w:val="0"/>
                <w:sz w:val="20"/>
                <w:szCs w:val="20"/>
                <w:lang w:val="en-US" w:eastAsia="en-US"/>
              </w:rPr>
              <w:t>դեֆիցիտի</w:t>
            </w:r>
            <w:r w:rsidRPr="00CB6CBD">
              <w:rPr>
                <w:rFonts w:cs="Calibri"/>
                <w:b w:val="0"/>
                <w:sz w:val="20"/>
                <w:szCs w:val="20"/>
                <w:lang w:eastAsia="en-US"/>
              </w:rPr>
              <w:t xml:space="preserve"> </w:t>
            </w:r>
            <w:r w:rsidRPr="00BF7CB6">
              <w:rPr>
                <w:rFonts w:cs="Calibri"/>
                <w:b w:val="0"/>
                <w:sz w:val="20"/>
                <w:szCs w:val="20"/>
                <w:lang w:val="en-US" w:eastAsia="en-US"/>
              </w:rPr>
              <w:t>ֆինանսավորման</w:t>
            </w:r>
            <w:r w:rsidRPr="00CB6CBD">
              <w:rPr>
                <w:rFonts w:cs="Calibri"/>
                <w:b w:val="0"/>
                <w:sz w:val="20"/>
                <w:szCs w:val="20"/>
                <w:lang w:eastAsia="en-US"/>
              </w:rPr>
              <w:t xml:space="preserve"> </w:t>
            </w:r>
            <w:r w:rsidRPr="00BF7CB6">
              <w:rPr>
                <w:rFonts w:cs="Calibri"/>
                <w:b w:val="0"/>
                <w:sz w:val="20"/>
                <w:szCs w:val="20"/>
                <w:lang w:val="en-US" w:eastAsia="en-US"/>
              </w:rPr>
              <w:t>աղբյուրներն</w:t>
            </w:r>
            <w:r w:rsidRPr="00CB6CBD">
              <w:rPr>
                <w:rFonts w:cs="Calibri"/>
                <w:b w:val="0"/>
                <w:sz w:val="20"/>
                <w:szCs w:val="20"/>
                <w:lang w:eastAsia="en-US"/>
              </w:rPr>
              <w:t xml:space="preserve"> </w:t>
            </w:r>
            <w:r w:rsidRPr="00BF7CB6">
              <w:rPr>
                <w:rFonts w:cs="Calibri"/>
                <w:b w:val="0"/>
                <w:sz w:val="20"/>
                <w:szCs w:val="20"/>
                <w:lang w:val="en-US" w:eastAsia="en-US"/>
              </w:rPr>
              <w:t>ու</w:t>
            </w:r>
            <w:r w:rsidRPr="00CB6CBD">
              <w:rPr>
                <w:rFonts w:cs="Calibri"/>
                <w:b w:val="0"/>
                <w:sz w:val="20"/>
                <w:szCs w:val="20"/>
                <w:lang w:eastAsia="en-US"/>
              </w:rPr>
              <w:t xml:space="preserve"> </w:t>
            </w:r>
            <w:r w:rsidRPr="00BF7CB6">
              <w:rPr>
                <w:rFonts w:cs="Calibri"/>
                <w:b w:val="0"/>
                <w:sz w:val="20"/>
                <w:szCs w:val="20"/>
                <w:lang w:val="en-US" w:eastAsia="en-US"/>
              </w:rPr>
              <w:t>դրանց</w:t>
            </w:r>
            <w:r w:rsidRPr="00CB6CBD">
              <w:rPr>
                <w:rFonts w:cs="Calibri"/>
                <w:b w:val="0"/>
                <w:sz w:val="20"/>
                <w:szCs w:val="20"/>
                <w:lang w:eastAsia="en-US"/>
              </w:rPr>
              <w:t xml:space="preserve"> </w:t>
            </w:r>
            <w:r w:rsidRPr="00BF7CB6">
              <w:rPr>
                <w:rFonts w:cs="Calibri"/>
                <w:b w:val="0"/>
                <w:sz w:val="20"/>
                <w:szCs w:val="20"/>
                <w:lang w:val="en-US" w:eastAsia="en-US"/>
              </w:rPr>
              <w:t>տարրերի</w:t>
            </w:r>
            <w:r w:rsidRPr="00CB6CBD">
              <w:rPr>
                <w:rFonts w:cs="Calibri"/>
                <w:b w:val="0"/>
                <w:sz w:val="20"/>
                <w:szCs w:val="20"/>
                <w:lang w:eastAsia="en-US"/>
              </w:rPr>
              <w:t xml:space="preserve"> </w:t>
            </w:r>
            <w:r w:rsidRPr="00BF7CB6">
              <w:rPr>
                <w:rFonts w:cs="Calibri"/>
                <w:b w:val="0"/>
                <w:sz w:val="20"/>
                <w:szCs w:val="20"/>
                <w:lang w:val="en-US" w:eastAsia="en-US"/>
              </w:rPr>
              <w:t>անվանումները՝</w:t>
            </w:r>
            <w:r w:rsidRPr="00CB6CBD">
              <w:rPr>
                <w:rFonts w:cs="Calibri"/>
                <w:b w:val="0"/>
                <w:sz w:val="20"/>
                <w:szCs w:val="20"/>
                <w:lang w:eastAsia="en-US"/>
              </w:rPr>
              <w:t xml:space="preserve"> </w:t>
            </w:r>
            <w:r w:rsidRPr="00BF7CB6">
              <w:rPr>
                <w:rFonts w:cs="Calibri"/>
                <w:b w:val="0"/>
                <w:sz w:val="20"/>
                <w:szCs w:val="20"/>
                <w:lang w:val="en-US" w:eastAsia="en-US"/>
              </w:rPr>
              <w:t>ընդամենը</w:t>
            </w:r>
          </w:p>
        </w:tc>
        <w:tc>
          <w:tcPr>
            <w:tcW w:w="1343" w:type="dxa"/>
            <w:shd w:val="clear" w:color="auto" w:fill="DBE5F1" w:themeFill="accent1" w:themeFillTint="33"/>
            <w:noWrap/>
            <w:vAlign w:val="center"/>
            <w:hideMark/>
          </w:tcPr>
          <w:p w14:paraId="321E93A0" w14:textId="77777777" w:rsidR="00B12CF6" w:rsidRPr="00BF7CB6" w:rsidRDefault="00B12CF6" w:rsidP="00733935">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105,392.4</w:t>
            </w:r>
          </w:p>
        </w:tc>
        <w:tc>
          <w:tcPr>
            <w:tcW w:w="1344" w:type="dxa"/>
            <w:shd w:val="clear" w:color="auto" w:fill="DBE5F1" w:themeFill="accent1" w:themeFillTint="33"/>
            <w:noWrap/>
            <w:vAlign w:val="center"/>
            <w:hideMark/>
          </w:tcPr>
          <w:p w14:paraId="5A122250" w14:textId="77777777" w:rsidR="00B12CF6" w:rsidRPr="00BF7CB6" w:rsidRDefault="00B12CF6" w:rsidP="00733935">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63,947.9</w:t>
            </w:r>
          </w:p>
        </w:tc>
        <w:tc>
          <w:tcPr>
            <w:tcW w:w="1343" w:type="dxa"/>
            <w:shd w:val="clear" w:color="auto" w:fill="DBE5F1" w:themeFill="accent1" w:themeFillTint="33"/>
            <w:noWrap/>
            <w:vAlign w:val="center"/>
            <w:hideMark/>
          </w:tcPr>
          <w:p w14:paraId="04BB31F4" w14:textId="77777777" w:rsidR="00B12CF6" w:rsidRPr="002401FD" w:rsidRDefault="00B12CF6" w:rsidP="00733935">
            <w:pPr>
              <w:spacing w:before="0" w:line="240" w:lineRule="auto"/>
              <w:ind w:firstLine="0"/>
              <w:contextualSpacing w:val="0"/>
              <w:jc w:val="center"/>
              <w:rPr>
                <w:rFonts w:cs="Calibri"/>
                <w:b w:val="0"/>
                <w:sz w:val="20"/>
                <w:szCs w:val="20"/>
                <w:lang w:val="hy-AM" w:eastAsia="en-US"/>
              </w:rPr>
            </w:pPr>
            <w:r>
              <w:rPr>
                <w:rFonts w:cs="Calibri"/>
                <w:b w:val="0"/>
                <w:sz w:val="20"/>
                <w:szCs w:val="20"/>
                <w:lang w:val="hy-AM" w:eastAsia="en-US"/>
              </w:rPr>
              <w:t>333</w:t>
            </w:r>
            <w:r w:rsidRPr="00BF7CB6">
              <w:rPr>
                <w:rFonts w:cs="Calibri"/>
                <w:b w:val="0"/>
                <w:sz w:val="20"/>
                <w:szCs w:val="20"/>
                <w:lang w:val="en-US" w:eastAsia="en-US"/>
              </w:rPr>
              <w:t>,</w:t>
            </w:r>
            <w:r>
              <w:rPr>
                <w:rFonts w:cs="Calibri"/>
                <w:b w:val="0"/>
                <w:sz w:val="20"/>
                <w:szCs w:val="20"/>
                <w:lang w:val="hy-AM" w:eastAsia="en-US"/>
              </w:rPr>
              <w:t>991</w:t>
            </w:r>
            <w:r w:rsidRPr="00BF7CB6">
              <w:rPr>
                <w:rFonts w:cs="Calibri"/>
                <w:b w:val="0"/>
                <w:sz w:val="20"/>
                <w:szCs w:val="20"/>
                <w:lang w:val="en-US" w:eastAsia="en-US"/>
              </w:rPr>
              <w:t>.</w:t>
            </w:r>
            <w:r>
              <w:rPr>
                <w:rFonts w:cs="Calibri"/>
                <w:b w:val="0"/>
                <w:sz w:val="20"/>
                <w:szCs w:val="20"/>
                <w:lang w:val="hy-AM" w:eastAsia="en-US"/>
              </w:rPr>
              <w:t>7</w:t>
            </w:r>
          </w:p>
        </w:tc>
        <w:tc>
          <w:tcPr>
            <w:tcW w:w="1469" w:type="dxa"/>
            <w:shd w:val="clear" w:color="auto" w:fill="DBE5F1" w:themeFill="accent1" w:themeFillTint="33"/>
            <w:noWrap/>
            <w:vAlign w:val="center"/>
          </w:tcPr>
          <w:p w14:paraId="1C781DC8" w14:textId="77777777" w:rsidR="00B12CF6" w:rsidRPr="00282E66" w:rsidRDefault="00B12CF6" w:rsidP="00733935">
            <w:pPr>
              <w:spacing w:before="0" w:line="240" w:lineRule="auto"/>
              <w:ind w:firstLine="0"/>
              <w:contextualSpacing w:val="0"/>
              <w:jc w:val="center"/>
              <w:rPr>
                <w:rFonts w:cs="Calibri"/>
                <w:b w:val="0"/>
                <w:sz w:val="20"/>
                <w:szCs w:val="20"/>
                <w:lang w:val="en-US" w:eastAsia="en-US"/>
              </w:rPr>
            </w:pPr>
            <w:r>
              <w:rPr>
                <w:rFonts w:cs="Calibri"/>
                <w:b w:val="0"/>
                <w:sz w:val="20"/>
                <w:szCs w:val="20"/>
                <w:lang w:val="en-US" w:eastAsia="en-US"/>
              </w:rPr>
              <w:t>341,414.6</w:t>
            </w:r>
          </w:p>
        </w:tc>
        <w:tc>
          <w:tcPr>
            <w:tcW w:w="1219" w:type="dxa"/>
            <w:shd w:val="clear" w:color="auto" w:fill="DBE5F1" w:themeFill="accent1" w:themeFillTint="33"/>
            <w:vAlign w:val="center"/>
            <w:hideMark/>
          </w:tcPr>
          <w:p w14:paraId="471B47B7" w14:textId="5C4C8C6F" w:rsidR="00B12CF6" w:rsidRPr="00576C53" w:rsidRDefault="00B12CF6" w:rsidP="00866F8F">
            <w:pPr>
              <w:spacing w:before="0" w:line="240" w:lineRule="auto"/>
              <w:ind w:firstLine="0"/>
              <w:contextualSpacing w:val="0"/>
              <w:jc w:val="center"/>
              <w:rPr>
                <w:rFonts w:cs="Calibri"/>
                <w:b w:val="0"/>
                <w:sz w:val="20"/>
                <w:szCs w:val="20"/>
                <w:lang w:val="hy-AM" w:eastAsia="en-US"/>
              </w:rPr>
            </w:pPr>
            <w:r>
              <w:rPr>
                <w:rFonts w:cs="Calibri"/>
                <w:b w:val="0"/>
                <w:sz w:val="20"/>
                <w:szCs w:val="20"/>
                <w:lang w:val="en-US" w:eastAsia="en-US"/>
              </w:rPr>
              <w:t>242</w:t>
            </w:r>
            <w:r w:rsidRPr="00282E66">
              <w:rPr>
                <w:rFonts w:cs="Calibri"/>
                <w:b w:val="0"/>
                <w:sz w:val="20"/>
                <w:szCs w:val="20"/>
                <w:lang w:val="en-US" w:eastAsia="en-US"/>
              </w:rPr>
              <w:t>,</w:t>
            </w:r>
            <w:r w:rsidR="00866F8F">
              <w:rPr>
                <w:rFonts w:cs="Calibri"/>
                <w:b w:val="0"/>
                <w:sz w:val="20"/>
                <w:szCs w:val="20"/>
                <w:lang w:val="hy-AM" w:eastAsia="en-US"/>
              </w:rPr>
              <w:t>992</w:t>
            </w:r>
            <w:r>
              <w:rPr>
                <w:rFonts w:cs="Calibri"/>
                <w:b w:val="0"/>
                <w:sz w:val="20"/>
                <w:szCs w:val="20"/>
                <w:lang w:val="hy-AM" w:eastAsia="en-US"/>
              </w:rPr>
              <w:t>.</w:t>
            </w:r>
            <w:r w:rsidR="00866F8F">
              <w:rPr>
                <w:rFonts w:cs="Calibri"/>
                <w:b w:val="0"/>
                <w:sz w:val="20"/>
                <w:szCs w:val="20"/>
                <w:lang w:val="en-US" w:eastAsia="en-US"/>
              </w:rPr>
              <w:t>0</w:t>
            </w:r>
          </w:p>
        </w:tc>
      </w:tr>
      <w:tr w:rsidR="00B12CF6" w:rsidRPr="00BF7CB6" w14:paraId="027C0957" w14:textId="77777777" w:rsidTr="00733935">
        <w:trPr>
          <w:trHeight w:val="620"/>
        </w:trPr>
        <w:tc>
          <w:tcPr>
            <w:tcW w:w="2610" w:type="dxa"/>
            <w:shd w:val="clear" w:color="auto" w:fill="auto"/>
            <w:vAlign w:val="center"/>
            <w:hideMark/>
          </w:tcPr>
          <w:p w14:paraId="62FFF374" w14:textId="77777777" w:rsidR="00B12CF6" w:rsidRPr="00BF7CB6" w:rsidRDefault="00B12CF6" w:rsidP="00733935">
            <w:pPr>
              <w:spacing w:before="0" w:line="276" w:lineRule="auto"/>
              <w:ind w:firstLine="0"/>
              <w:contextualSpacing w:val="0"/>
              <w:jc w:val="left"/>
              <w:rPr>
                <w:rFonts w:cs="Calibri"/>
                <w:b w:val="0"/>
                <w:color w:val="000000"/>
                <w:sz w:val="20"/>
                <w:szCs w:val="20"/>
                <w:lang w:val="en-US" w:eastAsia="en-US"/>
              </w:rPr>
            </w:pPr>
            <w:r w:rsidRPr="00BF7CB6">
              <w:rPr>
                <w:rFonts w:cs="Calibri"/>
                <w:b w:val="0"/>
                <w:color w:val="000000"/>
                <w:sz w:val="20"/>
                <w:szCs w:val="20"/>
                <w:lang w:val="en-US" w:eastAsia="en-US"/>
              </w:rPr>
              <w:t>Ա.Ներքին աղբյուրներ-ընդամենը</w:t>
            </w:r>
          </w:p>
        </w:tc>
        <w:tc>
          <w:tcPr>
            <w:tcW w:w="1343" w:type="dxa"/>
            <w:shd w:val="clear" w:color="auto" w:fill="auto"/>
            <w:noWrap/>
            <w:vAlign w:val="center"/>
            <w:hideMark/>
          </w:tcPr>
          <w:p w14:paraId="102B87A1"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69,364.0</w:t>
            </w:r>
          </w:p>
        </w:tc>
        <w:tc>
          <w:tcPr>
            <w:tcW w:w="1344" w:type="dxa"/>
            <w:shd w:val="clear" w:color="auto" w:fill="auto"/>
            <w:noWrap/>
            <w:vAlign w:val="center"/>
            <w:hideMark/>
          </w:tcPr>
          <w:p w14:paraId="70FEE0D6"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(13,317.2)</w:t>
            </w:r>
          </w:p>
        </w:tc>
        <w:tc>
          <w:tcPr>
            <w:tcW w:w="1343" w:type="dxa"/>
            <w:shd w:val="clear" w:color="auto" w:fill="auto"/>
            <w:noWrap/>
            <w:vAlign w:val="center"/>
            <w:hideMark/>
          </w:tcPr>
          <w:p w14:paraId="7D04582A" w14:textId="77777777" w:rsidR="00B12CF6" w:rsidRPr="002401FD" w:rsidRDefault="00B12CF6" w:rsidP="00733935">
            <w:pPr>
              <w:spacing w:before="0" w:line="276" w:lineRule="auto"/>
              <w:ind w:firstLine="0"/>
              <w:contextualSpacing w:val="0"/>
              <w:jc w:val="center"/>
              <w:rPr>
                <w:rFonts w:cs="Calibri"/>
                <w:b w:val="0"/>
                <w:color w:val="000000"/>
                <w:sz w:val="20"/>
                <w:szCs w:val="20"/>
                <w:lang w:val="hy-AM" w:eastAsia="en-US"/>
              </w:rPr>
            </w:pPr>
            <w:r>
              <w:rPr>
                <w:rFonts w:cs="Calibri"/>
                <w:b w:val="0"/>
                <w:color w:val="000000"/>
                <w:sz w:val="20"/>
                <w:szCs w:val="20"/>
                <w:lang w:val="hy-AM" w:eastAsia="en-US"/>
              </w:rPr>
              <w:t>359</w:t>
            </w:r>
            <w:r w:rsidRPr="00BF7CB6">
              <w:rPr>
                <w:rFonts w:cs="Calibri"/>
                <w:b w:val="0"/>
                <w:color w:val="000000"/>
                <w:sz w:val="20"/>
                <w:szCs w:val="20"/>
                <w:lang w:val="en-US" w:eastAsia="en-US"/>
              </w:rPr>
              <w:t>,</w:t>
            </w:r>
            <w:r>
              <w:rPr>
                <w:rFonts w:cs="Calibri"/>
                <w:b w:val="0"/>
                <w:color w:val="000000"/>
                <w:sz w:val="20"/>
                <w:szCs w:val="20"/>
                <w:lang w:val="hy-AM" w:eastAsia="en-US"/>
              </w:rPr>
              <w:t>378</w:t>
            </w:r>
            <w:r w:rsidRPr="00BF7CB6">
              <w:rPr>
                <w:rFonts w:cs="Calibri"/>
                <w:b w:val="0"/>
                <w:color w:val="000000"/>
                <w:sz w:val="20"/>
                <w:szCs w:val="20"/>
                <w:lang w:val="en-US" w:eastAsia="en-US"/>
              </w:rPr>
              <w:t>.</w:t>
            </w:r>
            <w:r>
              <w:rPr>
                <w:rFonts w:cs="Calibri"/>
                <w:b w:val="0"/>
                <w:color w:val="000000"/>
                <w:sz w:val="20"/>
                <w:szCs w:val="20"/>
                <w:lang w:val="hy-AM" w:eastAsia="en-US"/>
              </w:rPr>
              <w:t>9</w:t>
            </w:r>
          </w:p>
        </w:tc>
        <w:tc>
          <w:tcPr>
            <w:tcW w:w="1469" w:type="dxa"/>
            <w:shd w:val="clear" w:color="auto" w:fill="auto"/>
            <w:noWrap/>
            <w:vAlign w:val="center"/>
          </w:tcPr>
          <w:p w14:paraId="2AB74F27" w14:textId="77777777" w:rsidR="00B12CF6" w:rsidRPr="00282E66" w:rsidRDefault="00B12CF6" w:rsidP="00733935">
            <w:pPr>
              <w:spacing w:before="0" w:line="240" w:lineRule="auto"/>
              <w:ind w:firstLine="0"/>
              <w:contextualSpacing w:val="0"/>
              <w:jc w:val="center"/>
              <w:rPr>
                <w:rFonts w:cs="Calibri"/>
                <w:b w:val="0"/>
                <w:sz w:val="20"/>
                <w:szCs w:val="20"/>
                <w:lang w:val="en-US" w:eastAsia="en-US"/>
              </w:rPr>
            </w:pPr>
            <w:r>
              <w:rPr>
                <w:rFonts w:cs="Calibri"/>
                <w:b w:val="0"/>
                <w:color w:val="000000"/>
                <w:sz w:val="20"/>
                <w:szCs w:val="20"/>
                <w:lang w:val="en-US" w:eastAsia="en-US"/>
              </w:rPr>
              <w:t>138,686.6</w:t>
            </w:r>
          </w:p>
        </w:tc>
        <w:tc>
          <w:tcPr>
            <w:tcW w:w="1219" w:type="dxa"/>
            <w:shd w:val="clear" w:color="auto" w:fill="auto"/>
            <w:vAlign w:val="center"/>
          </w:tcPr>
          <w:p w14:paraId="55644370" w14:textId="2FB13900" w:rsidR="00B12CF6" w:rsidRPr="00576C53" w:rsidRDefault="00B12CF6" w:rsidP="00733935">
            <w:pPr>
              <w:spacing w:before="0" w:line="240" w:lineRule="auto"/>
              <w:ind w:firstLine="0"/>
              <w:contextualSpacing w:val="0"/>
              <w:jc w:val="center"/>
              <w:rPr>
                <w:rFonts w:cs="Calibri"/>
                <w:b w:val="0"/>
                <w:sz w:val="20"/>
                <w:szCs w:val="20"/>
                <w:lang w:eastAsia="en-US"/>
              </w:rPr>
            </w:pPr>
            <w:r>
              <w:rPr>
                <w:rFonts w:cs="Calibri"/>
                <w:b w:val="0"/>
                <w:sz w:val="20"/>
                <w:szCs w:val="20"/>
                <w:lang w:val="en-US" w:eastAsia="en-US"/>
              </w:rPr>
              <w:t>28</w:t>
            </w:r>
            <w:r>
              <w:rPr>
                <w:rFonts w:cs="Calibri"/>
                <w:b w:val="0"/>
                <w:sz w:val="20"/>
                <w:szCs w:val="20"/>
                <w:lang w:val="hy-AM" w:eastAsia="en-US"/>
              </w:rPr>
              <w:t>5</w:t>
            </w:r>
            <w:r>
              <w:rPr>
                <w:rFonts w:cs="Calibri"/>
                <w:b w:val="0"/>
                <w:sz w:val="20"/>
                <w:szCs w:val="20"/>
                <w:lang w:val="en-US" w:eastAsia="en-US"/>
              </w:rPr>
              <w:t>,</w:t>
            </w:r>
            <w:r>
              <w:rPr>
                <w:rFonts w:cs="Calibri"/>
                <w:b w:val="0"/>
                <w:sz w:val="20"/>
                <w:szCs w:val="20"/>
                <w:lang w:val="hy-AM" w:eastAsia="en-US"/>
              </w:rPr>
              <w:t>164</w:t>
            </w:r>
            <w:r w:rsidRPr="00282E66">
              <w:rPr>
                <w:rFonts w:cs="Calibri"/>
                <w:b w:val="0"/>
                <w:sz w:val="20"/>
                <w:szCs w:val="20"/>
                <w:lang w:val="en-US" w:eastAsia="en-US"/>
              </w:rPr>
              <w:t>.</w:t>
            </w:r>
            <w:r w:rsidR="00866F8F">
              <w:rPr>
                <w:rFonts w:cs="Calibri"/>
                <w:b w:val="0"/>
                <w:sz w:val="20"/>
                <w:szCs w:val="20"/>
                <w:lang w:val="hy-AM" w:eastAsia="en-US"/>
              </w:rPr>
              <w:t>4</w:t>
            </w:r>
          </w:p>
        </w:tc>
      </w:tr>
      <w:tr w:rsidR="00B12CF6" w:rsidRPr="00BF7CB6" w14:paraId="36C2593B" w14:textId="77777777" w:rsidTr="00733935">
        <w:trPr>
          <w:trHeight w:val="809"/>
        </w:trPr>
        <w:tc>
          <w:tcPr>
            <w:tcW w:w="2610" w:type="dxa"/>
            <w:shd w:val="clear" w:color="auto" w:fill="auto"/>
            <w:vAlign w:val="center"/>
            <w:hideMark/>
          </w:tcPr>
          <w:p w14:paraId="6B7F066D" w14:textId="77777777" w:rsidR="00B12CF6" w:rsidRPr="00BF7CB6" w:rsidRDefault="00B12CF6" w:rsidP="00733935">
            <w:pPr>
              <w:spacing w:before="0" w:line="276" w:lineRule="auto"/>
              <w:ind w:firstLine="0"/>
              <w:contextualSpacing w:val="0"/>
              <w:jc w:val="left"/>
              <w:rPr>
                <w:rFonts w:cs="Calibri"/>
                <w:b w:val="0"/>
                <w:color w:val="000000"/>
                <w:sz w:val="20"/>
                <w:szCs w:val="20"/>
                <w:lang w:val="en-US" w:eastAsia="en-US"/>
              </w:rPr>
            </w:pPr>
            <w:r w:rsidRPr="00BF7CB6">
              <w:rPr>
                <w:rFonts w:cs="Calibri"/>
                <w:b w:val="0"/>
                <w:color w:val="000000"/>
                <w:sz w:val="20"/>
                <w:szCs w:val="20"/>
                <w:lang w:val="en-US" w:eastAsia="en-US"/>
              </w:rPr>
              <w:t>Բ. Արտաքին աղբյուրներ - ընդամենը</w:t>
            </w:r>
          </w:p>
        </w:tc>
        <w:tc>
          <w:tcPr>
            <w:tcW w:w="1343" w:type="dxa"/>
            <w:shd w:val="clear" w:color="auto" w:fill="auto"/>
            <w:noWrap/>
            <w:vAlign w:val="center"/>
            <w:hideMark/>
          </w:tcPr>
          <w:p w14:paraId="032669CE"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36,028.4</w:t>
            </w:r>
          </w:p>
        </w:tc>
        <w:tc>
          <w:tcPr>
            <w:tcW w:w="1344" w:type="dxa"/>
            <w:shd w:val="clear" w:color="auto" w:fill="auto"/>
            <w:noWrap/>
            <w:vAlign w:val="center"/>
            <w:hideMark/>
          </w:tcPr>
          <w:p w14:paraId="73B5C518"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77,265.2</w:t>
            </w:r>
          </w:p>
        </w:tc>
        <w:tc>
          <w:tcPr>
            <w:tcW w:w="1343" w:type="dxa"/>
            <w:shd w:val="clear" w:color="auto" w:fill="auto"/>
            <w:noWrap/>
            <w:vAlign w:val="center"/>
            <w:hideMark/>
          </w:tcPr>
          <w:p w14:paraId="1F5731F1"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w:t>
            </w:r>
            <w:r>
              <w:rPr>
                <w:rFonts w:cs="Calibri"/>
                <w:b w:val="0"/>
                <w:color w:val="000000"/>
                <w:sz w:val="20"/>
                <w:szCs w:val="20"/>
                <w:lang w:val="hy-AM" w:eastAsia="en-US"/>
              </w:rPr>
              <w:t>25</w:t>
            </w:r>
            <w:r w:rsidRPr="00BF7CB6">
              <w:rPr>
                <w:rFonts w:cs="Calibri"/>
                <w:b w:val="0"/>
                <w:color w:val="000000"/>
                <w:sz w:val="20"/>
                <w:szCs w:val="20"/>
                <w:lang w:val="en-US" w:eastAsia="en-US"/>
              </w:rPr>
              <w:t>,</w:t>
            </w:r>
            <w:r>
              <w:rPr>
                <w:rFonts w:cs="Calibri"/>
                <w:b w:val="0"/>
                <w:color w:val="000000"/>
                <w:sz w:val="20"/>
                <w:szCs w:val="20"/>
                <w:lang w:val="hy-AM" w:eastAsia="en-US"/>
              </w:rPr>
              <w:t>387</w:t>
            </w:r>
            <w:r w:rsidRPr="00BF7CB6">
              <w:rPr>
                <w:rFonts w:cs="Calibri"/>
                <w:b w:val="0"/>
                <w:color w:val="000000"/>
                <w:sz w:val="20"/>
                <w:szCs w:val="20"/>
                <w:lang w:val="en-US" w:eastAsia="en-US"/>
              </w:rPr>
              <w:t>.</w:t>
            </w:r>
            <w:r>
              <w:rPr>
                <w:rFonts w:cs="Calibri"/>
                <w:b w:val="0"/>
                <w:color w:val="000000"/>
                <w:sz w:val="20"/>
                <w:szCs w:val="20"/>
                <w:lang w:val="hy-AM" w:eastAsia="en-US"/>
              </w:rPr>
              <w:t>1</w:t>
            </w:r>
            <w:r w:rsidRPr="00BF7CB6">
              <w:rPr>
                <w:rFonts w:cs="Calibri"/>
                <w:b w:val="0"/>
                <w:color w:val="000000"/>
                <w:sz w:val="20"/>
                <w:szCs w:val="20"/>
                <w:lang w:val="en-US" w:eastAsia="en-US"/>
              </w:rPr>
              <w:t>)</w:t>
            </w:r>
          </w:p>
        </w:tc>
        <w:tc>
          <w:tcPr>
            <w:tcW w:w="1469" w:type="dxa"/>
            <w:shd w:val="clear" w:color="auto" w:fill="auto"/>
            <w:noWrap/>
            <w:vAlign w:val="center"/>
          </w:tcPr>
          <w:p w14:paraId="6F23BDA5" w14:textId="77777777" w:rsidR="00B12CF6" w:rsidRPr="00282E66" w:rsidRDefault="00B12CF6" w:rsidP="00733935">
            <w:pPr>
              <w:spacing w:before="0" w:line="240" w:lineRule="auto"/>
              <w:ind w:firstLine="0"/>
              <w:contextualSpacing w:val="0"/>
              <w:jc w:val="center"/>
              <w:rPr>
                <w:rFonts w:cs="Calibri"/>
                <w:b w:val="0"/>
                <w:sz w:val="20"/>
                <w:szCs w:val="20"/>
                <w:lang w:val="en-US" w:eastAsia="en-US"/>
              </w:rPr>
            </w:pPr>
            <w:r>
              <w:rPr>
                <w:rFonts w:cs="Calibri"/>
                <w:b w:val="0"/>
                <w:color w:val="000000"/>
                <w:sz w:val="20"/>
                <w:szCs w:val="20"/>
                <w:lang w:val="en-US" w:eastAsia="en-US"/>
              </w:rPr>
              <w:t>202,728.0</w:t>
            </w:r>
          </w:p>
        </w:tc>
        <w:tc>
          <w:tcPr>
            <w:tcW w:w="1219" w:type="dxa"/>
            <w:shd w:val="clear" w:color="auto" w:fill="auto"/>
            <w:vAlign w:val="center"/>
          </w:tcPr>
          <w:p w14:paraId="492F4DA4" w14:textId="77777777" w:rsidR="00B12CF6" w:rsidRPr="00282E66" w:rsidRDefault="00B12CF6" w:rsidP="00733935">
            <w:pPr>
              <w:spacing w:before="0" w:line="240" w:lineRule="auto"/>
              <w:ind w:firstLine="0"/>
              <w:contextualSpacing w:val="0"/>
              <w:jc w:val="center"/>
              <w:rPr>
                <w:rFonts w:cs="Calibri"/>
                <w:b w:val="0"/>
                <w:sz w:val="20"/>
                <w:szCs w:val="20"/>
                <w:lang w:val="en-US" w:eastAsia="en-US"/>
              </w:rPr>
            </w:pPr>
            <w:r w:rsidRPr="00282E66">
              <w:rPr>
                <w:rFonts w:cs="Calibri"/>
                <w:b w:val="0"/>
                <w:sz w:val="20"/>
                <w:szCs w:val="20"/>
                <w:lang w:val="en-US" w:eastAsia="en-US"/>
              </w:rPr>
              <w:t>(</w:t>
            </w:r>
            <w:r>
              <w:rPr>
                <w:rFonts w:cs="Calibri"/>
                <w:b w:val="0"/>
                <w:sz w:val="20"/>
                <w:szCs w:val="20"/>
                <w:lang w:val="en-US" w:eastAsia="en-US"/>
              </w:rPr>
              <w:t>42</w:t>
            </w:r>
            <w:r w:rsidRPr="00282E66">
              <w:rPr>
                <w:rFonts w:cs="Calibri"/>
                <w:b w:val="0"/>
                <w:sz w:val="20"/>
                <w:szCs w:val="20"/>
                <w:lang w:val="en-US" w:eastAsia="en-US"/>
              </w:rPr>
              <w:t>,</w:t>
            </w:r>
            <w:r>
              <w:rPr>
                <w:rFonts w:cs="Calibri"/>
                <w:b w:val="0"/>
                <w:sz w:val="20"/>
                <w:szCs w:val="20"/>
                <w:lang w:val="en-US" w:eastAsia="en-US"/>
              </w:rPr>
              <w:t>172</w:t>
            </w:r>
            <w:r w:rsidRPr="00282E66">
              <w:rPr>
                <w:rFonts w:cs="Calibri"/>
                <w:b w:val="0"/>
                <w:sz w:val="20"/>
                <w:szCs w:val="20"/>
                <w:lang w:val="en-US" w:eastAsia="en-US"/>
              </w:rPr>
              <w:t>.</w:t>
            </w:r>
            <w:r>
              <w:rPr>
                <w:rFonts w:cs="Calibri"/>
                <w:b w:val="0"/>
                <w:sz w:val="20"/>
                <w:szCs w:val="20"/>
                <w:lang w:val="en-US" w:eastAsia="en-US"/>
              </w:rPr>
              <w:t>4</w:t>
            </w:r>
            <w:r w:rsidRPr="00282E66">
              <w:rPr>
                <w:rFonts w:cs="Calibri"/>
                <w:b w:val="0"/>
                <w:sz w:val="20"/>
                <w:szCs w:val="20"/>
                <w:lang w:val="en-US" w:eastAsia="en-US"/>
              </w:rPr>
              <w:t>)</w:t>
            </w:r>
          </w:p>
        </w:tc>
      </w:tr>
    </w:tbl>
    <w:p w14:paraId="1FD3E987" w14:textId="77777777" w:rsidR="00B12CF6" w:rsidRDefault="00B12CF6" w:rsidP="00B12CF6">
      <w:pPr>
        <w:spacing w:before="0" w:line="276" w:lineRule="auto"/>
        <w:ind w:firstLine="360"/>
        <w:contextualSpacing w:val="0"/>
        <w:rPr>
          <w:rFonts w:cs="Sylfaen"/>
          <w:b w:val="0"/>
          <w:szCs w:val="22"/>
          <w:lang w:val="en-US" w:eastAsia="en-US"/>
        </w:rPr>
      </w:pPr>
    </w:p>
    <w:p w14:paraId="58E5FF4E" w14:textId="2CDFC6A1" w:rsidR="00B12CF6" w:rsidRPr="00BF7CB6" w:rsidRDefault="00B12CF6" w:rsidP="00B12CF6">
      <w:pPr>
        <w:spacing w:before="0" w:line="276" w:lineRule="auto"/>
        <w:ind w:firstLine="360"/>
        <w:contextualSpacing w:val="0"/>
        <w:rPr>
          <w:b w:val="0"/>
          <w:szCs w:val="22"/>
          <w:lang w:val="hy-AM" w:eastAsia="en-US"/>
        </w:rPr>
      </w:pPr>
      <w:r w:rsidRPr="00BF7CB6">
        <w:rPr>
          <w:rFonts w:cs="Sylfaen"/>
          <w:b w:val="0"/>
          <w:szCs w:val="22"/>
          <w:lang w:val="en-US" w:eastAsia="en-US"/>
        </w:rPr>
        <w:t>Պետական</w:t>
      </w:r>
      <w:r w:rsidRPr="00B12CF6">
        <w:rPr>
          <w:b w:val="0"/>
          <w:szCs w:val="22"/>
          <w:lang w:val="en-US" w:eastAsia="en-US"/>
        </w:rPr>
        <w:t xml:space="preserve"> </w:t>
      </w:r>
      <w:r w:rsidRPr="00BF7CB6">
        <w:rPr>
          <w:rFonts w:cs="Sylfaen"/>
          <w:b w:val="0"/>
          <w:szCs w:val="22"/>
          <w:lang w:val="en-US" w:eastAsia="en-US"/>
        </w:rPr>
        <w:t>բյուջեի</w:t>
      </w:r>
      <w:r w:rsidRPr="00B12CF6">
        <w:rPr>
          <w:b w:val="0"/>
          <w:szCs w:val="22"/>
          <w:lang w:val="en-US" w:eastAsia="en-US"/>
        </w:rPr>
        <w:t xml:space="preserve"> </w:t>
      </w:r>
      <w:r w:rsidRPr="00BF7CB6">
        <w:rPr>
          <w:rFonts w:cs="Sylfaen"/>
          <w:b w:val="0"/>
          <w:szCs w:val="22"/>
          <w:lang w:val="en-US" w:eastAsia="en-US"/>
        </w:rPr>
        <w:t>դեֆիցիտի</w:t>
      </w:r>
      <w:r w:rsidRPr="00B12CF6">
        <w:rPr>
          <w:b w:val="0"/>
          <w:szCs w:val="22"/>
          <w:lang w:val="en-US" w:eastAsia="en-US"/>
        </w:rPr>
        <w:t xml:space="preserve"> </w:t>
      </w:r>
      <w:r w:rsidRPr="00BF7CB6">
        <w:rPr>
          <w:rFonts w:cs="Sylfaen"/>
          <w:b w:val="0"/>
          <w:szCs w:val="22"/>
          <w:lang w:val="en-US" w:eastAsia="en-US"/>
        </w:rPr>
        <w:t>հարաբերակցությունը</w:t>
      </w:r>
      <w:r w:rsidRPr="00B12CF6">
        <w:rPr>
          <w:b w:val="0"/>
          <w:szCs w:val="22"/>
          <w:lang w:val="en-US" w:eastAsia="en-US"/>
        </w:rPr>
        <w:t xml:space="preserve"> </w:t>
      </w:r>
      <w:r w:rsidRPr="00BF7CB6">
        <w:rPr>
          <w:rFonts w:cs="Sylfaen"/>
          <w:b w:val="0"/>
          <w:szCs w:val="22"/>
          <w:lang w:val="en-US" w:eastAsia="en-US"/>
        </w:rPr>
        <w:t>ՀՆԱ</w:t>
      </w:r>
      <w:r w:rsidRPr="00B12CF6">
        <w:rPr>
          <w:rFonts w:cs="Sylfaen"/>
          <w:b w:val="0"/>
          <w:szCs w:val="22"/>
          <w:lang w:val="en-US" w:eastAsia="en-US"/>
        </w:rPr>
        <w:t>-</w:t>
      </w:r>
      <w:r w:rsidRPr="00BF7CB6">
        <w:rPr>
          <w:rFonts w:cs="Sylfaen"/>
          <w:b w:val="0"/>
          <w:szCs w:val="22"/>
          <w:lang w:val="en-US" w:eastAsia="en-US"/>
        </w:rPr>
        <w:t>ի</w:t>
      </w:r>
      <w:r w:rsidRPr="00B12CF6">
        <w:rPr>
          <w:b w:val="0"/>
          <w:szCs w:val="22"/>
          <w:lang w:val="en-US" w:eastAsia="en-US"/>
        </w:rPr>
        <w:t xml:space="preserve"> </w:t>
      </w:r>
      <w:r w:rsidRPr="00BF7CB6">
        <w:rPr>
          <w:rFonts w:cs="Sylfaen"/>
          <w:b w:val="0"/>
          <w:szCs w:val="22"/>
          <w:lang w:val="en-US" w:eastAsia="en-US"/>
        </w:rPr>
        <w:t>նկատմամբ</w:t>
      </w:r>
      <w:r w:rsidRPr="00B12CF6">
        <w:rPr>
          <w:b w:val="0"/>
          <w:szCs w:val="22"/>
          <w:lang w:val="en-US" w:eastAsia="en-US"/>
        </w:rPr>
        <w:t xml:space="preserve"> 2022 </w:t>
      </w:r>
      <w:r w:rsidRPr="00BF7CB6">
        <w:rPr>
          <w:b w:val="0"/>
          <w:szCs w:val="22"/>
          <w:lang w:val="en-US" w:eastAsia="en-US"/>
        </w:rPr>
        <w:t>թվակա</w:t>
      </w:r>
      <w:r w:rsidRPr="00BF7CB6">
        <w:rPr>
          <w:rFonts w:cs="Sylfaen"/>
          <w:b w:val="0"/>
          <w:szCs w:val="22"/>
          <w:lang w:val="en-US" w:eastAsia="en-US"/>
        </w:rPr>
        <w:t>նին</w:t>
      </w:r>
      <w:r w:rsidRPr="00B12CF6">
        <w:rPr>
          <w:b w:val="0"/>
          <w:szCs w:val="22"/>
          <w:lang w:val="en-US" w:eastAsia="en-US"/>
        </w:rPr>
        <w:t xml:space="preserve"> </w:t>
      </w:r>
      <w:r w:rsidRPr="00BF7CB6">
        <w:rPr>
          <w:rFonts w:cs="Sylfaen"/>
          <w:b w:val="0"/>
          <w:szCs w:val="22"/>
          <w:lang w:val="en-US" w:eastAsia="en-US"/>
        </w:rPr>
        <w:t>կկազմի</w:t>
      </w:r>
      <w:r w:rsidRPr="00B12CF6">
        <w:rPr>
          <w:rFonts w:cs="Sylfaen"/>
          <w:b w:val="0"/>
          <w:szCs w:val="22"/>
          <w:lang w:val="en-US" w:eastAsia="en-US"/>
        </w:rPr>
        <w:t xml:space="preserve"> 3,1</w:t>
      </w:r>
      <w:r w:rsidRPr="00B12CF6">
        <w:rPr>
          <w:b w:val="0"/>
          <w:szCs w:val="22"/>
          <w:lang w:val="en-US" w:eastAsia="en-US"/>
        </w:rPr>
        <w:t xml:space="preserve">%: </w:t>
      </w:r>
      <w:r w:rsidRPr="00BF7CB6">
        <w:rPr>
          <w:rFonts w:cs="Sylfaen"/>
          <w:b w:val="0"/>
          <w:szCs w:val="22"/>
          <w:lang w:val="en-US" w:eastAsia="en-US"/>
        </w:rPr>
        <w:t>Ինչպես</w:t>
      </w:r>
      <w:r w:rsidRPr="00B12CF6">
        <w:rPr>
          <w:rFonts w:cs="Sylfaen"/>
          <w:b w:val="0"/>
          <w:szCs w:val="22"/>
          <w:lang w:val="en-US" w:eastAsia="en-US"/>
        </w:rPr>
        <w:t xml:space="preserve"> 2022-2024</w:t>
      </w:r>
      <w:r w:rsidRPr="00BF7CB6">
        <w:rPr>
          <w:rFonts w:cs="Sylfaen"/>
          <w:b w:val="0"/>
          <w:szCs w:val="22"/>
          <w:lang w:val="en-US" w:eastAsia="en-US"/>
        </w:rPr>
        <w:t>թթ</w:t>
      </w:r>
      <w:r w:rsidRPr="00B12CF6">
        <w:rPr>
          <w:rFonts w:cs="Sylfaen"/>
          <w:b w:val="0"/>
          <w:szCs w:val="22"/>
          <w:lang w:val="en-US" w:eastAsia="en-US"/>
        </w:rPr>
        <w:t xml:space="preserve"> </w:t>
      </w:r>
      <w:r w:rsidRPr="00BF7CB6">
        <w:rPr>
          <w:rFonts w:cs="Sylfaen"/>
          <w:b w:val="0"/>
          <w:szCs w:val="22"/>
          <w:lang w:val="en-US" w:eastAsia="en-US"/>
        </w:rPr>
        <w:t>միջնաժամկետ</w:t>
      </w:r>
      <w:r w:rsidRPr="00B12CF6">
        <w:rPr>
          <w:rFonts w:cs="Sylfaen"/>
          <w:b w:val="0"/>
          <w:szCs w:val="22"/>
          <w:lang w:val="en-US" w:eastAsia="en-US"/>
        </w:rPr>
        <w:t xml:space="preserve"> </w:t>
      </w:r>
      <w:r w:rsidRPr="00BF7CB6">
        <w:rPr>
          <w:rFonts w:cs="Sylfaen"/>
          <w:b w:val="0"/>
          <w:szCs w:val="22"/>
          <w:lang w:val="en-US" w:eastAsia="en-US"/>
        </w:rPr>
        <w:t>ծախսային</w:t>
      </w:r>
      <w:r w:rsidRPr="00B12CF6">
        <w:rPr>
          <w:rFonts w:cs="Sylfaen"/>
          <w:b w:val="0"/>
          <w:szCs w:val="22"/>
          <w:lang w:val="en-US" w:eastAsia="en-US"/>
        </w:rPr>
        <w:t xml:space="preserve"> </w:t>
      </w:r>
      <w:r w:rsidRPr="00BF7CB6">
        <w:rPr>
          <w:rFonts w:cs="Sylfaen"/>
          <w:b w:val="0"/>
          <w:szCs w:val="22"/>
          <w:lang w:val="en-US" w:eastAsia="en-US"/>
        </w:rPr>
        <w:t>ծրագրում</w:t>
      </w:r>
      <w:r w:rsidRPr="00B12CF6">
        <w:rPr>
          <w:rFonts w:cs="Sylfaen"/>
          <w:b w:val="0"/>
          <w:szCs w:val="22"/>
          <w:lang w:val="en-US" w:eastAsia="en-US"/>
        </w:rPr>
        <w:t xml:space="preserve">, </w:t>
      </w:r>
      <w:r w:rsidRPr="00BF7CB6">
        <w:rPr>
          <w:rFonts w:cs="Sylfaen"/>
          <w:b w:val="0"/>
          <w:szCs w:val="22"/>
          <w:lang w:val="en-US" w:eastAsia="en-US"/>
        </w:rPr>
        <w:t>ՀՀ</w:t>
      </w:r>
      <w:r w:rsidRPr="00B12CF6">
        <w:rPr>
          <w:rFonts w:cs="Sylfaen"/>
          <w:b w:val="0"/>
          <w:szCs w:val="22"/>
          <w:lang w:val="en-US" w:eastAsia="en-US"/>
        </w:rPr>
        <w:t xml:space="preserve"> 2022</w:t>
      </w:r>
      <w:r w:rsidRPr="00BF7CB6">
        <w:rPr>
          <w:rFonts w:cs="Sylfaen"/>
          <w:b w:val="0"/>
          <w:szCs w:val="22"/>
          <w:lang w:val="en-US" w:eastAsia="en-US"/>
        </w:rPr>
        <w:t>թ</w:t>
      </w:r>
      <w:r w:rsidRPr="00B12CF6">
        <w:rPr>
          <w:rFonts w:cs="Sylfaen"/>
          <w:b w:val="0"/>
          <w:szCs w:val="22"/>
          <w:lang w:val="en-US" w:eastAsia="en-US"/>
        </w:rPr>
        <w:t xml:space="preserve"> </w:t>
      </w:r>
      <w:r w:rsidRPr="00BF7CB6">
        <w:rPr>
          <w:rFonts w:cs="Sylfaen"/>
          <w:b w:val="0"/>
          <w:szCs w:val="22"/>
          <w:lang w:val="en-US" w:eastAsia="en-US"/>
        </w:rPr>
        <w:t>բյուջեում</w:t>
      </w:r>
      <w:r w:rsidRPr="00B12CF6">
        <w:rPr>
          <w:rFonts w:cs="Sylfaen"/>
          <w:b w:val="0"/>
          <w:szCs w:val="22"/>
          <w:lang w:val="en-US" w:eastAsia="en-US"/>
        </w:rPr>
        <w:t xml:space="preserve"> </w:t>
      </w:r>
      <w:r w:rsidRPr="00BF7CB6">
        <w:rPr>
          <w:rFonts w:cs="Sylfaen"/>
          <w:b w:val="0"/>
          <w:szCs w:val="22"/>
          <w:lang w:val="en-US" w:eastAsia="en-US"/>
        </w:rPr>
        <w:t>նույն</w:t>
      </w:r>
      <w:r w:rsidRPr="00B12CF6">
        <w:rPr>
          <w:rFonts w:cs="Sylfaen"/>
          <w:b w:val="0"/>
          <w:szCs w:val="22"/>
          <w:lang w:val="en-US" w:eastAsia="en-US"/>
        </w:rPr>
        <w:softHyphen/>
      </w:r>
      <w:r w:rsidRPr="00B12CF6">
        <w:rPr>
          <w:rFonts w:cs="Sylfaen"/>
          <w:b w:val="0"/>
          <w:szCs w:val="22"/>
          <w:lang w:val="en-US" w:eastAsia="en-US"/>
        </w:rPr>
        <w:softHyphen/>
      </w:r>
      <w:r w:rsidRPr="00BF7CB6">
        <w:rPr>
          <w:rFonts w:cs="Sylfaen"/>
          <w:b w:val="0"/>
          <w:szCs w:val="22"/>
          <w:lang w:val="en-US" w:eastAsia="en-US"/>
        </w:rPr>
        <w:t>պես</w:t>
      </w:r>
      <w:r w:rsidRPr="00B12CF6">
        <w:rPr>
          <w:rFonts w:cs="Sylfaen"/>
          <w:b w:val="0"/>
          <w:szCs w:val="22"/>
          <w:lang w:val="en-US" w:eastAsia="en-US"/>
        </w:rPr>
        <w:t xml:space="preserve"> </w:t>
      </w:r>
      <w:r w:rsidRPr="00BF7CB6">
        <w:rPr>
          <w:rFonts w:cs="Sylfaen"/>
          <w:b w:val="0"/>
          <w:szCs w:val="22"/>
          <w:lang w:val="en-US" w:eastAsia="en-US"/>
        </w:rPr>
        <w:t>պահպանվել</w:t>
      </w:r>
      <w:r w:rsidRPr="00B12CF6">
        <w:rPr>
          <w:rFonts w:cs="Sylfaen"/>
          <w:b w:val="0"/>
          <w:szCs w:val="22"/>
          <w:lang w:val="en-US" w:eastAsia="en-US"/>
        </w:rPr>
        <w:t xml:space="preserve"> </w:t>
      </w:r>
      <w:r w:rsidRPr="00BF7CB6">
        <w:rPr>
          <w:rFonts w:cs="Sylfaen"/>
          <w:b w:val="0"/>
          <w:szCs w:val="22"/>
          <w:lang w:val="en-US" w:eastAsia="en-US"/>
        </w:rPr>
        <w:t>է</w:t>
      </w:r>
      <w:r w:rsidRPr="00B12CF6">
        <w:rPr>
          <w:rFonts w:cs="Sylfaen"/>
          <w:b w:val="0"/>
          <w:szCs w:val="22"/>
          <w:lang w:val="en-US" w:eastAsia="en-US"/>
        </w:rPr>
        <w:t xml:space="preserve"> </w:t>
      </w:r>
      <w:r w:rsidRPr="00BF7CB6">
        <w:rPr>
          <w:rFonts w:cs="Sylfaen"/>
          <w:b w:val="0"/>
          <w:szCs w:val="22"/>
          <w:lang w:val="hy-AM" w:eastAsia="en-US"/>
        </w:rPr>
        <w:t>ՀՀ</w:t>
      </w:r>
      <w:r w:rsidRPr="00BF7CB6">
        <w:rPr>
          <w:b w:val="0"/>
          <w:szCs w:val="22"/>
          <w:lang w:val="hy-AM" w:eastAsia="en-US"/>
        </w:rPr>
        <w:t xml:space="preserve"> </w:t>
      </w:r>
      <w:r w:rsidRPr="00BF7CB6">
        <w:rPr>
          <w:rFonts w:cs="Sylfaen"/>
          <w:b w:val="0"/>
          <w:szCs w:val="22"/>
          <w:lang w:val="hy-AM" w:eastAsia="en-US"/>
        </w:rPr>
        <w:t>պետական</w:t>
      </w:r>
      <w:r w:rsidRPr="00BF7CB6">
        <w:rPr>
          <w:b w:val="0"/>
          <w:szCs w:val="22"/>
          <w:lang w:val="hy-AM" w:eastAsia="en-US"/>
        </w:rPr>
        <w:t xml:space="preserve"> </w:t>
      </w:r>
      <w:r w:rsidRPr="00BF7CB6">
        <w:rPr>
          <w:rFonts w:cs="Sylfaen"/>
          <w:b w:val="0"/>
          <w:szCs w:val="22"/>
          <w:lang w:val="hy-AM" w:eastAsia="en-US"/>
        </w:rPr>
        <w:t>բյուջեի</w:t>
      </w:r>
      <w:r w:rsidRPr="00B12CF6">
        <w:rPr>
          <w:rFonts w:cs="Sylfaen"/>
          <w:b w:val="0"/>
          <w:szCs w:val="22"/>
          <w:lang w:val="en-US" w:eastAsia="en-US"/>
        </w:rPr>
        <w:t xml:space="preserve"> </w:t>
      </w:r>
      <w:r w:rsidRPr="00BF7CB6">
        <w:rPr>
          <w:rFonts w:cs="Sylfaen"/>
          <w:b w:val="0"/>
          <w:szCs w:val="22"/>
          <w:lang w:val="hy-AM" w:eastAsia="en-US"/>
        </w:rPr>
        <w:t>կախվա</w:t>
      </w:r>
      <w:r w:rsidRPr="00BF7CB6">
        <w:rPr>
          <w:rFonts w:cs="Sylfaen"/>
          <w:b w:val="0"/>
          <w:szCs w:val="22"/>
          <w:lang w:val="hy-AM" w:eastAsia="en-US"/>
        </w:rPr>
        <w:softHyphen/>
        <w:t>ծու</w:t>
      </w:r>
      <w:r w:rsidRPr="00BF7CB6">
        <w:rPr>
          <w:rFonts w:cs="Sylfaen"/>
          <w:b w:val="0"/>
          <w:szCs w:val="22"/>
          <w:lang w:val="hy-AM" w:eastAsia="en-US"/>
        </w:rPr>
        <w:softHyphen/>
        <w:t>թյունն</w:t>
      </w:r>
      <w:r w:rsidRPr="00BF7CB6">
        <w:rPr>
          <w:b w:val="0"/>
          <w:szCs w:val="22"/>
          <w:lang w:val="hy-AM" w:eastAsia="en-US"/>
        </w:rPr>
        <w:t xml:space="preserve"> </w:t>
      </w:r>
      <w:r w:rsidRPr="00BF7CB6">
        <w:rPr>
          <w:rFonts w:cs="Sylfaen"/>
          <w:b w:val="0"/>
          <w:szCs w:val="22"/>
          <w:lang w:val="hy-AM" w:eastAsia="en-US"/>
        </w:rPr>
        <w:t>արտաքին</w:t>
      </w:r>
      <w:r w:rsidRPr="00BF7CB6">
        <w:rPr>
          <w:b w:val="0"/>
          <w:szCs w:val="22"/>
          <w:lang w:val="hy-AM" w:eastAsia="en-US"/>
        </w:rPr>
        <w:t xml:space="preserve"> </w:t>
      </w:r>
      <w:r w:rsidRPr="00BF7CB6">
        <w:rPr>
          <w:rFonts w:cs="Sylfaen"/>
          <w:b w:val="0"/>
          <w:szCs w:val="22"/>
          <w:lang w:val="hy-AM" w:eastAsia="en-US"/>
        </w:rPr>
        <w:t>ֆինանսավորման</w:t>
      </w:r>
      <w:r w:rsidRPr="00BF7CB6">
        <w:rPr>
          <w:b w:val="0"/>
          <w:szCs w:val="22"/>
          <w:lang w:val="hy-AM" w:eastAsia="en-US"/>
        </w:rPr>
        <w:t xml:space="preserve"> </w:t>
      </w:r>
      <w:r w:rsidRPr="00BF7CB6">
        <w:rPr>
          <w:rFonts w:cs="Sylfaen"/>
          <w:b w:val="0"/>
          <w:szCs w:val="22"/>
          <w:lang w:val="hy-AM" w:eastAsia="en-US"/>
        </w:rPr>
        <w:t>աղբյուր</w:t>
      </w:r>
      <w:r w:rsidRPr="00B12CF6">
        <w:rPr>
          <w:rFonts w:cs="Sylfaen"/>
          <w:b w:val="0"/>
          <w:szCs w:val="22"/>
          <w:lang w:val="en-US" w:eastAsia="en-US"/>
        </w:rPr>
        <w:softHyphen/>
      </w:r>
      <w:r w:rsidRPr="00B12CF6">
        <w:rPr>
          <w:rFonts w:cs="Sylfaen"/>
          <w:b w:val="0"/>
          <w:szCs w:val="22"/>
          <w:lang w:val="en-US" w:eastAsia="en-US"/>
        </w:rPr>
        <w:softHyphen/>
      </w:r>
      <w:r w:rsidRPr="00BF7CB6">
        <w:rPr>
          <w:rFonts w:cs="Sylfaen"/>
          <w:b w:val="0"/>
          <w:szCs w:val="22"/>
          <w:lang w:val="hy-AM" w:eastAsia="en-US"/>
        </w:rPr>
        <w:t>ներից</w:t>
      </w:r>
      <w:r w:rsidRPr="00BF7CB6">
        <w:rPr>
          <w:b w:val="0"/>
          <w:szCs w:val="22"/>
          <w:lang w:val="hy-AM" w:eastAsia="en-US"/>
        </w:rPr>
        <w:t xml:space="preserve"> (</w:t>
      </w:r>
      <w:r w:rsidRPr="00BF7CB6">
        <w:rPr>
          <w:rFonts w:cs="Sylfaen"/>
          <w:b w:val="0"/>
          <w:szCs w:val="22"/>
          <w:lang w:val="hy-AM" w:eastAsia="en-US"/>
        </w:rPr>
        <w:t>արտասահմանյան</w:t>
      </w:r>
      <w:r w:rsidRPr="00BF7CB6">
        <w:rPr>
          <w:b w:val="0"/>
          <w:szCs w:val="22"/>
          <w:lang w:val="hy-AM" w:eastAsia="en-US"/>
        </w:rPr>
        <w:t xml:space="preserve"> </w:t>
      </w:r>
      <w:r w:rsidRPr="00BF7CB6">
        <w:rPr>
          <w:rFonts w:cs="Sylfaen"/>
          <w:b w:val="0"/>
          <w:szCs w:val="22"/>
          <w:lang w:val="hy-AM" w:eastAsia="en-US"/>
        </w:rPr>
        <w:t>վարկերից</w:t>
      </w:r>
      <w:r w:rsidRPr="00BF7CB6">
        <w:rPr>
          <w:b w:val="0"/>
          <w:szCs w:val="22"/>
          <w:lang w:val="hy-AM" w:eastAsia="en-US"/>
        </w:rPr>
        <w:t xml:space="preserve"> </w:t>
      </w:r>
      <w:r w:rsidRPr="00BF7CB6">
        <w:rPr>
          <w:rFonts w:cs="Sylfaen"/>
          <w:b w:val="0"/>
          <w:szCs w:val="22"/>
          <w:lang w:val="hy-AM" w:eastAsia="en-US"/>
        </w:rPr>
        <w:t>և</w:t>
      </w:r>
      <w:r w:rsidRPr="00BF7CB6">
        <w:rPr>
          <w:b w:val="0"/>
          <w:szCs w:val="22"/>
          <w:lang w:val="hy-AM" w:eastAsia="en-US"/>
        </w:rPr>
        <w:t xml:space="preserve"> </w:t>
      </w:r>
      <w:r w:rsidRPr="00BF7CB6">
        <w:rPr>
          <w:rFonts w:cs="Sylfaen"/>
          <w:b w:val="0"/>
          <w:szCs w:val="22"/>
          <w:lang w:val="hy-AM" w:eastAsia="en-US"/>
        </w:rPr>
        <w:t>պաշտո</w:t>
      </w:r>
      <w:r w:rsidRPr="00BF7CB6">
        <w:rPr>
          <w:rFonts w:cs="Sylfaen"/>
          <w:b w:val="0"/>
          <w:szCs w:val="22"/>
          <w:lang w:val="hy-AM" w:eastAsia="en-US"/>
        </w:rPr>
        <w:softHyphen/>
        <w:t>նական</w:t>
      </w:r>
      <w:r w:rsidRPr="00BF7CB6">
        <w:rPr>
          <w:b w:val="0"/>
          <w:szCs w:val="22"/>
          <w:lang w:val="hy-AM" w:eastAsia="en-US"/>
        </w:rPr>
        <w:t xml:space="preserve"> </w:t>
      </w:r>
      <w:r w:rsidRPr="00BF7CB6">
        <w:rPr>
          <w:rFonts w:cs="Sylfaen"/>
          <w:b w:val="0"/>
          <w:szCs w:val="22"/>
          <w:lang w:val="hy-AM" w:eastAsia="en-US"/>
        </w:rPr>
        <w:t>դրամաշնորհ</w:t>
      </w:r>
      <w:r w:rsidRPr="00BF7CB6">
        <w:rPr>
          <w:rFonts w:cs="Sylfaen"/>
          <w:b w:val="0"/>
          <w:szCs w:val="22"/>
          <w:lang w:val="hy-AM" w:eastAsia="en-US"/>
        </w:rPr>
        <w:softHyphen/>
        <w:t>ներից</w:t>
      </w:r>
      <w:r w:rsidRPr="00BF7CB6">
        <w:rPr>
          <w:b w:val="0"/>
          <w:szCs w:val="22"/>
          <w:lang w:val="hy-AM" w:eastAsia="en-US"/>
        </w:rPr>
        <w:t>):</w:t>
      </w:r>
    </w:p>
    <w:p w14:paraId="0A802922" w14:textId="77777777" w:rsidR="00B12CF6" w:rsidRPr="00B12CF6" w:rsidRDefault="00B12CF6" w:rsidP="00B12CF6">
      <w:pPr>
        <w:pStyle w:val="Caption"/>
        <w:spacing w:before="0" w:after="0"/>
        <w:rPr>
          <w:color w:val="auto"/>
          <w:lang w:val="en-US"/>
        </w:rPr>
      </w:pPr>
    </w:p>
    <w:p w14:paraId="71B6B000" w14:textId="1875BB63" w:rsidR="00B12CF6" w:rsidRPr="00B42F1B" w:rsidRDefault="0025299D" w:rsidP="0025299D">
      <w:pPr>
        <w:pStyle w:val="Caption"/>
        <w:rPr>
          <w:b/>
          <w:i/>
          <w:color w:val="auto"/>
          <w:sz w:val="20"/>
          <w:szCs w:val="20"/>
          <w:lang w:val="hy-AM"/>
        </w:rPr>
      </w:pPr>
      <w:bookmarkStart w:id="203" w:name="_Toc83728698"/>
      <w:bookmarkStart w:id="204" w:name="_Toc83928942"/>
      <w:r>
        <w:t>Աղյուսակ</w:t>
      </w:r>
      <w:r w:rsidRPr="008B1D49">
        <w:rPr>
          <w:lang w:val="en-US"/>
        </w:rPr>
        <w:t xml:space="preserve"> </w:t>
      </w:r>
      <w:r>
        <w:fldChar w:fldCharType="begin"/>
      </w:r>
      <w:r w:rsidRPr="008B1D49">
        <w:rPr>
          <w:lang w:val="en-US"/>
        </w:rPr>
        <w:instrText xml:space="preserve"> SEQ </w:instrText>
      </w:r>
      <w:r>
        <w:instrText>Աղյուսակ</w:instrText>
      </w:r>
      <w:r w:rsidRPr="008B1D49">
        <w:rPr>
          <w:lang w:val="en-US"/>
        </w:rPr>
        <w:instrText xml:space="preserve"> \* ARABIC </w:instrText>
      </w:r>
      <w:r>
        <w:fldChar w:fldCharType="separate"/>
      </w:r>
      <w:r w:rsidR="0077355D">
        <w:rPr>
          <w:noProof/>
          <w:lang w:val="en-US"/>
        </w:rPr>
        <w:t>5</w:t>
      </w:r>
      <w:r>
        <w:fldChar w:fldCharType="end"/>
      </w:r>
      <w:r w:rsidR="00B12CF6" w:rsidRPr="008150A1">
        <w:rPr>
          <w:rFonts w:ascii="Cambria Math" w:hAnsi="Cambria Math" w:cs="Cambria Math"/>
          <w:lang w:val="hy-AM"/>
        </w:rPr>
        <w:t>․</w:t>
      </w:r>
      <w:r w:rsidR="00B12CF6" w:rsidRPr="00B42F1B">
        <w:rPr>
          <w:rFonts w:ascii="Cambria Math" w:hAnsi="Cambria Math"/>
          <w:color w:val="auto"/>
          <w:lang w:val="hy-AM"/>
        </w:rPr>
        <w:t xml:space="preserve"> </w:t>
      </w:r>
      <w:r w:rsidR="00B12CF6" w:rsidRPr="00283A77">
        <w:rPr>
          <w:b/>
          <w:i/>
          <w:sz w:val="20"/>
          <w:szCs w:val="20"/>
          <w:lang w:val="hy-AM"/>
        </w:rPr>
        <w:t>Ընդհանուր և առաջնային դեֆիցիտները (%-ով ՀՆԱ-ի նկատմամբ) 202</w:t>
      </w:r>
      <w:r w:rsidR="00B12CF6" w:rsidRPr="00283A77">
        <w:rPr>
          <w:b/>
          <w:i/>
          <w:sz w:val="20"/>
          <w:szCs w:val="20"/>
          <w:lang w:val="en-US"/>
        </w:rPr>
        <w:t>2</w:t>
      </w:r>
      <w:r w:rsidR="00B12CF6" w:rsidRPr="00283A77">
        <w:rPr>
          <w:b/>
          <w:i/>
          <w:sz w:val="20"/>
          <w:szCs w:val="20"/>
          <w:lang w:val="hy-AM"/>
        </w:rPr>
        <w:t>թ</w:t>
      </w:r>
      <w:r w:rsidR="00B12CF6" w:rsidRPr="00283A77">
        <w:rPr>
          <w:b/>
          <w:i/>
          <w:sz w:val="20"/>
          <w:szCs w:val="20"/>
          <w:lang w:val="en-US"/>
        </w:rPr>
        <w:t>.</w:t>
      </w:r>
      <w:bookmarkEnd w:id="203"/>
      <w:bookmarkEnd w:id="204"/>
      <w:r w:rsidR="00B12CF6" w:rsidRPr="00283A77">
        <w:rPr>
          <w:b/>
          <w:i/>
          <w:sz w:val="20"/>
          <w:szCs w:val="20"/>
          <w:lang w:val="hy-AM"/>
        </w:rPr>
        <w:t xml:space="preserve"> </w:t>
      </w:r>
    </w:p>
    <w:tbl>
      <w:tblPr>
        <w:tblW w:w="9201"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3"/>
        <w:gridCol w:w="2158"/>
      </w:tblGrid>
      <w:tr w:rsidR="00B12CF6" w:rsidRPr="00B42F1B" w14:paraId="535BBD61" w14:textId="77777777" w:rsidTr="00733935">
        <w:trPr>
          <w:trHeight w:val="681"/>
        </w:trPr>
        <w:tc>
          <w:tcPr>
            <w:tcW w:w="7043" w:type="dxa"/>
            <w:shd w:val="clear" w:color="auto" w:fill="4F81BD" w:themeFill="accent1"/>
          </w:tcPr>
          <w:p w14:paraId="088AE81D" w14:textId="77777777" w:rsidR="00B12CF6" w:rsidRPr="00B42F1B" w:rsidRDefault="00B12CF6" w:rsidP="00733935">
            <w:pPr>
              <w:spacing w:before="0" w:line="276" w:lineRule="auto"/>
              <w:ind w:firstLine="0"/>
              <w:contextualSpacing w:val="0"/>
              <w:jc w:val="center"/>
              <w:rPr>
                <w:rFonts w:cs="Sylfaen"/>
                <w:sz w:val="20"/>
                <w:szCs w:val="20"/>
                <w:lang w:val="hy-AM" w:eastAsia="en-US"/>
              </w:rPr>
            </w:pPr>
            <w:r w:rsidRPr="00B42F1B">
              <w:rPr>
                <w:rFonts w:cs="Sylfaen"/>
                <w:sz w:val="20"/>
                <w:szCs w:val="20"/>
                <w:lang w:val="en-US" w:eastAsia="en-US"/>
              </w:rPr>
              <w:t>Ցուցանիշներ</w:t>
            </w:r>
          </w:p>
        </w:tc>
        <w:tc>
          <w:tcPr>
            <w:tcW w:w="2158" w:type="dxa"/>
            <w:shd w:val="clear" w:color="auto" w:fill="4F81BD" w:themeFill="accent1"/>
            <w:vAlign w:val="center"/>
          </w:tcPr>
          <w:p w14:paraId="53F75A9B" w14:textId="77777777" w:rsidR="00B12CF6" w:rsidRPr="00B42F1B" w:rsidRDefault="00B12CF6" w:rsidP="00733935">
            <w:pPr>
              <w:spacing w:before="0" w:line="276" w:lineRule="auto"/>
              <w:ind w:firstLine="0"/>
              <w:contextualSpacing w:val="0"/>
              <w:jc w:val="center"/>
              <w:rPr>
                <w:rFonts w:cs="Sylfaen"/>
                <w:sz w:val="20"/>
                <w:szCs w:val="20"/>
                <w:lang w:val="en-US" w:eastAsia="en-US"/>
              </w:rPr>
            </w:pPr>
            <w:r w:rsidRPr="00B42F1B">
              <w:rPr>
                <w:rFonts w:cs="Sylfaen"/>
                <w:sz w:val="20"/>
                <w:szCs w:val="20"/>
                <w:lang w:eastAsia="en-US"/>
              </w:rPr>
              <w:t>202</w:t>
            </w:r>
            <w:r w:rsidRPr="00B42F1B">
              <w:rPr>
                <w:rFonts w:cs="Sylfaen"/>
                <w:sz w:val="20"/>
                <w:szCs w:val="20"/>
                <w:lang w:val="en-US" w:eastAsia="en-US"/>
              </w:rPr>
              <w:t>2թ</w:t>
            </w:r>
            <w:r w:rsidRPr="00B42F1B">
              <w:rPr>
                <w:rFonts w:cs="Sylfaen"/>
                <w:sz w:val="20"/>
                <w:szCs w:val="20"/>
                <w:lang w:eastAsia="en-US"/>
              </w:rPr>
              <w:t xml:space="preserve"> </w:t>
            </w:r>
            <w:r w:rsidRPr="00B42F1B">
              <w:rPr>
                <w:rFonts w:cs="Sylfaen"/>
                <w:sz w:val="20"/>
                <w:szCs w:val="20"/>
                <w:lang w:val="en-US" w:eastAsia="en-US"/>
              </w:rPr>
              <w:t>կանխատեսում</w:t>
            </w:r>
          </w:p>
        </w:tc>
      </w:tr>
      <w:tr w:rsidR="00B12CF6" w:rsidRPr="00B42F1B" w14:paraId="7B37FB02" w14:textId="77777777" w:rsidTr="00733935">
        <w:trPr>
          <w:trHeight w:val="782"/>
        </w:trPr>
        <w:tc>
          <w:tcPr>
            <w:tcW w:w="7043" w:type="dxa"/>
          </w:tcPr>
          <w:p w14:paraId="017D209D"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Ընդհանուր դեֆիցիտ`</w:t>
            </w:r>
          </w:p>
          <w:p w14:paraId="3858C981"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Ընդհանուր եկամուտների և ծախսերի տարբերու</w:t>
            </w:r>
            <w:r w:rsidRPr="00B42F1B">
              <w:rPr>
                <w:rFonts w:cs="Sylfaen"/>
                <w:b w:val="0"/>
                <w:sz w:val="20"/>
                <w:szCs w:val="20"/>
                <w:lang w:val="hy-AM" w:eastAsia="en-US"/>
              </w:rPr>
              <w:softHyphen/>
              <w:t>թյունը</w:t>
            </w:r>
          </w:p>
        </w:tc>
        <w:tc>
          <w:tcPr>
            <w:tcW w:w="2158" w:type="dxa"/>
            <w:vAlign w:val="bottom"/>
          </w:tcPr>
          <w:p w14:paraId="4137229F" w14:textId="77777777" w:rsidR="00B12CF6" w:rsidRPr="00B42F1B" w:rsidRDefault="00B12CF6" w:rsidP="00733935">
            <w:pPr>
              <w:spacing w:before="0" w:line="276" w:lineRule="auto"/>
              <w:ind w:firstLine="0"/>
              <w:contextualSpacing w:val="0"/>
              <w:jc w:val="center"/>
              <w:rPr>
                <w:b w:val="0"/>
                <w:bCs/>
                <w:iCs/>
                <w:sz w:val="20"/>
                <w:szCs w:val="20"/>
                <w:lang w:val="en-US" w:eastAsia="en-US"/>
              </w:rPr>
            </w:pPr>
            <w:r w:rsidRPr="00B42F1B">
              <w:rPr>
                <w:b w:val="0"/>
                <w:bCs/>
                <w:iCs/>
                <w:sz w:val="20"/>
                <w:szCs w:val="20"/>
                <w:lang w:eastAsia="en-US"/>
              </w:rPr>
              <w:t>3.</w:t>
            </w:r>
            <w:r w:rsidRPr="00B42F1B">
              <w:rPr>
                <w:b w:val="0"/>
                <w:bCs/>
                <w:iCs/>
                <w:sz w:val="20"/>
                <w:szCs w:val="20"/>
                <w:lang w:val="en-US" w:eastAsia="en-US"/>
              </w:rPr>
              <w:t>1</w:t>
            </w:r>
          </w:p>
        </w:tc>
      </w:tr>
      <w:tr w:rsidR="00B12CF6" w:rsidRPr="00B42F1B" w14:paraId="5DF8CEB2" w14:textId="77777777" w:rsidTr="00733935">
        <w:trPr>
          <w:trHeight w:val="840"/>
        </w:trPr>
        <w:tc>
          <w:tcPr>
            <w:tcW w:w="7043" w:type="dxa"/>
            <w:shd w:val="clear" w:color="auto" w:fill="DBE5F1" w:themeFill="accent1" w:themeFillTint="33"/>
          </w:tcPr>
          <w:p w14:paraId="2DA58658"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 xml:space="preserve">Առաջնային դեֆիցիտ` </w:t>
            </w:r>
          </w:p>
          <w:p w14:paraId="421FB94E"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Ընդհանուր եկամուտների և ծախսերի (առանց տոկոսավճարների) տարբերությունը</w:t>
            </w:r>
          </w:p>
        </w:tc>
        <w:tc>
          <w:tcPr>
            <w:tcW w:w="2158" w:type="dxa"/>
            <w:shd w:val="clear" w:color="auto" w:fill="DBE5F1" w:themeFill="accent1" w:themeFillTint="33"/>
          </w:tcPr>
          <w:p w14:paraId="5614CF49" w14:textId="77777777" w:rsidR="00B12CF6" w:rsidRPr="00B42F1B" w:rsidRDefault="00B12CF6" w:rsidP="00733935">
            <w:pPr>
              <w:spacing w:before="0" w:line="276" w:lineRule="auto"/>
              <w:ind w:firstLine="0"/>
              <w:contextualSpacing w:val="0"/>
              <w:jc w:val="center"/>
              <w:rPr>
                <w:b w:val="0"/>
                <w:bCs/>
                <w:i/>
                <w:iCs/>
                <w:sz w:val="20"/>
                <w:szCs w:val="20"/>
                <w:lang w:val="hy-AM" w:eastAsia="en-US"/>
              </w:rPr>
            </w:pPr>
          </w:p>
          <w:p w14:paraId="7760F736" w14:textId="77777777" w:rsidR="00B12CF6" w:rsidRPr="00B42F1B" w:rsidRDefault="00B12CF6" w:rsidP="00733935">
            <w:pPr>
              <w:spacing w:before="0" w:line="276" w:lineRule="auto"/>
              <w:ind w:firstLine="0"/>
              <w:contextualSpacing w:val="0"/>
              <w:rPr>
                <w:b w:val="0"/>
                <w:bCs/>
                <w:iCs/>
                <w:sz w:val="20"/>
                <w:szCs w:val="20"/>
                <w:lang w:val="en-US" w:eastAsia="en-US"/>
              </w:rPr>
            </w:pPr>
            <w:r w:rsidRPr="00B42F1B">
              <w:rPr>
                <w:b w:val="0"/>
                <w:bCs/>
                <w:iCs/>
                <w:sz w:val="20"/>
                <w:szCs w:val="20"/>
                <w:lang w:val="hy-AM" w:eastAsia="en-US"/>
              </w:rPr>
              <w:t xml:space="preserve">              </w:t>
            </w:r>
            <w:r w:rsidRPr="00B42F1B">
              <w:rPr>
                <w:b w:val="0"/>
                <w:bCs/>
                <w:iCs/>
                <w:sz w:val="20"/>
                <w:szCs w:val="20"/>
                <w:lang w:val="en-US" w:eastAsia="en-US"/>
              </w:rPr>
              <w:t>0.4</w:t>
            </w:r>
          </w:p>
        </w:tc>
      </w:tr>
    </w:tbl>
    <w:p w14:paraId="2D1E7B13" w14:textId="77777777" w:rsidR="00B12CF6" w:rsidRPr="00B42F1B" w:rsidRDefault="00B12CF6" w:rsidP="00B12CF6">
      <w:pPr>
        <w:rPr>
          <w:lang w:val="af-ZA"/>
        </w:rPr>
      </w:pPr>
    </w:p>
    <w:p w14:paraId="05645DC6" w14:textId="77777777" w:rsidR="00B12CF6" w:rsidRPr="00B42F1B" w:rsidRDefault="00B12CF6" w:rsidP="00B12CF6">
      <w:pPr>
        <w:spacing w:before="0" w:line="240" w:lineRule="auto"/>
        <w:ind w:firstLine="0"/>
        <w:contextualSpacing w:val="0"/>
        <w:jc w:val="left"/>
        <w:rPr>
          <w:sz w:val="28"/>
          <w:szCs w:val="20"/>
          <w:lang w:val="en-US"/>
        </w:rPr>
      </w:pPr>
      <w:r w:rsidRPr="00B42F1B">
        <w:br w:type="page"/>
      </w:r>
    </w:p>
    <w:p w14:paraId="70729CAF" w14:textId="1419F8DA" w:rsidR="00AE2A75" w:rsidRPr="00A83C94" w:rsidRDefault="00AE2A75" w:rsidP="00A30EDC">
      <w:pPr>
        <w:pStyle w:val="Heading1"/>
      </w:pPr>
      <w:bookmarkStart w:id="205" w:name="_Toc83996358"/>
      <w:r w:rsidRPr="00A83C94">
        <w:t>ՄԱՍ III. «ՀԱՅԱՍՏԱՆԻ ՀԱՆՐԱՊԵՏՈՒԹՅԱՆ 2022 ԹՎԱԿԱՆԻ ՊԵՏԱԿԱՆ ԲՅՈՒՋԵԻ ՄԱՍԻՆ» ՀԱՅԱՍՏԱՆԻ ՀԱՆՐԱՊԵՏՈՒԹՅԱՆ ՕՐԵՆՔԻ ՆԱԽԱԳԾԻ ԲԱՑԱՏՐԱԳԻՐ</w:t>
      </w:r>
      <w:bookmarkEnd w:id="199"/>
      <w:bookmarkEnd w:id="205"/>
    </w:p>
    <w:p w14:paraId="77F1DFB4" w14:textId="302C4444" w:rsidR="00AE2A75" w:rsidRPr="00A83C94" w:rsidRDefault="00AE2A75" w:rsidP="00AE2A75">
      <w:pPr>
        <w:pStyle w:val="BodyText2"/>
      </w:pPr>
      <w:r w:rsidRPr="00A83C94">
        <w:t>«Հայաստանի Հանրապետության 2022 թվականի պետական բյուջեի մասին» ՀՀ օրեն</w:t>
      </w:r>
      <w:r w:rsidRPr="00A83C94">
        <w:softHyphen/>
        <w:t>քի նախագծով առաջարկվում է ՀՀ 2022 թվականի պետական բյուջեն հաստատել՝ եկա</w:t>
      </w:r>
      <w:r w:rsidRPr="00A83C94">
        <w:softHyphen/>
        <w:t>մուտ</w:t>
      </w:r>
      <w:r w:rsidRPr="00A83C94">
        <w:softHyphen/>
        <w:t>ների գծով՝</w:t>
      </w:r>
      <w:r w:rsidR="00201F42">
        <w:t xml:space="preserve"> 1,946.</w:t>
      </w:r>
      <w:r w:rsidRPr="00A83C94">
        <w:t>2 մլրդ դրամ, ծախսերի գծով՝</w:t>
      </w:r>
      <w:r w:rsidR="00201F42">
        <w:t xml:space="preserve"> 2,</w:t>
      </w:r>
      <w:r w:rsidR="00FA2199" w:rsidRPr="00E3576C">
        <w:t>18</w:t>
      </w:r>
      <w:r w:rsidR="00DB618F" w:rsidRPr="00DB618F">
        <w:t>9</w:t>
      </w:r>
      <w:r w:rsidRPr="00A83C94">
        <w:t>.</w:t>
      </w:r>
      <w:r w:rsidR="00DB618F" w:rsidRPr="00DB618F">
        <w:t>2</w:t>
      </w:r>
      <w:r w:rsidRPr="00A83C94">
        <w:t xml:space="preserve"> մլրդ դրամ, իսկ դեֆիցիտը՝ 2</w:t>
      </w:r>
      <w:r w:rsidR="00DB618F">
        <w:t>43</w:t>
      </w:r>
      <w:r w:rsidRPr="00A83C94">
        <w:t>.</w:t>
      </w:r>
      <w:r w:rsidR="00DB618F" w:rsidRPr="00CA0B43">
        <w:t>0</w:t>
      </w:r>
      <w:r w:rsidRPr="00A83C94">
        <w:t xml:space="preserve"> մլրդ դրամ:</w:t>
      </w:r>
    </w:p>
    <w:p w14:paraId="151FFF98" w14:textId="250B629E" w:rsidR="00AE2A75" w:rsidRPr="00A83C94" w:rsidRDefault="00AE2A75" w:rsidP="00AE2A75">
      <w:pPr>
        <w:pStyle w:val="BodyText2"/>
      </w:pPr>
      <w:r w:rsidRPr="00A83C94">
        <w:t>2021թ</w:t>
      </w:r>
      <w:r w:rsidRPr="00A83C94">
        <w:rPr>
          <w:rFonts w:ascii="Cambria Math" w:hAnsi="Cambria Math" w:cs="Cambria Math"/>
        </w:rPr>
        <w:t>․</w:t>
      </w:r>
      <w:r w:rsidRPr="00A83C94">
        <w:t xml:space="preserve"> և 2022 թ</w:t>
      </w:r>
      <w:r w:rsidRPr="00A83C94">
        <w:rPr>
          <w:rFonts w:ascii="Cambria Math" w:hAnsi="Cambria Math" w:cs="Cambria Math"/>
        </w:rPr>
        <w:t>․</w:t>
      </w:r>
      <w:r w:rsidRPr="00A83C94">
        <w:t xml:space="preserve"> պետական բյուջեի դեֆիցիտը ՀՆԱ-ի նկատմամբ  կան</w:t>
      </w:r>
      <w:r w:rsidRPr="00A83C94">
        <w:softHyphen/>
        <w:t xml:space="preserve">խատեսվում է համապատասխանաբար՝ </w:t>
      </w:r>
      <w:r w:rsidR="00FA2199" w:rsidRPr="00E3576C">
        <w:t>4.7</w:t>
      </w:r>
      <w:r w:rsidRPr="00A83C94">
        <w:t xml:space="preserve"> % և</w:t>
      </w:r>
      <w:r w:rsidR="00201F42">
        <w:t xml:space="preserve"> 3.</w:t>
      </w:r>
      <w:r w:rsidR="00FA2199">
        <w:t>1</w:t>
      </w:r>
      <w:r w:rsidRPr="00A83C94">
        <w:t xml:space="preserve"> %-ի չափով, ՀՀ 2022 թվա</w:t>
      </w:r>
      <w:r w:rsidRPr="00A83C94">
        <w:softHyphen/>
      </w:r>
      <w:r w:rsidRPr="00A83C94">
        <w:softHyphen/>
        <w:t>կանի պե</w:t>
      </w:r>
      <w:r w:rsidRPr="00A83C94">
        <w:softHyphen/>
        <w:t>տական բյուջեի նա</w:t>
      </w:r>
      <w:r w:rsidRPr="00A83C94">
        <w:softHyphen/>
        <w:t>խագ</w:t>
      </w:r>
      <w:r w:rsidRPr="00A83C94">
        <w:softHyphen/>
        <w:t>ծով նախատեսվող դե</w:t>
      </w:r>
      <w:r w:rsidRPr="00A83C94">
        <w:softHyphen/>
        <w:t>ֆի</w:t>
      </w:r>
      <w:r w:rsidRPr="00A83C94">
        <w:softHyphen/>
        <w:t>ցիտի ֆի</w:t>
      </w:r>
      <w:r w:rsidRPr="00A83C94">
        <w:softHyphen/>
        <w:t>նան</w:t>
      </w:r>
      <w:r w:rsidRPr="00A83C94">
        <w:softHyphen/>
        <w:t>սա</w:t>
      </w:r>
      <w:r w:rsidRPr="00A83C94">
        <w:softHyphen/>
        <w:t>վորման համար ծրագրա</w:t>
      </w:r>
      <w:r w:rsidRPr="00A83C94">
        <w:softHyphen/>
        <w:t>վորված վարկերի զգալի մասը կտրա</w:t>
      </w:r>
      <w:r w:rsidRPr="00A83C94">
        <w:softHyphen/>
        <w:t>մադրվի Համաշ</w:t>
      </w:r>
      <w:r w:rsidRPr="00A83C94">
        <w:softHyphen/>
        <w:t>խար</w:t>
      </w:r>
      <w:r w:rsidRPr="00A83C94">
        <w:softHyphen/>
        <w:t>հա</w:t>
      </w:r>
      <w:r w:rsidRPr="00A83C94">
        <w:softHyphen/>
        <w:t>յին բան</w:t>
      </w:r>
      <w:r w:rsidRPr="00A83C94">
        <w:softHyphen/>
        <w:t>կի կողմից (ներգրավ</w:t>
      </w:r>
      <w:r w:rsidRPr="00A83C94">
        <w:softHyphen/>
      </w:r>
      <w:r w:rsidRPr="00A83C94">
        <w:softHyphen/>
        <w:t>վող վարկերի տրա</w:t>
      </w:r>
      <w:r w:rsidRPr="00A83C94">
        <w:softHyphen/>
        <w:t>մադրման ժամկետ</w:t>
      </w:r>
      <w:r w:rsidRPr="00A83C94">
        <w:softHyphen/>
        <w:t>ների և տո</w:t>
      </w:r>
      <w:r w:rsidRPr="00A83C94">
        <w:softHyphen/>
        <w:t>կոսադրույք</w:t>
      </w:r>
      <w:r w:rsidRPr="00A83C94">
        <w:softHyphen/>
        <w:t>ների մա</w:t>
      </w:r>
      <w:r w:rsidRPr="00A83C94">
        <w:softHyphen/>
      </w:r>
      <w:r w:rsidRPr="00A83C94">
        <w:softHyphen/>
        <w:t>սին տվյալ</w:t>
      </w:r>
      <w:r w:rsidRPr="00A83C94">
        <w:softHyphen/>
        <w:t>նե</w:t>
      </w:r>
      <w:r w:rsidRPr="00A83C94">
        <w:softHyphen/>
        <w:t>րը ներկայացված են սույն բա</w:t>
      </w:r>
      <w:r w:rsidRPr="00A83C94">
        <w:softHyphen/>
        <w:t>ցատրագրի N 4 հավելվածում):</w:t>
      </w:r>
    </w:p>
    <w:p w14:paraId="079D1FCC" w14:textId="77777777" w:rsidR="00AE2A75" w:rsidRPr="00A83C94" w:rsidRDefault="00AE2A75" w:rsidP="002F7255">
      <w:pPr>
        <w:pStyle w:val="Heading3"/>
      </w:pPr>
    </w:p>
    <w:p w14:paraId="31D983B7" w14:textId="77777777" w:rsidR="00AE2A75" w:rsidRPr="00EB774C" w:rsidRDefault="00AE2A75" w:rsidP="00A30EDC">
      <w:pPr>
        <w:pStyle w:val="Heading1"/>
        <w:rPr>
          <w:lang w:val="af-ZA"/>
        </w:rPr>
      </w:pPr>
      <w:bookmarkStart w:id="206" w:name="_Toc83996359"/>
      <w:r w:rsidRPr="00A83C94">
        <w:t>ՄԱՍ</w:t>
      </w:r>
      <w:r w:rsidRPr="00EB774C">
        <w:rPr>
          <w:lang w:val="af-ZA"/>
        </w:rPr>
        <w:t xml:space="preserve"> III-</w:t>
      </w:r>
      <w:r w:rsidRPr="00A83C94">
        <w:t>Ա</w:t>
      </w:r>
      <w:r w:rsidRPr="00EB774C">
        <w:rPr>
          <w:lang w:val="af-ZA"/>
        </w:rPr>
        <w:t xml:space="preserve">. </w:t>
      </w:r>
      <w:r w:rsidRPr="00A83C94">
        <w:t>ԵԿԱՄՈՒՏՆԵՐԻ</w:t>
      </w:r>
      <w:r w:rsidRPr="00EB774C">
        <w:rPr>
          <w:lang w:val="af-ZA"/>
        </w:rPr>
        <w:t xml:space="preserve"> </w:t>
      </w:r>
      <w:r w:rsidRPr="00A83C94">
        <w:t>ԿԱՆԽԱՏԵՍՈՒՄ</w:t>
      </w:r>
      <w:bookmarkEnd w:id="200"/>
      <w:bookmarkEnd w:id="206"/>
    </w:p>
    <w:p w14:paraId="009EDC93" w14:textId="77777777" w:rsidR="00AE2A75" w:rsidRPr="00A83C94" w:rsidRDefault="00AE2A75" w:rsidP="00AE2A75">
      <w:pPr>
        <w:spacing w:before="0" w:line="276" w:lineRule="auto"/>
        <w:ind w:firstLine="562"/>
        <w:contextualSpacing w:val="0"/>
        <w:rPr>
          <w:rFonts w:cs="Sylfaen"/>
          <w:b w:val="0"/>
          <w:sz w:val="20"/>
          <w:szCs w:val="20"/>
          <w:lang w:val="fr-FR" w:eastAsia="en-US"/>
        </w:rPr>
      </w:pPr>
      <w:r w:rsidRPr="00A83C94">
        <w:rPr>
          <w:rFonts w:cs="Sylfaen"/>
          <w:b w:val="0"/>
          <w:iCs/>
          <w:szCs w:val="22"/>
          <w:lang w:val="af-ZA" w:eastAsia="en-GB"/>
        </w:rPr>
        <w:t>«Հայաստանի Հանրապետության 2022 թվականի պետական բյուջեի մասին» ՀՀ օրեն</w:t>
      </w:r>
      <w:r w:rsidRPr="00A83C94">
        <w:rPr>
          <w:rFonts w:cs="Sylfaen"/>
          <w:b w:val="0"/>
          <w:iCs/>
          <w:szCs w:val="22"/>
          <w:lang w:val="af-ZA" w:eastAsia="en-GB"/>
        </w:rPr>
        <w:softHyphen/>
        <w:t>քի նախագծում (սույն մասում այսու</w:t>
      </w:r>
      <w:r w:rsidRPr="00A83C94">
        <w:rPr>
          <w:rFonts w:cs="Sylfaen"/>
          <w:b w:val="0"/>
          <w:iCs/>
          <w:szCs w:val="22"/>
          <w:lang w:val="af-ZA" w:eastAsia="en-GB"/>
        </w:rPr>
        <w:softHyphen/>
        <w:t>հետ՝ Նախագիծ) եկամուտների ընդհանուր գու</w:t>
      </w:r>
      <w:r w:rsidRPr="00A83C94">
        <w:rPr>
          <w:rFonts w:cs="Sylfaen"/>
          <w:b w:val="0"/>
          <w:iCs/>
          <w:szCs w:val="22"/>
          <w:lang w:val="af-ZA" w:eastAsia="en-GB"/>
        </w:rPr>
        <w:softHyphen/>
        <w:t xml:space="preserve">մարը ծրագրվել է </w:t>
      </w:r>
      <w:r w:rsidRPr="00A83C94">
        <w:rPr>
          <w:rFonts w:cs="Sylfaen"/>
          <w:b w:val="0"/>
          <w:iCs/>
          <w:szCs w:val="22"/>
          <w:lang w:val="hy-AM" w:eastAsia="en-GB"/>
        </w:rPr>
        <w:t xml:space="preserve">1,946.4 </w:t>
      </w:r>
      <w:r w:rsidRPr="00A83C94">
        <w:rPr>
          <w:rFonts w:cs="Sylfaen"/>
          <w:b w:val="0"/>
          <w:iCs/>
          <w:szCs w:val="22"/>
          <w:lang w:val="af-ZA" w:eastAsia="en-GB"/>
        </w:rPr>
        <w:t>մլրդ դրամի չա</w:t>
      </w:r>
      <w:r w:rsidRPr="00A83C94">
        <w:rPr>
          <w:rFonts w:cs="Sylfaen"/>
          <w:b w:val="0"/>
          <w:iCs/>
          <w:szCs w:val="22"/>
          <w:lang w:val="af-ZA" w:eastAsia="en-GB"/>
        </w:rPr>
        <w:softHyphen/>
        <w:t>փով, 2021 թվականի համար սպասվող 1,656.9 մլրդ դրամի և 2020 թվականին փաստացի ստացված 1,560.7 մլրդ դրամ գու</w:t>
      </w:r>
      <w:r w:rsidRPr="00A83C94">
        <w:rPr>
          <w:rFonts w:cs="Sylfaen"/>
          <w:b w:val="0"/>
          <w:iCs/>
          <w:szCs w:val="22"/>
          <w:lang w:val="af-ZA" w:eastAsia="en-GB"/>
        </w:rPr>
        <w:softHyphen/>
        <w:t>մար</w:t>
      </w:r>
      <w:r w:rsidRPr="00A83C94">
        <w:rPr>
          <w:rFonts w:cs="Sylfaen"/>
          <w:b w:val="0"/>
          <w:iCs/>
          <w:szCs w:val="22"/>
          <w:lang w:val="af-ZA" w:eastAsia="en-GB"/>
        </w:rPr>
        <w:softHyphen/>
        <w:t>ների դիմաց: Եկա</w:t>
      </w:r>
      <w:r w:rsidRPr="00A83C94">
        <w:rPr>
          <w:rFonts w:cs="Sylfaen"/>
          <w:b w:val="0"/>
          <w:iCs/>
          <w:szCs w:val="22"/>
          <w:lang w:val="af-ZA" w:eastAsia="en-GB"/>
        </w:rPr>
        <w:softHyphen/>
        <w:t>մուտ</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ների տա</w:t>
      </w:r>
      <w:r w:rsidRPr="00A83C94">
        <w:rPr>
          <w:rFonts w:cs="Sylfaen"/>
          <w:b w:val="0"/>
          <w:iCs/>
          <w:szCs w:val="22"/>
          <w:lang w:val="af-ZA" w:eastAsia="en-GB"/>
        </w:rPr>
        <w:softHyphen/>
      </w:r>
      <w:r w:rsidRPr="00A83C94">
        <w:rPr>
          <w:rFonts w:cs="Sylfaen"/>
          <w:b w:val="0"/>
          <w:iCs/>
          <w:szCs w:val="22"/>
          <w:lang w:val="af-ZA" w:eastAsia="en-GB"/>
        </w:rPr>
        <w:softHyphen/>
        <w:t>րեկան ծրա</w:t>
      </w:r>
      <w:r w:rsidRPr="00A83C94">
        <w:rPr>
          <w:rFonts w:cs="Sylfaen"/>
          <w:b w:val="0"/>
          <w:iCs/>
          <w:szCs w:val="22"/>
          <w:lang w:val="af-ZA" w:eastAsia="en-GB"/>
        </w:rPr>
        <w:softHyphen/>
        <w:t>գրա</w:t>
      </w:r>
      <w:r w:rsidRPr="00A83C94">
        <w:rPr>
          <w:rFonts w:cs="Sylfaen"/>
          <w:b w:val="0"/>
          <w:iCs/>
          <w:szCs w:val="22"/>
          <w:lang w:val="af-ZA" w:eastAsia="en-GB"/>
        </w:rPr>
        <w:softHyphen/>
        <w:t>յին ծավալները կապահովվեն հիմնականում ի հաշիվ հար</w:t>
      </w:r>
      <w:r w:rsidRPr="00A83C94">
        <w:rPr>
          <w:rFonts w:cs="Sylfaen"/>
          <w:b w:val="0"/>
          <w:iCs/>
          <w:szCs w:val="22"/>
          <w:lang w:val="af-ZA" w:eastAsia="en-GB"/>
        </w:rPr>
        <w:softHyphen/>
        <w:t>կային եկա</w:t>
      </w:r>
      <w:r w:rsidRPr="00A83C94">
        <w:rPr>
          <w:rFonts w:cs="Sylfaen"/>
          <w:b w:val="0"/>
          <w:iCs/>
          <w:szCs w:val="22"/>
          <w:lang w:val="af-ZA" w:eastAsia="en-GB"/>
        </w:rPr>
        <w:softHyphen/>
        <w:t>մուտ</w:t>
      </w:r>
      <w:r w:rsidRPr="00A83C94">
        <w:rPr>
          <w:rFonts w:cs="Sylfaen"/>
          <w:b w:val="0"/>
          <w:iCs/>
          <w:szCs w:val="22"/>
          <w:lang w:val="af-ZA" w:eastAsia="en-GB"/>
        </w:rPr>
        <w:softHyphen/>
        <w:t>ների:</w:t>
      </w:r>
      <w:r w:rsidRPr="00A83C94">
        <w:rPr>
          <w:rFonts w:cs="Sylfaen"/>
          <w:b w:val="0"/>
          <w:sz w:val="20"/>
          <w:szCs w:val="20"/>
          <w:lang w:val="fr-FR" w:eastAsia="en-US"/>
        </w:rPr>
        <w:t xml:space="preserve"> </w:t>
      </w:r>
    </w:p>
    <w:p w14:paraId="6980A5C0" w14:textId="7AB32F6B" w:rsidR="00AE2A75" w:rsidRPr="00A83C94" w:rsidRDefault="00AE2A75" w:rsidP="0025299D">
      <w:pPr>
        <w:pStyle w:val="Caption"/>
        <w:rPr>
          <w:b/>
          <w:i/>
          <w:sz w:val="20"/>
          <w:szCs w:val="20"/>
          <w:lang w:val="hy-AM"/>
        </w:rPr>
      </w:pPr>
      <w:r w:rsidRPr="008150A1">
        <w:rPr>
          <w:lang w:val="hy-AM"/>
        </w:rPr>
        <w:t xml:space="preserve"> </w:t>
      </w:r>
      <w:bookmarkStart w:id="207" w:name="_Toc83928943"/>
      <w:r w:rsidR="0025299D" w:rsidRPr="008B1D49">
        <w:rPr>
          <w:lang w:val="hy-AM"/>
        </w:rPr>
        <w:t xml:space="preserve">Աղյուսակ </w:t>
      </w:r>
      <w:r w:rsidR="0025299D">
        <w:fldChar w:fldCharType="begin"/>
      </w:r>
      <w:r w:rsidR="0025299D" w:rsidRPr="008B1D49">
        <w:rPr>
          <w:lang w:val="hy-AM"/>
        </w:rPr>
        <w:instrText xml:space="preserve"> SEQ Աղյուսակ \* ARABIC </w:instrText>
      </w:r>
      <w:r w:rsidR="0025299D">
        <w:fldChar w:fldCharType="separate"/>
      </w:r>
      <w:r w:rsidR="0077355D">
        <w:rPr>
          <w:noProof/>
          <w:lang w:val="hy-AM"/>
        </w:rPr>
        <w:t>6</w:t>
      </w:r>
      <w:r w:rsidR="0025299D">
        <w:fldChar w:fldCharType="end"/>
      </w:r>
      <w:r w:rsidRPr="008150A1">
        <w:rPr>
          <w:rFonts w:ascii="Cambria Math" w:hAnsi="Cambria Math" w:cs="Cambria Math"/>
          <w:lang w:val="hy-AM"/>
        </w:rPr>
        <w:t>․</w:t>
      </w:r>
      <w:r w:rsidRPr="00A83C94">
        <w:rPr>
          <w:rFonts w:ascii="Cambria Math" w:hAnsi="Cambria Math"/>
          <w:lang w:val="hy-AM"/>
        </w:rPr>
        <w:t xml:space="preserve"> </w:t>
      </w:r>
      <w:r w:rsidRPr="00A83C94">
        <w:rPr>
          <w:b/>
          <w:i/>
          <w:sz w:val="20"/>
          <w:szCs w:val="20"/>
          <w:lang w:val="hy-AM"/>
        </w:rPr>
        <w:t>2018-202</w:t>
      </w:r>
      <w:r w:rsidRPr="00A83C94">
        <w:rPr>
          <w:b/>
          <w:i/>
          <w:sz w:val="20"/>
          <w:szCs w:val="20"/>
          <w:lang w:val="fr-FR"/>
        </w:rPr>
        <w:t>2</w:t>
      </w:r>
      <w:r w:rsidRPr="00A83C94">
        <w:rPr>
          <w:b/>
          <w:i/>
          <w:sz w:val="20"/>
          <w:szCs w:val="20"/>
          <w:lang w:val="hy-AM"/>
        </w:rPr>
        <w:t>թթ փաստացի/կանխատեսումային բյուջետային եկամուտները (մլրդ դրամներով)</w:t>
      </w:r>
      <w:bookmarkEnd w:id="207"/>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204"/>
        <w:gridCol w:w="1324"/>
        <w:gridCol w:w="1325"/>
        <w:gridCol w:w="1324"/>
        <w:gridCol w:w="1337"/>
      </w:tblGrid>
      <w:tr w:rsidR="00AE2A75" w:rsidRPr="00A83C94" w14:paraId="39EFF098" w14:textId="77777777" w:rsidTr="001D3173">
        <w:trPr>
          <w:trHeight w:val="645"/>
        </w:trPr>
        <w:tc>
          <w:tcPr>
            <w:tcW w:w="2841" w:type="dxa"/>
            <w:shd w:val="clear" w:color="auto" w:fill="4F81BD" w:themeFill="accent1"/>
            <w:noWrap/>
            <w:vAlign w:val="center"/>
            <w:hideMark/>
          </w:tcPr>
          <w:p w14:paraId="0763B95B" w14:textId="77777777" w:rsidR="00AE2A75" w:rsidRPr="00A83C94" w:rsidRDefault="00AE2A75" w:rsidP="001D3173">
            <w:pPr>
              <w:spacing w:before="0" w:line="276" w:lineRule="auto"/>
              <w:ind w:firstLine="0"/>
              <w:contextualSpacing w:val="0"/>
              <w:jc w:val="center"/>
              <w:rPr>
                <w:bCs/>
                <w:color w:val="FFFFFF" w:themeColor="background1"/>
                <w:sz w:val="20"/>
                <w:szCs w:val="20"/>
                <w:lang w:val="en-US" w:eastAsia="en-US"/>
              </w:rPr>
            </w:pPr>
            <w:r w:rsidRPr="00A83C94">
              <w:rPr>
                <w:bCs/>
                <w:color w:val="FFFFFF" w:themeColor="background1"/>
                <w:sz w:val="20"/>
                <w:szCs w:val="20"/>
                <w:lang w:val="en-US" w:eastAsia="en-US"/>
              </w:rPr>
              <w:t>Եկամտատեսակը</w:t>
            </w:r>
          </w:p>
        </w:tc>
        <w:tc>
          <w:tcPr>
            <w:tcW w:w="1204" w:type="dxa"/>
            <w:shd w:val="clear" w:color="auto" w:fill="4F81BD" w:themeFill="accent1"/>
            <w:noWrap/>
            <w:vAlign w:val="center"/>
            <w:hideMark/>
          </w:tcPr>
          <w:p w14:paraId="17CA87A4"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2018</w:t>
            </w:r>
            <w:r w:rsidRPr="00A83C94">
              <w:rPr>
                <w:rFonts w:cs="Calibri"/>
                <w:color w:val="FFFFFF" w:themeColor="background1"/>
                <w:sz w:val="20"/>
                <w:szCs w:val="20"/>
                <w:lang w:val="en-US" w:eastAsia="en-US"/>
              </w:rPr>
              <w:br/>
              <w:t>փաստ</w:t>
            </w:r>
          </w:p>
        </w:tc>
        <w:tc>
          <w:tcPr>
            <w:tcW w:w="1324" w:type="dxa"/>
            <w:shd w:val="clear" w:color="auto" w:fill="4F81BD" w:themeFill="accent1"/>
            <w:noWrap/>
            <w:vAlign w:val="center"/>
            <w:hideMark/>
          </w:tcPr>
          <w:p w14:paraId="4FC25F2A"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 xml:space="preserve">2019 </w:t>
            </w:r>
            <w:r w:rsidRPr="00A83C94">
              <w:rPr>
                <w:rFonts w:cs="Calibri"/>
                <w:color w:val="FFFFFF" w:themeColor="background1"/>
                <w:sz w:val="20"/>
                <w:szCs w:val="20"/>
                <w:lang w:val="en-US" w:eastAsia="en-US"/>
              </w:rPr>
              <w:br/>
              <w:t>փաստ</w:t>
            </w:r>
          </w:p>
        </w:tc>
        <w:tc>
          <w:tcPr>
            <w:tcW w:w="1325" w:type="dxa"/>
            <w:shd w:val="clear" w:color="auto" w:fill="4F81BD" w:themeFill="accent1"/>
            <w:noWrap/>
            <w:vAlign w:val="center"/>
            <w:hideMark/>
          </w:tcPr>
          <w:p w14:paraId="6EC9BE20" w14:textId="5F14B825" w:rsidR="00AE2A75" w:rsidRPr="00A83C94" w:rsidRDefault="00AE2A75" w:rsidP="00AA4507">
            <w:pPr>
              <w:spacing w:before="0" w:line="276" w:lineRule="auto"/>
              <w:ind w:firstLine="0"/>
              <w:contextualSpacing w:val="0"/>
              <w:jc w:val="center"/>
              <w:rPr>
                <w:rFonts w:cs="Calibri"/>
                <w:b w:val="0"/>
                <w:color w:val="FFFFFF" w:themeColor="background1"/>
                <w:sz w:val="20"/>
                <w:szCs w:val="20"/>
                <w:lang w:val="en-US" w:eastAsia="en-US"/>
              </w:rPr>
            </w:pPr>
            <w:r w:rsidRPr="00A83C94">
              <w:rPr>
                <w:rFonts w:cs="Calibri"/>
                <w:color w:val="FFFFFF" w:themeColor="background1"/>
                <w:sz w:val="20"/>
                <w:szCs w:val="20"/>
                <w:lang w:val="en-US" w:eastAsia="en-US"/>
              </w:rPr>
              <w:t xml:space="preserve">2020 </w:t>
            </w:r>
            <w:r w:rsidRPr="00A83C94">
              <w:rPr>
                <w:rFonts w:cs="Calibri"/>
                <w:color w:val="FFFFFF" w:themeColor="background1"/>
                <w:sz w:val="20"/>
                <w:szCs w:val="20"/>
                <w:lang w:val="en-US" w:eastAsia="en-US"/>
              </w:rPr>
              <w:br/>
            </w:r>
            <w:r w:rsidR="00AA4507" w:rsidRPr="00A83C94">
              <w:rPr>
                <w:rFonts w:cs="Calibri"/>
                <w:color w:val="FFFFFF" w:themeColor="background1"/>
                <w:sz w:val="20"/>
                <w:szCs w:val="20"/>
                <w:lang w:val="en-US" w:eastAsia="en-US"/>
              </w:rPr>
              <w:t>փաստ</w:t>
            </w:r>
          </w:p>
        </w:tc>
        <w:tc>
          <w:tcPr>
            <w:tcW w:w="1324" w:type="dxa"/>
            <w:shd w:val="clear" w:color="auto" w:fill="4F81BD" w:themeFill="accent1"/>
            <w:noWrap/>
            <w:vAlign w:val="center"/>
            <w:hideMark/>
          </w:tcPr>
          <w:p w14:paraId="4C8FB2BB"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2021</w:t>
            </w:r>
            <w:r w:rsidRPr="00A83C94">
              <w:rPr>
                <w:rFonts w:cs="Calibri"/>
                <w:color w:val="FFFFFF" w:themeColor="background1"/>
                <w:sz w:val="20"/>
                <w:szCs w:val="20"/>
                <w:lang w:val="en-US" w:eastAsia="en-US"/>
              </w:rPr>
              <w:br/>
              <w:t>սպասում</w:t>
            </w:r>
          </w:p>
        </w:tc>
        <w:tc>
          <w:tcPr>
            <w:tcW w:w="1337" w:type="dxa"/>
            <w:shd w:val="clear" w:color="auto" w:fill="4F81BD" w:themeFill="accent1"/>
            <w:noWrap/>
            <w:vAlign w:val="center"/>
            <w:hideMark/>
          </w:tcPr>
          <w:p w14:paraId="3FC8995C" w14:textId="138A90E9"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 xml:space="preserve">2022 </w:t>
            </w:r>
            <w:r w:rsidRPr="00A83C94">
              <w:rPr>
                <w:rFonts w:cs="Calibri"/>
                <w:color w:val="FFFFFF" w:themeColor="background1"/>
                <w:sz w:val="20"/>
                <w:szCs w:val="20"/>
                <w:lang w:val="en-US" w:eastAsia="en-US"/>
              </w:rPr>
              <w:br/>
              <w:t>կանխա</w:t>
            </w:r>
            <w:r w:rsidR="00DD4A52" w:rsidRPr="00A83C94">
              <w:rPr>
                <w:rFonts w:cs="Calibri"/>
                <w:color w:val="FFFFFF" w:themeColor="background1"/>
                <w:sz w:val="20"/>
                <w:szCs w:val="20"/>
                <w:lang w:val="hy-AM" w:eastAsia="en-US"/>
              </w:rPr>
              <w:t>-</w:t>
            </w:r>
            <w:r w:rsidRPr="00A83C94">
              <w:rPr>
                <w:rFonts w:cs="Calibri"/>
                <w:color w:val="FFFFFF" w:themeColor="background1"/>
                <w:sz w:val="20"/>
                <w:szCs w:val="20"/>
                <w:lang w:val="en-US" w:eastAsia="en-US"/>
              </w:rPr>
              <w:t>տեսում</w:t>
            </w:r>
          </w:p>
          <w:p w14:paraId="0DB027B5"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p>
        </w:tc>
      </w:tr>
      <w:tr w:rsidR="00AE2A75" w:rsidRPr="00A83C94" w14:paraId="524E5789" w14:textId="77777777" w:rsidTr="001D3173">
        <w:trPr>
          <w:trHeight w:val="705"/>
        </w:trPr>
        <w:tc>
          <w:tcPr>
            <w:tcW w:w="2841" w:type="dxa"/>
            <w:shd w:val="clear" w:color="auto" w:fill="C6D9F1" w:themeFill="text2" w:themeFillTint="33"/>
            <w:vAlign w:val="center"/>
            <w:hideMark/>
          </w:tcPr>
          <w:p w14:paraId="44EDC6A5" w14:textId="77777777" w:rsidR="00AE2A75" w:rsidRPr="00A83C94" w:rsidRDefault="00AE2A75" w:rsidP="001D3173">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Պետական բյուջեի եկամուտներ, որից` </w:t>
            </w:r>
          </w:p>
        </w:tc>
        <w:tc>
          <w:tcPr>
            <w:tcW w:w="1204" w:type="dxa"/>
            <w:shd w:val="clear" w:color="auto" w:fill="C6D9F1" w:themeFill="text2" w:themeFillTint="33"/>
            <w:noWrap/>
            <w:vAlign w:val="center"/>
            <w:hideMark/>
          </w:tcPr>
          <w:p w14:paraId="70EA7018" w14:textId="77777777" w:rsidR="00AE2A75" w:rsidRPr="00A83C94" w:rsidRDefault="00AE2A75" w:rsidP="001D3173">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1,341.7</w:t>
            </w:r>
          </w:p>
        </w:tc>
        <w:tc>
          <w:tcPr>
            <w:tcW w:w="1324" w:type="dxa"/>
            <w:shd w:val="clear" w:color="auto" w:fill="C6D9F1" w:themeFill="text2" w:themeFillTint="33"/>
            <w:noWrap/>
            <w:vAlign w:val="center"/>
            <w:hideMark/>
          </w:tcPr>
          <w:p w14:paraId="6CDB45D9" w14:textId="77777777" w:rsidR="00AE2A75" w:rsidRPr="00A83C94" w:rsidRDefault="00AE2A75" w:rsidP="001D3173">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1,565.5</w:t>
            </w:r>
          </w:p>
        </w:tc>
        <w:tc>
          <w:tcPr>
            <w:tcW w:w="1325" w:type="dxa"/>
            <w:shd w:val="clear" w:color="auto" w:fill="C6D9F1" w:themeFill="text2" w:themeFillTint="33"/>
            <w:noWrap/>
            <w:vAlign w:val="center"/>
            <w:hideMark/>
          </w:tcPr>
          <w:p w14:paraId="33137CDC" w14:textId="77777777" w:rsidR="00AE2A75" w:rsidRPr="00A83C94" w:rsidRDefault="00AE2A75" w:rsidP="001D3173">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1,560.7</w:t>
            </w:r>
          </w:p>
        </w:tc>
        <w:tc>
          <w:tcPr>
            <w:tcW w:w="1324" w:type="dxa"/>
            <w:shd w:val="clear" w:color="auto" w:fill="C6D9F1" w:themeFill="text2" w:themeFillTint="33"/>
            <w:noWrap/>
            <w:vAlign w:val="center"/>
            <w:hideMark/>
          </w:tcPr>
          <w:p w14:paraId="0DA9D479" w14:textId="77777777" w:rsidR="00AE2A75" w:rsidRPr="00A83C94" w:rsidRDefault="00AE2A75" w:rsidP="001D3173">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1,656.9</w:t>
            </w:r>
          </w:p>
        </w:tc>
        <w:tc>
          <w:tcPr>
            <w:tcW w:w="1337" w:type="dxa"/>
            <w:shd w:val="clear" w:color="auto" w:fill="C6D9F1" w:themeFill="text2" w:themeFillTint="33"/>
            <w:noWrap/>
            <w:vAlign w:val="center"/>
            <w:hideMark/>
          </w:tcPr>
          <w:p w14:paraId="4748E38C" w14:textId="77777777" w:rsidR="00AE2A75" w:rsidRPr="00A83C94" w:rsidRDefault="00AE2A75" w:rsidP="001D3173">
            <w:pPr>
              <w:spacing w:before="0" w:line="276" w:lineRule="auto"/>
              <w:ind w:firstLine="0"/>
              <w:contextualSpacing w:val="0"/>
              <w:jc w:val="center"/>
              <w:rPr>
                <w:b w:val="0"/>
                <w:bCs/>
                <w:color w:val="000000"/>
                <w:sz w:val="20"/>
                <w:szCs w:val="20"/>
                <w:lang w:val="en-US" w:eastAsia="en-US"/>
              </w:rPr>
            </w:pPr>
            <w:r w:rsidRPr="00A83C94">
              <w:rPr>
                <w:rFonts w:cs="Sylfaen"/>
                <w:b w:val="0"/>
                <w:iCs/>
                <w:sz w:val="20"/>
                <w:szCs w:val="20"/>
                <w:lang w:val="hy-AM" w:eastAsia="en-GB"/>
              </w:rPr>
              <w:t>1,946.4</w:t>
            </w:r>
          </w:p>
        </w:tc>
      </w:tr>
      <w:tr w:rsidR="00AE2A75" w:rsidRPr="00A83C94" w14:paraId="0A2BDAD6" w14:textId="77777777" w:rsidTr="001D3173">
        <w:trPr>
          <w:trHeight w:val="690"/>
        </w:trPr>
        <w:tc>
          <w:tcPr>
            <w:tcW w:w="2841" w:type="dxa"/>
            <w:shd w:val="clear" w:color="auto" w:fill="auto"/>
            <w:vAlign w:val="center"/>
            <w:hideMark/>
          </w:tcPr>
          <w:p w14:paraId="22810F45" w14:textId="77777777" w:rsidR="00AE2A75" w:rsidRPr="00A83C94" w:rsidRDefault="00AE2A75" w:rsidP="001D3173">
            <w:pPr>
              <w:spacing w:before="0" w:line="276" w:lineRule="auto"/>
              <w:ind w:firstLine="0"/>
              <w:contextualSpacing w:val="0"/>
              <w:jc w:val="left"/>
              <w:rPr>
                <w:b w:val="0"/>
                <w:bCs/>
                <w:color w:val="000000"/>
                <w:sz w:val="20"/>
                <w:szCs w:val="20"/>
                <w:lang w:eastAsia="en-US"/>
              </w:rPr>
            </w:pPr>
            <w:r w:rsidRPr="00A83C94">
              <w:rPr>
                <w:b w:val="0"/>
                <w:b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w:t>
            </w:r>
            <w:r w:rsidRPr="00A83C94">
              <w:rPr>
                <w:b w:val="0"/>
                <w:bCs/>
                <w:color w:val="000000"/>
                <w:sz w:val="20"/>
                <w:szCs w:val="20"/>
                <w:lang w:eastAsia="en-US"/>
              </w:rPr>
              <w:t xml:space="preserve"> </w:t>
            </w:r>
          </w:p>
        </w:tc>
        <w:tc>
          <w:tcPr>
            <w:tcW w:w="1204" w:type="dxa"/>
            <w:shd w:val="clear" w:color="auto" w:fill="auto"/>
            <w:noWrap/>
            <w:vAlign w:val="bottom"/>
            <w:hideMark/>
          </w:tcPr>
          <w:p w14:paraId="4C337E24"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22.3%</w:t>
            </w:r>
          </w:p>
        </w:tc>
        <w:tc>
          <w:tcPr>
            <w:tcW w:w="1324" w:type="dxa"/>
            <w:shd w:val="clear" w:color="auto" w:fill="auto"/>
            <w:noWrap/>
            <w:vAlign w:val="bottom"/>
            <w:hideMark/>
          </w:tcPr>
          <w:p w14:paraId="6E7B0E2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23.9%</w:t>
            </w:r>
          </w:p>
        </w:tc>
        <w:tc>
          <w:tcPr>
            <w:tcW w:w="1325" w:type="dxa"/>
            <w:shd w:val="clear" w:color="auto" w:fill="auto"/>
            <w:noWrap/>
            <w:vAlign w:val="bottom"/>
            <w:hideMark/>
          </w:tcPr>
          <w:p w14:paraId="01DA0D24"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25.2%</w:t>
            </w:r>
          </w:p>
        </w:tc>
        <w:tc>
          <w:tcPr>
            <w:tcW w:w="1324" w:type="dxa"/>
            <w:shd w:val="clear" w:color="auto" w:fill="auto"/>
            <w:noWrap/>
            <w:vAlign w:val="bottom"/>
            <w:hideMark/>
          </w:tcPr>
          <w:p w14:paraId="2536C904"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23.6%</w:t>
            </w:r>
          </w:p>
        </w:tc>
        <w:tc>
          <w:tcPr>
            <w:tcW w:w="1337" w:type="dxa"/>
            <w:shd w:val="clear" w:color="auto" w:fill="auto"/>
            <w:noWrap/>
            <w:vAlign w:val="bottom"/>
            <w:hideMark/>
          </w:tcPr>
          <w:p w14:paraId="41CA5501" w14:textId="77777777" w:rsidR="00AE2A75" w:rsidRPr="00A83C94" w:rsidRDefault="00AE2A75" w:rsidP="001D3173">
            <w:pPr>
              <w:spacing w:before="0" w:line="276" w:lineRule="auto"/>
              <w:ind w:firstLine="0"/>
              <w:contextualSpacing w:val="0"/>
              <w:jc w:val="center"/>
              <w:rPr>
                <w:rFonts w:cs="Calibri"/>
                <w:b w:val="0"/>
                <w:color w:val="000000"/>
                <w:sz w:val="20"/>
                <w:szCs w:val="20"/>
                <w:lang w:eastAsia="en-US"/>
              </w:rPr>
            </w:pPr>
            <w:r w:rsidRPr="00A83C94">
              <w:rPr>
                <w:rFonts w:cs="Calibri"/>
                <w:b w:val="0"/>
                <w:color w:val="000000"/>
                <w:sz w:val="20"/>
                <w:szCs w:val="20"/>
                <w:lang w:eastAsia="en-US"/>
              </w:rPr>
              <w:t>24,7%</w:t>
            </w:r>
          </w:p>
        </w:tc>
      </w:tr>
      <w:tr w:rsidR="00AE2A75" w:rsidRPr="00A83C94" w14:paraId="3BD45F36" w14:textId="77777777" w:rsidTr="001D3173">
        <w:trPr>
          <w:trHeight w:val="1035"/>
        </w:trPr>
        <w:tc>
          <w:tcPr>
            <w:tcW w:w="2841" w:type="dxa"/>
            <w:shd w:val="clear" w:color="auto" w:fill="C6D9F1" w:themeFill="text2" w:themeFillTint="33"/>
            <w:vAlign w:val="center"/>
            <w:hideMark/>
          </w:tcPr>
          <w:p w14:paraId="4F77048E" w14:textId="77777777" w:rsidR="00AE2A75" w:rsidRPr="00A83C94" w:rsidRDefault="00AE2A75" w:rsidP="001D3173">
            <w:pPr>
              <w:spacing w:before="0" w:line="276" w:lineRule="auto"/>
              <w:ind w:firstLine="0"/>
              <w:contextualSpacing w:val="0"/>
              <w:jc w:val="left"/>
              <w:rPr>
                <w:b w:val="0"/>
                <w:bCs/>
                <w:color w:val="000000"/>
                <w:sz w:val="20"/>
                <w:szCs w:val="20"/>
                <w:lang w:eastAsia="en-US"/>
              </w:rPr>
            </w:pPr>
            <w:r w:rsidRPr="00A83C94">
              <w:rPr>
                <w:b w:val="0"/>
                <w:bCs/>
                <w:color w:val="000000"/>
                <w:sz w:val="20"/>
                <w:szCs w:val="20"/>
                <w:lang w:eastAsia="en-US"/>
              </w:rPr>
              <w:t xml:space="preserve"> 1. </w:t>
            </w:r>
            <w:r w:rsidRPr="00A83C94">
              <w:rPr>
                <w:b w:val="0"/>
                <w:bCs/>
                <w:color w:val="000000"/>
                <w:sz w:val="20"/>
                <w:szCs w:val="20"/>
                <w:lang w:val="en-US" w:eastAsia="en-US"/>
              </w:rPr>
              <w:t>Հարկային</w:t>
            </w:r>
            <w:r w:rsidRPr="00A83C94">
              <w:rPr>
                <w:b w:val="0"/>
                <w:bCs/>
                <w:color w:val="000000"/>
                <w:sz w:val="20"/>
                <w:szCs w:val="20"/>
                <w:lang w:eastAsia="en-US"/>
              </w:rPr>
              <w:t xml:space="preserve"> </w:t>
            </w:r>
            <w:r w:rsidRPr="00A83C94">
              <w:rPr>
                <w:b w:val="0"/>
                <w:bCs/>
                <w:color w:val="000000"/>
                <w:sz w:val="20"/>
                <w:szCs w:val="20"/>
                <w:lang w:val="en-US" w:eastAsia="en-US"/>
              </w:rPr>
              <w:t>եկամուտներ</w:t>
            </w:r>
            <w:r w:rsidRPr="00A83C94">
              <w:rPr>
                <w:b w:val="0"/>
                <w:bCs/>
                <w:color w:val="000000"/>
                <w:sz w:val="20"/>
                <w:szCs w:val="20"/>
                <w:lang w:eastAsia="en-US"/>
              </w:rPr>
              <w:t xml:space="preserve"> </w:t>
            </w:r>
            <w:r w:rsidRPr="00A83C94">
              <w:rPr>
                <w:b w:val="0"/>
                <w:bCs/>
                <w:color w:val="000000"/>
                <w:sz w:val="20"/>
                <w:szCs w:val="20"/>
                <w:lang w:val="en-US" w:eastAsia="en-US"/>
              </w:rPr>
              <w:t>և</w:t>
            </w:r>
            <w:r w:rsidRPr="00A83C94">
              <w:rPr>
                <w:b w:val="0"/>
                <w:bCs/>
                <w:color w:val="000000"/>
                <w:sz w:val="20"/>
                <w:szCs w:val="20"/>
                <w:lang w:eastAsia="en-US"/>
              </w:rPr>
              <w:t xml:space="preserve"> </w:t>
            </w:r>
            <w:r w:rsidRPr="00A83C94">
              <w:rPr>
                <w:b w:val="0"/>
                <w:bCs/>
                <w:color w:val="000000"/>
                <w:sz w:val="20"/>
                <w:szCs w:val="20"/>
                <w:lang w:val="en-US" w:eastAsia="en-US"/>
              </w:rPr>
              <w:t>պետական</w:t>
            </w:r>
            <w:r w:rsidRPr="00A83C94">
              <w:rPr>
                <w:b w:val="0"/>
                <w:bCs/>
                <w:color w:val="000000"/>
                <w:sz w:val="20"/>
                <w:szCs w:val="20"/>
                <w:lang w:eastAsia="en-US"/>
              </w:rPr>
              <w:t xml:space="preserve"> </w:t>
            </w:r>
            <w:r w:rsidRPr="00A83C94">
              <w:rPr>
                <w:b w:val="0"/>
                <w:bCs/>
                <w:color w:val="000000"/>
                <w:sz w:val="20"/>
                <w:szCs w:val="20"/>
                <w:lang w:val="en-US" w:eastAsia="en-US"/>
              </w:rPr>
              <w:t>տուրքեր</w:t>
            </w:r>
          </w:p>
        </w:tc>
        <w:tc>
          <w:tcPr>
            <w:tcW w:w="1204" w:type="dxa"/>
            <w:shd w:val="clear" w:color="auto" w:fill="C6D9F1" w:themeFill="text2" w:themeFillTint="33"/>
            <w:noWrap/>
            <w:vAlign w:val="center"/>
            <w:hideMark/>
          </w:tcPr>
          <w:p w14:paraId="23F699FF"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1,258.1</w:t>
            </w:r>
          </w:p>
        </w:tc>
        <w:tc>
          <w:tcPr>
            <w:tcW w:w="1324" w:type="dxa"/>
            <w:shd w:val="clear" w:color="auto" w:fill="C6D9F1" w:themeFill="text2" w:themeFillTint="33"/>
            <w:noWrap/>
            <w:vAlign w:val="center"/>
            <w:hideMark/>
          </w:tcPr>
          <w:p w14:paraId="467EA06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1,464.3</w:t>
            </w:r>
          </w:p>
        </w:tc>
        <w:tc>
          <w:tcPr>
            <w:tcW w:w="1325" w:type="dxa"/>
            <w:shd w:val="clear" w:color="auto" w:fill="C6D9F1" w:themeFill="text2" w:themeFillTint="33"/>
            <w:noWrap/>
            <w:vAlign w:val="center"/>
            <w:hideMark/>
          </w:tcPr>
          <w:p w14:paraId="02DB93C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1,385.2</w:t>
            </w:r>
          </w:p>
        </w:tc>
        <w:tc>
          <w:tcPr>
            <w:tcW w:w="1324" w:type="dxa"/>
            <w:shd w:val="clear" w:color="auto" w:fill="C6D9F1" w:themeFill="text2" w:themeFillTint="33"/>
            <w:noWrap/>
            <w:vAlign w:val="center"/>
            <w:hideMark/>
          </w:tcPr>
          <w:p w14:paraId="3CC16B19"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1,581.0</w:t>
            </w:r>
          </w:p>
        </w:tc>
        <w:tc>
          <w:tcPr>
            <w:tcW w:w="1337" w:type="dxa"/>
            <w:shd w:val="clear" w:color="auto" w:fill="C6D9F1" w:themeFill="text2" w:themeFillTint="33"/>
            <w:noWrap/>
            <w:vAlign w:val="center"/>
            <w:hideMark/>
          </w:tcPr>
          <w:p w14:paraId="63367932" w14:textId="77777777" w:rsidR="00AE2A75" w:rsidRPr="00A83C94" w:rsidRDefault="00AE2A75" w:rsidP="001D3173">
            <w:pPr>
              <w:spacing w:before="0" w:line="276" w:lineRule="auto"/>
              <w:ind w:firstLine="0"/>
              <w:contextualSpacing w:val="0"/>
              <w:jc w:val="center"/>
              <w:rPr>
                <w:rFonts w:cs="Calibri"/>
                <w:b w:val="0"/>
                <w:color w:val="000000"/>
                <w:sz w:val="20"/>
                <w:szCs w:val="20"/>
                <w:lang w:eastAsia="en-US"/>
              </w:rPr>
            </w:pPr>
            <w:r w:rsidRPr="00A83C94">
              <w:rPr>
                <w:rFonts w:cs="Calibri"/>
                <w:b w:val="0"/>
                <w:color w:val="000000"/>
                <w:sz w:val="20"/>
                <w:szCs w:val="20"/>
                <w:lang w:eastAsia="en-US"/>
              </w:rPr>
              <w:t>1,843,8</w:t>
            </w:r>
          </w:p>
        </w:tc>
      </w:tr>
      <w:tr w:rsidR="00AE2A75" w:rsidRPr="00A83C94" w14:paraId="32F16A2D" w14:textId="77777777" w:rsidTr="001D3173">
        <w:trPr>
          <w:trHeight w:val="690"/>
        </w:trPr>
        <w:tc>
          <w:tcPr>
            <w:tcW w:w="2841" w:type="dxa"/>
            <w:shd w:val="clear" w:color="auto" w:fill="auto"/>
            <w:vAlign w:val="center"/>
            <w:hideMark/>
          </w:tcPr>
          <w:p w14:paraId="5D55719C" w14:textId="77777777" w:rsidR="00AE2A75" w:rsidRPr="00A83C94" w:rsidRDefault="00AE2A75" w:rsidP="001D3173">
            <w:pPr>
              <w:spacing w:before="0" w:line="276" w:lineRule="auto"/>
              <w:ind w:firstLine="0"/>
              <w:contextualSpacing w:val="0"/>
              <w:jc w:val="left"/>
              <w:rPr>
                <w:b w:val="0"/>
                <w:bCs/>
                <w:color w:val="000000"/>
                <w:sz w:val="20"/>
                <w:szCs w:val="20"/>
                <w:lang w:eastAsia="en-US"/>
              </w:rPr>
            </w:pPr>
            <w:r w:rsidRPr="00A83C94">
              <w:rPr>
                <w:b w:val="0"/>
                <w:b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w:t>
            </w:r>
            <w:r w:rsidRPr="00A83C94">
              <w:rPr>
                <w:b w:val="0"/>
                <w:bCs/>
                <w:color w:val="000000"/>
                <w:sz w:val="20"/>
                <w:szCs w:val="20"/>
                <w:lang w:eastAsia="en-US"/>
              </w:rPr>
              <w:t xml:space="preserve"> </w:t>
            </w:r>
          </w:p>
        </w:tc>
        <w:tc>
          <w:tcPr>
            <w:tcW w:w="1204" w:type="dxa"/>
            <w:shd w:val="clear" w:color="auto" w:fill="auto"/>
            <w:noWrap/>
            <w:vAlign w:val="bottom"/>
            <w:hideMark/>
          </w:tcPr>
          <w:p w14:paraId="31F4431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20.9%</w:t>
            </w:r>
          </w:p>
        </w:tc>
        <w:tc>
          <w:tcPr>
            <w:tcW w:w="1324" w:type="dxa"/>
            <w:shd w:val="clear" w:color="auto" w:fill="auto"/>
            <w:noWrap/>
            <w:vAlign w:val="bottom"/>
            <w:hideMark/>
          </w:tcPr>
          <w:p w14:paraId="02BEA5E5"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22.4%</w:t>
            </w:r>
          </w:p>
        </w:tc>
        <w:tc>
          <w:tcPr>
            <w:tcW w:w="1325" w:type="dxa"/>
            <w:shd w:val="clear" w:color="auto" w:fill="auto"/>
            <w:noWrap/>
            <w:vAlign w:val="bottom"/>
            <w:hideMark/>
          </w:tcPr>
          <w:p w14:paraId="66EF022E"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22.4%</w:t>
            </w:r>
          </w:p>
        </w:tc>
        <w:tc>
          <w:tcPr>
            <w:tcW w:w="1324" w:type="dxa"/>
            <w:shd w:val="clear" w:color="auto" w:fill="auto"/>
            <w:noWrap/>
            <w:vAlign w:val="bottom"/>
            <w:hideMark/>
          </w:tcPr>
          <w:p w14:paraId="7A337D32"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22.5%</w:t>
            </w:r>
          </w:p>
        </w:tc>
        <w:tc>
          <w:tcPr>
            <w:tcW w:w="1337" w:type="dxa"/>
            <w:shd w:val="clear" w:color="auto" w:fill="auto"/>
            <w:noWrap/>
            <w:vAlign w:val="bottom"/>
            <w:hideMark/>
          </w:tcPr>
          <w:p w14:paraId="2456D9E2"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23,4</w:t>
            </w:r>
            <w:r w:rsidRPr="00A83C94">
              <w:rPr>
                <w:rFonts w:cs="Calibri"/>
                <w:b w:val="0"/>
                <w:color w:val="000000"/>
                <w:sz w:val="20"/>
                <w:szCs w:val="20"/>
                <w:lang w:val="en-US" w:eastAsia="en-US"/>
              </w:rPr>
              <w:t>%</w:t>
            </w:r>
          </w:p>
        </w:tc>
      </w:tr>
      <w:tr w:rsidR="00AE2A75" w:rsidRPr="00A83C94" w14:paraId="1DF6873A" w14:textId="77777777" w:rsidTr="001D3173">
        <w:trPr>
          <w:trHeight w:val="735"/>
        </w:trPr>
        <w:tc>
          <w:tcPr>
            <w:tcW w:w="2841" w:type="dxa"/>
            <w:shd w:val="clear" w:color="auto" w:fill="C6D9F1" w:themeFill="text2" w:themeFillTint="33"/>
            <w:vAlign w:val="center"/>
            <w:hideMark/>
          </w:tcPr>
          <w:p w14:paraId="7283073A" w14:textId="77777777" w:rsidR="00AE2A75" w:rsidRPr="00A83C94" w:rsidRDefault="00AE2A75" w:rsidP="001D3173">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w:t>
            </w:r>
            <w:r w:rsidRPr="00A83C94">
              <w:rPr>
                <w:b w:val="0"/>
                <w:i/>
                <w:iCs/>
                <w:color w:val="000000"/>
                <w:sz w:val="20"/>
                <w:szCs w:val="20"/>
                <w:lang w:val="en-US" w:eastAsia="en-US"/>
              </w:rPr>
              <w:t>տոկոսով ընդհանուրի նկատմամբ</w:t>
            </w:r>
            <w:r w:rsidRPr="00A83C94">
              <w:rPr>
                <w:b w:val="0"/>
                <w:bCs/>
                <w:color w:val="000000"/>
                <w:sz w:val="20"/>
                <w:szCs w:val="20"/>
                <w:lang w:val="en-US" w:eastAsia="en-US"/>
              </w:rPr>
              <w:t xml:space="preserve"> </w:t>
            </w:r>
          </w:p>
        </w:tc>
        <w:tc>
          <w:tcPr>
            <w:tcW w:w="1204" w:type="dxa"/>
            <w:shd w:val="clear" w:color="auto" w:fill="C6D9F1" w:themeFill="text2" w:themeFillTint="33"/>
            <w:noWrap/>
            <w:vAlign w:val="bottom"/>
            <w:hideMark/>
          </w:tcPr>
          <w:p w14:paraId="27B935D5"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93.8%</w:t>
            </w:r>
          </w:p>
        </w:tc>
        <w:tc>
          <w:tcPr>
            <w:tcW w:w="1324" w:type="dxa"/>
            <w:shd w:val="clear" w:color="auto" w:fill="C6D9F1" w:themeFill="text2" w:themeFillTint="33"/>
            <w:noWrap/>
            <w:vAlign w:val="bottom"/>
            <w:hideMark/>
          </w:tcPr>
          <w:p w14:paraId="0752E64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93.5%</w:t>
            </w:r>
          </w:p>
        </w:tc>
        <w:tc>
          <w:tcPr>
            <w:tcW w:w="1325" w:type="dxa"/>
            <w:shd w:val="clear" w:color="auto" w:fill="C6D9F1" w:themeFill="text2" w:themeFillTint="33"/>
            <w:noWrap/>
            <w:vAlign w:val="bottom"/>
            <w:hideMark/>
          </w:tcPr>
          <w:p w14:paraId="1259DB1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88.8%</w:t>
            </w:r>
          </w:p>
        </w:tc>
        <w:tc>
          <w:tcPr>
            <w:tcW w:w="1324" w:type="dxa"/>
            <w:shd w:val="clear" w:color="auto" w:fill="C6D9F1" w:themeFill="text2" w:themeFillTint="33"/>
            <w:noWrap/>
            <w:vAlign w:val="bottom"/>
            <w:hideMark/>
          </w:tcPr>
          <w:p w14:paraId="1C37916C"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95.4%</w:t>
            </w:r>
          </w:p>
        </w:tc>
        <w:tc>
          <w:tcPr>
            <w:tcW w:w="1337" w:type="dxa"/>
            <w:shd w:val="clear" w:color="auto" w:fill="C6D9F1" w:themeFill="text2" w:themeFillTint="33"/>
            <w:noWrap/>
            <w:vAlign w:val="bottom"/>
            <w:hideMark/>
          </w:tcPr>
          <w:p w14:paraId="1AD2A45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94.7%</w:t>
            </w:r>
          </w:p>
        </w:tc>
      </w:tr>
      <w:tr w:rsidR="00AE2A75" w:rsidRPr="00A83C94" w14:paraId="21C9904A" w14:textId="77777777" w:rsidTr="001D3173">
        <w:trPr>
          <w:trHeight w:val="510"/>
        </w:trPr>
        <w:tc>
          <w:tcPr>
            <w:tcW w:w="2841" w:type="dxa"/>
            <w:shd w:val="clear" w:color="auto" w:fill="auto"/>
            <w:vAlign w:val="center"/>
            <w:hideMark/>
          </w:tcPr>
          <w:p w14:paraId="15AE80B5" w14:textId="77777777" w:rsidR="00AE2A75" w:rsidRPr="00A83C94" w:rsidRDefault="00AE2A75" w:rsidP="001D3173">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2. Այլ եկամուտներ </w:t>
            </w:r>
          </w:p>
        </w:tc>
        <w:tc>
          <w:tcPr>
            <w:tcW w:w="1204" w:type="dxa"/>
            <w:shd w:val="clear" w:color="auto" w:fill="auto"/>
            <w:noWrap/>
            <w:vAlign w:val="center"/>
            <w:hideMark/>
          </w:tcPr>
          <w:p w14:paraId="628C61E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72.3</w:t>
            </w:r>
          </w:p>
        </w:tc>
        <w:tc>
          <w:tcPr>
            <w:tcW w:w="1324" w:type="dxa"/>
            <w:shd w:val="clear" w:color="auto" w:fill="auto"/>
            <w:noWrap/>
            <w:vAlign w:val="center"/>
            <w:hideMark/>
          </w:tcPr>
          <w:p w14:paraId="3E9536C2"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88.8</w:t>
            </w:r>
          </w:p>
        </w:tc>
        <w:tc>
          <w:tcPr>
            <w:tcW w:w="1325" w:type="dxa"/>
            <w:shd w:val="clear" w:color="auto" w:fill="auto"/>
            <w:noWrap/>
            <w:vAlign w:val="center"/>
            <w:hideMark/>
          </w:tcPr>
          <w:p w14:paraId="7D6287C4"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122.2</w:t>
            </w:r>
          </w:p>
        </w:tc>
        <w:tc>
          <w:tcPr>
            <w:tcW w:w="1324" w:type="dxa"/>
            <w:shd w:val="clear" w:color="auto" w:fill="auto"/>
            <w:noWrap/>
            <w:vAlign w:val="center"/>
            <w:hideMark/>
          </w:tcPr>
          <w:p w14:paraId="47FF5B7F"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52.0</w:t>
            </w:r>
          </w:p>
        </w:tc>
        <w:tc>
          <w:tcPr>
            <w:tcW w:w="1337" w:type="dxa"/>
            <w:shd w:val="clear" w:color="auto" w:fill="auto"/>
            <w:noWrap/>
            <w:vAlign w:val="center"/>
            <w:hideMark/>
          </w:tcPr>
          <w:p w14:paraId="2A65E33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62.1</w:t>
            </w:r>
          </w:p>
        </w:tc>
      </w:tr>
      <w:tr w:rsidR="00AE2A75" w:rsidRPr="00A83C94" w14:paraId="259F16DA" w14:textId="77777777" w:rsidTr="001D3173">
        <w:trPr>
          <w:trHeight w:val="690"/>
        </w:trPr>
        <w:tc>
          <w:tcPr>
            <w:tcW w:w="2841" w:type="dxa"/>
            <w:shd w:val="clear" w:color="auto" w:fill="C6D9F1" w:themeFill="text2" w:themeFillTint="33"/>
            <w:vAlign w:val="center"/>
            <w:hideMark/>
          </w:tcPr>
          <w:p w14:paraId="4CB13748" w14:textId="77777777" w:rsidR="00AE2A75" w:rsidRPr="00A83C94" w:rsidRDefault="00AE2A75" w:rsidP="001D3173">
            <w:pPr>
              <w:spacing w:before="0" w:line="276" w:lineRule="auto"/>
              <w:ind w:firstLine="0"/>
              <w:contextualSpacing w:val="0"/>
              <w:jc w:val="left"/>
              <w:rPr>
                <w:b w:val="0"/>
                <w:i/>
                <w:iCs/>
                <w:color w:val="000000"/>
                <w:sz w:val="20"/>
                <w:szCs w:val="20"/>
                <w:lang w:eastAsia="en-US"/>
              </w:rPr>
            </w:pPr>
            <w:r w:rsidRPr="00A83C94">
              <w:rPr>
                <w:b w:val="0"/>
                <w:i/>
                <w:i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 xml:space="preserve">) </w:t>
            </w:r>
          </w:p>
        </w:tc>
        <w:tc>
          <w:tcPr>
            <w:tcW w:w="1204" w:type="dxa"/>
            <w:shd w:val="clear" w:color="auto" w:fill="C6D9F1" w:themeFill="text2" w:themeFillTint="33"/>
            <w:noWrap/>
            <w:vAlign w:val="bottom"/>
            <w:hideMark/>
          </w:tcPr>
          <w:p w14:paraId="45A29B2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w:t>
            </w:r>
          </w:p>
        </w:tc>
        <w:tc>
          <w:tcPr>
            <w:tcW w:w="1324" w:type="dxa"/>
            <w:shd w:val="clear" w:color="auto" w:fill="C6D9F1" w:themeFill="text2" w:themeFillTint="33"/>
            <w:noWrap/>
            <w:vAlign w:val="bottom"/>
            <w:hideMark/>
          </w:tcPr>
          <w:p w14:paraId="0A27D4E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1.4%</w:t>
            </w:r>
          </w:p>
        </w:tc>
        <w:tc>
          <w:tcPr>
            <w:tcW w:w="1325" w:type="dxa"/>
            <w:shd w:val="clear" w:color="auto" w:fill="C6D9F1" w:themeFill="text2" w:themeFillTint="33"/>
            <w:noWrap/>
            <w:vAlign w:val="bottom"/>
            <w:hideMark/>
          </w:tcPr>
          <w:p w14:paraId="351F8DA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2.0%</w:t>
            </w:r>
          </w:p>
        </w:tc>
        <w:tc>
          <w:tcPr>
            <w:tcW w:w="1324" w:type="dxa"/>
            <w:shd w:val="clear" w:color="auto" w:fill="C6D9F1" w:themeFill="text2" w:themeFillTint="33"/>
            <w:noWrap/>
            <w:vAlign w:val="bottom"/>
            <w:hideMark/>
          </w:tcPr>
          <w:p w14:paraId="168A943E"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0.7%</w:t>
            </w:r>
          </w:p>
        </w:tc>
        <w:tc>
          <w:tcPr>
            <w:tcW w:w="1337" w:type="dxa"/>
            <w:shd w:val="clear" w:color="auto" w:fill="C6D9F1" w:themeFill="text2" w:themeFillTint="33"/>
            <w:noWrap/>
            <w:vAlign w:val="bottom"/>
            <w:hideMark/>
          </w:tcPr>
          <w:p w14:paraId="5D65CE1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0.8%</w:t>
            </w:r>
          </w:p>
        </w:tc>
      </w:tr>
      <w:tr w:rsidR="00AE2A75" w:rsidRPr="00A83C94" w14:paraId="4B2C0B9E" w14:textId="77777777" w:rsidTr="001D3173">
        <w:trPr>
          <w:trHeight w:val="975"/>
        </w:trPr>
        <w:tc>
          <w:tcPr>
            <w:tcW w:w="2841" w:type="dxa"/>
            <w:shd w:val="clear" w:color="auto" w:fill="auto"/>
            <w:vAlign w:val="center"/>
            <w:hideMark/>
          </w:tcPr>
          <w:p w14:paraId="633C7745" w14:textId="77777777" w:rsidR="00AE2A75" w:rsidRPr="00A83C94" w:rsidRDefault="00AE2A75" w:rsidP="001D3173">
            <w:pPr>
              <w:spacing w:before="0" w:line="276" w:lineRule="auto"/>
              <w:ind w:firstLine="0"/>
              <w:contextualSpacing w:val="0"/>
              <w:jc w:val="left"/>
              <w:rPr>
                <w:b w:val="0"/>
                <w:i/>
                <w:iCs/>
                <w:color w:val="000000"/>
                <w:sz w:val="20"/>
                <w:szCs w:val="20"/>
                <w:lang w:val="en-US" w:eastAsia="en-US"/>
              </w:rPr>
            </w:pPr>
            <w:r w:rsidRPr="00A83C94">
              <w:rPr>
                <w:b w:val="0"/>
                <w:i/>
                <w:iCs/>
                <w:color w:val="000000"/>
                <w:sz w:val="20"/>
                <w:szCs w:val="20"/>
                <w:lang w:val="en-US" w:eastAsia="en-US"/>
              </w:rPr>
              <w:t xml:space="preserve"> տոկոսով ընդհանուրի նկատմամբ </w:t>
            </w:r>
          </w:p>
        </w:tc>
        <w:tc>
          <w:tcPr>
            <w:tcW w:w="1204" w:type="dxa"/>
            <w:shd w:val="clear" w:color="auto" w:fill="auto"/>
            <w:noWrap/>
            <w:vAlign w:val="bottom"/>
            <w:hideMark/>
          </w:tcPr>
          <w:p w14:paraId="21B8763F"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5.4%</w:t>
            </w:r>
          </w:p>
        </w:tc>
        <w:tc>
          <w:tcPr>
            <w:tcW w:w="1324" w:type="dxa"/>
            <w:shd w:val="clear" w:color="auto" w:fill="auto"/>
            <w:noWrap/>
            <w:vAlign w:val="bottom"/>
            <w:hideMark/>
          </w:tcPr>
          <w:p w14:paraId="3C9D231B"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5.7%</w:t>
            </w:r>
          </w:p>
        </w:tc>
        <w:tc>
          <w:tcPr>
            <w:tcW w:w="1325" w:type="dxa"/>
            <w:shd w:val="clear" w:color="auto" w:fill="auto"/>
            <w:noWrap/>
            <w:vAlign w:val="bottom"/>
            <w:hideMark/>
          </w:tcPr>
          <w:p w14:paraId="7358A2F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7.8%</w:t>
            </w:r>
          </w:p>
        </w:tc>
        <w:tc>
          <w:tcPr>
            <w:tcW w:w="1324" w:type="dxa"/>
            <w:shd w:val="clear" w:color="auto" w:fill="auto"/>
            <w:noWrap/>
            <w:vAlign w:val="bottom"/>
            <w:hideMark/>
          </w:tcPr>
          <w:p w14:paraId="2A6FD31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3.1%</w:t>
            </w:r>
          </w:p>
        </w:tc>
        <w:tc>
          <w:tcPr>
            <w:tcW w:w="1337" w:type="dxa"/>
            <w:shd w:val="clear" w:color="auto" w:fill="auto"/>
            <w:noWrap/>
            <w:vAlign w:val="bottom"/>
            <w:hideMark/>
          </w:tcPr>
          <w:p w14:paraId="1F02D82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3.2%</w:t>
            </w:r>
          </w:p>
        </w:tc>
      </w:tr>
      <w:tr w:rsidR="00AE2A75" w:rsidRPr="00A83C94" w14:paraId="02D01D0A" w14:textId="77777777" w:rsidTr="001D3173">
        <w:trPr>
          <w:trHeight w:val="825"/>
        </w:trPr>
        <w:tc>
          <w:tcPr>
            <w:tcW w:w="2841" w:type="dxa"/>
            <w:shd w:val="clear" w:color="auto" w:fill="C6D9F1" w:themeFill="text2" w:themeFillTint="33"/>
            <w:vAlign w:val="center"/>
            <w:hideMark/>
          </w:tcPr>
          <w:p w14:paraId="73C67AFF" w14:textId="77777777" w:rsidR="00AE2A75" w:rsidRPr="00A83C94" w:rsidRDefault="00AE2A75" w:rsidP="001D3173">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3. Պաշտոնական դրամաշնորհներ </w:t>
            </w:r>
          </w:p>
        </w:tc>
        <w:tc>
          <w:tcPr>
            <w:tcW w:w="1204" w:type="dxa"/>
            <w:shd w:val="clear" w:color="auto" w:fill="C6D9F1" w:themeFill="text2" w:themeFillTint="33"/>
            <w:noWrap/>
            <w:vAlign w:val="center"/>
            <w:hideMark/>
          </w:tcPr>
          <w:p w14:paraId="2069773C"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11.2</w:t>
            </w:r>
          </w:p>
        </w:tc>
        <w:tc>
          <w:tcPr>
            <w:tcW w:w="1324" w:type="dxa"/>
            <w:shd w:val="clear" w:color="auto" w:fill="C6D9F1" w:themeFill="text2" w:themeFillTint="33"/>
            <w:noWrap/>
            <w:vAlign w:val="center"/>
            <w:hideMark/>
          </w:tcPr>
          <w:p w14:paraId="090FF02C"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12.4</w:t>
            </w:r>
          </w:p>
        </w:tc>
        <w:tc>
          <w:tcPr>
            <w:tcW w:w="1325" w:type="dxa"/>
            <w:shd w:val="clear" w:color="auto" w:fill="C6D9F1" w:themeFill="text2" w:themeFillTint="33"/>
            <w:noWrap/>
            <w:vAlign w:val="center"/>
            <w:hideMark/>
          </w:tcPr>
          <w:p w14:paraId="437D846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53.2</w:t>
            </w:r>
          </w:p>
        </w:tc>
        <w:tc>
          <w:tcPr>
            <w:tcW w:w="1324" w:type="dxa"/>
            <w:shd w:val="clear" w:color="auto" w:fill="C6D9F1" w:themeFill="text2" w:themeFillTint="33"/>
            <w:noWrap/>
            <w:vAlign w:val="center"/>
            <w:hideMark/>
          </w:tcPr>
          <w:p w14:paraId="414C4026"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23.9</w:t>
            </w:r>
          </w:p>
        </w:tc>
        <w:tc>
          <w:tcPr>
            <w:tcW w:w="1337" w:type="dxa"/>
            <w:shd w:val="clear" w:color="auto" w:fill="C6D9F1" w:themeFill="text2" w:themeFillTint="33"/>
            <w:noWrap/>
            <w:vAlign w:val="center"/>
            <w:hideMark/>
          </w:tcPr>
          <w:p w14:paraId="2545D383" w14:textId="77777777" w:rsidR="00AE2A75" w:rsidRPr="00A83C94" w:rsidRDefault="00AE2A75" w:rsidP="001D3173">
            <w:pPr>
              <w:spacing w:before="0" w:line="276" w:lineRule="auto"/>
              <w:ind w:firstLine="0"/>
              <w:contextualSpacing w:val="0"/>
              <w:jc w:val="center"/>
              <w:rPr>
                <w:rFonts w:cs="Calibri"/>
                <w:b w:val="0"/>
                <w:color w:val="000000"/>
                <w:sz w:val="20"/>
                <w:szCs w:val="20"/>
                <w:lang w:eastAsia="en-US"/>
              </w:rPr>
            </w:pPr>
            <w:r w:rsidRPr="00A83C94">
              <w:rPr>
                <w:rFonts w:cs="Calibri"/>
                <w:b w:val="0"/>
                <w:color w:val="000000"/>
                <w:sz w:val="20"/>
                <w:szCs w:val="20"/>
                <w:lang w:val="en-US" w:eastAsia="en-US"/>
              </w:rPr>
              <w:t>40.3</w:t>
            </w:r>
          </w:p>
        </w:tc>
      </w:tr>
      <w:tr w:rsidR="00AE2A75" w:rsidRPr="00A83C94" w14:paraId="281148A4" w14:textId="77777777" w:rsidTr="001D3173">
        <w:trPr>
          <w:trHeight w:val="690"/>
        </w:trPr>
        <w:tc>
          <w:tcPr>
            <w:tcW w:w="2841" w:type="dxa"/>
            <w:shd w:val="clear" w:color="auto" w:fill="auto"/>
            <w:vAlign w:val="center"/>
            <w:hideMark/>
          </w:tcPr>
          <w:p w14:paraId="04F6B0F3" w14:textId="77777777" w:rsidR="00AE2A75" w:rsidRPr="00A83C94" w:rsidRDefault="00AE2A75" w:rsidP="001D3173">
            <w:pPr>
              <w:spacing w:before="0" w:line="276" w:lineRule="auto"/>
              <w:ind w:firstLine="0"/>
              <w:contextualSpacing w:val="0"/>
              <w:jc w:val="left"/>
              <w:rPr>
                <w:b w:val="0"/>
                <w:i/>
                <w:iCs/>
                <w:color w:val="000000"/>
                <w:sz w:val="20"/>
                <w:szCs w:val="20"/>
                <w:lang w:eastAsia="en-US"/>
              </w:rPr>
            </w:pPr>
            <w:r w:rsidRPr="00A83C94">
              <w:rPr>
                <w:b w:val="0"/>
                <w:i/>
                <w:i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 xml:space="preserve">) </w:t>
            </w:r>
          </w:p>
        </w:tc>
        <w:tc>
          <w:tcPr>
            <w:tcW w:w="1204" w:type="dxa"/>
            <w:shd w:val="clear" w:color="auto" w:fill="auto"/>
            <w:noWrap/>
            <w:vAlign w:val="bottom"/>
            <w:hideMark/>
          </w:tcPr>
          <w:p w14:paraId="06EF031F"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0.2%</w:t>
            </w:r>
          </w:p>
        </w:tc>
        <w:tc>
          <w:tcPr>
            <w:tcW w:w="1324" w:type="dxa"/>
            <w:shd w:val="clear" w:color="auto" w:fill="auto"/>
            <w:noWrap/>
            <w:vAlign w:val="bottom"/>
            <w:hideMark/>
          </w:tcPr>
          <w:p w14:paraId="1A576025"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0.2%</w:t>
            </w:r>
          </w:p>
        </w:tc>
        <w:tc>
          <w:tcPr>
            <w:tcW w:w="1325" w:type="dxa"/>
            <w:shd w:val="clear" w:color="auto" w:fill="auto"/>
            <w:noWrap/>
            <w:vAlign w:val="bottom"/>
            <w:hideMark/>
          </w:tcPr>
          <w:p w14:paraId="2510364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0.9%</w:t>
            </w:r>
          </w:p>
        </w:tc>
        <w:tc>
          <w:tcPr>
            <w:tcW w:w="1324" w:type="dxa"/>
            <w:shd w:val="clear" w:color="auto" w:fill="auto"/>
            <w:noWrap/>
            <w:vAlign w:val="bottom"/>
            <w:hideMark/>
          </w:tcPr>
          <w:p w14:paraId="79FDFAC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0.3%</w:t>
            </w:r>
          </w:p>
        </w:tc>
        <w:tc>
          <w:tcPr>
            <w:tcW w:w="1337" w:type="dxa"/>
            <w:shd w:val="clear" w:color="auto" w:fill="auto"/>
            <w:noWrap/>
            <w:vAlign w:val="bottom"/>
            <w:hideMark/>
          </w:tcPr>
          <w:p w14:paraId="1F8ABA14"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0.5%</w:t>
            </w:r>
          </w:p>
        </w:tc>
      </w:tr>
      <w:tr w:rsidR="00AE2A75" w:rsidRPr="00A83C94" w14:paraId="03C092FF" w14:textId="77777777" w:rsidTr="001D3173">
        <w:trPr>
          <w:trHeight w:val="585"/>
        </w:trPr>
        <w:tc>
          <w:tcPr>
            <w:tcW w:w="2841" w:type="dxa"/>
            <w:shd w:val="clear" w:color="auto" w:fill="C6D9F1" w:themeFill="text2" w:themeFillTint="33"/>
            <w:vAlign w:val="center"/>
            <w:hideMark/>
          </w:tcPr>
          <w:p w14:paraId="3A1C77F9" w14:textId="77777777" w:rsidR="00AE2A75" w:rsidRPr="00A83C94" w:rsidRDefault="00AE2A75" w:rsidP="001D3173">
            <w:pPr>
              <w:spacing w:before="0" w:line="276" w:lineRule="auto"/>
              <w:ind w:firstLine="0"/>
              <w:contextualSpacing w:val="0"/>
              <w:jc w:val="left"/>
              <w:rPr>
                <w:b w:val="0"/>
                <w:i/>
                <w:iCs/>
                <w:color w:val="000000"/>
                <w:sz w:val="20"/>
                <w:szCs w:val="20"/>
                <w:lang w:val="en-US" w:eastAsia="en-US"/>
              </w:rPr>
            </w:pPr>
            <w:r w:rsidRPr="00A83C94">
              <w:rPr>
                <w:b w:val="0"/>
                <w:i/>
                <w:iCs/>
                <w:color w:val="000000"/>
                <w:sz w:val="20"/>
                <w:szCs w:val="20"/>
                <w:lang w:val="en-US" w:eastAsia="en-US"/>
              </w:rPr>
              <w:t xml:space="preserve"> տոկոսով ընդհանուրի նկատմամբ </w:t>
            </w:r>
          </w:p>
        </w:tc>
        <w:tc>
          <w:tcPr>
            <w:tcW w:w="1204" w:type="dxa"/>
            <w:shd w:val="clear" w:color="auto" w:fill="C6D9F1" w:themeFill="text2" w:themeFillTint="33"/>
            <w:noWrap/>
            <w:vAlign w:val="bottom"/>
            <w:hideMark/>
          </w:tcPr>
          <w:p w14:paraId="71334E5E"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0.8%</w:t>
            </w:r>
          </w:p>
        </w:tc>
        <w:tc>
          <w:tcPr>
            <w:tcW w:w="1324" w:type="dxa"/>
            <w:shd w:val="clear" w:color="auto" w:fill="C6D9F1" w:themeFill="text2" w:themeFillTint="33"/>
            <w:noWrap/>
            <w:vAlign w:val="bottom"/>
            <w:hideMark/>
          </w:tcPr>
          <w:p w14:paraId="58524DDB"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0.8%</w:t>
            </w:r>
          </w:p>
        </w:tc>
        <w:tc>
          <w:tcPr>
            <w:tcW w:w="1325" w:type="dxa"/>
            <w:shd w:val="clear" w:color="auto" w:fill="C6D9F1" w:themeFill="text2" w:themeFillTint="33"/>
            <w:noWrap/>
            <w:vAlign w:val="bottom"/>
            <w:hideMark/>
          </w:tcPr>
          <w:p w14:paraId="68819F0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3.4%</w:t>
            </w:r>
          </w:p>
        </w:tc>
        <w:tc>
          <w:tcPr>
            <w:tcW w:w="1324" w:type="dxa"/>
            <w:shd w:val="clear" w:color="auto" w:fill="C6D9F1" w:themeFill="text2" w:themeFillTint="33"/>
            <w:noWrap/>
            <w:vAlign w:val="bottom"/>
            <w:hideMark/>
          </w:tcPr>
          <w:p w14:paraId="4FBDB80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1.4%</w:t>
            </w:r>
          </w:p>
        </w:tc>
        <w:tc>
          <w:tcPr>
            <w:tcW w:w="1337" w:type="dxa"/>
            <w:shd w:val="clear" w:color="auto" w:fill="C6D9F1" w:themeFill="text2" w:themeFillTint="33"/>
            <w:noWrap/>
            <w:vAlign w:val="bottom"/>
            <w:hideMark/>
          </w:tcPr>
          <w:p w14:paraId="3C4A26D5"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1.8%</w:t>
            </w:r>
          </w:p>
        </w:tc>
      </w:tr>
    </w:tbl>
    <w:p w14:paraId="0DD3FD68" w14:textId="77777777" w:rsidR="00AE2A75" w:rsidRPr="00A83C94" w:rsidRDefault="00AE2A75" w:rsidP="00AE2A75">
      <w:pPr>
        <w:spacing w:before="0" w:line="276" w:lineRule="auto"/>
        <w:ind w:firstLine="562"/>
        <w:contextualSpacing w:val="0"/>
        <w:rPr>
          <w:rFonts w:cs="Sylfaen"/>
          <w:b w:val="0"/>
          <w:iCs/>
          <w:szCs w:val="22"/>
          <w:lang w:val="fr-FR" w:eastAsia="en-GB"/>
        </w:rPr>
      </w:pPr>
    </w:p>
    <w:p w14:paraId="18AD3E2C" w14:textId="77777777" w:rsidR="00AE2A75" w:rsidRPr="00A83C94" w:rsidRDefault="00AE2A75" w:rsidP="00AE2A75">
      <w:pPr>
        <w:spacing w:before="0" w:line="276" w:lineRule="auto"/>
        <w:ind w:firstLine="562"/>
        <w:contextualSpacing w:val="0"/>
        <w:rPr>
          <w:rFonts w:ascii="Calibri" w:hAnsi="Calibri" w:cs="Sylfaen"/>
          <w:b w:val="0"/>
          <w:iCs/>
          <w:szCs w:val="22"/>
          <w:lang w:val="af-ZA" w:eastAsia="en-GB"/>
        </w:rPr>
      </w:pPr>
      <w:r w:rsidRPr="00A83C94">
        <w:rPr>
          <w:rFonts w:cs="Sylfaen"/>
          <w:b w:val="0"/>
          <w:iCs/>
          <w:szCs w:val="22"/>
          <w:lang w:val="af-ZA" w:eastAsia="en-GB"/>
        </w:rPr>
        <w:t>ՀՀ 2022 թվականի պետական բյուջեի եկամուտները ծրագրելիս օգտագործվել են այն մակ</w:t>
      </w:r>
      <w:r w:rsidRPr="00A83C94">
        <w:rPr>
          <w:rFonts w:cs="Sylfaen"/>
          <w:b w:val="0"/>
          <w:iCs/>
          <w:szCs w:val="22"/>
          <w:lang w:val="af-ZA" w:eastAsia="en-GB"/>
        </w:rPr>
        <w:softHyphen/>
        <w:t>րո</w:t>
      </w:r>
      <w:r w:rsidRPr="00A83C94">
        <w:rPr>
          <w:rFonts w:cs="Sylfaen"/>
          <w:b w:val="0"/>
          <w:iCs/>
          <w:szCs w:val="22"/>
          <w:lang w:val="af-ZA" w:eastAsia="en-GB"/>
        </w:rPr>
        <w:softHyphen/>
      </w:r>
      <w:r w:rsidRPr="00A83C94">
        <w:rPr>
          <w:rFonts w:cs="Sylfaen"/>
          <w:b w:val="0"/>
          <w:iCs/>
          <w:szCs w:val="22"/>
          <w:lang w:val="af-ZA" w:eastAsia="en-GB"/>
        </w:rPr>
        <w:softHyphen/>
        <w:t>տնտեսական ցուցանիշների կանխատեսումները, որոնք էական ազդեցություն ունեն ա</w:t>
      </w:r>
      <w:r w:rsidRPr="00A83C94">
        <w:rPr>
          <w:rFonts w:cs="Sylfaen"/>
          <w:b w:val="0"/>
          <w:iCs/>
          <w:szCs w:val="22"/>
          <w:lang w:val="af-ZA" w:eastAsia="en-GB"/>
        </w:rPr>
        <w:softHyphen/>
        <w:t>ռան</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ձին եկամտա</w:t>
      </w:r>
      <w:r w:rsidRPr="00A83C94">
        <w:rPr>
          <w:rFonts w:cs="Sylfaen"/>
          <w:b w:val="0"/>
          <w:iCs/>
          <w:szCs w:val="22"/>
          <w:lang w:val="af-ZA" w:eastAsia="en-GB"/>
        </w:rPr>
        <w:softHyphen/>
        <w:t>տե</w:t>
      </w:r>
      <w:r w:rsidRPr="00A83C94">
        <w:rPr>
          <w:rFonts w:cs="Sylfaen"/>
          <w:b w:val="0"/>
          <w:iCs/>
          <w:szCs w:val="22"/>
          <w:lang w:val="af-ZA" w:eastAsia="en-GB"/>
        </w:rPr>
        <w:softHyphen/>
        <w:t>սակ</w:t>
      </w:r>
      <w:r w:rsidRPr="00A83C94">
        <w:rPr>
          <w:rFonts w:cs="Sylfaen"/>
          <w:b w:val="0"/>
          <w:iCs/>
          <w:szCs w:val="22"/>
          <w:lang w:val="af-ZA" w:eastAsia="en-GB"/>
        </w:rPr>
        <w:softHyphen/>
      </w:r>
      <w:r w:rsidRPr="00A83C94">
        <w:rPr>
          <w:rFonts w:cs="Sylfaen"/>
          <w:b w:val="0"/>
          <w:iCs/>
          <w:szCs w:val="22"/>
          <w:lang w:val="af-ZA" w:eastAsia="en-GB"/>
        </w:rPr>
        <w:softHyphen/>
        <w:t>ների բազայի ձևավորման կամ հաշվարկման վրա: Առանձին դեպքերում հաշ</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վի են առնվել նաև պայմանա</w:t>
      </w:r>
      <w:r w:rsidRPr="00A83C94">
        <w:rPr>
          <w:rFonts w:cs="Sylfaen"/>
          <w:b w:val="0"/>
          <w:iCs/>
          <w:szCs w:val="22"/>
          <w:lang w:val="af-ZA" w:eastAsia="en-GB"/>
        </w:rPr>
        <w:softHyphen/>
      </w:r>
      <w:r w:rsidRPr="00A83C94">
        <w:rPr>
          <w:rFonts w:cs="Sylfaen"/>
          <w:b w:val="0"/>
          <w:iCs/>
          <w:szCs w:val="22"/>
          <w:lang w:val="af-ZA" w:eastAsia="en-GB"/>
        </w:rPr>
        <w:softHyphen/>
        <w:t>գրային հարաբերություններով կարգավորվող ցու</w:t>
      </w:r>
      <w:r w:rsidRPr="00A83C94">
        <w:rPr>
          <w:rFonts w:cs="Sylfaen"/>
          <w:b w:val="0"/>
          <w:iCs/>
          <w:szCs w:val="22"/>
          <w:lang w:val="af-ZA" w:eastAsia="en-GB"/>
        </w:rPr>
        <w:softHyphen/>
        <w:t>ցանիշները:</w:t>
      </w:r>
      <w:r w:rsidRPr="00A83C94">
        <w:rPr>
          <w:rFonts w:ascii="Calibri" w:hAnsi="Calibri" w:cs="Sylfaen"/>
          <w:b w:val="0"/>
          <w:iCs/>
          <w:szCs w:val="22"/>
          <w:lang w:val="af-ZA" w:eastAsia="en-GB"/>
        </w:rPr>
        <w:t xml:space="preserve"> </w:t>
      </w:r>
    </w:p>
    <w:p w14:paraId="76065465" w14:textId="77777777" w:rsidR="00D8071F" w:rsidRDefault="00D8071F" w:rsidP="00D8071F">
      <w:pPr>
        <w:keepNext/>
        <w:tabs>
          <w:tab w:val="left" w:pos="709"/>
        </w:tabs>
        <w:spacing w:before="0" w:line="276" w:lineRule="auto"/>
        <w:outlineLvl w:val="2"/>
        <w:rPr>
          <w:rFonts w:eastAsia="Calibri" w:cs="GHEA Grapalat"/>
          <w:bCs/>
          <w:szCs w:val="22"/>
          <w:lang w:val="hy-AM" w:eastAsia="en-US"/>
        </w:rPr>
      </w:pPr>
      <w:bookmarkStart w:id="208" w:name="_Toc530663263"/>
      <w:bookmarkStart w:id="209" w:name="_Toc26174934"/>
    </w:p>
    <w:p w14:paraId="5AE5814F" w14:textId="4F010AC0" w:rsidR="00AE2A75" w:rsidRPr="00D8071F" w:rsidRDefault="00AE2A75" w:rsidP="00D8071F">
      <w:pPr>
        <w:keepNext/>
        <w:tabs>
          <w:tab w:val="left" w:pos="709"/>
        </w:tabs>
        <w:spacing w:before="0" w:line="276" w:lineRule="auto"/>
        <w:outlineLvl w:val="2"/>
        <w:rPr>
          <w:rFonts w:eastAsia="Calibri" w:cs="GHEA Grapalat"/>
          <w:bCs/>
          <w:szCs w:val="22"/>
          <w:lang w:val="hy-AM" w:eastAsia="en-US"/>
        </w:rPr>
      </w:pPr>
      <w:bookmarkStart w:id="210" w:name="_Toc83996360"/>
      <w:r w:rsidRPr="00D8071F">
        <w:rPr>
          <w:rFonts w:eastAsia="Calibri" w:cs="GHEA Grapalat"/>
          <w:bCs/>
          <w:szCs w:val="22"/>
          <w:lang w:val="hy-AM" w:eastAsia="en-US"/>
        </w:rPr>
        <w:t>Հարկային եկամուտներ և պետական տուրքեր</w:t>
      </w:r>
      <w:bookmarkEnd w:id="208"/>
      <w:bookmarkEnd w:id="209"/>
      <w:bookmarkEnd w:id="210"/>
    </w:p>
    <w:p w14:paraId="319E9721"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Հարկային եկամուտների և պետական տուրքերի գծով 2022 թվականի բյու</w:t>
      </w:r>
      <w:r w:rsidRPr="00A83C94">
        <w:rPr>
          <w:rFonts w:cs="Sylfaen"/>
          <w:b w:val="0"/>
          <w:iCs/>
          <w:szCs w:val="22"/>
          <w:lang w:val="af-ZA" w:eastAsia="en-GB"/>
        </w:rPr>
        <w:softHyphen/>
      </w:r>
      <w:r w:rsidRPr="00A83C94">
        <w:rPr>
          <w:rFonts w:cs="Sylfaen"/>
          <w:b w:val="0"/>
          <w:iCs/>
          <w:szCs w:val="22"/>
          <w:lang w:val="af-ZA" w:eastAsia="en-GB"/>
        </w:rPr>
        <w:softHyphen/>
        <w:t>ջետային մուտքերի հաշվարկներում ենթադրվել է, որ հարկերի գծով 2022 թվականի համար հարկային եկամուտներ և պետական տուրքեր /ՀՆԱ ցուցանիշի սպասողական մակարդակը ապա</w:t>
      </w:r>
      <w:r w:rsidRPr="00A83C94">
        <w:rPr>
          <w:rFonts w:cs="Sylfaen"/>
          <w:b w:val="0"/>
          <w:iCs/>
          <w:szCs w:val="22"/>
          <w:lang w:val="af-ZA" w:eastAsia="en-GB"/>
        </w:rPr>
        <w:softHyphen/>
        <w:t>հո</w:t>
      </w:r>
      <w:r w:rsidRPr="00A83C94">
        <w:rPr>
          <w:rFonts w:cs="Sylfaen"/>
          <w:b w:val="0"/>
          <w:iCs/>
          <w:szCs w:val="22"/>
          <w:lang w:val="af-ZA" w:eastAsia="en-GB"/>
        </w:rPr>
        <w:softHyphen/>
        <w:t>վե</w:t>
      </w:r>
      <w:r w:rsidRPr="00A83C94">
        <w:rPr>
          <w:rFonts w:cs="Sylfaen"/>
          <w:b w:val="0"/>
          <w:iCs/>
          <w:szCs w:val="22"/>
          <w:lang w:val="af-ZA" w:eastAsia="en-GB"/>
        </w:rPr>
        <w:softHyphen/>
        <w:t>լու համար բա</w:t>
      </w:r>
      <w:r w:rsidRPr="00A83C94">
        <w:rPr>
          <w:rFonts w:cs="Sylfaen"/>
          <w:b w:val="0"/>
          <w:iCs/>
          <w:szCs w:val="22"/>
          <w:lang w:val="af-ZA" w:eastAsia="en-GB"/>
        </w:rPr>
        <w:softHyphen/>
      </w:r>
      <w:r w:rsidRPr="00A83C94">
        <w:rPr>
          <w:rFonts w:cs="Sylfaen"/>
          <w:b w:val="0"/>
          <w:iCs/>
          <w:szCs w:val="22"/>
          <w:lang w:val="af-ZA" w:eastAsia="en-GB"/>
        </w:rPr>
        <w:softHyphen/>
        <w:t>վարար հիմքեր կստեղծեն առկա օրենս</w:t>
      </w:r>
      <w:r w:rsidRPr="00A83C94">
        <w:rPr>
          <w:rFonts w:cs="Sylfaen"/>
          <w:b w:val="0"/>
          <w:iCs/>
          <w:szCs w:val="22"/>
          <w:lang w:val="af-ZA" w:eastAsia="en-GB"/>
        </w:rPr>
        <w:softHyphen/>
        <w:t>դրա</w:t>
      </w:r>
      <w:r w:rsidRPr="00A83C94">
        <w:rPr>
          <w:rFonts w:cs="Sylfaen"/>
          <w:b w:val="0"/>
          <w:iCs/>
          <w:szCs w:val="22"/>
          <w:lang w:val="af-ZA" w:eastAsia="en-GB"/>
        </w:rPr>
        <w:softHyphen/>
      </w:r>
      <w:r w:rsidRPr="00A83C94">
        <w:rPr>
          <w:rFonts w:cs="Sylfaen"/>
          <w:b w:val="0"/>
          <w:iCs/>
          <w:szCs w:val="22"/>
          <w:lang w:val="af-ZA" w:eastAsia="en-GB"/>
        </w:rPr>
        <w:softHyphen/>
        <w:t>կան նա</w:t>
      </w:r>
      <w:r w:rsidRPr="00A83C94">
        <w:rPr>
          <w:rFonts w:cs="Sylfaen"/>
          <w:b w:val="0"/>
          <w:iCs/>
          <w:szCs w:val="22"/>
          <w:lang w:val="af-ZA" w:eastAsia="en-GB"/>
        </w:rPr>
        <w:softHyphen/>
        <w:t>խադրյալները, կի</w:t>
      </w:r>
      <w:r w:rsidRPr="00A83C94">
        <w:rPr>
          <w:rFonts w:cs="Sylfaen"/>
          <w:b w:val="0"/>
          <w:iCs/>
          <w:szCs w:val="22"/>
          <w:lang w:val="af-ZA" w:eastAsia="en-GB"/>
        </w:rPr>
        <w:softHyphen/>
        <w:t>րառ</w:t>
      </w:r>
      <w:r w:rsidRPr="00A83C94">
        <w:rPr>
          <w:rFonts w:cs="Sylfaen"/>
          <w:b w:val="0"/>
          <w:iCs/>
          <w:szCs w:val="22"/>
          <w:lang w:val="af-ZA" w:eastAsia="en-GB"/>
        </w:rPr>
        <w:softHyphen/>
      </w:r>
      <w:r w:rsidRPr="00A83C94">
        <w:rPr>
          <w:rFonts w:cs="Sylfaen"/>
          <w:b w:val="0"/>
          <w:iCs/>
          <w:szCs w:val="22"/>
          <w:lang w:val="af-ZA" w:eastAsia="en-GB"/>
        </w:rPr>
        <w:softHyphen/>
        <w:t>վելիք վարչարարական միջոցա</w:t>
      </w:r>
      <w:r w:rsidRPr="00A83C94">
        <w:rPr>
          <w:rFonts w:cs="Sylfaen"/>
          <w:b w:val="0"/>
          <w:iCs/>
          <w:szCs w:val="22"/>
          <w:lang w:val="af-ZA" w:eastAsia="en-GB"/>
        </w:rPr>
        <w:softHyphen/>
        <w:t>ռում</w:t>
      </w:r>
      <w:r w:rsidRPr="00A83C94">
        <w:rPr>
          <w:rFonts w:cs="Sylfaen"/>
          <w:b w:val="0"/>
          <w:iCs/>
          <w:szCs w:val="22"/>
          <w:lang w:val="af-ZA" w:eastAsia="en-GB"/>
        </w:rPr>
        <w:softHyphen/>
        <w:t>ները, ինչպես նաև մակ</w:t>
      </w:r>
      <w:r w:rsidRPr="00A83C94">
        <w:rPr>
          <w:rFonts w:cs="Sylfaen"/>
          <w:b w:val="0"/>
          <w:iCs/>
          <w:szCs w:val="22"/>
          <w:lang w:val="af-ZA" w:eastAsia="en-GB"/>
        </w:rPr>
        <w:softHyphen/>
        <w:t>րո</w:t>
      </w:r>
      <w:r w:rsidRPr="00A83C94">
        <w:rPr>
          <w:rFonts w:cs="Sylfaen"/>
          <w:b w:val="0"/>
          <w:iCs/>
          <w:szCs w:val="22"/>
          <w:lang w:val="af-ZA" w:eastAsia="en-GB"/>
        </w:rPr>
        <w:softHyphen/>
        <w:t>տնտե</w:t>
      </w:r>
      <w:r w:rsidRPr="00A83C94">
        <w:rPr>
          <w:rFonts w:cs="Sylfaen"/>
          <w:b w:val="0"/>
          <w:iCs/>
          <w:szCs w:val="22"/>
          <w:lang w:val="af-ZA" w:eastAsia="en-GB"/>
        </w:rPr>
        <w:softHyphen/>
        <w:t>սական զար</w:t>
      </w:r>
      <w:r w:rsidRPr="00A83C94">
        <w:rPr>
          <w:rFonts w:cs="Sylfaen"/>
          <w:b w:val="0"/>
          <w:iCs/>
          <w:szCs w:val="22"/>
          <w:lang w:val="af-ZA" w:eastAsia="en-GB"/>
        </w:rPr>
        <w:softHyphen/>
        <w:t>գա</w:t>
      </w:r>
      <w:r w:rsidRPr="00A83C94">
        <w:rPr>
          <w:rFonts w:cs="Sylfaen"/>
          <w:b w:val="0"/>
          <w:iCs/>
          <w:szCs w:val="22"/>
          <w:lang w:val="af-ZA" w:eastAsia="en-GB"/>
        </w:rPr>
        <w:softHyphen/>
        <w:t>ցում</w:t>
      </w:r>
      <w:r w:rsidRPr="00A83C94">
        <w:rPr>
          <w:rFonts w:cs="Sylfaen"/>
          <w:b w:val="0"/>
          <w:iCs/>
          <w:szCs w:val="22"/>
          <w:lang w:val="af-ZA" w:eastAsia="en-GB"/>
        </w:rPr>
        <w:softHyphen/>
        <w:t>նե</w:t>
      </w:r>
      <w:r w:rsidRPr="00A83C94">
        <w:rPr>
          <w:rFonts w:cs="Sylfaen"/>
          <w:b w:val="0"/>
          <w:iCs/>
          <w:szCs w:val="22"/>
          <w:lang w:val="af-ZA" w:eastAsia="en-GB"/>
        </w:rPr>
        <w:softHyphen/>
        <w:t xml:space="preserve">րը: </w:t>
      </w:r>
    </w:p>
    <w:p w14:paraId="2C18A841" w14:textId="77777777" w:rsidR="00AE2A75" w:rsidRPr="00A83C94" w:rsidRDefault="00AE2A75" w:rsidP="00AE2A75">
      <w:pPr>
        <w:pStyle w:val="Caption"/>
        <w:spacing w:before="0" w:after="0"/>
        <w:rPr>
          <w:lang w:val="af-ZA"/>
        </w:rPr>
      </w:pPr>
      <w:bookmarkStart w:id="211" w:name="_Toc52223576"/>
    </w:p>
    <w:p w14:paraId="2E03C9DD" w14:textId="1565E7ED" w:rsidR="00AE2A75" w:rsidRPr="00A83C94" w:rsidRDefault="00AE2A75" w:rsidP="00AE2A75">
      <w:pPr>
        <w:pStyle w:val="Caption"/>
        <w:spacing w:before="0" w:after="0"/>
        <w:rPr>
          <w:lang w:val="af-ZA"/>
        </w:rPr>
      </w:pPr>
    </w:p>
    <w:p w14:paraId="017F23C7" w14:textId="3AC87CE7" w:rsidR="00E867F5" w:rsidRPr="00A83C94" w:rsidRDefault="00E867F5" w:rsidP="00E867F5">
      <w:pPr>
        <w:rPr>
          <w:lang w:val="af-ZA"/>
        </w:rPr>
      </w:pPr>
    </w:p>
    <w:p w14:paraId="386C7658" w14:textId="417A113C" w:rsidR="00E867F5" w:rsidRPr="00A83C94" w:rsidRDefault="00E867F5" w:rsidP="00E867F5">
      <w:pPr>
        <w:rPr>
          <w:lang w:val="af-ZA"/>
        </w:rPr>
      </w:pPr>
    </w:p>
    <w:p w14:paraId="02F40F5B" w14:textId="38D1FC4C" w:rsidR="00E867F5" w:rsidRPr="00A83C94" w:rsidRDefault="00E867F5" w:rsidP="00E867F5">
      <w:pPr>
        <w:rPr>
          <w:lang w:val="af-ZA"/>
        </w:rPr>
      </w:pPr>
    </w:p>
    <w:p w14:paraId="6AC8AEC6" w14:textId="30DD897D" w:rsidR="00E867F5" w:rsidRPr="00A83C94" w:rsidRDefault="00E867F5" w:rsidP="00E867F5">
      <w:pPr>
        <w:rPr>
          <w:lang w:val="af-ZA"/>
        </w:rPr>
      </w:pPr>
    </w:p>
    <w:p w14:paraId="3DF04186" w14:textId="37E3B977" w:rsidR="00E867F5" w:rsidRPr="00A83C94" w:rsidRDefault="00E867F5" w:rsidP="00E867F5">
      <w:pPr>
        <w:rPr>
          <w:lang w:val="af-ZA"/>
        </w:rPr>
      </w:pPr>
    </w:p>
    <w:p w14:paraId="364ED16A" w14:textId="64D3B3B4" w:rsidR="00E867F5" w:rsidRPr="00A83C94" w:rsidRDefault="00E867F5" w:rsidP="00E867F5">
      <w:pPr>
        <w:rPr>
          <w:lang w:val="af-ZA"/>
        </w:rPr>
      </w:pPr>
    </w:p>
    <w:p w14:paraId="28A1E638" w14:textId="58F97683" w:rsidR="00E867F5" w:rsidRPr="00A83C94" w:rsidRDefault="00E867F5" w:rsidP="00E867F5">
      <w:pPr>
        <w:rPr>
          <w:lang w:val="af-ZA"/>
        </w:rPr>
      </w:pPr>
    </w:p>
    <w:p w14:paraId="754458FA" w14:textId="53677020" w:rsidR="00E867F5" w:rsidRPr="00A83C94" w:rsidRDefault="00E867F5" w:rsidP="00E867F5">
      <w:pPr>
        <w:rPr>
          <w:lang w:val="af-ZA"/>
        </w:rPr>
      </w:pPr>
    </w:p>
    <w:p w14:paraId="42456041" w14:textId="576D10E6" w:rsidR="00E867F5" w:rsidRPr="00A83C94" w:rsidRDefault="00E867F5" w:rsidP="00E867F5">
      <w:pPr>
        <w:rPr>
          <w:lang w:val="af-ZA"/>
        </w:rPr>
      </w:pPr>
    </w:p>
    <w:p w14:paraId="0E2E333B" w14:textId="246D6D7A" w:rsidR="00E867F5" w:rsidRPr="00A83C94" w:rsidRDefault="00E867F5" w:rsidP="00E867F5">
      <w:pPr>
        <w:rPr>
          <w:lang w:val="af-ZA"/>
        </w:rPr>
      </w:pPr>
    </w:p>
    <w:p w14:paraId="150D989F" w14:textId="5B7E0020" w:rsidR="00E867F5" w:rsidRPr="00A83C94" w:rsidRDefault="00E867F5" w:rsidP="00E867F5">
      <w:pPr>
        <w:rPr>
          <w:lang w:val="af-ZA"/>
        </w:rPr>
      </w:pPr>
    </w:p>
    <w:p w14:paraId="0BD7C1DE" w14:textId="10464E2D" w:rsidR="00E867F5" w:rsidRPr="00A83C94" w:rsidRDefault="00E867F5" w:rsidP="00E867F5">
      <w:pPr>
        <w:rPr>
          <w:lang w:val="af-ZA"/>
        </w:rPr>
      </w:pPr>
    </w:p>
    <w:p w14:paraId="7431CFC3" w14:textId="69DD3C95" w:rsidR="00E867F5" w:rsidRPr="00A83C94" w:rsidRDefault="00E867F5" w:rsidP="00E867F5">
      <w:pPr>
        <w:rPr>
          <w:lang w:val="af-ZA"/>
        </w:rPr>
      </w:pPr>
    </w:p>
    <w:p w14:paraId="676A135E" w14:textId="77777777" w:rsidR="00E867F5" w:rsidRPr="00A83C94" w:rsidRDefault="00E867F5" w:rsidP="00E867F5">
      <w:pPr>
        <w:rPr>
          <w:lang w:val="af-ZA"/>
        </w:rPr>
      </w:pPr>
    </w:p>
    <w:p w14:paraId="06E76E8B" w14:textId="6B08DF1D" w:rsidR="00AE2A75" w:rsidRPr="00A83C94" w:rsidRDefault="000957ED" w:rsidP="000957ED">
      <w:pPr>
        <w:pStyle w:val="Caption"/>
        <w:rPr>
          <w:b/>
          <w:i/>
          <w:sz w:val="20"/>
          <w:szCs w:val="20"/>
          <w:lang w:val="hy-AM"/>
        </w:rPr>
      </w:pPr>
      <w:bookmarkStart w:id="212" w:name="_Toc83929498"/>
      <w:r>
        <w:t>Գծապատկեր</w:t>
      </w:r>
      <w:r w:rsidRPr="008B1D49">
        <w:rPr>
          <w:lang w:val="af-ZA"/>
        </w:rPr>
        <w:t xml:space="preserve"> </w:t>
      </w:r>
      <w:r>
        <w:fldChar w:fldCharType="begin"/>
      </w:r>
      <w:r w:rsidRPr="008B1D49">
        <w:rPr>
          <w:lang w:val="af-ZA"/>
        </w:rPr>
        <w:instrText xml:space="preserve"> SEQ </w:instrText>
      </w:r>
      <w:r>
        <w:instrText>Գծապատկեր</w:instrText>
      </w:r>
      <w:r w:rsidRPr="008B1D49">
        <w:rPr>
          <w:lang w:val="af-ZA"/>
        </w:rPr>
        <w:instrText xml:space="preserve"> \* ARABIC </w:instrText>
      </w:r>
      <w:r>
        <w:fldChar w:fldCharType="separate"/>
      </w:r>
      <w:r w:rsidR="0077355D">
        <w:rPr>
          <w:noProof/>
          <w:lang w:val="af-ZA"/>
        </w:rPr>
        <w:t>1</w:t>
      </w:r>
      <w:r>
        <w:fldChar w:fldCharType="end"/>
      </w:r>
      <w:r w:rsidR="00AE2A75" w:rsidRPr="00A83C94">
        <w:rPr>
          <w:rFonts w:ascii="Cambria Math" w:hAnsi="Cambria Math"/>
          <w:lang w:val="hy-AM"/>
        </w:rPr>
        <w:t xml:space="preserve">․ </w:t>
      </w:r>
      <w:r w:rsidR="00AE2A75" w:rsidRPr="00A83C94">
        <w:rPr>
          <w:b/>
          <w:i/>
          <w:sz w:val="20"/>
          <w:szCs w:val="20"/>
          <w:lang w:val="hy-AM"/>
        </w:rPr>
        <w:t>ՀՀ 2018-202</w:t>
      </w:r>
      <w:r w:rsidR="00AE2A75" w:rsidRPr="00A83C94">
        <w:rPr>
          <w:b/>
          <w:i/>
          <w:sz w:val="20"/>
          <w:szCs w:val="20"/>
          <w:lang w:val="af-ZA"/>
        </w:rPr>
        <w:t>2</w:t>
      </w:r>
      <w:r w:rsidR="00AE2A75" w:rsidRPr="00A83C94">
        <w:rPr>
          <w:b/>
          <w:i/>
          <w:sz w:val="20"/>
          <w:szCs w:val="20"/>
          <w:lang w:val="hy-AM"/>
        </w:rPr>
        <w:t>թթ հարկային եկամուտները և պետական տուրքերը (մլրդ դրամով) և կշիռը ՀՆԱ-ի նկատմամբ</w:t>
      </w:r>
      <w:bookmarkEnd w:id="211"/>
      <w:bookmarkEnd w:id="212"/>
    </w:p>
    <w:p w14:paraId="77887547" w14:textId="77777777" w:rsidR="00AE2A75" w:rsidRPr="00A83C94" w:rsidRDefault="00AE2A75" w:rsidP="00AE2A75">
      <w:pPr>
        <w:keepNext/>
        <w:keepLines/>
        <w:widowControl w:val="0"/>
        <w:spacing w:before="0" w:line="276" w:lineRule="auto"/>
        <w:ind w:firstLine="0"/>
        <w:contextualSpacing w:val="0"/>
        <w:rPr>
          <w:rFonts w:cs="Sylfaen"/>
          <w:szCs w:val="22"/>
          <w:lang w:val="fr-FR" w:eastAsia="en-US"/>
        </w:rPr>
      </w:pPr>
      <w:r w:rsidRPr="00A83C94">
        <w:rPr>
          <w:b w:val="0"/>
          <w:noProof/>
          <w:szCs w:val="22"/>
          <w:lang w:val="en-US" w:eastAsia="en-US"/>
        </w:rPr>
        <w:drawing>
          <wp:inline distT="0" distB="0" distL="0" distR="0" wp14:anchorId="430308B8" wp14:editId="66725787">
            <wp:extent cx="5955527" cy="4730115"/>
            <wp:effectExtent l="0" t="0" r="7620" b="1333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081A21" w14:textId="77777777" w:rsidR="00AE2A75" w:rsidRPr="00A83C94" w:rsidRDefault="00AE2A75" w:rsidP="00AE2A75">
      <w:pPr>
        <w:spacing w:before="0" w:line="276" w:lineRule="auto"/>
        <w:ind w:firstLine="562"/>
        <w:contextualSpacing w:val="0"/>
        <w:rPr>
          <w:rFonts w:cs="Sylfaen"/>
          <w:iCs/>
          <w:szCs w:val="22"/>
          <w:lang w:val="af-ZA" w:eastAsia="en-GB"/>
        </w:rPr>
      </w:pPr>
    </w:p>
    <w:p w14:paraId="56DF4F36" w14:textId="77777777" w:rsidR="00AE2A75" w:rsidRPr="00A83C94" w:rsidRDefault="00AE2A75" w:rsidP="00AE2A75">
      <w:pPr>
        <w:spacing w:before="0" w:line="276" w:lineRule="auto"/>
        <w:ind w:firstLine="562"/>
        <w:contextualSpacing w:val="0"/>
        <w:rPr>
          <w:rFonts w:cs="Sylfaen"/>
          <w:iCs/>
          <w:szCs w:val="22"/>
          <w:lang w:val="af-ZA" w:eastAsia="en-GB"/>
        </w:rPr>
      </w:pPr>
      <w:r w:rsidRPr="00A83C94">
        <w:rPr>
          <w:rFonts w:cs="Sylfaen"/>
          <w:iCs/>
          <w:szCs w:val="22"/>
          <w:lang w:val="af-ZA" w:eastAsia="en-GB"/>
        </w:rPr>
        <w:t>2022 ԹՎԱԿԱՆԻ ՀԱՐԿԱՅԻՆ ԾԱԽՍԵՐԻ ՄԵԾՈՒԹՅԱՆ ԳՆԱՀԱՏՈՒՄ</w:t>
      </w:r>
    </w:p>
    <w:p w14:paraId="4FEEA1AF" w14:textId="77777777" w:rsidR="00AE2A75" w:rsidRPr="00A83C94" w:rsidRDefault="00AE2A75" w:rsidP="00AE2A75">
      <w:pPr>
        <w:spacing w:before="0" w:line="276" w:lineRule="auto"/>
        <w:ind w:firstLine="562"/>
        <w:contextualSpacing w:val="0"/>
        <w:rPr>
          <w:rFonts w:cs="Sylfaen"/>
          <w:szCs w:val="22"/>
          <w:lang w:val="fr-FR" w:eastAsia="en-US"/>
        </w:rPr>
      </w:pPr>
      <w:r w:rsidRPr="00A83C94">
        <w:rPr>
          <w:rFonts w:cs="Sylfaen"/>
          <w:b w:val="0"/>
          <w:iCs/>
          <w:szCs w:val="22"/>
          <w:lang w:val="af-ZA" w:eastAsia="en-GB"/>
        </w:rPr>
        <w:t>Ի լրումն վերոշարադրյալին հարկ է նշել, որ ՀՀ 2022 թվականի հարկային եկա</w:t>
      </w:r>
      <w:r w:rsidRPr="00A83C94">
        <w:rPr>
          <w:rFonts w:cs="Sylfaen"/>
          <w:b w:val="0"/>
          <w:iCs/>
          <w:szCs w:val="22"/>
          <w:lang w:val="af-ZA" w:eastAsia="en-GB"/>
        </w:rPr>
        <w:softHyphen/>
        <w:t>մուտ</w:t>
      </w:r>
      <w:r w:rsidRPr="00A83C94">
        <w:rPr>
          <w:rFonts w:cs="Sylfaen"/>
          <w:b w:val="0"/>
          <w:iCs/>
          <w:szCs w:val="22"/>
          <w:lang w:val="af-ZA" w:eastAsia="en-GB"/>
        </w:rPr>
        <w:softHyphen/>
        <w:t>նե</w:t>
      </w:r>
      <w:r w:rsidRPr="00A83C94">
        <w:rPr>
          <w:rFonts w:cs="Sylfaen"/>
          <w:b w:val="0"/>
          <w:iCs/>
          <w:szCs w:val="22"/>
          <w:lang w:val="af-ZA" w:eastAsia="en-GB"/>
        </w:rPr>
        <w:softHyphen/>
        <w:t>րի մուտքերի կանխատեսմամբ հանդերձ միջազգային պրակ</w:t>
      </w:r>
      <w:r w:rsidRPr="00A83C94">
        <w:rPr>
          <w:rFonts w:cs="Sylfaen"/>
          <w:b w:val="0"/>
          <w:iCs/>
          <w:szCs w:val="22"/>
          <w:lang w:val="af-ZA" w:eastAsia="en-GB"/>
        </w:rPr>
        <w:softHyphen/>
        <w:t>տիկայում ընդունված մո</w:t>
      </w:r>
      <w:r w:rsidRPr="00A83C94">
        <w:rPr>
          <w:rFonts w:cs="Sylfaen"/>
          <w:b w:val="0"/>
          <w:iCs/>
          <w:szCs w:val="22"/>
          <w:lang w:val="af-ZA" w:eastAsia="en-GB"/>
        </w:rPr>
        <w:softHyphen/>
        <w:t>տե</w:t>
      </w:r>
      <w:r w:rsidRPr="00A83C94">
        <w:rPr>
          <w:rFonts w:cs="Sylfaen"/>
          <w:b w:val="0"/>
          <w:iCs/>
          <w:szCs w:val="22"/>
          <w:lang w:val="af-ZA" w:eastAsia="en-GB"/>
        </w:rPr>
        <w:softHyphen/>
        <w:t>ցումների հիման վրա կատարվել է ավելացված արժեքի հարկի, շահութահարկի և եկամտային հարկի գծով 2022 թվականի հար</w:t>
      </w:r>
      <w:r w:rsidRPr="00A83C94">
        <w:rPr>
          <w:rFonts w:cs="Sylfaen"/>
          <w:b w:val="0"/>
          <w:iCs/>
          <w:szCs w:val="22"/>
          <w:lang w:val="af-ZA" w:eastAsia="en-GB"/>
        </w:rPr>
        <w:softHyphen/>
        <w:t>կա</w:t>
      </w:r>
      <w:r w:rsidRPr="00A83C94">
        <w:rPr>
          <w:rFonts w:cs="Sylfaen"/>
          <w:b w:val="0"/>
          <w:iCs/>
          <w:szCs w:val="22"/>
          <w:lang w:val="af-ZA" w:eastAsia="en-GB"/>
        </w:rPr>
        <w:softHyphen/>
        <w:t>յին ծախսերի մեծության գնահատում, որի արդյունքները ներ</w:t>
      </w:r>
      <w:r w:rsidRPr="00A83C94">
        <w:rPr>
          <w:rFonts w:cs="Sylfaen"/>
          <w:b w:val="0"/>
          <w:iCs/>
          <w:szCs w:val="22"/>
          <w:lang w:val="af-ZA" w:eastAsia="en-GB"/>
        </w:rPr>
        <w:softHyphen/>
        <w:t xml:space="preserve">կայացված են </w:t>
      </w:r>
      <w:r w:rsidRPr="00A83C94">
        <w:rPr>
          <w:rFonts w:cs="Sylfaen"/>
          <w:b w:val="0"/>
          <w:iCs/>
          <w:szCs w:val="22"/>
          <w:lang w:val="hy-AM" w:eastAsia="en-GB"/>
        </w:rPr>
        <w:t>Վերլուծություններ բաժնում</w:t>
      </w:r>
      <w:r w:rsidRPr="00A83C94">
        <w:rPr>
          <w:rFonts w:cs="Sylfaen"/>
          <w:b w:val="0"/>
          <w:iCs/>
          <w:szCs w:val="22"/>
          <w:lang w:val="af-ZA" w:eastAsia="en-GB"/>
        </w:rPr>
        <w:t xml:space="preserve">: </w:t>
      </w:r>
    </w:p>
    <w:p w14:paraId="10BD92F7" w14:textId="77777777" w:rsidR="00AE2A75" w:rsidRPr="00A83C94" w:rsidRDefault="00AE2A75" w:rsidP="00AE2A75">
      <w:pPr>
        <w:rPr>
          <w:lang w:val="fr-FR"/>
        </w:rPr>
      </w:pPr>
    </w:p>
    <w:p w14:paraId="53BBBFC8" w14:textId="77777777" w:rsidR="00AE2A75" w:rsidRPr="00A83C94" w:rsidRDefault="00AE2A75" w:rsidP="00AE2A75">
      <w:pPr>
        <w:rPr>
          <w:lang w:val="fr-FR"/>
        </w:rPr>
      </w:pPr>
    </w:p>
    <w:p w14:paraId="64B94262" w14:textId="2ED7FE6A" w:rsidR="00AE2A75" w:rsidRPr="00A83C94" w:rsidRDefault="00AE2A75" w:rsidP="00AE2A75">
      <w:pPr>
        <w:rPr>
          <w:lang w:val="fr-FR"/>
        </w:rPr>
      </w:pPr>
    </w:p>
    <w:p w14:paraId="2F47F66F" w14:textId="0DB52EEB" w:rsidR="00C87101" w:rsidRPr="00A83C94" w:rsidRDefault="00C87101" w:rsidP="00AE2A75">
      <w:pPr>
        <w:rPr>
          <w:lang w:val="fr-FR"/>
        </w:rPr>
      </w:pPr>
    </w:p>
    <w:p w14:paraId="7AD5971A" w14:textId="1976127D" w:rsidR="00C87101" w:rsidRPr="00A83C94" w:rsidRDefault="00C87101" w:rsidP="00AE2A75">
      <w:pPr>
        <w:rPr>
          <w:lang w:val="fr-FR"/>
        </w:rPr>
      </w:pPr>
    </w:p>
    <w:p w14:paraId="61B007A5" w14:textId="2F9D2B23" w:rsidR="00C87101" w:rsidRPr="00A83C94" w:rsidRDefault="00C87101" w:rsidP="00AE2A75">
      <w:pPr>
        <w:rPr>
          <w:lang w:val="fr-FR"/>
        </w:rPr>
      </w:pPr>
    </w:p>
    <w:p w14:paraId="3B8CB861" w14:textId="21737516" w:rsidR="00C87101" w:rsidRPr="00A83C94" w:rsidRDefault="00C87101" w:rsidP="00AE2A75">
      <w:pPr>
        <w:rPr>
          <w:lang w:val="fr-FR"/>
        </w:rPr>
      </w:pPr>
    </w:p>
    <w:p w14:paraId="655F7E38" w14:textId="53EA3D4A" w:rsidR="00C87101" w:rsidRPr="00A83C94" w:rsidRDefault="00C87101" w:rsidP="00AE2A75">
      <w:pPr>
        <w:rPr>
          <w:lang w:val="fr-FR"/>
        </w:rPr>
      </w:pPr>
    </w:p>
    <w:p w14:paraId="5C3E20FD" w14:textId="77777777" w:rsidR="00C87101" w:rsidRPr="00A83C94" w:rsidRDefault="00C87101" w:rsidP="00AE2A75">
      <w:pPr>
        <w:rPr>
          <w:lang w:val="fr-FR"/>
        </w:rPr>
      </w:pPr>
    </w:p>
    <w:p w14:paraId="32348491" w14:textId="77777777" w:rsidR="00AE2A75" w:rsidRPr="00A83C94" w:rsidRDefault="00AE2A75" w:rsidP="00AE2A75">
      <w:pPr>
        <w:rPr>
          <w:lang w:val="fr-FR"/>
        </w:rPr>
      </w:pPr>
    </w:p>
    <w:p w14:paraId="23CE75C9" w14:textId="7F10B8B1" w:rsidR="00AE2A75" w:rsidRPr="00A83C94" w:rsidRDefault="00D8071F" w:rsidP="00AE2A75">
      <w:pPr>
        <w:spacing w:before="0" w:line="276" w:lineRule="auto"/>
        <w:rPr>
          <w:szCs w:val="22"/>
          <w:lang w:val="fr-FR"/>
        </w:rPr>
      </w:pPr>
      <w:r>
        <w:rPr>
          <w:rFonts w:cs="Sylfaen"/>
          <w:szCs w:val="22"/>
        </w:rPr>
        <w:t>Պետական</w:t>
      </w:r>
      <w:r w:rsidRPr="009272E0">
        <w:rPr>
          <w:rFonts w:cs="Sylfaen"/>
          <w:szCs w:val="22"/>
          <w:lang w:val="fr-FR"/>
        </w:rPr>
        <w:t xml:space="preserve"> </w:t>
      </w:r>
      <w:r>
        <w:rPr>
          <w:rFonts w:cs="Sylfaen"/>
          <w:szCs w:val="22"/>
        </w:rPr>
        <w:t>տուրքեր</w:t>
      </w:r>
    </w:p>
    <w:p w14:paraId="428961F5" w14:textId="77777777" w:rsidR="00AE2A75" w:rsidRPr="00A83C94" w:rsidRDefault="00AE2A75" w:rsidP="00AE2A75">
      <w:pPr>
        <w:spacing w:before="0" w:line="276" w:lineRule="auto"/>
        <w:rPr>
          <w:szCs w:val="22"/>
          <w:lang w:val="fr-FR"/>
        </w:rPr>
      </w:pPr>
      <w:r w:rsidRPr="00A83C94">
        <w:rPr>
          <w:rFonts w:eastAsia="Calibri"/>
          <w:b w:val="0"/>
          <w:szCs w:val="22"/>
          <w:lang w:val="hy-AM" w:eastAsia="en-US"/>
        </w:rPr>
        <w:t>Պետական տուրքերի գծով 202</w:t>
      </w:r>
      <w:r w:rsidRPr="00A83C94">
        <w:rPr>
          <w:rFonts w:eastAsia="Calibri"/>
          <w:b w:val="0"/>
          <w:szCs w:val="22"/>
          <w:lang w:val="fr-FR" w:eastAsia="en-US"/>
        </w:rPr>
        <w:t>2</w:t>
      </w:r>
      <w:r w:rsidRPr="00A83C94">
        <w:rPr>
          <w:rFonts w:eastAsia="Calibri"/>
          <w:b w:val="0"/>
          <w:szCs w:val="22"/>
          <w:lang w:val="hy-AM" w:eastAsia="en-US"/>
        </w:rPr>
        <w:t xml:space="preserve"> թվականի բյուջետային մուտքերը ծրա</w:t>
      </w:r>
      <w:r w:rsidRPr="00A83C94">
        <w:rPr>
          <w:rFonts w:eastAsia="Calibri"/>
          <w:b w:val="0"/>
          <w:szCs w:val="22"/>
          <w:lang w:val="hy-AM" w:eastAsia="en-US"/>
        </w:rPr>
        <w:softHyphen/>
        <w:t>գր</w:t>
      </w:r>
      <w:r w:rsidRPr="00A83C94">
        <w:rPr>
          <w:rFonts w:eastAsia="Calibri"/>
          <w:b w:val="0"/>
          <w:szCs w:val="22"/>
          <w:lang w:val="hy-AM" w:eastAsia="en-US"/>
        </w:rPr>
        <w:softHyphen/>
        <w:t xml:space="preserve">վել են </w:t>
      </w:r>
      <w:r w:rsidRPr="00A83C94">
        <w:rPr>
          <w:rFonts w:eastAsia="Calibri"/>
          <w:b w:val="0"/>
          <w:szCs w:val="22"/>
          <w:lang w:val="fr-FR" w:eastAsia="en-US"/>
        </w:rPr>
        <w:t>89.6</w:t>
      </w:r>
      <w:r w:rsidRPr="00A83C94">
        <w:rPr>
          <w:rFonts w:eastAsia="Calibri"/>
          <w:b w:val="0"/>
          <w:color w:val="FF0000"/>
          <w:szCs w:val="22"/>
          <w:lang w:val="hy-AM" w:eastAsia="en-US"/>
        </w:rPr>
        <w:t xml:space="preserve">  </w:t>
      </w:r>
      <w:r w:rsidRPr="00A83C94">
        <w:rPr>
          <w:rFonts w:eastAsia="Calibri"/>
          <w:b w:val="0"/>
          <w:szCs w:val="22"/>
          <w:lang w:val="hy-AM" w:eastAsia="en-US"/>
        </w:rPr>
        <w:t>մլրդ դրամի չափով` 20</w:t>
      </w:r>
      <w:r w:rsidRPr="00A83C94">
        <w:rPr>
          <w:rFonts w:eastAsia="Calibri"/>
          <w:b w:val="0"/>
          <w:szCs w:val="22"/>
          <w:lang w:val="fr-FR" w:eastAsia="en-US"/>
        </w:rPr>
        <w:t>21</w:t>
      </w:r>
      <w:r w:rsidRPr="00A83C94">
        <w:rPr>
          <w:rFonts w:eastAsia="Calibri"/>
          <w:b w:val="0"/>
          <w:szCs w:val="22"/>
          <w:lang w:val="hy-AM" w:eastAsia="en-US"/>
        </w:rPr>
        <w:t xml:space="preserve"> թվականի համար հաստատված</w:t>
      </w:r>
      <w:r w:rsidRPr="00A83C94">
        <w:rPr>
          <w:rFonts w:eastAsia="Calibri"/>
          <w:b w:val="0"/>
          <w:szCs w:val="22"/>
          <w:vertAlign w:val="superscript"/>
          <w:lang w:val="hy-AM" w:eastAsia="en-US"/>
        </w:rPr>
        <w:footnoteReference w:id="21"/>
      </w:r>
      <w:r w:rsidRPr="00A83C94">
        <w:rPr>
          <w:rFonts w:eastAsia="Calibri"/>
          <w:b w:val="0"/>
          <w:szCs w:val="22"/>
          <w:lang w:val="hy-AM" w:eastAsia="en-US"/>
        </w:rPr>
        <w:t xml:space="preserve"> </w:t>
      </w:r>
      <w:r w:rsidRPr="00A83C94">
        <w:rPr>
          <w:rFonts w:eastAsia="Calibri"/>
          <w:b w:val="0"/>
          <w:szCs w:val="22"/>
          <w:lang w:val="fr-FR" w:eastAsia="en-US"/>
        </w:rPr>
        <w:t>48.2</w:t>
      </w:r>
      <w:r w:rsidRPr="00A83C94">
        <w:rPr>
          <w:rFonts w:eastAsia="Calibri"/>
          <w:b w:val="0"/>
          <w:szCs w:val="22"/>
          <w:lang w:val="hy-AM" w:eastAsia="en-US"/>
        </w:rPr>
        <w:t xml:space="preserve"> մլրդ դրամի և 20</w:t>
      </w:r>
      <w:r w:rsidRPr="00A83C94">
        <w:rPr>
          <w:rFonts w:eastAsia="Calibri"/>
          <w:b w:val="0"/>
          <w:szCs w:val="22"/>
          <w:lang w:val="fr-FR" w:eastAsia="en-US"/>
        </w:rPr>
        <w:t>20</w:t>
      </w:r>
      <w:r w:rsidRPr="00A83C94">
        <w:rPr>
          <w:rFonts w:eastAsia="Calibri"/>
          <w:b w:val="0"/>
          <w:szCs w:val="22"/>
          <w:lang w:val="hy-AM" w:eastAsia="en-US"/>
        </w:rPr>
        <w:t xml:space="preserve"> թվականին փաստացի ստացված</w:t>
      </w:r>
      <w:r w:rsidRPr="00A83C94">
        <w:rPr>
          <w:rFonts w:eastAsia="Calibri"/>
          <w:b w:val="0"/>
          <w:szCs w:val="22"/>
          <w:vertAlign w:val="superscript"/>
          <w:lang w:val="hy-AM" w:eastAsia="en-US"/>
        </w:rPr>
        <w:footnoteReference w:id="22"/>
      </w:r>
      <w:r w:rsidRPr="00A83C94">
        <w:rPr>
          <w:rFonts w:eastAsia="Calibri"/>
          <w:b w:val="0"/>
          <w:szCs w:val="22"/>
          <w:lang w:val="hy-AM" w:eastAsia="en-US"/>
        </w:rPr>
        <w:t xml:space="preserve"> </w:t>
      </w:r>
      <w:r w:rsidRPr="00A83C94">
        <w:rPr>
          <w:rFonts w:eastAsia="Calibri"/>
          <w:b w:val="0"/>
          <w:szCs w:val="22"/>
          <w:lang w:val="fr-FR" w:eastAsia="en-US"/>
        </w:rPr>
        <w:t>33.2</w:t>
      </w:r>
      <w:r w:rsidRPr="00A83C94">
        <w:rPr>
          <w:rFonts w:eastAsia="Calibri"/>
          <w:b w:val="0"/>
          <w:szCs w:val="22"/>
          <w:lang w:val="hy-AM" w:eastAsia="en-US"/>
        </w:rPr>
        <w:t xml:space="preserve"> մլրդ դրամի դիմաց:</w:t>
      </w:r>
    </w:p>
    <w:p w14:paraId="2B7FC7DA" w14:textId="77777777" w:rsidR="00AE2A75" w:rsidRPr="00A83C94" w:rsidRDefault="00AE2A75" w:rsidP="00AE2A75">
      <w:pPr>
        <w:spacing w:before="0" w:line="276" w:lineRule="auto"/>
        <w:ind w:firstLine="538"/>
        <w:rPr>
          <w:rFonts w:eastAsia="Calibri"/>
          <w:b w:val="0"/>
          <w:szCs w:val="22"/>
          <w:lang w:val="hy-AM" w:eastAsia="en-US"/>
        </w:rPr>
      </w:pPr>
      <w:r w:rsidRPr="00A83C94">
        <w:rPr>
          <w:rFonts w:eastAsia="Calibri"/>
          <w:b w:val="0"/>
          <w:szCs w:val="22"/>
          <w:lang w:val="hy-AM" w:eastAsia="en-US"/>
        </w:rPr>
        <w:t>Պետական տուրքերի գծով 2021 թվականի բյուջետային մուտքերի կանխատեսումները կա</w:t>
      </w:r>
      <w:r w:rsidRPr="00A83C94">
        <w:rPr>
          <w:rFonts w:eastAsia="Calibri"/>
          <w:b w:val="0"/>
          <w:szCs w:val="22"/>
          <w:lang w:val="hy-AM" w:eastAsia="en-US"/>
        </w:rPr>
        <w:softHyphen/>
      </w:r>
      <w:r w:rsidRPr="00A83C94">
        <w:rPr>
          <w:rFonts w:eastAsia="Calibri"/>
          <w:b w:val="0"/>
          <w:szCs w:val="22"/>
          <w:lang w:val="hy-AM" w:eastAsia="en-US"/>
        </w:rPr>
        <w:softHyphen/>
        <w:t>տար</w:t>
      </w:r>
      <w:r w:rsidRPr="00A83C94">
        <w:rPr>
          <w:rFonts w:eastAsia="Calibri"/>
          <w:b w:val="0"/>
          <w:szCs w:val="22"/>
          <w:lang w:val="hy-AM" w:eastAsia="en-US"/>
        </w:rPr>
        <w:softHyphen/>
        <w:t>վել են ըստ դրանց նախորդ տարիների փաստացի հավաքագրում</w:t>
      </w:r>
      <w:r w:rsidRPr="00A83C94">
        <w:rPr>
          <w:rFonts w:eastAsia="Calibri"/>
          <w:b w:val="0"/>
          <w:szCs w:val="22"/>
          <w:lang w:val="hy-AM" w:eastAsia="en-US"/>
        </w:rPr>
        <w:softHyphen/>
        <w:t>ների միտում</w:t>
      </w:r>
      <w:r w:rsidRPr="00A83C94">
        <w:rPr>
          <w:rFonts w:eastAsia="Calibri"/>
          <w:b w:val="0"/>
          <w:szCs w:val="22"/>
          <w:lang w:val="hy-AM" w:eastAsia="en-US"/>
        </w:rPr>
        <w:softHyphen/>
        <w:t>նե</w:t>
      </w:r>
      <w:r w:rsidRPr="00A83C94">
        <w:rPr>
          <w:rFonts w:eastAsia="Calibri"/>
          <w:b w:val="0"/>
          <w:szCs w:val="22"/>
          <w:lang w:val="hy-AM" w:eastAsia="en-US"/>
        </w:rPr>
        <w:softHyphen/>
        <w:t>րի, hաշ</w:t>
      </w:r>
      <w:r w:rsidRPr="00A83C94">
        <w:rPr>
          <w:rFonts w:eastAsia="Calibri"/>
          <w:b w:val="0"/>
          <w:szCs w:val="22"/>
          <w:lang w:val="hy-AM" w:eastAsia="en-US"/>
        </w:rPr>
        <w:softHyphen/>
      </w:r>
      <w:r w:rsidRPr="00A83C94">
        <w:rPr>
          <w:rFonts w:eastAsia="Calibri"/>
          <w:b w:val="0"/>
          <w:szCs w:val="22"/>
          <w:lang w:val="hy-AM" w:eastAsia="en-US"/>
        </w:rPr>
        <w:softHyphen/>
      </w:r>
      <w:r w:rsidRPr="00A83C94">
        <w:rPr>
          <w:rFonts w:eastAsia="Calibri"/>
          <w:b w:val="0"/>
          <w:szCs w:val="22"/>
          <w:lang w:val="hy-AM" w:eastAsia="en-US"/>
        </w:rPr>
        <w:softHyphen/>
      </w:r>
      <w:r w:rsidRPr="00A83C94">
        <w:rPr>
          <w:rFonts w:eastAsia="Calibri"/>
          <w:b w:val="0"/>
          <w:szCs w:val="22"/>
          <w:lang w:val="hy-AM" w:eastAsia="en-US"/>
        </w:rPr>
        <w:softHyphen/>
        <w:t>վի առ</w:t>
      </w:r>
      <w:r w:rsidRPr="00A83C94">
        <w:rPr>
          <w:rFonts w:eastAsia="Calibri"/>
          <w:b w:val="0"/>
          <w:szCs w:val="22"/>
          <w:lang w:val="hy-AM" w:eastAsia="en-US"/>
        </w:rPr>
        <w:softHyphen/>
        <w:t>նե</w:t>
      </w:r>
      <w:r w:rsidRPr="00A83C94">
        <w:rPr>
          <w:rFonts w:eastAsia="Calibri"/>
          <w:b w:val="0"/>
          <w:szCs w:val="22"/>
          <w:lang w:val="hy-AM" w:eastAsia="en-US"/>
        </w:rPr>
        <w:softHyphen/>
        <w:t>լով ՀՀ օրենսդրության մեջ կատարված առան</w:t>
      </w:r>
      <w:r w:rsidRPr="00A83C94">
        <w:rPr>
          <w:rFonts w:eastAsia="Calibri"/>
          <w:b w:val="0"/>
          <w:szCs w:val="22"/>
          <w:lang w:val="hy-AM" w:eastAsia="en-US"/>
        </w:rPr>
        <w:softHyphen/>
        <w:t>ձին փոփոխություններն ու լրա</w:t>
      </w:r>
      <w:r w:rsidRPr="00A83C94">
        <w:rPr>
          <w:rFonts w:eastAsia="Calibri"/>
          <w:b w:val="0"/>
          <w:szCs w:val="22"/>
          <w:lang w:val="hy-AM" w:eastAsia="en-US"/>
        </w:rPr>
        <w:softHyphen/>
      </w:r>
      <w:r w:rsidRPr="00A83C94">
        <w:rPr>
          <w:rFonts w:eastAsia="Calibri"/>
          <w:b w:val="0"/>
          <w:szCs w:val="22"/>
          <w:lang w:val="hy-AM" w:eastAsia="en-US"/>
        </w:rPr>
        <w:softHyphen/>
      </w:r>
      <w:r w:rsidRPr="00A83C94">
        <w:rPr>
          <w:rFonts w:eastAsia="Calibri"/>
          <w:b w:val="0"/>
          <w:szCs w:val="22"/>
          <w:lang w:val="hy-AM" w:eastAsia="en-US"/>
        </w:rPr>
        <w:softHyphen/>
        <w:t>ցում</w:t>
      </w:r>
      <w:r w:rsidRPr="00A83C94">
        <w:rPr>
          <w:rFonts w:eastAsia="Calibri"/>
          <w:b w:val="0"/>
          <w:szCs w:val="22"/>
          <w:lang w:val="hy-AM" w:eastAsia="en-US"/>
        </w:rPr>
        <w:softHyphen/>
      </w:r>
      <w:r w:rsidRPr="00A83C94">
        <w:rPr>
          <w:rFonts w:eastAsia="Calibri"/>
          <w:b w:val="0"/>
          <w:szCs w:val="22"/>
          <w:lang w:val="hy-AM" w:eastAsia="en-US"/>
        </w:rPr>
        <w:softHyphen/>
        <w:t>նե</w:t>
      </w:r>
      <w:r w:rsidRPr="00A83C94">
        <w:rPr>
          <w:rFonts w:eastAsia="Calibri"/>
          <w:b w:val="0"/>
          <w:szCs w:val="22"/>
          <w:lang w:val="hy-AM" w:eastAsia="en-US"/>
        </w:rPr>
        <w:softHyphen/>
        <w:t>րը, ինչ</w:t>
      </w:r>
      <w:r w:rsidRPr="00A83C94">
        <w:rPr>
          <w:rFonts w:eastAsia="Calibri"/>
          <w:b w:val="0"/>
          <w:szCs w:val="22"/>
          <w:lang w:val="hy-AM" w:eastAsia="en-US"/>
        </w:rPr>
        <w:softHyphen/>
        <w:t>պես նաև պետական տուրքի յուրաքանչյուր տեսակի առանձնա</w:t>
      </w:r>
      <w:r w:rsidRPr="00A83C94">
        <w:rPr>
          <w:rFonts w:eastAsia="Calibri"/>
          <w:b w:val="0"/>
          <w:szCs w:val="22"/>
          <w:lang w:val="hy-AM" w:eastAsia="en-US"/>
        </w:rPr>
        <w:softHyphen/>
        <w:t>հատ</w:t>
      </w:r>
      <w:r w:rsidRPr="00A83C94">
        <w:rPr>
          <w:rFonts w:eastAsia="Calibri"/>
          <w:b w:val="0"/>
          <w:szCs w:val="22"/>
          <w:lang w:val="hy-AM" w:eastAsia="en-US"/>
        </w:rPr>
        <w:softHyphen/>
        <w:t>կու</w:t>
      </w:r>
      <w:r w:rsidRPr="00A83C94">
        <w:rPr>
          <w:rFonts w:eastAsia="Calibri"/>
          <w:b w:val="0"/>
          <w:szCs w:val="22"/>
          <w:lang w:val="hy-AM" w:eastAsia="en-US"/>
        </w:rPr>
        <w:softHyphen/>
        <w:t>թյուն</w:t>
      </w:r>
      <w:r w:rsidRPr="00A83C94">
        <w:rPr>
          <w:rFonts w:eastAsia="Calibri"/>
          <w:b w:val="0"/>
          <w:szCs w:val="22"/>
          <w:lang w:val="hy-AM" w:eastAsia="en-US"/>
        </w:rPr>
        <w:softHyphen/>
      </w:r>
      <w:r w:rsidRPr="00A83C94">
        <w:rPr>
          <w:rFonts w:eastAsia="Calibri"/>
          <w:b w:val="0"/>
          <w:szCs w:val="22"/>
          <w:lang w:val="hy-AM" w:eastAsia="en-US"/>
        </w:rPr>
        <w:softHyphen/>
        <w:t>ները: Կորոնավիրուսային հիվանդության համաշխարհային համաճարակի պատճառով 202</w:t>
      </w:r>
      <w:r w:rsidRPr="00A83C94">
        <w:rPr>
          <w:rFonts w:eastAsia="Calibri"/>
          <w:b w:val="0"/>
          <w:szCs w:val="22"/>
          <w:lang w:val="fr-FR" w:eastAsia="en-US"/>
        </w:rPr>
        <w:t>1</w:t>
      </w:r>
      <w:r w:rsidRPr="00A83C94">
        <w:rPr>
          <w:rFonts w:eastAsia="Calibri"/>
          <w:b w:val="0"/>
          <w:szCs w:val="22"/>
          <w:lang w:val="hy-AM" w:eastAsia="en-US"/>
        </w:rPr>
        <w:t xml:space="preserve"> թվականին </w:t>
      </w:r>
      <w:r w:rsidRPr="00A83C94">
        <w:rPr>
          <w:rFonts w:eastAsia="Calibri"/>
          <w:b w:val="0"/>
          <w:szCs w:val="22"/>
          <w:lang w:val="en-US" w:eastAsia="en-US"/>
        </w:rPr>
        <w:t>շարունակվում</w:t>
      </w:r>
      <w:r w:rsidRPr="00A83C94">
        <w:rPr>
          <w:rFonts w:eastAsia="Calibri"/>
          <w:b w:val="0"/>
          <w:szCs w:val="22"/>
          <w:lang w:val="fr-FR" w:eastAsia="en-US"/>
        </w:rPr>
        <w:t xml:space="preserve"> </w:t>
      </w:r>
      <w:r w:rsidRPr="00A83C94">
        <w:rPr>
          <w:rFonts w:eastAsia="Calibri"/>
          <w:b w:val="0"/>
          <w:szCs w:val="22"/>
          <w:lang w:val="en-US" w:eastAsia="en-US"/>
        </w:rPr>
        <w:t>է</w:t>
      </w:r>
      <w:r w:rsidRPr="00A83C94">
        <w:rPr>
          <w:rFonts w:eastAsia="Calibri"/>
          <w:b w:val="0"/>
          <w:szCs w:val="22"/>
          <w:lang w:val="fr-FR" w:eastAsia="en-US"/>
        </w:rPr>
        <w:t xml:space="preserve"> </w:t>
      </w:r>
      <w:r w:rsidRPr="00A83C94">
        <w:rPr>
          <w:rFonts w:eastAsia="Calibri"/>
          <w:b w:val="0"/>
          <w:szCs w:val="22"/>
          <w:lang w:val="hy-AM" w:eastAsia="en-US"/>
        </w:rPr>
        <w:t>արձանագրվ</w:t>
      </w:r>
      <w:r w:rsidRPr="00A83C94">
        <w:rPr>
          <w:rFonts w:eastAsia="Calibri"/>
          <w:b w:val="0"/>
          <w:szCs w:val="22"/>
          <w:lang w:val="en-US" w:eastAsia="en-US"/>
        </w:rPr>
        <w:t>ել</w:t>
      </w:r>
      <w:r w:rsidRPr="00A83C94">
        <w:rPr>
          <w:rFonts w:eastAsia="Calibri"/>
          <w:b w:val="0"/>
          <w:szCs w:val="22"/>
          <w:lang w:val="hy-AM" w:eastAsia="en-US"/>
        </w:rPr>
        <w:t xml:space="preserve"> ցուցանիշների կրճատման միտում, որն</w:t>
      </w:r>
      <w:r w:rsidRPr="00A83C94">
        <w:rPr>
          <w:rFonts w:eastAsia="Calibri"/>
          <w:b w:val="0"/>
          <w:szCs w:val="22"/>
          <w:lang w:val="fr-FR" w:eastAsia="en-US"/>
        </w:rPr>
        <w:t xml:space="preserve">, </w:t>
      </w:r>
      <w:r w:rsidRPr="00A83C94">
        <w:rPr>
          <w:rFonts w:eastAsia="Calibri"/>
          <w:b w:val="0"/>
          <w:szCs w:val="22"/>
          <w:lang w:val="en-US" w:eastAsia="en-US"/>
        </w:rPr>
        <w:t>այլ</w:t>
      </w:r>
      <w:r w:rsidRPr="00A83C94">
        <w:rPr>
          <w:rFonts w:eastAsia="Calibri"/>
          <w:b w:val="0"/>
          <w:szCs w:val="22"/>
          <w:lang w:val="fr-FR" w:eastAsia="en-US"/>
        </w:rPr>
        <w:t xml:space="preserve"> </w:t>
      </w:r>
      <w:r w:rsidRPr="00A83C94">
        <w:rPr>
          <w:rFonts w:eastAsia="Calibri"/>
          <w:b w:val="0"/>
          <w:szCs w:val="22"/>
          <w:lang w:val="en-US" w:eastAsia="en-US"/>
        </w:rPr>
        <w:t>հավասար</w:t>
      </w:r>
      <w:r w:rsidRPr="00A83C94">
        <w:rPr>
          <w:rFonts w:eastAsia="Calibri"/>
          <w:b w:val="0"/>
          <w:szCs w:val="22"/>
          <w:lang w:val="fr-FR" w:eastAsia="en-US"/>
        </w:rPr>
        <w:t xml:space="preserve"> </w:t>
      </w:r>
      <w:r w:rsidRPr="00A83C94">
        <w:rPr>
          <w:rFonts w:eastAsia="Calibri"/>
          <w:b w:val="0"/>
          <w:szCs w:val="22"/>
          <w:lang w:val="en-US" w:eastAsia="en-US"/>
        </w:rPr>
        <w:t>պայմաններում</w:t>
      </w:r>
      <w:r w:rsidRPr="00A83C94">
        <w:rPr>
          <w:rFonts w:eastAsia="Calibri"/>
          <w:b w:val="0"/>
          <w:szCs w:val="22"/>
          <w:lang w:val="fr-FR" w:eastAsia="en-US"/>
        </w:rPr>
        <w:t xml:space="preserve">, </w:t>
      </w:r>
      <w:r w:rsidRPr="00A83C94">
        <w:rPr>
          <w:rFonts w:eastAsia="Calibri"/>
          <w:b w:val="0"/>
          <w:szCs w:val="22"/>
          <w:lang w:val="hy-AM" w:eastAsia="en-US"/>
        </w:rPr>
        <w:t>իր ազդե</w:t>
      </w:r>
      <w:r w:rsidRPr="00A83C94">
        <w:rPr>
          <w:rFonts w:eastAsia="Calibri"/>
          <w:b w:val="0"/>
          <w:szCs w:val="22"/>
          <w:lang w:val="hy-AM" w:eastAsia="en-US"/>
        </w:rPr>
        <w:softHyphen/>
        <w:t>ցությունն է թողնում 202</w:t>
      </w:r>
      <w:r w:rsidRPr="00A83C94">
        <w:rPr>
          <w:rFonts w:eastAsia="Calibri"/>
          <w:b w:val="0"/>
          <w:szCs w:val="22"/>
          <w:lang w:val="fr-FR" w:eastAsia="en-US"/>
        </w:rPr>
        <w:t>2</w:t>
      </w:r>
      <w:r w:rsidRPr="00A83C94">
        <w:rPr>
          <w:rFonts w:eastAsia="Calibri"/>
          <w:b w:val="0"/>
          <w:szCs w:val="22"/>
          <w:lang w:val="hy-AM" w:eastAsia="en-US"/>
        </w:rPr>
        <w:t xml:space="preserve"> թվականի կանխատեսումների վրա:</w:t>
      </w:r>
    </w:p>
    <w:p w14:paraId="6022B37C" w14:textId="77777777" w:rsidR="00AE2A75" w:rsidRPr="00A83C94" w:rsidRDefault="00AE2A75" w:rsidP="00AE2A75">
      <w:pPr>
        <w:spacing w:before="0" w:line="276" w:lineRule="auto"/>
        <w:ind w:firstLine="538"/>
        <w:rPr>
          <w:rFonts w:eastAsia="Calibri"/>
          <w:b w:val="0"/>
          <w:szCs w:val="22"/>
          <w:lang w:val="hy-AM" w:eastAsia="en-US"/>
        </w:rPr>
      </w:pPr>
      <w:r w:rsidRPr="00A83C94">
        <w:rPr>
          <w:rFonts w:eastAsia="Calibri"/>
          <w:b w:val="0"/>
          <w:szCs w:val="22"/>
          <w:lang w:val="hy-AM" w:eastAsia="en-US"/>
        </w:rPr>
        <w:t>Պետական տուրքի առանձին տեսակների («Պետական տուրքի մասին» ՀՀ օրենքով սահ</w:t>
      </w:r>
      <w:r w:rsidRPr="00A83C94">
        <w:rPr>
          <w:rFonts w:eastAsia="Calibri"/>
          <w:b w:val="0"/>
          <w:szCs w:val="22"/>
          <w:lang w:val="hy-AM" w:eastAsia="en-US"/>
        </w:rPr>
        <w:softHyphen/>
        <w:t>ման</w:t>
      </w:r>
      <w:r w:rsidRPr="00A83C94">
        <w:rPr>
          <w:rFonts w:eastAsia="Calibri"/>
          <w:b w:val="0"/>
          <w:szCs w:val="22"/>
          <w:lang w:val="hy-AM" w:eastAsia="en-US"/>
        </w:rPr>
        <w:softHyphen/>
        <w:t>ված հիմնական խմբերի) գծով 2021 թվականի բյուջետային մուտ</w:t>
      </w:r>
      <w:r w:rsidRPr="00A83C94">
        <w:rPr>
          <w:rFonts w:eastAsia="Calibri"/>
          <w:b w:val="0"/>
          <w:szCs w:val="22"/>
          <w:lang w:val="hy-AM" w:eastAsia="en-US"/>
        </w:rPr>
        <w:softHyphen/>
        <w:t>քե</w:t>
      </w:r>
      <w:r w:rsidRPr="00A83C94">
        <w:rPr>
          <w:rFonts w:eastAsia="Calibri"/>
          <w:b w:val="0"/>
          <w:szCs w:val="22"/>
          <w:lang w:val="hy-AM" w:eastAsia="en-US"/>
        </w:rPr>
        <w:softHyphen/>
        <w:t>րի կանխա</w:t>
      </w:r>
      <w:r w:rsidRPr="00A83C94">
        <w:rPr>
          <w:rFonts w:eastAsia="Calibri"/>
          <w:b w:val="0"/>
          <w:szCs w:val="22"/>
          <w:lang w:val="hy-AM" w:eastAsia="en-US"/>
        </w:rPr>
        <w:softHyphen/>
        <w:t>տեսում</w:t>
      </w:r>
      <w:r w:rsidRPr="00A83C94">
        <w:rPr>
          <w:rFonts w:eastAsia="Calibri"/>
          <w:b w:val="0"/>
          <w:szCs w:val="22"/>
          <w:lang w:val="hy-AM" w:eastAsia="en-US"/>
        </w:rPr>
        <w:softHyphen/>
        <w:t>նե</w:t>
      </w:r>
      <w:r w:rsidRPr="00A83C94">
        <w:rPr>
          <w:rFonts w:eastAsia="Calibri"/>
          <w:b w:val="0"/>
          <w:szCs w:val="22"/>
          <w:lang w:val="hy-AM" w:eastAsia="en-US"/>
        </w:rPr>
        <w:softHyphen/>
        <w:t>րը, հաշ</w:t>
      </w:r>
      <w:r w:rsidRPr="00A83C94">
        <w:rPr>
          <w:rFonts w:eastAsia="Calibri"/>
          <w:b w:val="0"/>
          <w:szCs w:val="22"/>
          <w:lang w:val="hy-AM" w:eastAsia="en-US"/>
        </w:rPr>
        <w:softHyphen/>
        <w:t>վարկման մեթոդների համառոտ նկարագրու</w:t>
      </w:r>
      <w:r w:rsidRPr="00A83C94">
        <w:rPr>
          <w:rFonts w:eastAsia="Calibri"/>
          <w:b w:val="0"/>
          <w:szCs w:val="22"/>
          <w:lang w:val="hy-AM" w:eastAsia="en-US"/>
        </w:rPr>
        <w:softHyphen/>
        <w:t>թյունը, ծրա</w:t>
      </w:r>
      <w:r w:rsidRPr="00A83C94">
        <w:rPr>
          <w:rFonts w:eastAsia="Calibri"/>
          <w:b w:val="0"/>
          <w:szCs w:val="22"/>
          <w:lang w:val="hy-AM" w:eastAsia="en-US"/>
        </w:rPr>
        <w:softHyphen/>
        <w:t>գրա</w:t>
      </w:r>
      <w:r w:rsidRPr="00A83C94">
        <w:rPr>
          <w:rFonts w:eastAsia="Calibri"/>
          <w:b w:val="0"/>
          <w:szCs w:val="22"/>
          <w:lang w:val="hy-AM" w:eastAsia="en-US"/>
        </w:rPr>
        <w:softHyphen/>
      </w:r>
      <w:r w:rsidRPr="00A83C94">
        <w:rPr>
          <w:rFonts w:eastAsia="Calibri"/>
          <w:b w:val="0"/>
          <w:szCs w:val="22"/>
          <w:lang w:val="hy-AM" w:eastAsia="en-US"/>
        </w:rPr>
        <w:softHyphen/>
        <w:t>յին և փաս</w:t>
      </w:r>
      <w:r w:rsidRPr="00A83C94">
        <w:rPr>
          <w:rFonts w:eastAsia="Calibri"/>
          <w:b w:val="0"/>
          <w:szCs w:val="22"/>
          <w:lang w:val="hy-AM" w:eastAsia="en-US"/>
        </w:rPr>
        <w:softHyphen/>
        <w:t>տա</w:t>
      </w:r>
      <w:r w:rsidRPr="00A83C94">
        <w:rPr>
          <w:rFonts w:eastAsia="Calibri"/>
          <w:b w:val="0"/>
          <w:szCs w:val="22"/>
          <w:lang w:val="hy-AM" w:eastAsia="en-US"/>
        </w:rPr>
        <w:softHyphen/>
        <w:t>ցի ցուցա</w:t>
      </w:r>
      <w:r w:rsidRPr="00A83C94">
        <w:rPr>
          <w:rFonts w:eastAsia="Calibri"/>
          <w:b w:val="0"/>
          <w:szCs w:val="22"/>
          <w:lang w:val="hy-AM" w:eastAsia="en-US"/>
        </w:rPr>
        <w:softHyphen/>
        <w:t>նիշների համեմատականները ներկայացվում են ստորև:</w:t>
      </w:r>
    </w:p>
    <w:p w14:paraId="2E4C8C37" w14:textId="77777777" w:rsidR="00AE2A75" w:rsidRPr="00A83C94" w:rsidRDefault="00AE2A75" w:rsidP="00AE2A75">
      <w:pPr>
        <w:spacing w:before="0" w:line="276" w:lineRule="auto"/>
        <w:ind w:firstLine="538"/>
        <w:rPr>
          <w:rFonts w:eastAsia="Calibri" w:cs="GHEA Grapalat"/>
          <w:b w:val="0"/>
          <w:szCs w:val="22"/>
          <w:lang w:val="hy-AM" w:eastAsia="en-US"/>
        </w:rPr>
      </w:pPr>
      <w:r w:rsidRPr="00A83C94">
        <w:rPr>
          <w:rFonts w:eastAsia="Calibri"/>
          <w:szCs w:val="22"/>
          <w:lang w:val="hy-AM" w:eastAsia="en-US"/>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r w:rsidRPr="00A83C94">
        <w:rPr>
          <w:rFonts w:eastAsia="Calibri"/>
          <w:bCs/>
          <w:szCs w:val="22"/>
          <w:lang w:val="hy-AM" w:eastAsia="en-US"/>
        </w:rPr>
        <w:t xml:space="preserve"> </w:t>
      </w:r>
      <w:r w:rsidRPr="00A83C94">
        <w:rPr>
          <w:rFonts w:eastAsia="Calibri"/>
          <w:b w:val="0"/>
          <w:szCs w:val="22"/>
          <w:lang w:val="hy-AM" w:eastAsia="en-US"/>
        </w:rPr>
        <w:t xml:space="preserve">գանձվող պետական տուրքերի գծով 2022 թվականի մուտքերը գնահատվել են  2021 թվականի սպասողական ցուցանիշի՝ </w:t>
      </w:r>
      <w:r w:rsidRPr="00A83C94">
        <w:rPr>
          <w:rFonts w:eastAsia="Calibri" w:cs="GHEA Grapalat"/>
          <w:b w:val="0"/>
          <w:szCs w:val="22"/>
          <w:lang w:val="hy-AM" w:eastAsia="en-US"/>
        </w:rPr>
        <w:t>2,118.9 մլն</w:t>
      </w:r>
      <w:r w:rsidRPr="00A83C94">
        <w:rPr>
          <w:rFonts w:eastAsia="Calibri"/>
          <w:b w:val="0"/>
          <w:szCs w:val="22"/>
          <w:lang w:val="hy-AM" w:eastAsia="en-US"/>
        </w:rPr>
        <w:t xml:space="preserve"> դրամի չափով` 2021 թվա</w:t>
      </w:r>
      <w:r w:rsidRPr="00A83C94">
        <w:rPr>
          <w:rFonts w:eastAsia="Calibri"/>
          <w:b w:val="0"/>
          <w:szCs w:val="22"/>
          <w:lang w:val="hy-AM" w:eastAsia="en-US"/>
        </w:rPr>
        <w:softHyphen/>
        <w:t>կանի համար հաս</w:t>
      </w:r>
      <w:r w:rsidRPr="00A83C94">
        <w:rPr>
          <w:rFonts w:eastAsia="Calibri"/>
          <w:b w:val="0"/>
          <w:szCs w:val="22"/>
          <w:lang w:val="hy-AM" w:eastAsia="en-US"/>
        </w:rPr>
        <w:softHyphen/>
        <w:t>տատ</w:t>
      </w:r>
      <w:r w:rsidRPr="00A83C94">
        <w:rPr>
          <w:rFonts w:eastAsia="Calibri"/>
          <w:b w:val="0"/>
          <w:szCs w:val="22"/>
          <w:lang w:val="hy-AM" w:eastAsia="en-US"/>
        </w:rPr>
        <w:softHyphen/>
        <w:t xml:space="preserve">ված </w:t>
      </w:r>
      <w:r w:rsidRPr="00A83C94">
        <w:rPr>
          <w:rFonts w:eastAsia="Calibri" w:cs="GHEA Grapalat"/>
          <w:b w:val="0"/>
          <w:szCs w:val="22"/>
          <w:lang w:val="hy-AM" w:eastAsia="en-US"/>
        </w:rPr>
        <w:t xml:space="preserve">2,098.7 </w:t>
      </w:r>
      <w:r w:rsidRPr="00A83C94">
        <w:rPr>
          <w:rFonts w:eastAsia="Calibri"/>
          <w:b w:val="0"/>
          <w:szCs w:val="22"/>
          <w:lang w:val="hy-AM" w:eastAsia="en-US"/>
        </w:rPr>
        <w:t>մլն դրամ և 2020 թվականի փաս</w:t>
      </w:r>
      <w:r w:rsidRPr="00A83C94">
        <w:rPr>
          <w:rFonts w:eastAsia="Calibri"/>
          <w:b w:val="0"/>
          <w:szCs w:val="22"/>
          <w:lang w:val="hy-AM" w:eastAsia="en-US"/>
        </w:rPr>
        <w:softHyphen/>
        <w:t>տա</w:t>
      </w:r>
      <w:r w:rsidRPr="00A83C94">
        <w:rPr>
          <w:rFonts w:eastAsia="Calibri"/>
          <w:b w:val="0"/>
          <w:szCs w:val="22"/>
          <w:lang w:val="hy-AM" w:eastAsia="en-US"/>
        </w:rPr>
        <w:softHyphen/>
        <w:t xml:space="preserve">ցի ստացված 1,052.5 մլն դրամի դիմաց: </w:t>
      </w:r>
      <w:r w:rsidRPr="00A83C94">
        <w:rPr>
          <w:rFonts w:eastAsia="Calibri" w:cs="GHEA Grapalat"/>
          <w:b w:val="0"/>
          <w:szCs w:val="22"/>
          <w:lang w:val="hy-AM" w:eastAsia="en-US"/>
        </w:rPr>
        <w:t xml:space="preserve">2021 թվականի սպասողական ցուցանիշը գնահատվել է 2021 թվականի առաջին 7 ամիսների  փաստացի մուտքերի նկատմամբ կիրառելով 2017-2019 թվականների տարեկան մուտքերում առաջին 7 ամիսների մուտքերի տեսակարար կշիռների միջինացված ցուցանիշը: </w:t>
      </w:r>
    </w:p>
    <w:p w14:paraId="49ABF099" w14:textId="77777777" w:rsidR="00AE2A75" w:rsidRPr="00A83C94" w:rsidRDefault="00AE2A75" w:rsidP="00AE2A75">
      <w:pPr>
        <w:spacing w:before="0" w:line="276" w:lineRule="auto"/>
        <w:ind w:firstLine="538"/>
        <w:rPr>
          <w:rFonts w:eastAsia="Calibri"/>
          <w:b w:val="0"/>
          <w:szCs w:val="22"/>
          <w:lang w:val="hy-AM" w:eastAsia="en-US"/>
        </w:rPr>
      </w:pPr>
      <w:r w:rsidRPr="00A83C94">
        <w:rPr>
          <w:rFonts w:eastAsia="Calibri"/>
          <w:szCs w:val="22"/>
          <w:lang w:val="hy-AM" w:eastAsia="en-US"/>
        </w:rPr>
        <w:t>Հայաստանի Հանրապետության քաղաքացիություն ստանալու և Հայաստանի Հան</w:t>
      </w:r>
      <w:r w:rsidRPr="00A83C94">
        <w:rPr>
          <w:rFonts w:eastAsia="Calibri"/>
          <w:szCs w:val="22"/>
          <w:lang w:val="hy-AM" w:eastAsia="en-US"/>
        </w:rPr>
        <w:softHyphen/>
        <w:t>րա</w:t>
      </w:r>
      <w:r w:rsidRPr="00A83C94">
        <w:rPr>
          <w:rFonts w:eastAsia="Calibri"/>
          <w:szCs w:val="22"/>
          <w:lang w:val="hy-AM" w:eastAsia="en-US"/>
        </w:rPr>
        <w:softHyphen/>
        <w:t>պե</w:t>
      </w:r>
      <w:r w:rsidRPr="00A83C94">
        <w:rPr>
          <w:rFonts w:eastAsia="Calibri"/>
          <w:szCs w:val="22"/>
          <w:lang w:val="hy-AM" w:eastAsia="en-US"/>
        </w:rPr>
        <w:softHyphen/>
      </w:r>
      <w:r w:rsidRPr="00A83C94">
        <w:rPr>
          <w:rFonts w:eastAsia="Calibri"/>
          <w:szCs w:val="22"/>
          <w:lang w:val="hy-AM" w:eastAsia="en-US"/>
        </w:rPr>
        <w:softHyphen/>
      </w:r>
      <w:r w:rsidRPr="00A83C94">
        <w:rPr>
          <w:rFonts w:eastAsia="Calibri"/>
          <w:szCs w:val="22"/>
          <w:lang w:val="hy-AM" w:eastAsia="en-US"/>
        </w:rPr>
        <w:softHyphen/>
        <w:t>տու</w:t>
      </w:r>
      <w:r w:rsidRPr="00A83C94">
        <w:rPr>
          <w:rFonts w:eastAsia="Calibri"/>
          <w:szCs w:val="22"/>
          <w:lang w:val="hy-AM" w:eastAsia="en-US"/>
        </w:rPr>
        <w:softHyphen/>
        <w:t>թյան քա</w:t>
      </w:r>
      <w:r w:rsidRPr="00A83C94">
        <w:rPr>
          <w:rFonts w:eastAsia="Calibri"/>
          <w:szCs w:val="22"/>
          <w:lang w:val="hy-AM" w:eastAsia="en-US"/>
        </w:rPr>
        <w:softHyphen/>
        <w:t>ղաքացիությունը փոփոխելու համար</w:t>
      </w:r>
      <w:r w:rsidRPr="00A83C94">
        <w:rPr>
          <w:rFonts w:eastAsia="Calibri"/>
          <w:b w:val="0"/>
          <w:szCs w:val="22"/>
          <w:lang w:val="hy-AM" w:eastAsia="en-US"/>
        </w:rPr>
        <w:t xml:space="preserve"> գանձվող պետական տուրքի գծով 2022 թվա</w:t>
      </w:r>
      <w:r w:rsidRPr="00A83C94">
        <w:rPr>
          <w:rFonts w:eastAsia="Calibri"/>
          <w:b w:val="0"/>
          <w:szCs w:val="22"/>
          <w:lang w:val="hy-AM" w:eastAsia="en-US"/>
        </w:rPr>
        <w:softHyphen/>
        <w:t>կանի մուտ</w:t>
      </w:r>
      <w:r w:rsidRPr="00A83C94">
        <w:rPr>
          <w:rFonts w:eastAsia="Calibri"/>
          <w:b w:val="0"/>
          <w:szCs w:val="22"/>
          <w:lang w:val="hy-AM" w:eastAsia="en-US"/>
        </w:rPr>
        <w:softHyphen/>
      </w:r>
      <w:r w:rsidRPr="00A83C94">
        <w:rPr>
          <w:rFonts w:eastAsia="Calibri"/>
          <w:b w:val="0"/>
          <w:szCs w:val="22"/>
          <w:lang w:val="hy-AM" w:eastAsia="en-US"/>
        </w:rPr>
        <w:softHyphen/>
        <w:t>քերը կան</w:t>
      </w:r>
      <w:r w:rsidRPr="00A83C94">
        <w:rPr>
          <w:rFonts w:eastAsia="Calibri"/>
          <w:b w:val="0"/>
          <w:szCs w:val="22"/>
          <w:lang w:val="hy-AM" w:eastAsia="en-US"/>
        </w:rPr>
        <w:softHyphen/>
        <w:t>խա</w:t>
      </w:r>
      <w:r w:rsidRPr="00A83C94">
        <w:rPr>
          <w:rFonts w:eastAsia="Calibri"/>
          <w:b w:val="0"/>
          <w:szCs w:val="22"/>
          <w:lang w:val="hy-AM" w:eastAsia="en-US"/>
        </w:rPr>
        <w:softHyphen/>
        <w:t>տես</w:t>
      </w:r>
      <w:r w:rsidRPr="00A83C94">
        <w:rPr>
          <w:rFonts w:eastAsia="Calibri"/>
          <w:b w:val="0"/>
          <w:szCs w:val="22"/>
          <w:lang w:val="hy-AM" w:eastAsia="en-US"/>
        </w:rPr>
        <w:softHyphen/>
        <w:t>վել են 2021 թվականի համար հաստատ</w:t>
      </w:r>
      <w:r w:rsidRPr="00A83C94">
        <w:rPr>
          <w:rFonts w:eastAsia="Calibri"/>
          <w:b w:val="0"/>
          <w:szCs w:val="22"/>
          <w:lang w:val="hy-AM" w:eastAsia="en-US"/>
        </w:rPr>
        <w:softHyphen/>
        <w:t xml:space="preserve">ված և </w:t>
      </w:r>
      <w:r w:rsidRPr="00A83C94">
        <w:rPr>
          <w:rFonts w:eastAsia="Calibri" w:cs="GHEA Grapalat"/>
          <w:b w:val="0"/>
          <w:szCs w:val="22"/>
          <w:lang w:val="hy-AM" w:eastAsia="en-US"/>
        </w:rPr>
        <w:t xml:space="preserve">փորձագիտական գնահատականով ներկայացված </w:t>
      </w:r>
      <w:r w:rsidRPr="00A83C94">
        <w:rPr>
          <w:rFonts w:eastAsia="Calibri"/>
          <w:b w:val="0"/>
          <w:szCs w:val="22"/>
          <w:lang w:val="hy-AM" w:eastAsia="en-US"/>
        </w:rPr>
        <w:t>141.0 մլն դրամի չա</w:t>
      </w:r>
      <w:r w:rsidRPr="00A83C94">
        <w:rPr>
          <w:rFonts w:eastAsia="Calibri"/>
          <w:b w:val="0"/>
          <w:szCs w:val="22"/>
          <w:lang w:val="hy-AM" w:eastAsia="en-US"/>
        </w:rPr>
        <w:softHyphen/>
        <w:t xml:space="preserve">փով` 2020 թվականին փաստացի ստացված 59.1 մլն դրամի դիմաց: </w:t>
      </w:r>
    </w:p>
    <w:p w14:paraId="6439F685" w14:textId="77777777" w:rsidR="00AE2A75" w:rsidRPr="00A83C94" w:rsidRDefault="00AE2A75" w:rsidP="00AE2A75">
      <w:pPr>
        <w:spacing w:line="276" w:lineRule="auto"/>
        <w:ind w:firstLine="284"/>
        <w:rPr>
          <w:rFonts w:eastAsia="Calibri"/>
          <w:b w:val="0"/>
          <w:szCs w:val="22"/>
          <w:lang w:val="hy-AM" w:eastAsia="en-US"/>
        </w:rPr>
      </w:pPr>
      <w:r w:rsidRPr="00A83C94">
        <w:rPr>
          <w:rFonts w:eastAsia="Calibri"/>
          <w:szCs w:val="22"/>
          <w:lang w:val="hy-AM" w:eastAsia="en-US"/>
        </w:rPr>
        <w:t xml:space="preserve">Հյուպատոսական ծառայությունների կամ գործողությունների </w:t>
      </w:r>
      <w:r w:rsidRPr="00A83C94">
        <w:rPr>
          <w:rFonts w:eastAsia="Calibri"/>
          <w:b w:val="0"/>
          <w:szCs w:val="22"/>
          <w:lang w:val="hy-AM" w:eastAsia="en-US"/>
        </w:rPr>
        <w:t>համար գանձվող պետա</w:t>
      </w:r>
      <w:r w:rsidRPr="00A83C94">
        <w:rPr>
          <w:rFonts w:eastAsia="Calibri"/>
          <w:b w:val="0"/>
          <w:szCs w:val="22"/>
          <w:lang w:val="hy-AM" w:eastAsia="en-US"/>
        </w:rPr>
        <w:softHyphen/>
        <w:t>կան տուր</w:t>
      </w:r>
      <w:r w:rsidRPr="00A83C94">
        <w:rPr>
          <w:rFonts w:eastAsia="Calibri"/>
          <w:b w:val="0"/>
          <w:szCs w:val="22"/>
          <w:lang w:val="hy-AM" w:eastAsia="en-US"/>
        </w:rPr>
        <w:softHyphen/>
        <w:t>քե</w:t>
      </w:r>
      <w:r w:rsidRPr="00A83C94">
        <w:rPr>
          <w:rFonts w:eastAsia="Calibri"/>
          <w:b w:val="0"/>
          <w:szCs w:val="22"/>
          <w:lang w:val="hy-AM" w:eastAsia="en-US"/>
        </w:rPr>
        <w:softHyphen/>
        <w:t xml:space="preserve">րի գծով 2022 թվականի մուտքերը կանխատեսվել են 2,413.8 մլն դրամի չափով՝ 2021 թվականի  համար հաստատված 1,775.2 մլն դրամի  և  2020 թվականին փաստացի ստացված 2,117.5 մլն դրամի դիմաց:  Պետական տուրքի այս տեսակի գծով 2022 թվականի  ցուցանիշը ծրագրվել է 2021 թվականի սպասողական մուտքերի  նկատմամբ կիրառելով փորձագիտական գնահատականով ներկայացված՝ 2021 թվականի սպասողական ցուցանիշի նկատմամբ 2022 թվականի նվազման միտումը` պայմանավորված վիզային ռեժիմների դյուրացման կամ վերացման գործընթացների շարունակականությամբ: 2021 թվականի սպասողական ցուցանիշը կանխատեսվել է 3,114.0 մլն դրամի չափով՝ որպես 2021 թվականի առաջին 7 ամիսների և 2020 թվականի վերջին 5 ամիսների փաստացի մուտքերի հանրագումար: 2020 թվականի ընթացքում կուտակված ու քաղաքացիների կողմից չիրականացված գործարքները իրականացվում են առավելապես 2021 թվականին: </w:t>
      </w:r>
    </w:p>
    <w:p w14:paraId="1EB33D76" w14:textId="77777777" w:rsidR="00AE2A75" w:rsidRPr="00A83C94" w:rsidRDefault="00AE2A75" w:rsidP="00AE2A75">
      <w:pPr>
        <w:tabs>
          <w:tab w:val="left" w:pos="0"/>
        </w:tabs>
        <w:spacing w:before="0" w:line="276" w:lineRule="auto"/>
        <w:rPr>
          <w:rFonts w:eastAsia="Calibri" w:cs="GHEA Grapalat"/>
          <w:b w:val="0"/>
          <w:szCs w:val="22"/>
          <w:lang w:val="hy-AM" w:eastAsia="en-US"/>
        </w:rPr>
      </w:pPr>
      <w:r w:rsidRPr="00A83C94">
        <w:rPr>
          <w:rFonts w:eastAsia="Calibri" w:cs="GHEA Grapalat"/>
          <w:szCs w:val="22"/>
          <w:lang w:val="hy-AM" w:eastAsia="en-US"/>
        </w:rPr>
        <w:t xml:space="preserve"> Պետական գրանցման համար</w:t>
      </w:r>
      <w:r w:rsidRPr="00A83C94">
        <w:rPr>
          <w:rFonts w:eastAsia="Calibri" w:cs="GHEA Grapalat"/>
          <w:b w:val="0"/>
          <w:szCs w:val="22"/>
          <w:lang w:val="hy-AM" w:eastAsia="en-US"/>
        </w:rPr>
        <w:t xml:space="preserve"> գանձվող պետական տուրքերի գծով 2022 թվա</w:t>
      </w:r>
      <w:r w:rsidRPr="00A83C94">
        <w:rPr>
          <w:rFonts w:eastAsia="Calibri" w:cs="GHEA Grapalat"/>
          <w:b w:val="0"/>
          <w:szCs w:val="22"/>
          <w:lang w:val="hy-AM" w:eastAsia="en-US"/>
        </w:rPr>
        <w:softHyphen/>
        <w:t>կա</w:t>
      </w:r>
      <w:r w:rsidRPr="00A83C94">
        <w:rPr>
          <w:rFonts w:eastAsia="Calibri" w:cs="GHEA Grapalat"/>
          <w:b w:val="0"/>
          <w:szCs w:val="22"/>
          <w:lang w:val="hy-AM" w:eastAsia="en-US"/>
        </w:rPr>
        <w:softHyphen/>
        <w:t>նի մուտ</w:t>
      </w:r>
      <w:r w:rsidRPr="00A83C94">
        <w:rPr>
          <w:rFonts w:eastAsia="Calibri" w:cs="GHEA Grapalat"/>
          <w:b w:val="0"/>
          <w:szCs w:val="22"/>
          <w:lang w:val="hy-AM" w:eastAsia="en-US"/>
        </w:rPr>
        <w:softHyphen/>
      </w:r>
      <w:r w:rsidRPr="00A83C94">
        <w:rPr>
          <w:rFonts w:eastAsia="Calibri" w:cs="GHEA Grapalat"/>
          <w:b w:val="0"/>
          <w:szCs w:val="22"/>
          <w:lang w:val="hy-AM" w:eastAsia="en-US"/>
        </w:rPr>
        <w:softHyphen/>
        <w:t>քերը կանխատեսվել են 5,320.4</w:t>
      </w:r>
      <w:r w:rsidRPr="00A83C94">
        <w:rPr>
          <w:rFonts w:eastAsia="Calibri" w:cs="GHEA Grapalat"/>
          <w:b w:val="0"/>
          <w:color w:val="FF0000"/>
          <w:szCs w:val="22"/>
          <w:lang w:val="hy-AM" w:eastAsia="en-US"/>
        </w:rPr>
        <w:t xml:space="preserve"> </w:t>
      </w:r>
      <w:r w:rsidRPr="00A83C94">
        <w:rPr>
          <w:rFonts w:eastAsia="Calibri" w:cs="GHEA Grapalat"/>
          <w:b w:val="0"/>
          <w:szCs w:val="22"/>
          <w:lang w:val="hy-AM" w:eastAsia="en-US"/>
        </w:rPr>
        <w:t>մլն դրամի չափով` 2021 թվա</w:t>
      </w:r>
      <w:r w:rsidRPr="00A83C94">
        <w:rPr>
          <w:rFonts w:eastAsia="Calibri" w:cs="GHEA Grapalat"/>
          <w:b w:val="0"/>
          <w:szCs w:val="22"/>
          <w:lang w:val="hy-AM" w:eastAsia="en-US"/>
        </w:rPr>
        <w:softHyphen/>
        <w:t>կանի համար հաստատ</w:t>
      </w:r>
      <w:r w:rsidRPr="00A83C94">
        <w:rPr>
          <w:rFonts w:eastAsia="Calibri" w:cs="GHEA Grapalat"/>
          <w:b w:val="0"/>
          <w:szCs w:val="22"/>
          <w:lang w:val="hy-AM" w:eastAsia="en-US"/>
        </w:rPr>
        <w:softHyphen/>
        <w:t>ված 6,176.1 մլն դրամի և 2020 թվականին փաս</w:t>
      </w:r>
      <w:r w:rsidRPr="00A83C94">
        <w:rPr>
          <w:rFonts w:eastAsia="Calibri" w:cs="GHEA Grapalat"/>
          <w:b w:val="0"/>
          <w:szCs w:val="22"/>
          <w:lang w:val="hy-AM" w:eastAsia="en-US"/>
        </w:rPr>
        <w:softHyphen/>
        <w:t>տացի ստացված 4,552,9 մլն դրամի դիմաց: Հարկ է նշել ,որ լիցենզառուներին տրանսպորտային միջոցների պարտադիր տեխնիկական զննության համապատասխան նմուշի փաստաթուղթ  ( տեխզննման կտրոն ) տրամադրելու պահանջը 20.01.2021թ. «Ճանապարհային երթևեկության անվտանգության ապահովման մասին»</w:t>
      </w:r>
      <w:r w:rsidRPr="00A83C94">
        <w:rPr>
          <w:rFonts w:ascii="Calibri" w:eastAsia="Calibri" w:hAnsi="Calibri" w:cs="Calibri"/>
          <w:b w:val="0"/>
          <w:szCs w:val="22"/>
          <w:lang w:val="hy-AM" w:eastAsia="en-US"/>
        </w:rPr>
        <w:t> </w:t>
      </w:r>
      <w:r w:rsidRPr="00A83C94">
        <w:rPr>
          <w:rFonts w:eastAsia="Calibri" w:cs="GHEA Grapalat"/>
          <w:b w:val="0"/>
          <w:szCs w:val="22"/>
          <w:lang w:val="hy-AM" w:eastAsia="en-US"/>
        </w:rPr>
        <w:t xml:space="preserve">օրենքում փոփոխություններ կատարելու մասին» ՀՕ-58-Ն օրենքով 2021 թվականի օգոստոսի 16-ից հանվել է, որով պայմանավորված պետական տուրքի համապատասխան տեսակի գծով 2022 թվականի համար կանխատեսումներ չեն կատարվել: Նշված եկամտատեսակի գծով 2021 թվականի հաստատված ցուցանիշը 1,220.0 մլն դրամ է, իսկ 2020 թվականի փաստացին՝ 1,078.3 մլն դրամ: </w:t>
      </w:r>
    </w:p>
    <w:p w14:paraId="5D4995FB" w14:textId="77777777" w:rsidR="00AE2A75" w:rsidRPr="00A83C94" w:rsidRDefault="00AE2A75" w:rsidP="00AE2A75">
      <w:pPr>
        <w:tabs>
          <w:tab w:val="left" w:pos="0"/>
          <w:tab w:val="left" w:pos="1080"/>
        </w:tabs>
        <w:spacing w:before="0" w:line="276" w:lineRule="auto"/>
        <w:rPr>
          <w:rFonts w:eastAsia="Calibri" w:cs="GHEA Grapalat"/>
          <w:b w:val="0"/>
          <w:szCs w:val="22"/>
          <w:lang w:val="hy-AM" w:eastAsia="en-US"/>
        </w:rPr>
      </w:pPr>
      <w:r w:rsidRPr="00A83C94">
        <w:rPr>
          <w:rFonts w:eastAsia="Calibri" w:cs="GHEA Grapalat"/>
          <w:b w:val="0"/>
          <w:szCs w:val="22"/>
          <w:lang w:val="hy-AM" w:eastAsia="en-US"/>
        </w:rPr>
        <w:t>Պետական գրանցման համար գանձվող պետական տուրքերի գերակշռող մասը՝ 92.9 %-ը կամ 4,941.6 մլն դրամը 2022 թվականին ապահովվելու է պետական տուրքի հետև</w:t>
      </w:r>
      <w:r w:rsidRPr="00A83C94">
        <w:rPr>
          <w:rFonts w:eastAsia="Calibri" w:cs="GHEA Grapalat"/>
          <w:b w:val="0"/>
          <w:szCs w:val="22"/>
          <w:lang w:val="hy-AM" w:eastAsia="en-US"/>
        </w:rPr>
        <w:softHyphen/>
        <w:t>յալ 3</w:t>
      </w:r>
      <w:r w:rsidRPr="00A83C94">
        <w:rPr>
          <w:rFonts w:eastAsia="Calibri" w:cs="GHEA Grapalat"/>
          <w:b w:val="0"/>
          <w:color w:val="FF0000"/>
          <w:szCs w:val="22"/>
          <w:lang w:val="hy-AM" w:eastAsia="en-US"/>
        </w:rPr>
        <w:t xml:space="preserve"> </w:t>
      </w:r>
      <w:r w:rsidRPr="00A83C94">
        <w:rPr>
          <w:rFonts w:eastAsia="Calibri" w:cs="GHEA Grapalat"/>
          <w:b w:val="0"/>
          <w:szCs w:val="22"/>
          <w:lang w:val="hy-AM" w:eastAsia="en-US"/>
        </w:rPr>
        <w:t xml:space="preserve">խմբերի հաշվին՝ </w:t>
      </w:r>
    </w:p>
    <w:p w14:paraId="6B0BAE46" w14:textId="77777777" w:rsidR="00AE2A75" w:rsidRPr="00A83C94" w:rsidRDefault="00AE2A75" w:rsidP="00786462">
      <w:pPr>
        <w:pStyle w:val="ListParagraph"/>
        <w:widowControl w:val="0"/>
        <w:numPr>
          <w:ilvl w:val="0"/>
          <w:numId w:val="45"/>
        </w:numPr>
        <w:tabs>
          <w:tab w:val="left" w:pos="360"/>
        </w:tabs>
        <w:spacing w:before="0" w:line="276" w:lineRule="auto"/>
        <w:ind w:left="0" w:firstLine="0"/>
        <w:rPr>
          <w:rFonts w:eastAsia="Calibri" w:cs="Sylfaen"/>
          <w:b w:val="0"/>
          <w:szCs w:val="22"/>
          <w:lang w:val="af-ZA"/>
        </w:rPr>
      </w:pPr>
      <w:r w:rsidRPr="00A83C94">
        <w:rPr>
          <w:rFonts w:eastAsia="Calibri" w:cs="Sylfaen"/>
          <w:b w:val="0"/>
          <w:szCs w:val="22"/>
          <w:lang w:val="af-ZA"/>
        </w:rPr>
        <w:t>ավտոմեքենայի պետական համարանիշ տալու, գյու</w:t>
      </w:r>
      <w:r w:rsidRPr="00A83C94">
        <w:rPr>
          <w:rFonts w:eastAsia="Calibri" w:cs="Sylfaen"/>
          <w:b w:val="0"/>
          <w:szCs w:val="22"/>
          <w:lang w:val="af-ZA"/>
        </w:rPr>
        <w:softHyphen/>
      </w:r>
      <w:r w:rsidRPr="00A83C94">
        <w:rPr>
          <w:rFonts w:eastAsia="Calibri" w:cs="Sylfaen"/>
          <w:b w:val="0"/>
          <w:szCs w:val="22"/>
          <w:lang w:val="af-ZA"/>
        </w:rPr>
        <w:softHyphen/>
      </w:r>
      <w:r w:rsidRPr="00A83C94">
        <w:rPr>
          <w:rFonts w:eastAsia="Calibri" w:cs="Sylfaen"/>
          <w:b w:val="0"/>
          <w:szCs w:val="22"/>
          <w:lang w:val="af-ZA"/>
        </w:rPr>
        <w:softHyphen/>
        <w:t>ղա</w:t>
      </w:r>
      <w:r w:rsidRPr="00A83C94">
        <w:rPr>
          <w:rFonts w:eastAsia="Calibri" w:cs="Sylfaen"/>
          <w:b w:val="0"/>
          <w:szCs w:val="22"/>
          <w:lang w:val="af-ZA"/>
        </w:rPr>
        <w:softHyphen/>
        <w:t>տն</w:t>
      </w:r>
      <w:r w:rsidRPr="00A83C94">
        <w:rPr>
          <w:rFonts w:eastAsia="Calibri" w:cs="Sylfaen"/>
          <w:b w:val="0"/>
          <w:szCs w:val="22"/>
          <w:lang w:val="af-ZA"/>
        </w:rPr>
        <w:softHyphen/>
        <w:t>տե</w:t>
      </w:r>
      <w:r w:rsidRPr="00A83C94">
        <w:rPr>
          <w:rFonts w:eastAsia="Calibri" w:cs="Sylfaen"/>
          <w:b w:val="0"/>
          <w:szCs w:val="22"/>
          <w:lang w:val="af-ZA"/>
        </w:rPr>
        <w:softHyphen/>
      </w:r>
      <w:r w:rsidRPr="00A83C94">
        <w:rPr>
          <w:rFonts w:eastAsia="Calibri" w:cs="Sylfaen"/>
          <w:b w:val="0"/>
          <w:szCs w:val="22"/>
          <w:lang w:val="af-ZA"/>
        </w:rPr>
        <w:softHyphen/>
        <w:t>սական ինքնագնաց մեքե</w:t>
      </w:r>
      <w:r w:rsidRPr="00A83C94">
        <w:rPr>
          <w:rFonts w:eastAsia="Calibri" w:cs="Sylfaen"/>
          <w:b w:val="0"/>
          <w:szCs w:val="22"/>
          <w:lang w:val="af-ZA"/>
        </w:rPr>
        <w:softHyphen/>
        <w:t>նա</w:t>
      </w:r>
      <w:r w:rsidRPr="00A83C94">
        <w:rPr>
          <w:rFonts w:eastAsia="Calibri" w:cs="Sylfaen"/>
          <w:b w:val="0"/>
          <w:szCs w:val="22"/>
          <w:lang w:val="af-ZA"/>
        </w:rPr>
        <w:softHyphen/>
        <w:t>ների գրանցման, ինչպես նաև պետական համարանիշ տալու և կորցրածը վերականգնելու համար գանձվող պետական տուրքեր, որոնց գծով 2022 թվա</w:t>
      </w:r>
      <w:r w:rsidRPr="00A83C94">
        <w:rPr>
          <w:rFonts w:eastAsia="Calibri" w:cs="Sylfaen"/>
          <w:b w:val="0"/>
          <w:szCs w:val="22"/>
          <w:lang w:val="af-ZA"/>
        </w:rPr>
        <w:softHyphen/>
        <w:t>կա</w:t>
      </w:r>
      <w:r w:rsidRPr="00A83C94">
        <w:rPr>
          <w:rFonts w:eastAsia="Calibri" w:cs="Sylfaen"/>
          <w:b w:val="0"/>
          <w:szCs w:val="22"/>
          <w:lang w:val="af-ZA"/>
        </w:rPr>
        <w:softHyphen/>
        <w:t>նի մուտքերը ծրա</w:t>
      </w:r>
      <w:r w:rsidRPr="00A83C94">
        <w:rPr>
          <w:rFonts w:eastAsia="Calibri" w:cs="Sylfaen"/>
          <w:b w:val="0"/>
          <w:szCs w:val="22"/>
          <w:lang w:val="af-ZA"/>
        </w:rPr>
        <w:softHyphen/>
        <w:t>գր</w:t>
      </w:r>
      <w:r w:rsidRPr="00A83C94">
        <w:rPr>
          <w:rFonts w:eastAsia="Calibri" w:cs="Sylfaen"/>
          <w:b w:val="0"/>
          <w:szCs w:val="22"/>
          <w:lang w:val="af-ZA"/>
        </w:rPr>
        <w:softHyphen/>
        <w:t>վել են  2021 թվա</w:t>
      </w:r>
      <w:r w:rsidRPr="00A83C94">
        <w:rPr>
          <w:rFonts w:eastAsia="Calibri" w:cs="Sylfaen"/>
          <w:b w:val="0"/>
          <w:szCs w:val="22"/>
          <w:lang w:val="af-ZA"/>
        </w:rPr>
        <w:softHyphen/>
      </w:r>
      <w:r w:rsidRPr="00A83C94">
        <w:rPr>
          <w:rFonts w:eastAsia="Calibri" w:cs="Sylfaen"/>
          <w:b w:val="0"/>
          <w:szCs w:val="22"/>
          <w:lang w:val="af-ZA"/>
        </w:rPr>
        <w:softHyphen/>
      </w:r>
      <w:r w:rsidRPr="00A83C94">
        <w:rPr>
          <w:rFonts w:eastAsia="Calibri" w:cs="Sylfaen"/>
          <w:b w:val="0"/>
          <w:szCs w:val="22"/>
          <w:lang w:val="af-ZA"/>
        </w:rPr>
        <w:softHyphen/>
        <w:t>կանի հաս</w:t>
      </w:r>
      <w:r w:rsidRPr="00A83C94">
        <w:rPr>
          <w:rFonts w:eastAsia="Calibri" w:cs="Sylfaen"/>
          <w:b w:val="0"/>
          <w:szCs w:val="22"/>
          <w:lang w:val="af-ZA"/>
        </w:rPr>
        <w:softHyphen/>
        <w:t>տատված 2,401.5 մլն դրամի չափով (պետական գրանցումից 2022 թվա</w:t>
      </w:r>
      <w:r w:rsidRPr="00A83C94">
        <w:rPr>
          <w:rFonts w:eastAsia="Calibri" w:cs="Sylfaen"/>
          <w:b w:val="0"/>
          <w:szCs w:val="22"/>
          <w:lang w:val="af-ZA"/>
        </w:rPr>
        <w:softHyphen/>
        <w:t>կա</w:t>
      </w:r>
      <w:r w:rsidRPr="00A83C94">
        <w:rPr>
          <w:rFonts w:eastAsia="Calibri" w:cs="Sylfaen"/>
          <w:b w:val="0"/>
          <w:szCs w:val="22"/>
          <w:lang w:val="af-ZA"/>
        </w:rPr>
        <w:softHyphen/>
        <w:t>նի պե</w:t>
      </w:r>
      <w:r w:rsidRPr="00A83C94">
        <w:rPr>
          <w:rFonts w:eastAsia="Calibri" w:cs="Sylfaen"/>
          <w:b w:val="0"/>
          <w:szCs w:val="22"/>
          <w:lang w:val="af-ZA"/>
        </w:rPr>
        <w:softHyphen/>
        <w:t>տական տուրքերի կան</w:t>
      </w:r>
      <w:r w:rsidRPr="00A83C94">
        <w:rPr>
          <w:rFonts w:eastAsia="Calibri" w:cs="Sylfaen"/>
          <w:b w:val="0"/>
          <w:szCs w:val="22"/>
          <w:lang w:val="af-ZA"/>
        </w:rPr>
        <w:softHyphen/>
        <w:t>խա</w:t>
      </w:r>
      <w:r w:rsidRPr="00A83C94">
        <w:rPr>
          <w:rFonts w:eastAsia="Calibri" w:cs="Sylfaen"/>
          <w:b w:val="0"/>
          <w:szCs w:val="22"/>
          <w:lang w:val="af-ZA"/>
        </w:rPr>
        <w:softHyphen/>
        <w:t>տես</w:t>
      </w:r>
      <w:r w:rsidRPr="00A83C94">
        <w:rPr>
          <w:rFonts w:eastAsia="Calibri" w:cs="Sylfaen"/>
          <w:b w:val="0"/>
          <w:szCs w:val="22"/>
          <w:lang w:val="af-ZA"/>
        </w:rPr>
        <w:softHyphen/>
        <w:t>վող մուտքերի ամբողջ ծավալի 45.1%-ը)` 2020 թվա</w:t>
      </w:r>
      <w:r w:rsidRPr="00A83C94">
        <w:rPr>
          <w:rFonts w:eastAsia="Calibri" w:cs="Sylfaen"/>
          <w:b w:val="0"/>
          <w:szCs w:val="22"/>
          <w:lang w:val="af-ZA"/>
        </w:rPr>
        <w:softHyphen/>
        <w:t>կանի փաստացի  ստացված  1,478.2 մլն դրամի դիմաց: Հարկ է նշել, որ պետական տուրքի նշված տեսակի մուտքերի 2021 թվականի սպասողական ցուցանիշը պետական համարանիշերի պահանջարկի ավելացման արդյունք է՝ պայմանավորված այն հանգամանքով, որ ներկայումս առկա է ՀՀ ներկրված և դեռևս չհաշվառված որոշակի թվով ավտոտրանսպորտային միջոցներ, որոնց հաշվառումն ամենայն հավանականությամբ կավարտվի ընթացիկ տարում: Միաժամանակ գնալով նվազում է մեծ պահանջարկ ունեցող հաշվառման համարանիշեր ձեռք բերելու պահանջարկը, քանի որ  հետաքրքրություն ներկայացնող համարանիշերը գրեթե սպառվել են: Նշված պահանջարկը բարձրացնելու նպատակ է հետապնդում  ս.թ.հունիսի 24-ի  N 1033-Ն որոշման  ընդունումը,  համաձայն որի հաշվառման համարանիշերը թողարկվելու են 8 նոր տառերով: Պետական տուրքի այս և հաջորդ տեսակի գծով մուտքերը կանխատեսվել են փորձագիտական գնահատականների չափով: ԸՆդ որում, 2020 թվականին թերակատարումը պայմանավորված է COVID-19-ի հետ կապված ՀՀ–ում հայտարարված արտակարգ դրության ընթացքում ՀՀ ոստի</w:t>
      </w:r>
      <w:r w:rsidRPr="00A83C94">
        <w:rPr>
          <w:rFonts w:eastAsia="Calibri" w:cs="Sylfaen"/>
          <w:b w:val="0"/>
          <w:szCs w:val="22"/>
          <w:lang w:val="af-ZA"/>
        </w:rPr>
        <w:softHyphen/>
        <w:t>կա</w:t>
      </w:r>
      <w:r w:rsidRPr="00A83C94">
        <w:rPr>
          <w:rFonts w:eastAsia="Calibri" w:cs="Sylfaen"/>
          <w:b w:val="0"/>
          <w:szCs w:val="22"/>
          <w:lang w:val="af-ZA"/>
        </w:rPr>
        <w:softHyphen/>
      </w:r>
      <w:r w:rsidRPr="00A83C94">
        <w:rPr>
          <w:rFonts w:eastAsia="Calibri" w:cs="Sylfaen"/>
          <w:b w:val="0"/>
          <w:szCs w:val="22"/>
          <w:lang w:val="af-ZA"/>
        </w:rPr>
        <w:softHyphen/>
        <w:t>նության  ՃՈ հաշվառման քննական ստորաբաժանումների սահմանա</w:t>
      </w:r>
      <w:r w:rsidRPr="00A83C94">
        <w:rPr>
          <w:rFonts w:eastAsia="Calibri" w:cs="Sylfaen"/>
          <w:b w:val="0"/>
          <w:szCs w:val="22"/>
          <w:lang w:val="af-ZA"/>
        </w:rPr>
        <w:softHyphen/>
        <w:t xml:space="preserve">փակ աշխատանքային ռեժիմով: </w:t>
      </w:r>
    </w:p>
    <w:p w14:paraId="3A29A971" w14:textId="77777777" w:rsidR="00AE2A75" w:rsidRPr="00A83C94" w:rsidRDefault="00AE2A75" w:rsidP="00786462">
      <w:pPr>
        <w:pStyle w:val="ListParagraph"/>
        <w:widowControl w:val="0"/>
        <w:numPr>
          <w:ilvl w:val="0"/>
          <w:numId w:val="45"/>
        </w:numPr>
        <w:tabs>
          <w:tab w:val="left" w:pos="360"/>
        </w:tabs>
        <w:spacing w:before="0" w:line="276" w:lineRule="auto"/>
        <w:ind w:left="0" w:firstLine="0"/>
        <w:rPr>
          <w:rFonts w:eastAsia="Calibri" w:cs="Sylfaen"/>
          <w:b w:val="0"/>
          <w:szCs w:val="22"/>
          <w:lang w:val="af-ZA"/>
        </w:rPr>
      </w:pPr>
      <w:r w:rsidRPr="00A83C94">
        <w:rPr>
          <w:rFonts w:eastAsia="Calibri" w:cs="Sylfaen"/>
          <w:b w:val="0"/>
          <w:szCs w:val="22"/>
          <w:lang w:val="af-ZA"/>
        </w:rPr>
        <w:t>ավտոմեքենայի (մոտոցիկլետի) տեխնիկական անձնագիր (գրանցման վկա</w:t>
      </w:r>
      <w:r w:rsidRPr="00A83C94">
        <w:rPr>
          <w:rFonts w:eastAsia="Calibri" w:cs="Sylfaen"/>
          <w:b w:val="0"/>
          <w:szCs w:val="22"/>
          <w:lang w:val="af-ZA"/>
        </w:rPr>
        <w:softHyphen/>
        <w:t>յա</w:t>
      </w:r>
      <w:r w:rsidRPr="00A83C94">
        <w:rPr>
          <w:rFonts w:eastAsia="Calibri" w:cs="Sylfaen"/>
          <w:b w:val="0"/>
          <w:szCs w:val="22"/>
          <w:lang w:val="af-ZA"/>
        </w:rPr>
        <w:softHyphen/>
        <w:t>կան) տա</w:t>
      </w:r>
      <w:r w:rsidRPr="00A83C94">
        <w:rPr>
          <w:rFonts w:eastAsia="Calibri" w:cs="Sylfaen"/>
          <w:b w:val="0"/>
          <w:szCs w:val="22"/>
          <w:lang w:val="af-ZA"/>
        </w:rPr>
        <w:softHyphen/>
        <w:t>լու հա</w:t>
      </w:r>
      <w:r w:rsidRPr="00A83C94">
        <w:rPr>
          <w:rFonts w:eastAsia="Calibri" w:cs="Sylfaen"/>
          <w:b w:val="0"/>
          <w:szCs w:val="22"/>
          <w:lang w:val="af-ZA"/>
        </w:rPr>
        <w:softHyphen/>
        <w:t>մար գանձ</w:t>
      </w:r>
      <w:r w:rsidRPr="00A83C94">
        <w:rPr>
          <w:rFonts w:eastAsia="Calibri" w:cs="Sylfaen"/>
          <w:b w:val="0"/>
          <w:szCs w:val="22"/>
          <w:lang w:val="af-ZA"/>
        </w:rPr>
        <w:softHyphen/>
      </w:r>
      <w:r w:rsidRPr="00A83C94">
        <w:rPr>
          <w:rFonts w:eastAsia="Calibri" w:cs="Sylfaen"/>
          <w:b w:val="0"/>
          <w:szCs w:val="22"/>
          <w:lang w:val="af-ZA"/>
        </w:rPr>
        <w:softHyphen/>
        <w:t>վող պե</w:t>
      </w:r>
      <w:r w:rsidRPr="00A83C94">
        <w:rPr>
          <w:rFonts w:eastAsia="Calibri" w:cs="Sylfaen"/>
          <w:b w:val="0"/>
          <w:szCs w:val="22"/>
          <w:lang w:val="af-ZA"/>
        </w:rPr>
        <w:softHyphen/>
        <w:t>տական տուրքեր, որոնց գծով 2022 թվականի մուտքերը ծրագրվել են 2021 թվա</w:t>
      </w:r>
      <w:r w:rsidRPr="00A83C94">
        <w:rPr>
          <w:rFonts w:eastAsia="Calibri" w:cs="Sylfaen"/>
          <w:b w:val="0"/>
          <w:szCs w:val="22"/>
          <w:lang w:val="af-ZA"/>
        </w:rPr>
        <w:softHyphen/>
      </w:r>
      <w:r w:rsidRPr="00A83C94">
        <w:rPr>
          <w:rFonts w:eastAsia="Calibri" w:cs="Sylfaen"/>
          <w:b w:val="0"/>
          <w:szCs w:val="22"/>
          <w:lang w:val="af-ZA"/>
        </w:rPr>
        <w:softHyphen/>
      </w:r>
      <w:r w:rsidRPr="00A83C94">
        <w:rPr>
          <w:rFonts w:eastAsia="Calibri" w:cs="Sylfaen"/>
          <w:b w:val="0"/>
          <w:szCs w:val="22"/>
          <w:lang w:val="af-ZA"/>
        </w:rPr>
        <w:softHyphen/>
        <w:t>կանի հաստատված 1,200.0 մլն դրա</w:t>
      </w:r>
      <w:r w:rsidRPr="00A83C94">
        <w:rPr>
          <w:rFonts w:eastAsia="Calibri" w:cs="Sylfaen"/>
          <w:b w:val="0"/>
          <w:szCs w:val="22"/>
          <w:lang w:val="af-ZA"/>
        </w:rPr>
        <w:softHyphen/>
      </w:r>
      <w:r w:rsidRPr="00A83C94">
        <w:rPr>
          <w:rFonts w:eastAsia="Calibri" w:cs="Sylfaen"/>
          <w:b w:val="0"/>
          <w:szCs w:val="22"/>
          <w:lang w:val="af-ZA"/>
        </w:rPr>
        <w:softHyphen/>
        <w:t>մի չա</w:t>
      </w:r>
      <w:r w:rsidRPr="00A83C94">
        <w:rPr>
          <w:rFonts w:eastAsia="Calibri" w:cs="Sylfaen"/>
          <w:b w:val="0"/>
          <w:szCs w:val="22"/>
          <w:lang w:val="af-ZA"/>
        </w:rPr>
        <w:softHyphen/>
        <w:t>փով (պե</w:t>
      </w:r>
      <w:r w:rsidRPr="00A83C94">
        <w:rPr>
          <w:rFonts w:eastAsia="Calibri" w:cs="Sylfaen"/>
          <w:b w:val="0"/>
          <w:szCs w:val="22"/>
          <w:lang w:val="af-ZA"/>
        </w:rPr>
        <w:softHyphen/>
        <w:t>տական գրանցումից 2022 թվա</w:t>
      </w:r>
      <w:r w:rsidRPr="00A83C94">
        <w:rPr>
          <w:rFonts w:eastAsia="Calibri" w:cs="Sylfaen"/>
          <w:b w:val="0"/>
          <w:szCs w:val="22"/>
          <w:lang w:val="af-ZA"/>
        </w:rPr>
        <w:softHyphen/>
        <w:t>կանի պետա</w:t>
      </w:r>
      <w:r w:rsidRPr="00A83C94">
        <w:rPr>
          <w:rFonts w:eastAsia="Calibri" w:cs="Sylfaen"/>
          <w:b w:val="0"/>
          <w:szCs w:val="22"/>
          <w:lang w:val="af-ZA"/>
        </w:rPr>
        <w:softHyphen/>
        <w:t>կան տուրքերի կան</w:t>
      </w:r>
      <w:r w:rsidRPr="00A83C94">
        <w:rPr>
          <w:rFonts w:eastAsia="Calibri" w:cs="Sylfaen"/>
          <w:b w:val="0"/>
          <w:szCs w:val="22"/>
          <w:lang w:val="af-ZA"/>
        </w:rPr>
        <w:softHyphen/>
        <w:t>խա</w:t>
      </w:r>
      <w:r w:rsidRPr="00A83C94">
        <w:rPr>
          <w:rFonts w:eastAsia="Calibri" w:cs="Sylfaen"/>
          <w:b w:val="0"/>
          <w:szCs w:val="22"/>
          <w:lang w:val="af-ZA"/>
        </w:rPr>
        <w:softHyphen/>
        <w:t>տես</w:t>
      </w:r>
      <w:r w:rsidRPr="00A83C94">
        <w:rPr>
          <w:rFonts w:eastAsia="Calibri" w:cs="Sylfaen"/>
          <w:b w:val="0"/>
          <w:szCs w:val="22"/>
          <w:lang w:val="af-ZA"/>
        </w:rPr>
        <w:softHyphen/>
        <w:t>վող մուտքերի ամ</w:t>
      </w:r>
      <w:r w:rsidRPr="00A83C94">
        <w:rPr>
          <w:rFonts w:eastAsia="Calibri" w:cs="Sylfaen"/>
          <w:b w:val="0"/>
          <w:szCs w:val="22"/>
          <w:lang w:val="af-ZA"/>
        </w:rPr>
        <w:softHyphen/>
        <w:t xml:space="preserve">բողջ ծավալի 22.6%-ը)՝ 2020 թվականի փաստացի ստացված 763.7 մլն  դրամի դիմաց: </w:t>
      </w:r>
    </w:p>
    <w:p w14:paraId="6B56312F" w14:textId="77777777" w:rsidR="00AE2A75" w:rsidRPr="00A83C94" w:rsidRDefault="00AE2A75" w:rsidP="00786462">
      <w:pPr>
        <w:pStyle w:val="ListParagraph"/>
        <w:widowControl w:val="0"/>
        <w:numPr>
          <w:ilvl w:val="0"/>
          <w:numId w:val="45"/>
        </w:numPr>
        <w:tabs>
          <w:tab w:val="left" w:pos="360"/>
        </w:tabs>
        <w:spacing w:before="0" w:line="276" w:lineRule="auto"/>
        <w:ind w:left="0" w:firstLine="0"/>
        <w:rPr>
          <w:rFonts w:eastAsia="Calibri" w:cs="Sylfaen"/>
          <w:b w:val="0"/>
          <w:szCs w:val="22"/>
          <w:lang w:val="af-ZA"/>
        </w:rPr>
      </w:pPr>
      <w:r w:rsidRPr="00A83C94">
        <w:rPr>
          <w:rFonts w:eastAsia="Calibri" w:cs="Sylfaen"/>
          <w:b w:val="0"/>
          <w:szCs w:val="22"/>
          <w:lang w:val="af-ZA"/>
        </w:rPr>
        <w:t>գույքի նկատմամբ իրավունքների պետական գրանցում կատարելու համար գանձվող պե</w:t>
      </w:r>
      <w:r w:rsidRPr="00A83C94">
        <w:rPr>
          <w:rFonts w:eastAsia="Calibri" w:cs="Sylfaen"/>
          <w:b w:val="0"/>
          <w:szCs w:val="22"/>
          <w:lang w:val="af-ZA"/>
        </w:rPr>
        <w:softHyphen/>
      </w:r>
      <w:r w:rsidRPr="00A83C94">
        <w:rPr>
          <w:rFonts w:eastAsia="Calibri" w:cs="Sylfaen"/>
          <w:b w:val="0"/>
          <w:szCs w:val="22"/>
          <w:lang w:val="af-ZA"/>
        </w:rPr>
        <w:softHyphen/>
      </w:r>
      <w:r w:rsidRPr="00A83C94">
        <w:rPr>
          <w:rFonts w:eastAsia="Calibri" w:cs="Sylfaen"/>
          <w:b w:val="0"/>
          <w:szCs w:val="22"/>
          <w:lang w:val="af-ZA"/>
        </w:rPr>
        <w:softHyphen/>
        <w:t>տա</w:t>
      </w:r>
      <w:r w:rsidRPr="00A83C94">
        <w:rPr>
          <w:rFonts w:eastAsia="Calibri" w:cs="Sylfaen"/>
          <w:b w:val="0"/>
          <w:szCs w:val="22"/>
          <w:lang w:val="af-ZA"/>
        </w:rPr>
        <w:softHyphen/>
        <w:t>կան տուրքեր, որոնց գծով 2022 թվականի մուտքերը կանխատեսվել են 1,340.2 մլն դրա</w:t>
      </w:r>
      <w:r w:rsidRPr="00A83C94">
        <w:rPr>
          <w:rFonts w:eastAsia="Calibri" w:cs="Sylfaen"/>
          <w:b w:val="0"/>
          <w:szCs w:val="22"/>
          <w:lang w:val="af-ZA"/>
        </w:rPr>
        <w:softHyphen/>
      </w:r>
      <w:r w:rsidRPr="00A83C94">
        <w:rPr>
          <w:rFonts w:eastAsia="Calibri" w:cs="Sylfaen"/>
          <w:b w:val="0"/>
          <w:szCs w:val="22"/>
          <w:lang w:val="af-ZA"/>
        </w:rPr>
        <w:softHyphen/>
        <w:t>մի չափով (պետական գրանցումից 2022 թվականի պետա</w:t>
      </w:r>
      <w:r w:rsidRPr="00A83C94">
        <w:rPr>
          <w:rFonts w:eastAsia="Calibri" w:cs="Sylfaen"/>
          <w:b w:val="0"/>
          <w:szCs w:val="22"/>
          <w:lang w:val="af-ZA"/>
        </w:rPr>
        <w:softHyphen/>
        <w:t>կան տուրքերի կան</w:t>
      </w:r>
      <w:r w:rsidRPr="00A83C94">
        <w:rPr>
          <w:rFonts w:eastAsia="Calibri" w:cs="Sylfaen"/>
          <w:b w:val="0"/>
          <w:szCs w:val="22"/>
          <w:lang w:val="af-ZA"/>
        </w:rPr>
        <w:softHyphen/>
      </w:r>
      <w:r w:rsidRPr="00A83C94">
        <w:rPr>
          <w:rFonts w:eastAsia="Calibri" w:cs="Sylfaen"/>
          <w:b w:val="0"/>
          <w:szCs w:val="22"/>
          <w:lang w:val="af-ZA"/>
        </w:rPr>
        <w:softHyphen/>
      </w:r>
      <w:r w:rsidRPr="00A83C94">
        <w:rPr>
          <w:rFonts w:eastAsia="Calibri" w:cs="Sylfaen"/>
          <w:b w:val="0"/>
          <w:szCs w:val="22"/>
          <w:lang w:val="af-ZA"/>
        </w:rPr>
        <w:softHyphen/>
        <w:t>խա</w:t>
      </w:r>
      <w:r w:rsidRPr="00A83C94">
        <w:rPr>
          <w:rFonts w:eastAsia="Calibri" w:cs="Sylfaen"/>
          <w:b w:val="0"/>
          <w:szCs w:val="22"/>
          <w:lang w:val="af-ZA"/>
        </w:rPr>
        <w:softHyphen/>
        <w:t>տես</w:t>
      </w:r>
      <w:r w:rsidRPr="00A83C94">
        <w:rPr>
          <w:rFonts w:eastAsia="Calibri" w:cs="Sylfaen"/>
          <w:b w:val="0"/>
          <w:szCs w:val="22"/>
          <w:lang w:val="af-ZA"/>
        </w:rPr>
        <w:softHyphen/>
        <w:t>վող մուտ</w:t>
      </w:r>
      <w:r w:rsidRPr="00A83C94">
        <w:rPr>
          <w:rFonts w:eastAsia="Calibri" w:cs="Sylfaen"/>
          <w:b w:val="0"/>
          <w:szCs w:val="22"/>
          <w:lang w:val="af-ZA"/>
        </w:rPr>
        <w:softHyphen/>
      </w:r>
      <w:r w:rsidRPr="00A83C94">
        <w:rPr>
          <w:rFonts w:eastAsia="Calibri" w:cs="Sylfaen"/>
          <w:b w:val="0"/>
          <w:szCs w:val="22"/>
          <w:lang w:val="af-ZA"/>
        </w:rPr>
        <w:softHyphen/>
        <w:t>քերի ամ</w:t>
      </w:r>
      <w:r w:rsidRPr="00A83C94">
        <w:rPr>
          <w:rFonts w:eastAsia="Calibri" w:cs="Sylfaen"/>
          <w:b w:val="0"/>
          <w:szCs w:val="22"/>
          <w:lang w:val="af-ZA"/>
        </w:rPr>
        <w:softHyphen/>
        <w:t>բողջ ծավալի 25.2%-ը), 2021 թվականի համար հաս</w:t>
      </w:r>
      <w:r w:rsidRPr="00A83C94">
        <w:rPr>
          <w:rFonts w:eastAsia="Calibri" w:cs="Sylfaen"/>
          <w:b w:val="0"/>
          <w:szCs w:val="22"/>
          <w:lang w:val="af-ZA"/>
        </w:rPr>
        <w:softHyphen/>
        <w:t>տատված 1,027.5 մլն դրամի և 2020 թվա</w:t>
      </w:r>
      <w:r w:rsidRPr="00A83C94">
        <w:rPr>
          <w:rFonts w:eastAsia="Calibri" w:cs="Sylfaen"/>
          <w:b w:val="0"/>
          <w:szCs w:val="22"/>
          <w:lang w:val="af-ZA"/>
        </w:rPr>
        <w:softHyphen/>
        <w:t>կա</w:t>
      </w:r>
      <w:r w:rsidRPr="00A83C94">
        <w:rPr>
          <w:rFonts w:eastAsia="Calibri" w:cs="Sylfaen"/>
          <w:b w:val="0"/>
          <w:szCs w:val="22"/>
          <w:lang w:val="af-ZA"/>
        </w:rPr>
        <w:softHyphen/>
        <w:t>նին փաստացի ստաց</w:t>
      </w:r>
      <w:r w:rsidRPr="00A83C94">
        <w:rPr>
          <w:rFonts w:eastAsia="Calibri" w:cs="Sylfaen"/>
          <w:b w:val="0"/>
          <w:szCs w:val="22"/>
          <w:lang w:val="af-ZA"/>
        </w:rPr>
        <w:softHyphen/>
        <w:t>ված 951.8 մլն դրամի դի</w:t>
      </w:r>
      <w:r w:rsidRPr="00A83C94">
        <w:rPr>
          <w:rFonts w:eastAsia="Calibri" w:cs="Sylfaen"/>
          <w:b w:val="0"/>
          <w:szCs w:val="22"/>
          <w:lang w:val="af-ZA"/>
        </w:rPr>
        <w:softHyphen/>
        <w:t>մաց:  Պետական տուրքի այս տեսակի գծով 2022 թվականի մուտքերը ծրագրվել են 2021 թվականի սպասողական մուտքերի նկատմամբ կիրառելով փորձագիտական գնահատ</w:t>
      </w:r>
      <w:r w:rsidRPr="00A83C94">
        <w:rPr>
          <w:rFonts w:eastAsia="Calibri" w:cs="Sylfaen"/>
          <w:b w:val="0"/>
          <w:szCs w:val="22"/>
          <w:lang w:val="af-ZA"/>
        </w:rPr>
        <w:softHyphen/>
        <w:t>ման աճի տեմպը, իսկ 2021 թվականի սպասողական մուտքերը գնահատվել են 2021 թվականի առաջին 7 ամիսների փաստացի մուտքերի նկատմամբ կիրա</w:t>
      </w:r>
      <w:r w:rsidRPr="00A83C94">
        <w:rPr>
          <w:rFonts w:eastAsia="Calibri" w:cs="Sylfaen"/>
          <w:b w:val="0"/>
          <w:szCs w:val="22"/>
          <w:lang w:val="af-ZA"/>
        </w:rPr>
        <w:softHyphen/>
        <w:t>ռելով 2018-2020 թվականների տարեկան մուտքերում առաջին 7 ամիս</w:t>
      </w:r>
      <w:r w:rsidRPr="00A83C94">
        <w:rPr>
          <w:rFonts w:eastAsia="Calibri" w:cs="Sylfaen"/>
          <w:b w:val="0"/>
          <w:szCs w:val="22"/>
          <w:lang w:val="af-ZA"/>
        </w:rPr>
        <w:softHyphen/>
        <w:t>ների մուտ</w:t>
      </w:r>
      <w:r w:rsidRPr="00A83C94">
        <w:rPr>
          <w:rFonts w:eastAsia="Calibri" w:cs="Sylfaen"/>
          <w:b w:val="0"/>
          <w:szCs w:val="22"/>
          <w:lang w:val="af-ZA"/>
        </w:rPr>
        <w:softHyphen/>
        <w:t>քերի տեսակարար կշիռների միջինացված ցուցանիշը:</w:t>
      </w:r>
    </w:p>
    <w:p w14:paraId="64A9CFCF" w14:textId="77777777" w:rsidR="00AE2A75" w:rsidRPr="00A83C94" w:rsidRDefault="00AE2A75" w:rsidP="00AE2A75">
      <w:pPr>
        <w:pStyle w:val="ListParagraph"/>
        <w:widowControl w:val="0"/>
        <w:tabs>
          <w:tab w:val="left" w:pos="360"/>
        </w:tabs>
        <w:spacing w:before="0" w:line="276" w:lineRule="auto"/>
        <w:ind w:left="0" w:firstLine="0"/>
        <w:rPr>
          <w:rFonts w:eastAsia="Calibri" w:cs="Sylfaen"/>
          <w:b w:val="0"/>
          <w:szCs w:val="22"/>
          <w:lang w:val="af-ZA"/>
        </w:rPr>
      </w:pPr>
      <w:r w:rsidRPr="00A83C94">
        <w:rPr>
          <w:rFonts w:eastAsia="Calibri" w:cs="Sylfaen"/>
          <w:szCs w:val="22"/>
          <w:lang w:val="af-ZA"/>
        </w:rPr>
        <w:tab/>
        <w:t>Գյուտերի, օգտակար մոդելների, արդյունաբերական նմուշների, բույսերի սորտերի, ապրան</w:t>
      </w:r>
      <w:r w:rsidRPr="00A83C94">
        <w:rPr>
          <w:rFonts w:eastAsia="Calibri" w:cs="Sylfaen"/>
          <w:szCs w:val="22"/>
          <w:lang w:val="af-ZA"/>
        </w:rPr>
        <w:softHyphen/>
        <w:t>քային նշանների, աշխարհագրական նշումների, ծագման տեղանունների, երաշխավորված ավանդական արտադրանքի, ֆիրմային անվանումների, ին</w:t>
      </w:r>
      <w:r w:rsidRPr="00A83C94">
        <w:rPr>
          <w:rFonts w:eastAsia="Calibri" w:cs="Sylfaen"/>
          <w:szCs w:val="22"/>
          <w:lang w:val="af-ZA"/>
        </w:rPr>
        <w:softHyphen/>
        <w:t>տե</w:t>
      </w:r>
      <w:r w:rsidRPr="00A83C94">
        <w:rPr>
          <w:rFonts w:eastAsia="Calibri" w:cs="Sylfaen"/>
          <w:szCs w:val="22"/>
          <w:lang w:val="af-ZA"/>
        </w:rPr>
        <w:softHyphen/>
        <w:t>գրալ միկրոսխեմաների տոպոլոգիաների իրավա</w:t>
      </w:r>
      <w:r w:rsidRPr="00A83C94">
        <w:rPr>
          <w:rFonts w:eastAsia="Calibri" w:cs="Sylfaen"/>
          <w:szCs w:val="22"/>
          <w:lang w:val="af-ZA"/>
        </w:rPr>
        <w:softHyphen/>
        <w:t>կան պահպանության հետ կապ</w:t>
      </w:r>
      <w:r w:rsidRPr="00A83C94">
        <w:rPr>
          <w:rFonts w:eastAsia="Calibri" w:cs="Sylfaen"/>
          <w:szCs w:val="22"/>
          <w:lang w:val="af-ZA"/>
        </w:rPr>
        <w:softHyphen/>
        <w:t>ված իրա</w:t>
      </w:r>
      <w:r w:rsidRPr="00A83C94">
        <w:rPr>
          <w:rFonts w:eastAsia="Calibri" w:cs="Sylfaen"/>
          <w:szCs w:val="22"/>
          <w:lang w:val="af-ZA"/>
        </w:rPr>
        <w:softHyphen/>
        <w:t>վա</w:t>
      </w:r>
      <w:r w:rsidRPr="00A83C94">
        <w:rPr>
          <w:rFonts w:eastAsia="Calibri" w:cs="Sylfaen"/>
          <w:szCs w:val="22"/>
          <w:lang w:val="af-ZA"/>
        </w:rPr>
        <w:softHyphen/>
        <w:t>բա</w:t>
      </w:r>
      <w:r w:rsidRPr="00A83C94">
        <w:rPr>
          <w:rFonts w:eastAsia="Calibri" w:cs="Sylfaen"/>
          <w:szCs w:val="22"/>
          <w:lang w:val="af-ZA"/>
        </w:rPr>
        <w:softHyphen/>
        <w:t>նա</w:t>
      </w:r>
      <w:r w:rsidRPr="00A83C94">
        <w:rPr>
          <w:rFonts w:eastAsia="Calibri" w:cs="Sylfaen"/>
          <w:szCs w:val="22"/>
          <w:lang w:val="af-ZA"/>
        </w:rPr>
        <w:softHyphen/>
        <w:t>կան նշանակություն ունեցող գործողություն</w:t>
      </w:r>
      <w:r w:rsidRPr="00A83C94">
        <w:rPr>
          <w:rFonts w:eastAsia="Calibri" w:cs="Sylfaen"/>
          <w:szCs w:val="22"/>
          <w:lang w:val="af-ZA"/>
        </w:rPr>
        <w:softHyphen/>
        <w:t>ների համար</w:t>
      </w:r>
      <w:r w:rsidRPr="00A83C94">
        <w:rPr>
          <w:rFonts w:eastAsia="Calibri" w:cs="Sylfaen"/>
          <w:b w:val="0"/>
          <w:szCs w:val="22"/>
          <w:lang w:val="af-ZA"/>
        </w:rPr>
        <w:t xml:space="preserve"> գանձվող պե</w:t>
      </w:r>
      <w:r w:rsidRPr="00A83C94">
        <w:rPr>
          <w:rFonts w:eastAsia="Calibri" w:cs="Sylfaen"/>
          <w:b w:val="0"/>
          <w:szCs w:val="22"/>
          <w:lang w:val="af-ZA"/>
        </w:rPr>
        <w:softHyphen/>
        <w:t>տա</w:t>
      </w:r>
      <w:r w:rsidRPr="00A83C94">
        <w:rPr>
          <w:rFonts w:eastAsia="Calibri" w:cs="Sylfaen"/>
          <w:b w:val="0"/>
          <w:szCs w:val="22"/>
          <w:lang w:val="af-ZA"/>
        </w:rPr>
        <w:softHyphen/>
        <w:t>կան տուրքերի գծով 2022 թվականի մուտքե</w:t>
      </w:r>
      <w:r w:rsidRPr="00A83C94">
        <w:rPr>
          <w:rFonts w:eastAsia="Calibri" w:cs="Sylfaen"/>
          <w:b w:val="0"/>
          <w:szCs w:val="22"/>
          <w:lang w:val="af-ZA"/>
        </w:rPr>
        <w:softHyphen/>
        <w:t>րը կանխատեսվել են 2021 թվականի սպասողական մուտքերի՝ 318.6 մլն դրամի չափով՝ 2021  թվականի համար հաս</w:t>
      </w:r>
      <w:r w:rsidRPr="00A83C94">
        <w:rPr>
          <w:rFonts w:eastAsia="Calibri" w:cs="Sylfaen"/>
          <w:b w:val="0"/>
          <w:szCs w:val="22"/>
          <w:lang w:val="af-ZA"/>
        </w:rPr>
        <w:softHyphen/>
        <w:t>տատ</w:t>
      </w:r>
      <w:r w:rsidRPr="00A83C94">
        <w:rPr>
          <w:rFonts w:eastAsia="Calibri" w:cs="Sylfaen"/>
          <w:b w:val="0"/>
          <w:szCs w:val="22"/>
          <w:lang w:val="af-ZA"/>
        </w:rPr>
        <w:softHyphen/>
        <w:t>ված 437.0  մլն դրամի և 2020 թվականին փաս</w:t>
      </w:r>
      <w:r w:rsidRPr="00A83C94">
        <w:rPr>
          <w:rFonts w:eastAsia="Calibri" w:cs="Sylfaen"/>
          <w:b w:val="0"/>
          <w:szCs w:val="22"/>
          <w:lang w:val="af-ZA"/>
        </w:rPr>
        <w:softHyphen/>
        <w:t>տացի ստացված 297.1 մլն դրամի դիմաց: 2021 թվականի սպասողական մուտքերը գնահատվել են 2021 թվականի առաջին 7 ամիսների փաստացի մուտքերի նկատմամբ կիրա</w:t>
      </w:r>
      <w:r w:rsidRPr="00A83C94">
        <w:rPr>
          <w:rFonts w:eastAsia="Calibri" w:cs="Sylfaen"/>
          <w:b w:val="0"/>
          <w:szCs w:val="22"/>
          <w:lang w:val="af-ZA"/>
        </w:rPr>
        <w:softHyphen/>
        <w:t>ռելով 2018-2020 թվականների տարեկան մուտքերում առաջին 7 ամիս</w:t>
      </w:r>
      <w:r w:rsidRPr="00A83C94">
        <w:rPr>
          <w:rFonts w:eastAsia="Calibri" w:cs="Sylfaen"/>
          <w:b w:val="0"/>
          <w:szCs w:val="22"/>
          <w:lang w:val="af-ZA"/>
        </w:rPr>
        <w:softHyphen/>
        <w:t>ների մուտ</w:t>
      </w:r>
      <w:r w:rsidRPr="00A83C94">
        <w:rPr>
          <w:rFonts w:eastAsia="Calibri" w:cs="Sylfaen"/>
          <w:b w:val="0"/>
          <w:szCs w:val="22"/>
          <w:lang w:val="af-ZA"/>
        </w:rPr>
        <w:softHyphen/>
        <w:t>քերի տեսակարար կշիռների միջինացված ցուցանիշը:</w:t>
      </w:r>
    </w:p>
    <w:p w14:paraId="61961C3A" w14:textId="77777777" w:rsidR="00AE2A75" w:rsidRPr="00A83C94" w:rsidRDefault="00AE2A75" w:rsidP="00AE2A75">
      <w:pPr>
        <w:spacing w:before="0" w:line="276" w:lineRule="auto"/>
        <w:ind w:firstLine="538"/>
        <w:rPr>
          <w:rFonts w:eastAsia="Calibri"/>
          <w:b w:val="0"/>
          <w:szCs w:val="22"/>
          <w:lang w:val="af-ZA" w:eastAsia="en-US"/>
        </w:rPr>
      </w:pPr>
      <w:r w:rsidRPr="00A83C94">
        <w:rPr>
          <w:rFonts w:eastAsia="Calibri"/>
          <w:szCs w:val="22"/>
          <w:lang w:val="hy-AM" w:eastAsia="en-US"/>
        </w:rPr>
        <w:t>Ֆիզիկական անձանց տրվող իրավաբանական նշանակություն ունեցող փաստաթղթե</w:t>
      </w:r>
      <w:r w:rsidRPr="00A83C94">
        <w:rPr>
          <w:rFonts w:eastAsia="Calibri"/>
          <w:szCs w:val="22"/>
          <w:lang w:val="hy-AM" w:eastAsia="en-US"/>
        </w:rPr>
        <w:softHyphen/>
        <w:t>րի, որոշակի ծառայությունների կամ գործողությունների համար</w:t>
      </w:r>
      <w:r w:rsidRPr="00A83C94">
        <w:rPr>
          <w:rFonts w:eastAsia="Calibri"/>
          <w:b w:val="0"/>
          <w:szCs w:val="22"/>
          <w:lang w:val="hy-AM" w:eastAsia="en-US"/>
        </w:rPr>
        <w:t xml:space="preserve"> գանձ</w:t>
      </w:r>
      <w:r w:rsidRPr="00A83C94">
        <w:rPr>
          <w:rFonts w:eastAsia="Calibri"/>
          <w:b w:val="0"/>
          <w:szCs w:val="22"/>
          <w:lang w:val="hy-AM" w:eastAsia="en-US"/>
        </w:rPr>
        <w:softHyphen/>
        <w:t>վող պետական տուրքերի գծով 202</w:t>
      </w:r>
      <w:r w:rsidRPr="00A83C94">
        <w:rPr>
          <w:rFonts w:eastAsia="Calibri"/>
          <w:b w:val="0"/>
          <w:szCs w:val="22"/>
          <w:lang w:val="af-ZA" w:eastAsia="en-US"/>
        </w:rPr>
        <w:t>2</w:t>
      </w:r>
      <w:r w:rsidRPr="00A83C94">
        <w:rPr>
          <w:rFonts w:eastAsia="Calibri"/>
          <w:b w:val="0"/>
          <w:szCs w:val="22"/>
          <w:lang w:val="hy-AM" w:eastAsia="en-US"/>
        </w:rPr>
        <w:t xml:space="preserve"> թվականի մուտքերը կանխատեսվել են </w:t>
      </w:r>
      <w:r w:rsidRPr="00A83C94">
        <w:rPr>
          <w:rFonts w:eastAsia="Calibri"/>
          <w:b w:val="0"/>
          <w:szCs w:val="22"/>
          <w:lang w:val="af-ZA" w:eastAsia="en-US"/>
        </w:rPr>
        <w:t xml:space="preserve">2021 </w:t>
      </w:r>
      <w:r w:rsidRPr="00A83C94">
        <w:rPr>
          <w:rFonts w:eastAsia="Calibri"/>
          <w:b w:val="0"/>
          <w:szCs w:val="22"/>
          <w:lang w:val="en-US" w:eastAsia="en-US"/>
        </w:rPr>
        <w:t>թվականի</w:t>
      </w:r>
      <w:r w:rsidRPr="00A83C94">
        <w:rPr>
          <w:rFonts w:eastAsia="Calibri"/>
          <w:b w:val="0"/>
          <w:szCs w:val="22"/>
          <w:lang w:val="af-ZA" w:eastAsia="en-US"/>
        </w:rPr>
        <w:t xml:space="preserve"> </w:t>
      </w:r>
      <w:r w:rsidRPr="00A83C94">
        <w:rPr>
          <w:rFonts w:eastAsia="Calibri"/>
          <w:b w:val="0"/>
          <w:szCs w:val="22"/>
          <w:lang w:val="en-US" w:eastAsia="en-US"/>
        </w:rPr>
        <w:t>հաստատված</w:t>
      </w:r>
      <w:r w:rsidRPr="00A83C94">
        <w:rPr>
          <w:rFonts w:eastAsia="Calibri"/>
          <w:b w:val="0"/>
          <w:szCs w:val="22"/>
          <w:lang w:val="af-ZA" w:eastAsia="en-US"/>
        </w:rPr>
        <w:t xml:space="preserve"> </w:t>
      </w:r>
      <w:r w:rsidRPr="00A83C94">
        <w:rPr>
          <w:rFonts w:eastAsia="Calibri"/>
          <w:b w:val="0"/>
          <w:szCs w:val="22"/>
          <w:lang w:val="en-US" w:eastAsia="en-US"/>
        </w:rPr>
        <w:t>ցուցանիշի՝</w:t>
      </w:r>
      <w:r w:rsidRPr="00A83C94">
        <w:rPr>
          <w:rFonts w:eastAsia="Calibri"/>
          <w:b w:val="0"/>
          <w:szCs w:val="22"/>
          <w:lang w:val="hy-AM" w:eastAsia="en-US"/>
        </w:rPr>
        <w:t xml:space="preserve"> 2,</w:t>
      </w:r>
      <w:r w:rsidRPr="00A83C94">
        <w:rPr>
          <w:rFonts w:eastAsia="Calibri"/>
          <w:b w:val="0"/>
          <w:szCs w:val="22"/>
          <w:lang w:val="af-ZA" w:eastAsia="en-US"/>
        </w:rPr>
        <w:t>602.9</w:t>
      </w:r>
      <w:r w:rsidRPr="00A83C94">
        <w:rPr>
          <w:rFonts w:eastAsia="Calibri"/>
          <w:b w:val="0"/>
          <w:szCs w:val="22"/>
          <w:lang w:val="hy-AM" w:eastAsia="en-US"/>
        </w:rPr>
        <w:t xml:space="preserve"> մլն դրամի չափով՝ </w:t>
      </w:r>
      <w:r w:rsidRPr="00A83C94">
        <w:rPr>
          <w:rFonts w:eastAsia="Calibri"/>
          <w:b w:val="0"/>
          <w:szCs w:val="22"/>
          <w:lang w:val="af-ZA" w:eastAsia="en-US"/>
        </w:rPr>
        <w:t xml:space="preserve"> </w:t>
      </w:r>
      <w:r w:rsidRPr="00A83C94">
        <w:rPr>
          <w:rFonts w:eastAsia="Calibri"/>
          <w:b w:val="0"/>
          <w:szCs w:val="22"/>
          <w:lang w:val="en-US" w:eastAsia="en-US"/>
        </w:rPr>
        <w:t>հիմք</w:t>
      </w:r>
      <w:r w:rsidRPr="00A83C94">
        <w:rPr>
          <w:rFonts w:eastAsia="Calibri"/>
          <w:b w:val="0"/>
          <w:szCs w:val="22"/>
          <w:lang w:val="af-ZA" w:eastAsia="en-US"/>
        </w:rPr>
        <w:t xml:space="preserve"> </w:t>
      </w:r>
      <w:r w:rsidRPr="00A83C94">
        <w:rPr>
          <w:rFonts w:eastAsia="Calibri"/>
          <w:b w:val="0"/>
          <w:szCs w:val="22"/>
          <w:lang w:val="en-US" w:eastAsia="en-US"/>
        </w:rPr>
        <w:t>ընդունելով</w:t>
      </w:r>
      <w:r w:rsidRPr="00A83C94">
        <w:rPr>
          <w:rFonts w:eastAsia="Calibri"/>
          <w:b w:val="0"/>
          <w:szCs w:val="22"/>
          <w:lang w:val="af-ZA" w:eastAsia="en-US"/>
        </w:rPr>
        <w:t xml:space="preserve"> </w:t>
      </w:r>
      <w:r w:rsidRPr="00A83C94">
        <w:rPr>
          <w:rFonts w:eastAsia="Calibri"/>
          <w:b w:val="0"/>
          <w:szCs w:val="22"/>
          <w:lang w:val="en-US" w:eastAsia="en-US"/>
        </w:rPr>
        <w:t>փորձագիտական</w:t>
      </w:r>
      <w:r w:rsidRPr="00A83C94">
        <w:rPr>
          <w:rFonts w:eastAsia="Calibri"/>
          <w:b w:val="0"/>
          <w:szCs w:val="22"/>
          <w:lang w:val="af-ZA" w:eastAsia="en-US"/>
        </w:rPr>
        <w:t xml:space="preserve"> </w:t>
      </w:r>
      <w:r w:rsidRPr="00A83C94">
        <w:rPr>
          <w:rFonts w:eastAsia="Calibri"/>
          <w:b w:val="0"/>
          <w:szCs w:val="22"/>
          <w:lang w:val="en-US" w:eastAsia="en-US"/>
        </w:rPr>
        <w:t>գնահատականը</w:t>
      </w:r>
      <w:r w:rsidRPr="00A83C94">
        <w:rPr>
          <w:rFonts w:eastAsia="Calibri"/>
          <w:b w:val="0"/>
          <w:szCs w:val="22"/>
          <w:lang w:val="af-ZA" w:eastAsia="en-US"/>
        </w:rPr>
        <w:t xml:space="preserve">, </w:t>
      </w:r>
      <w:r w:rsidRPr="00A83C94">
        <w:rPr>
          <w:rFonts w:eastAsia="Calibri"/>
          <w:b w:val="0"/>
          <w:szCs w:val="22"/>
          <w:lang w:val="hy-AM" w:eastAsia="en-US"/>
        </w:rPr>
        <w:t>ներառյալ կենսաչափականան անձնագրերի և նույնականացման քարտերի գծով</w:t>
      </w:r>
      <w:r w:rsidRPr="00A83C94">
        <w:rPr>
          <w:rFonts w:eastAsia="Calibri"/>
          <w:b w:val="0"/>
          <w:szCs w:val="22"/>
          <w:lang w:val="af-ZA" w:eastAsia="en-US"/>
        </w:rPr>
        <w:t xml:space="preserve"> </w:t>
      </w:r>
      <w:r w:rsidRPr="00A83C94">
        <w:rPr>
          <w:rFonts w:eastAsia="Calibri"/>
          <w:b w:val="0"/>
          <w:szCs w:val="22"/>
          <w:lang w:val="en-US" w:eastAsia="en-US"/>
        </w:rPr>
        <w:t>և</w:t>
      </w:r>
      <w:r w:rsidRPr="00A83C94">
        <w:rPr>
          <w:rFonts w:eastAsia="Calibri"/>
          <w:b w:val="0"/>
          <w:szCs w:val="22"/>
          <w:lang w:val="af-ZA" w:eastAsia="en-US"/>
        </w:rPr>
        <w:t xml:space="preserve"> </w:t>
      </w:r>
      <w:r w:rsidRPr="00A83C94">
        <w:rPr>
          <w:rFonts w:eastAsia="Calibri"/>
          <w:b w:val="0"/>
          <w:szCs w:val="22"/>
          <w:lang w:val="en-US" w:eastAsia="en-US"/>
        </w:rPr>
        <w:t>այլ</w:t>
      </w:r>
      <w:r w:rsidRPr="00A83C94">
        <w:rPr>
          <w:rFonts w:eastAsia="Calibri"/>
          <w:b w:val="0"/>
          <w:szCs w:val="22"/>
          <w:lang w:val="af-ZA" w:eastAsia="en-US"/>
        </w:rPr>
        <w:t xml:space="preserve"> </w:t>
      </w:r>
      <w:r w:rsidRPr="00A83C94">
        <w:rPr>
          <w:rFonts w:eastAsia="Calibri"/>
          <w:b w:val="0"/>
          <w:szCs w:val="22"/>
          <w:lang w:val="en-US" w:eastAsia="en-US"/>
        </w:rPr>
        <w:t>փաստաթղթերի</w:t>
      </w:r>
      <w:r w:rsidRPr="00A83C94">
        <w:rPr>
          <w:rFonts w:eastAsia="Calibri"/>
          <w:b w:val="0"/>
          <w:szCs w:val="22"/>
          <w:lang w:val="af-ZA" w:eastAsia="en-US"/>
        </w:rPr>
        <w:t xml:space="preserve">, </w:t>
      </w:r>
      <w:r w:rsidRPr="00A83C94">
        <w:rPr>
          <w:rFonts w:eastAsia="Calibri"/>
          <w:b w:val="0"/>
          <w:szCs w:val="22"/>
          <w:lang w:val="en-US" w:eastAsia="en-US"/>
        </w:rPr>
        <w:t>այդ</w:t>
      </w:r>
      <w:r w:rsidRPr="00A83C94">
        <w:rPr>
          <w:rFonts w:eastAsia="Calibri"/>
          <w:b w:val="0"/>
          <w:szCs w:val="22"/>
          <w:lang w:val="af-ZA" w:eastAsia="en-US"/>
        </w:rPr>
        <w:t xml:space="preserve"> </w:t>
      </w:r>
      <w:r w:rsidRPr="00A83C94">
        <w:rPr>
          <w:rFonts w:eastAsia="Calibri"/>
          <w:b w:val="0"/>
          <w:szCs w:val="22"/>
          <w:lang w:val="en-US" w:eastAsia="en-US"/>
        </w:rPr>
        <w:t>թվում</w:t>
      </w:r>
      <w:r w:rsidRPr="00A83C94">
        <w:rPr>
          <w:rFonts w:eastAsia="Calibri"/>
          <w:b w:val="0"/>
          <w:szCs w:val="22"/>
          <w:lang w:val="af-ZA" w:eastAsia="en-US"/>
        </w:rPr>
        <w:t xml:space="preserve"> </w:t>
      </w:r>
      <w:r w:rsidRPr="00A83C94">
        <w:rPr>
          <w:rFonts w:eastAsia="Calibri"/>
          <w:b w:val="0"/>
          <w:szCs w:val="22"/>
          <w:lang w:val="en-US" w:eastAsia="en-US"/>
        </w:rPr>
        <w:t>ՀՀ</w:t>
      </w:r>
      <w:r w:rsidRPr="00A83C94">
        <w:rPr>
          <w:rFonts w:eastAsia="Calibri"/>
          <w:b w:val="0"/>
          <w:szCs w:val="22"/>
          <w:lang w:val="af-ZA" w:eastAsia="en-US"/>
        </w:rPr>
        <w:t xml:space="preserve"> </w:t>
      </w:r>
      <w:r w:rsidRPr="00A83C94">
        <w:rPr>
          <w:rFonts w:eastAsia="Calibri"/>
          <w:b w:val="0"/>
          <w:szCs w:val="22"/>
          <w:lang w:val="en-US" w:eastAsia="en-US"/>
        </w:rPr>
        <w:t>քաղաքացու</w:t>
      </w:r>
      <w:r w:rsidRPr="00A83C94">
        <w:rPr>
          <w:rFonts w:eastAsia="Calibri"/>
          <w:b w:val="0"/>
          <w:szCs w:val="22"/>
          <w:lang w:val="af-ZA" w:eastAsia="en-US"/>
        </w:rPr>
        <w:t xml:space="preserve"> </w:t>
      </w:r>
      <w:r w:rsidRPr="00A83C94">
        <w:rPr>
          <w:rFonts w:eastAsia="Calibri"/>
          <w:b w:val="0"/>
          <w:szCs w:val="22"/>
          <w:lang w:val="en-US" w:eastAsia="en-US"/>
        </w:rPr>
        <w:t>անձնագիր</w:t>
      </w:r>
      <w:r w:rsidRPr="00A83C94">
        <w:rPr>
          <w:rFonts w:eastAsia="Calibri"/>
          <w:b w:val="0"/>
          <w:szCs w:val="22"/>
          <w:lang w:val="af-ZA" w:eastAsia="en-US"/>
        </w:rPr>
        <w:t xml:space="preserve"> </w:t>
      </w:r>
      <w:r w:rsidRPr="00A83C94">
        <w:rPr>
          <w:rFonts w:eastAsia="Calibri"/>
          <w:b w:val="0"/>
          <w:szCs w:val="22"/>
          <w:lang w:val="en-US" w:eastAsia="en-US"/>
        </w:rPr>
        <w:t>տալու</w:t>
      </w:r>
      <w:r w:rsidRPr="00A83C94">
        <w:rPr>
          <w:rFonts w:eastAsia="Calibri"/>
          <w:b w:val="0"/>
          <w:szCs w:val="22"/>
          <w:lang w:val="af-ZA" w:eastAsia="en-US"/>
        </w:rPr>
        <w:t xml:space="preserve">, </w:t>
      </w:r>
      <w:r w:rsidRPr="00A83C94">
        <w:rPr>
          <w:rFonts w:eastAsia="Calibri"/>
          <w:b w:val="0"/>
          <w:szCs w:val="22"/>
          <w:lang w:val="en-US" w:eastAsia="en-US"/>
        </w:rPr>
        <w:t>համար</w:t>
      </w:r>
      <w:r w:rsidRPr="00A83C94">
        <w:rPr>
          <w:rFonts w:eastAsia="Calibri"/>
          <w:b w:val="0"/>
          <w:szCs w:val="22"/>
          <w:lang w:val="hy-AM" w:eastAsia="en-US"/>
        </w:rPr>
        <w:t xml:space="preserve"> ներկայացված փորձագիտական գնահատականները՝ համապատասխանաբար</w:t>
      </w:r>
      <w:r w:rsidRPr="00A83C94">
        <w:rPr>
          <w:rFonts w:eastAsia="Calibri"/>
          <w:b w:val="0"/>
          <w:szCs w:val="22"/>
          <w:lang w:val="af-ZA" w:eastAsia="en-US"/>
        </w:rPr>
        <w:t xml:space="preserve"> 228.5</w:t>
      </w:r>
      <w:r w:rsidRPr="00A83C94">
        <w:rPr>
          <w:rFonts w:eastAsia="Calibri"/>
          <w:b w:val="0"/>
          <w:szCs w:val="22"/>
          <w:lang w:val="hy-AM" w:eastAsia="en-US"/>
        </w:rPr>
        <w:t xml:space="preserve"> մլն և  </w:t>
      </w:r>
      <w:r w:rsidRPr="00A83C94">
        <w:rPr>
          <w:rFonts w:eastAsia="Calibri"/>
          <w:b w:val="0"/>
          <w:szCs w:val="22"/>
          <w:lang w:val="af-ZA" w:eastAsia="en-US"/>
        </w:rPr>
        <w:t>172.1</w:t>
      </w:r>
      <w:r w:rsidRPr="00A83C94">
        <w:rPr>
          <w:rFonts w:eastAsia="Calibri"/>
          <w:b w:val="0"/>
          <w:szCs w:val="22"/>
          <w:lang w:val="hy-AM" w:eastAsia="en-US"/>
        </w:rPr>
        <w:t xml:space="preserve"> մլն </w:t>
      </w:r>
      <w:r w:rsidRPr="00A83C94">
        <w:rPr>
          <w:rFonts w:eastAsia="Calibri"/>
          <w:b w:val="0"/>
          <w:szCs w:val="22"/>
          <w:lang w:val="en-US" w:eastAsia="en-US"/>
        </w:rPr>
        <w:t>և</w:t>
      </w:r>
      <w:r w:rsidRPr="00A83C94">
        <w:rPr>
          <w:rFonts w:eastAsia="Calibri"/>
          <w:b w:val="0"/>
          <w:szCs w:val="22"/>
          <w:lang w:val="af-ZA" w:eastAsia="en-US"/>
        </w:rPr>
        <w:t xml:space="preserve"> 2,204.3 </w:t>
      </w:r>
      <w:r w:rsidRPr="00A83C94">
        <w:rPr>
          <w:rFonts w:eastAsia="Calibri"/>
          <w:b w:val="0"/>
          <w:szCs w:val="22"/>
          <w:lang w:val="en-US" w:eastAsia="en-US"/>
        </w:rPr>
        <w:t>մլն</w:t>
      </w:r>
      <w:r w:rsidRPr="00A83C94">
        <w:rPr>
          <w:rFonts w:eastAsia="Calibri"/>
          <w:b w:val="0"/>
          <w:szCs w:val="22"/>
          <w:lang w:val="af-ZA" w:eastAsia="en-US"/>
        </w:rPr>
        <w:t xml:space="preserve"> </w:t>
      </w:r>
      <w:r w:rsidRPr="00A83C94">
        <w:rPr>
          <w:rFonts w:eastAsia="Calibri"/>
          <w:b w:val="0"/>
          <w:szCs w:val="22"/>
          <w:lang w:val="hy-AM" w:eastAsia="en-US"/>
        </w:rPr>
        <w:t>դրամի չափով, 20</w:t>
      </w:r>
      <w:r w:rsidRPr="00A83C94">
        <w:rPr>
          <w:rFonts w:eastAsia="Calibri"/>
          <w:b w:val="0"/>
          <w:szCs w:val="22"/>
          <w:lang w:val="af-ZA" w:eastAsia="en-US"/>
        </w:rPr>
        <w:t>20</w:t>
      </w:r>
      <w:r w:rsidRPr="00A83C94">
        <w:rPr>
          <w:rFonts w:eastAsia="Calibri"/>
          <w:b w:val="0"/>
          <w:szCs w:val="22"/>
          <w:lang w:val="hy-AM" w:eastAsia="en-US"/>
        </w:rPr>
        <w:t xml:space="preserve"> թվականին փաստացի ստացված </w:t>
      </w:r>
      <w:r w:rsidRPr="00A83C94">
        <w:rPr>
          <w:rFonts w:eastAsia="Calibri"/>
          <w:b w:val="0"/>
          <w:szCs w:val="22"/>
          <w:lang w:val="af-ZA" w:eastAsia="en-US"/>
        </w:rPr>
        <w:t xml:space="preserve">93.4 </w:t>
      </w:r>
      <w:r w:rsidRPr="00A83C94">
        <w:rPr>
          <w:rFonts w:eastAsia="Calibri"/>
          <w:b w:val="0"/>
          <w:szCs w:val="22"/>
          <w:lang w:val="en-US" w:eastAsia="en-US"/>
        </w:rPr>
        <w:t>մլն</w:t>
      </w:r>
      <w:r w:rsidRPr="00A83C94">
        <w:rPr>
          <w:rFonts w:eastAsia="Calibri"/>
          <w:b w:val="0"/>
          <w:szCs w:val="22"/>
          <w:lang w:val="af-ZA" w:eastAsia="en-US"/>
        </w:rPr>
        <w:t xml:space="preserve">, 149.3 </w:t>
      </w:r>
      <w:r w:rsidRPr="00A83C94">
        <w:rPr>
          <w:rFonts w:eastAsia="Calibri"/>
          <w:b w:val="0"/>
          <w:szCs w:val="22"/>
          <w:lang w:val="en-US" w:eastAsia="en-US"/>
        </w:rPr>
        <w:t>մլն</w:t>
      </w:r>
      <w:r w:rsidRPr="00A83C94">
        <w:rPr>
          <w:rFonts w:eastAsia="Calibri"/>
          <w:b w:val="0"/>
          <w:szCs w:val="22"/>
          <w:lang w:val="af-ZA" w:eastAsia="en-US"/>
        </w:rPr>
        <w:t xml:space="preserve"> </w:t>
      </w:r>
      <w:r w:rsidRPr="00A83C94">
        <w:rPr>
          <w:rFonts w:eastAsia="Calibri"/>
          <w:b w:val="0"/>
          <w:szCs w:val="22"/>
          <w:lang w:val="en-US" w:eastAsia="en-US"/>
        </w:rPr>
        <w:t>և</w:t>
      </w:r>
      <w:r w:rsidRPr="00A83C94">
        <w:rPr>
          <w:rFonts w:eastAsia="Calibri"/>
          <w:b w:val="0"/>
          <w:szCs w:val="22"/>
          <w:lang w:val="af-ZA" w:eastAsia="en-US"/>
        </w:rPr>
        <w:t xml:space="preserve"> 944.3 </w:t>
      </w:r>
      <w:r w:rsidRPr="00A83C94">
        <w:rPr>
          <w:rFonts w:eastAsia="Calibri"/>
          <w:b w:val="0"/>
          <w:szCs w:val="22"/>
          <w:lang w:val="hy-AM" w:eastAsia="en-US"/>
        </w:rPr>
        <w:t>մլն դրա</w:t>
      </w:r>
      <w:r w:rsidRPr="00A83C94">
        <w:rPr>
          <w:rFonts w:eastAsia="Calibri"/>
          <w:b w:val="0"/>
          <w:szCs w:val="22"/>
          <w:lang w:val="hy-AM" w:eastAsia="en-US"/>
        </w:rPr>
        <w:softHyphen/>
        <w:t>մի դիմաց</w:t>
      </w:r>
      <w:r w:rsidRPr="00A83C94">
        <w:rPr>
          <w:rFonts w:eastAsia="Calibri"/>
          <w:b w:val="0"/>
          <w:szCs w:val="22"/>
          <w:lang w:val="af-ZA" w:eastAsia="en-US"/>
        </w:rPr>
        <w:t>:</w:t>
      </w:r>
      <w:r w:rsidRPr="00A83C94">
        <w:rPr>
          <w:rFonts w:eastAsia="Calibri"/>
          <w:b w:val="0"/>
          <w:szCs w:val="22"/>
          <w:lang w:val="hy-AM" w:eastAsia="en-US"/>
        </w:rPr>
        <w:t xml:space="preserve"> </w:t>
      </w:r>
    </w:p>
    <w:p w14:paraId="56C5C9B7" w14:textId="77777777" w:rsidR="00AE2A75" w:rsidRPr="00A83C94" w:rsidRDefault="00AE2A75" w:rsidP="00AE2A75">
      <w:pPr>
        <w:spacing w:before="0" w:line="276" w:lineRule="auto"/>
        <w:ind w:firstLine="538"/>
        <w:rPr>
          <w:rFonts w:cs="Sylfaen"/>
          <w:b w:val="0"/>
          <w:szCs w:val="22"/>
          <w:lang w:val="af-ZA"/>
        </w:rPr>
      </w:pPr>
      <w:r w:rsidRPr="00A83C94">
        <w:rPr>
          <w:rFonts w:eastAsia="Calibri"/>
          <w:szCs w:val="22"/>
          <w:lang w:val="hy-AM" w:eastAsia="en-US"/>
        </w:rPr>
        <w:t>Լիցենզավորման ենթակա գործունեություն իրականացնելու համար</w:t>
      </w:r>
      <w:r w:rsidRPr="00A83C94">
        <w:rPr>
          <w:rFonts w:eastAsia="Calibri"/>
          <w:b w:val="0"/>
          <w:szCs w:val="22"/>
          <w:lang w:val="hy-AM" w:eastAsia="en-US"/>
        </w:rPr>
        <w:t xml:space="preserve"> գանձ</w:t>
      </w:r>
      <w:r w:rsidRPr="00A83C94">
        <w:rPr>
          <w:rFonts w:eastAsia="Calibri"/>
          <w:b w:val="0"/>
          <w:szCs w:val="22"/>
          <w:lang w:val="hy-AM" w:eastAsia="en-US"/>
        </w:rPr>
        <w:softHyphen/>
        <w:t>վող պետա</w:t>
      </w:r>
      <w:r w:rsidRPr="00A83C94">
        <w:rPr>
          <w:rFonts w:eastAsia="Calibri"/>
          <w:b w:val="0"/>
          <w:szCs w:val="22"/>
          <w:lang w:val="hy-AM" w:eastAsia="en-US"/>
        </w:rPr>
        <w:softHyphen/>
      </w:r>
      <w:r w:rsidRPr="00A83C94">
        <w:rPr>
          <w:rFonts w:eastAsia="Calibri"/>
          <w:b w:val="0"/>
          <w:szCs w:val="22"/>
          <w:lang w:val="hy-AM" w:eastAsia="en-US"/>
        </w:rPr>
        <w:softHyphen/>
        <w:t>կան տուրքերի գծով 202</w:t>
      </w:r>
      <w:r w:rsidRPr="00A83C94">
        <w:rPr>
          <w:rFonts w:eastAsia="Calibri"/>
          <w:b w:val="0"/>
          <w:szCs w:val="22"/>
          <w:lang w:val="af-ZA" w:eastAsia="en-US"/>
        </w:rPr>
        <w:t>2</w:t>
      </w:r>
      <w:r w:rsidRPr="00A83C94">
        <w:rPr>
          <w:rFonts w:eastAsia="Calibri"/>
          <w:b w:val="0"/>
          <w:szCs w:val="22"/>
          <w:lang w:val="hy-AM" w:eastAsia="en-US"/>
        </w:rPr>
        <w:t xml:space="preserve"> թվականի մուտքերը կանխատեսվել են </w:t>
      </w:r>
      <w:r w:rsidRPr="00A83C94">
        <w:rPr>
          <w:rFonts w:eastAsia="Calibri"/>
          <w:b w:val="0"/>
          <w:szCs w:val="22"/>
          <w:lang w:val="af-ZA" w:eastAsia="en-US"/>
        </w:rPr>
        <w:t>63,344.4</w:t>
      </w:r>
      <w:r w:rsidRPr="00A83C94">
        <w:rPr>
          <w:rFonts w:eastAsia="Calibri"/>
          <w:b w:val="0"/>
          <w:szCs w:val="22"/>
          <w:lang w:val="hy-AM" w:eastAsia="en-US"/>
        </w:rPr>
        <w:t xml:space="preserve"> մլն դրամի չա</w:t>
      </w:r>
      <w:r w:rsidRPr="00A83C94">
        <w:rPr>
          <w:rFonts w:eastAsia="Calibri"/>
          <w:b w:val="0"/>
          <w:szCs w:val="22"/>
          <w:lang w:val="hy-AM" w:eastAsia="en-US"/>
        </w:rPr>
        <w:softHyphen/>
      </w:r>
      <w:r w:rsidRPr="00A83C94">
        <w:rPr>
          <w:rFonts w:eastAsia="Calibri"/>
          <w:b w:val="0"/>
          <w:szCs w:val="22"/>
          <w:lang w:val="hy-AM" w:eastAsia="en-US"/>
        </w:rPr>
        <w:softHyphen/>
        <w:t>փով` 20</w:t>
      </w:r>
      <w:r w:rsidRPr="00A83C94">
        <w:rPr>
          <w:rFonts w:eastAsia="Calibri"/>
          <w:b w:val="0"/>
          <w:szCs w:val="22"/>
          <w:lang w:val="af-ZA" w:eastAsia="en-US"/>
        </w:rPr>
        <w:t>21</w:t>
      </w:r>
      <w:r w:rsidRPr="00A83C94">
        <w:rPr>
          <w:rFonts w:eastAsia="Calibri"/>
          <w:b w:val="0"/>
          <w:szCs w:val="22"/>
          <w:lang w:val="hy-AM" w:eastAsia="en-US"/>
        </w:rPr>
        <w:t xml:space="preserve"> թվականի համար հաստատված 1</w:t>
      </w:r>
      <w:r w:rsidRPr="00A83C94">
        <w:rPr>
          <w:rFonts w:eastAsia="Calibri"/>
          <w:b w:val="0"/>
          <w:szCs w:val="22"/>
          <w:lang w:val="af-ZA" w:eastAsia="en-US"/>
        </w:rPr>
        <w:t>5,502.6</w:t>
      </w:r>
      <w:r w:rsidRPr="00A83C94">
        <w:rPr>
          <w:rFonts w:eastAsia="Calibri"/>
          <w:b w:val="0"/>
          <w:szCs w:val="22"/>
          <w:lang w:val="hy-AM" w:eastAsia="en-US"/>
        </w:rPr>
        <w:t>մլն և 20</w:t>
      </w:r>
      <w:r w:rsidRPr="00A83C94">
        <w:rPr>
          <w:rFonts w:eastAsia="Calibri"/>
          <w:b w:val="0"/>
          <w:szCs w:val="22"/>
          <w:lang w:val="af-ZA" w:eastAsia="en-US"/>
        </w:rPr>
        <w:t>20</w:t>
      </w:r>
      <w:r w:rsidRPr="00A83C94">
        <w:rPr>
          <w:rFonts w:eastAsia="Calibri"/>
          <w:b w:val="0"/>
          <w:szCs w:val="22"/>
          <w:lang w:val="hy-AM" w:eastAsia="en-US"/>
        </w:rPr>
        <w:t xml:space="preserve"> թվականին փաս</w:t>
      </w:r>
      <w:r w:rsidRPr="00A83C94">
        <w:rPr>
          <w:rFonts w:eastAsia="Calibri"/>
          <w:b w:val="0"/>
          <w:szCs w:val="22"/>
          <w:lang w:val="hy-AM" w:eastAsia="en-US"/>
        </w:rPr>
        <w:softHyphen/>
        <w:t>տա</w:t>
      </w:r>
      <w:r w:rsidRPr="00A83C94">
        <w:rPr>
          <w:rFonts w:eastAsia="Calibri"/>
          <w:b w:val="0"/>
          <w:szCs w:val="22"/>
          <w:lang w:val="hy-AM" w:eastAsia="en-US"/>
        </w:rPr>
        <w:softHyphen/>
        <w:t>ցի ստաց</w:t>
      </w:r>
      <w:r w:rsidRPr="00A83C94">
        <w:rPr>
          <w:rFonts w:eastAsia="Calibri"/>
          <w:b w:val="0"/>
          <w:szCs w:val="22"/>
          <w:lang w:val="hy-AM" w:eastAsia="en-US"/>
        </w:rPr>
        <w:softHyphen/>
        <w:t>ված 1</w:t>
      </w:r>
      <w:r w:rsidRPr="00A83C94">
        <w:rPr>
          <w:rFonts w:eastAsia="Calibri"/>
          <w:b w:val="0"/>
          <w:szCs w:val="22"/>
          <w:lang w:val="af-ZA" w:eastAsia="en-US"/>
        </w:rPr>
        <w:t>3,675.7</w:t>
      </w:r>
      <w:r w:rsidRPr="00A83C94">
        <w:rPr>
          <w:rFonts w:eastAsia="Calibri"/>
          <w:b w:val="0"/>
          <w:szCs w:val="22"/>
          <w:lang w:val="hy-AM" w:eastAsia="en-US"/>
        </w:rPr>
        <w:t xml:space="preserve"> մլն դրամի դիմաց:</w:t>
      </w:r>
      <w:r w:rsidRPr="00A83C94">
        <w:rPr>
          <w:rFonts w:eastAsia="Calibri" w:cs="GHEA Grapalat"/>
          <w:b w:val="0"/>
          <w:szCs w:val="22"/>
          <w:lang w:val="hy-AM" w:eastAsia="en-US"/>
        </w:rPr>
        <w:t xml:space="preserve"> «Պետական տուրքի մասին»</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ՀՀ</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օրենքում</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կատարվել</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են</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փոփոխություններ</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որոնցով</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սահմանվել</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են</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բարձր</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դրույքաչափերով</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պետական</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տուրքերի</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նոր</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տեսակներ</w:t>
      </w:r>
      <w:r w:rsidRPr="00A83C94">
        <w:rPr>
          <w:rFonts w:eastAsia="Calibri" w:cs="GHEA Grapalat"/>
          <w:b w:val="0"/>
          <w:szCs w:val="22"/>
          <w:lang w:val="af-ZA" w:eastAsia="en-US"/>
        </w:rPr>
        <w:t>:</w:t>
      </w:r>
      <w:r w:rsidRPr="00A83C94">
        <w:rPr>
          <w:rFonts w:eastAsia="Calibri" w:cs="GHEA Grapalat"/>
          <w:b w:val="0"/>
          <w:szCs w:val="22"/>
          <w:lang w:val="hy-AM" w:eastAsia="en-US"/>
        </w:rPr>
        <w:t xml:space="preserve"> «Պետական տուրքի մասին» Հայաստանի Հանրապետության օրենքում լրացումներ և փոփոխություններ կատարելու մասին» </w:t>
      </w:r>
      <w:r w:rsidRPr="00A83C94">
        <w:rPr>
          <w:rFonts w:eastAsia="Calibri" w:cs="GHEA Grapalat"/>
          <w:b w:val="0"/>
          <w:szCs w:val="22"/>
          <w:lang w:val="af-ZA" w:eastAsia="en-US"/>
        </w:rPr>
        <w:t>03.06.2021</w:t>
      </w:r>
      <w:r w:rsidRPr="00A83C94">
        <w:rPr>
          <w:rFonts w:eastAsia="Calibri" w:cs="GHEA Grapalat"/>
          <w:b w:val="0"/>
          <w:szCs w:val="22"/>
          <w:lang w:val="hy-AM" w:eastAsia="en-US"/>
        </w:rPr>
        <w:t>թ. ՀՕ-</w:t>
      </w:r>
      <w:r w:rsidRPr="00A83C94">
        <w:rPr>
          <w:rFonts w:eastAsia="Calibri" w:cs="GHEA Grapalat"/>
          <w:b w:val="0"/>
          <w:szCs w:val="22"/>
          <w:lang w:val="af-ZA" w:eastAsia="en-US"/>
        </w:rPr>
        <w:t>279</w:t>
      </w:r>
      <w:r w:rsidRPr="00A83C94">
        <w:rPr>
          <w:rFonts w:eastAsia="Calibri" w:cs="GHEA Grapalat"/>
          <w:b w:val="0"/>
          <w:szCs w:val="22"/>
          <w:lang w:val="hy-AM" w:eastAsia="en-US"/>
        </w:rPr>
        <w:t>-Ն օրենք</w:t>
      </w:r>
      <w:r w:rsidRPr="00A83C94">
        <w:rPr>
          <w:rFonts w:eastAsia="Calibri" w:cs="GHEA Grapalat"/>
          <w:b w:val="0"/>
          <w:szCs w:val="22"/>
          <w:lang w:val="en-US" w:eastAsia="en-US"/>
        </w:rPr>
        <w:t>ով</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սահմանվել</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է</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պետական</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տուրք</w:t>
      </w:r>
      <w:r w:rsidRPr="00A83C94">
        <w:rPr>
          <w:rFonts w:eastAsia="Calibri" w:cs="GHEA Grapalat"/>
          <w:b w:val="0"/>
          <w:szCs w:val="22"/>
          <w:lang w:val="af-ZA" w:eastAsia="en-US"/>
        </w:rPr>
        <w:t xml:space="preserve"> </w:t>
      </w:r>
      <w:r w:rsidRPr="00A83C94">
        <w:rPr>
          <w:rFonts w:eastAsia="Calibri" w:cs="GHEA Grapalat"/>
          <w:b w:val="0"/>
          <w:szCs w:val="22"/>
          <w:lang w:val="en-US" w:eastAsia="en-US"/>
        </w:rPr>
        <w:t>ա</w:t>
      </w:r>
      <w:r w:rsidRPr="00A83C94">
        <w:rPr>
          <w:rFonts w:eastAsia="Calibri" w:cs="Sylfaen"/>
          <w:b w:val="0"/>
          <w:szCs w:val="22"/>
          <w:lang w:val="en-US" w:eastAsia="en-US"/>
        </w:rPr>
        <w:t>րտադրական</w:t>
      </w:r>
      <w:r w:rsidRPr="00A83C94">
        <w:rPr>
          <w:rFonts w:eastAsia="Calibri" w:cs="Sylfaen"/>
          <w:b w:val="0"/>
          <w:szCs w:val="22"/>
          <w:lang w:val="af-ZA" w:eastAsia="en-US"/>
        </w:rPr>
        <w:t xml:space="preserve"> </w:t>
      </w:r>
      <w:r w:rsidRPr="00A83C94">
        <w:rPr>
          <w:rFonts w:eastAsia="Calibri" w:cs="Sylfaen"/>
          <w:b w:val="0"/>
          <w:szCs w:val="22"/>
          <w:lang w:val="en-US" w:eastAsia="en-US"/>
        </w:rPr>
        <w:t>կանեփի</w:t>
      </w:r>
      <w:r w:rsidRPr="00A83C94">
        <w:rPr>
          <w:rFonts w:eastAsia="Calibri" w:cs="Sylfaen"/>
          <w:b w:val="0"/>
          <w:szCs w:val="22"/>
          <w:lang w:val="af-ZA" w:eastAsia="en-US"/>
        </w:rPr>
        <w:t xml:space="preserve"> </w:t>
      </w:r>
      <w:r w:rsidRPr="00A83C94">
        <w:rPr>
          <w:rFonts w:eastAsia="Calibri" w:cs="Sylfaen"/>
          <w:b w:val="0"/>
          <w:szCs w:val="22"/>
          <w:lang w:val="en-US" w:eastAsia="en-US"/>
        </w:rPr>
        <w:t>արտադրություն</w:t>
      </w:r>
      <w:r w:rsidRPr="00A83C94">
        <w:rPr>
          <w:rFonts w:eastAsia="Calibri" w:cs="Sylfaen"/>
          <w:b w:val="0"/>
          <w:szCs w:val="22"/>
          <w:lang w:val="af-ZA" w:eastAsia="en-US"/>
        </w:rPr>
        <w:t xml:space="preserve">, </w:t>
      </w:r>
      <w:r w:rsidRPr="00A83C94">
        <w:rPr>
          <w:rFonts w:eastAsia="Calibri" w:cs="Sylfaen"/>
          <w:b w:val="0"/>
          <w:szCs w:val="22"/>
          <w:lang w:val="en-US" w:eastAsia="en-US"/>
        </w:rPr>
        <w:t>ներմուծում</w:t>
      </w:r>
      <w:r w:rsidRPr="00A83C94">
        <w:rPr>
          <w:rFonts w:eastAsia="Calibri" w:cs="Sylfaen"/>
          <w:b w:val="0"/>
          <w:szCs w:val="22"/>
          <w:lang w:val="af-ZA" w:eastAsia="en-US"/>
        </w:rPr>
        <w:t xml:space="preserve">, </w:t>
      </w:r>
      <w:r w:rsidRPr="00A83C94">
        <w:rPr>
          <w:rFonts w:eastAsia="Calibri" w:cs="Sylfaen"/>
          <w:b w:val="0"/>
          <w:szCs w:val="22"/>
          <w:lang w:val="en-US" w:eastAsia="en-US"/>
        </w:rPr>
        <w:t>արտահանում</w:t>
      </w:r>
      <w:r w:rsidRPr="00A83C94">
        <w:rPr>
          <w:rFonts w:eastAsia="Calibri" w:cs="Sylfaen"/>
          <w:b w:val="0"/>
          <w:szCs w:val="22"/>
          <w:lang w:val="af-ZA" w:eastAsia="en-US"/>
        </w:rPr>
        <w:t xml:space="preserve"> </w:t>
      </w:r>
      <w:r w:rsidRPr="00A83C94">
        <w:rPr>
          <w:rFonts w:eastAsia="Calibri" w:cs="Sylfaen"/>
          <w:b w:val="0"/>
          <w:szCs w:val="22"/>
          <w:lang w:val="en-US" w:eastAsia="en-US"/>
        </w:rPr>
        <w:t>կամ</w:t>
      </w:r>
      <w:r w:rsidRPr="00A83C94">
        <w:rPr>
          <w:rFonts w:eastAsia="Calibri" w:cs="Sylfaen"/>
          <w:b w:val="0"/>
          <w:szCs w:val="22"/>
          <w:lang w:val="af-ZA" w:eastAsia="en-US"/>
        </w:rPr>
        <w:t xml:space="preserve"> </w:t>
      </w:r>
      <w:r w:rsidRPr="00A83C94">
        <w:rPr>
          <w:rFonts w:eastAsia="Calibri" w:cs="Sylfaen"/>
          <w:b w:val="0"/>
          <w:szCs w:val="22"/>
          <w:lang w:val="en-US" w:eastAsia="en-US"/>
        </w:rPr>
        <w:t>մեծածախ</w:t>
      </w:r>
      <w:r w:rsidRPr="00A83C94">
        <w:rPr>
          <w:rFonts w:eastAsia="Calibri" w:cs="Sylfaen"/>
          <w:b w:val="0"/>
          <w:szCs w:val="22"/>
          <w:lang w:val="af-ZA" w:eastAsia="en-US"/>
        </w:rPr>
        <w:t xml:space="preserve"> </w:t>
      </w:r>
      <w:r w:rsidRPr="00A83C94">
        <w:rPr>
          <w:rFonts w:eastAsia="Calibri" w:cs="Sylfaen"/>
          <w:b w:val="0"/>
          <w:szCs w:val="22"/>
          <w:lang w:val="en-US" w:eastAsia="en-US"/>
        </w:rPr>
        <w:t>առևտուր</w:t>
      </w:r>
      <w:r w:rsidRPr="00A83C94">
        <w:rPr>
          <w:rFonts w:eastAsia="Calibri" w:cs="Sylfaen"/>
          <w:b w:val="0"/>
          <w:szCs w:val="22"/>
          <w:lang w:val="af-ZA" w:eastAsia="en-US"/>
        </w:rPr>
        <w:t xml:space="preserve"> </w:t>
      </w:r>
      <w:r w:rsidRPr="00A83C94">
        <w:rPr>
          <w:rFonts w:eastAsia="Calibri" w:cs="Sylfaen"/>
          <w:b w:val="0"/>
          <w:szCs w:val="22"/>
          <w:lang w:val="en-US" w:eastAsia="en-US"/>
        </w:rPr>
        <w:t>իրականացնելու</w:t>
      </w:r>
      <w:r w:rsidRPr="00A83C94">
        <w:rPr>
          <w:rFonts w:eastAsia="Calibri" w:cs="Sylfaen"/>
          <w:b w:val="0"/>
          <w:szCs w:val="22"/>
          <w:lang w:val="af-ZA" w:eastAsia="en-US"/>
        </w:rPr>
        <w:t xml:space="preserve"> </w:t>
      </w:r>
      <w:r w:rsidRPr="00A83C94">
        <w:rPr>
          <w:rFonts w:eastAsia="Calibri" w:cs="Sylfaen"/>
          <w:b w:val="0"/>
          <w:szCs w:val="22"/>
          <w:lang w:val="en-US" w:eastAsia="en-US"/>
        </w:rPr>
        <w:t>լիցենզիաների</w:t>
      </w:r>
      <w:r w:rsidRPr="00A83C94">
        <w:rPr>
          <w:rFonts w:eastAsia="Calibri" w:cs="Sylfaen"/>
          <w:b w:val="0"/>
          <w:szCs w:val="22"/>
          <w:lang w:val="af-ZA" w:eastAsia="en-US"/>
        </w:rPr>
        <w:t xml:space="preserve"> </w:t>
      </w:r>
      <w:r w:rsidRPr="00A83C94">
        <w:rPr>
          <w:rFonts w:eastAsia="Calibri" w:cs="Sylfaen"/>
          <w:b w:val="0"/>
          <w:szCs w:val="22"/>
          <w:lang w:val="en-US" w:eastAsia="en-US"/>
        </w:rPr>
        <w:t>համար</w:t>
      </w:r>
      <w:r w:rsidRPr="00A83C94">
        <w:rPr>
          <w:rFonts w:eastAsia="Calibri" w:cs="Sylfaen"/>
          <w:b w:val="0"/>
          <w:szCs w:val="22"/>
          <w:lang w:val="af-ZA" w:eastAsia="en-US"/>
        </w:rPr>
        <w:t xml:space="preserve">, </w:t>
      </w:r>
      <w:r w:rsidRPr="00A83C94">
        <w:rPr>
          <w:rFonts w:eastAsia="Calibri" w:cs="Sylfaen"/>
          <w:b w:val="0"/>
          <w:szCs w:val="22"/>
          <w:lang w:val="en-US" w:eastAsia="en-US"/>
        </w:rPr>
        <w:t>իսկ</w:t>
      </w:r>
      <w:r w:rsidRPr="00A83C94">
        <w:rPr>
          <w:rFonts w:eastAsia="Calibri" w:cs="Sylfaen"/>
          <w:b w:val="0"/>
          <w:szCs w:val="22"/>
          <w:lang w:val="af-ZA" w:eastAsia="en-US"/>
        </w:rPr>
        <w:t xml:space="preserve"> </w:t>
      </w:r>
      <w:r w:rsidRPr="00A83C94">
        <w:rPr>
          <w:rFonts w:eastAsia="Calibri" w:cs="GHEA Grapalat"/>
          <w:b w:val="0"/>
          <w:szCs w:val="22"/>
          <w:lang w:val="hy-AM" w:eastAsia="en-US"/>
        </w:rPr>
        <w:t>«Պետական տուրքի մասին» Հայաստանի Հանրապետության օրենքում փոփոխություն և լրացում կատարելու մասին»</w:t>
      </w:r>
      <w:r w:rsidRPr="00A83C94">
        <w:rPr>
          <w:rFonts w:eastAsia="Calibri" w:cs="GHEA Grapalat"/>
          <w:b w:val="0"/>
          <w:szCs w:val="22"/>
          <w:lang w:val="af-ZA" w:eastAsia="en-US"/>
        </w:rPr>
        <w:t xml:space="preserve"> 15.07.2021</w:t>
      </w:r>
      <w:r w:rsidRPr="00A83C94">
        <w:rPr>
          <w:rFonts w:eastAsia="Calibri" w:cs="GHEA Grapalat"/>
          <w:b w:val="0"/>
          <w:szCs w:val="22"/>
          <w:lang w:val="en-US" w:eastAsia="en-US"/>
        </w:rPr>
        <w:t>թ</w:t>
      </w:r>
      <w:r w:rsidRPr="00A83C94">
        <w:rPr>
          <w:rFonts w:eastAsia="Calibri" w:cs="GHEA Grapalat"/>
          <w:b w:val="0"/>
          <w:szCs w:val="22"/>
          <w:lang w:val="af-ZA" w:eastAsia="en-US"/>
        </w:rPr>
        <w:t xml:space="preserve">. </w:t>
      </w:r>
      <w:r w:rsidRPr="00A83C94">
        <w:rPr>
          <w:rFonts w:eastAsia="Calibri" w:cs="GHEA Grapalat"/>
          <w:b w:val="0"/>
          <w:szCs w:val="22"/>
          <w:lang w:val="hy-AM" w:eastAsia="en-US"/>
        </w:rPr>
        <w:t>ՀՕ-</w:t>
      </w:r>
      <w:r w:rsidRPr="00A83C94">
        <w:rPr>
          <w:rFonts w:eastAsia="Calibri" w:cs="GHEA Grapalat"/>
          <w:b w:val="0"/>
          <w:szCs w:val="22"/>
          <w:lang w:val="af-ZA" w:eastAsia="en-US"/>
        </w:rPr>
        <w:t>310</w:t>
      </w:r>
      <w:r w:rsidRPr="00A83C94">
        <w:rPr>
          <w:rFonts w:eastAsia="Calibri" w:cs="GHEA Grapalat"/>
          <w:b w:val="0"/>
          <w:szCs w:val="22"/>
          <w:lang w:val="hy-AM" w:eastAsia="en-US"/>
        </w:rPr>
        <w:t xml:space="preserve">-Ն </w:t>
      </w:r>
      <w:r w:rsidRPr="00A83C94">
        <w:rPr>
          <w:rFonts w:eastAsia="Calibri" w:cs="GHEA Grapalat"/>
          <w:b w:val="0"/>
          <w:szCs w:val="22"/>
          <w:lang w:val="en-US" w:eastAsia="en-US"/>
        </w:rPr>
        <w:t>օրենքով՝</w:t>
      </w:r>
      <w:r w:rsidRPr="00A83C94">
        <w:rPr>
          <w:rFonts w:eastAsia="Calibri" w:cs="GHEA Grapalat"/>
          <w:b w:val="0"/>
          <w:szCs w:val="22"/>
          <w:lang w:val="af-ZA" w:eastAsia="en-US"/>
        </w:rPr>
        <w:t xml:space="preserve"> </w:t>
      </w:r>
      <w:r w:rsidRPr="00A83C94">
        <w:rPr>
          <w:rFonts w:cs="Sylfaen"/>
          <w:b w:val="0"/>
          <w:szCs w:val="22"/>
          <w:lang w:val="af-ZA"/>
        </w:rPr>
        <w:t xml:space="preserve">Հայաստանի Հանրապետությունից </w:t>
      </w:r>
      <w:r w:rsidRPr="00A83C94">
        <w:rPr>
          <w:rFonts w:cs="Sylfaen"/>
          <w:b w:val="0"/>
          <w:szCs w:val="22"/>
        </w:rPr>
        <w:t>պղնձի</w:t>
      </w:r>
      <w:r w:rsidRPr="00A83C94">
        <w:rPr>
          <w:rFonts w:cs="Sylfaen"/>
          <w:b w:val="0"/>
          <w:szCs w:val="22"/>
          <w:lang w:val="af-ZA"/>
        </w:rPr>
        <w:t xml:space="preserve"> </w:t>
      </w:r>
      <w:r w:rsidRPr="00A83C94">
        <w:rPr>
          <w:rFonts w:cs="Sylfaen"/>
          <w:b w:val="0"/>
          <w:szCs w:val="22"/>
        </w:rPr>
        <w:t>խտահանքի</w:t>
      </w:r>
      <w:r w:rsidRPr="00A83C94">
        <w:rPr>
          <w:rFonts w:cs="Sylfaen"/>
          <w:b w:val="0"/>
          <w:szCs w:val="22"/>
          <w:lang w:val="af-ZA"/>
        </w:rPr>
        <w:t xml:space="preserve">, </w:t>
      </w:r>
      <w:r w:rsidRPr="00A83C94">
        <w:rPr>
          <w:rFonts w:cs="Sylfaen"/>
          <w:b w:val="0"/>
          <w:szCs w:val="22"/>
        </w:rPr>
        <w:t>մոլիբդենի</w:t>
      </w:r>
      <w:r w:rsidRPr="00A83C94">
        <w:rPr>
          <w:rFonts w:cs="Sylfaen"/>
          <w:b w:val="0"/>
          <w:szCs w:val="22"/>
          <w:lang w:val="af-ZA"/>
        </w:rPr>
        <w:t xml:space="preserve"> </w:t>
      </w:r>
      <w:r w:rsidRPr="00A83C94">
        <w:rPr>
          <w:rFonts w:cs="Sylfaen"/>
          <w:b w:val="0"/>
          <w:szCs w:val="22"/>
        </w:rPr>
        <w:t>խտահանքի</w:t>
      </w:r>
      <w:r w:rsidRPr="00A83C94">
        <w:rPr>
          <w:rFonts w:cs="Sylfaen"/>
          <w:b w:val="0"/>
          <w:szCs w:val="22"/>
          <w:lang w:val="af-ZA"/>
        </w:rPr>
        <w:t xml:space="preserve"> </w:t>
      </w:r>
      <w:r w:rsidRPr="00A83C94">
        <w:rPr>
          <w:rFonts w:cs="Sylfaen"/>
          <w:b w:val="0"/>
          <w:szCs w:val="22"/>
          <w:lang w:val="en-US"/>
        </w:rPr>
        <w:t>և</w:t>
      </w:r>
      <w:r w:rsidRPr="00A83C94">
        <w:rPr>
          <w:rFonts w:cs="Sylfaen"/>
          <w:b w:val="0"/>
          <w:szCs w:val="22"/>
          <w:lang w:val="af-ZA"/>
        </w:rPr>
        <w:t xml:space="preserve">  մոլիբդենի և դրանից պատրաստված արտադրատեսակների (բացառությամբ՝ թափոններ և ջարդոն)՝ դեպի երրորդ երկրներ </w:t>
      </w:r>
      <w:r w:rsidRPr="00A83C94">
        <w:rPr>
          <w:rFonts w:cs="Sylfaen"/>
          <w:b w:val="0"/>
          <w:szCs w:val="22"/>
        </w:rPr>
        <w:t>արտահանման</w:t>
      </w:r>
      <w:r w:rsidRPr="00A83C94">
        <w:rPr>
          <w:rFonts w:cs="Sylfaen"/>
          <w:b w:val="0"/>
          <w:szCs w:val="22"/>
          <w:lang w:val="af-ZA"/>
        </w:rPr>
        <w:t xml:space="preserve"> ժամանակավոր սահմանափակում կիրառելու </w:t>
      </w:r>
      <w:r w:rsidRPr="00A83C94">
        <w:rPr>
          <w:rFonts w:cs="Sylfaen"/>
          <w:b w:val="0"/>
          <w:szCs w:val="22"/>
        </w:rPr>
        <w:t>լիցենզիաներ</w:t>
      </w:r>
      <w:r w:rsidRPr="00A83C94">
        <w:rPr>
          <w:rFonts w:cs="Sylfaen"/>
          <w:b w:val="0"/>
          <w:szCs w:val="22"/>
          <w:lang w:val="af-ZA"/>
        </w:rPr>
        <w:t xml:space="preserve"> </w:t>
      </w:r>
      <w:r w:rsidRPr="00A83C94">
        <w:rPr>
          <w:rFonts w:cs="Sylfaen"/>
          <w:b w:val="0"/>
          <w:szCs w:val="22"/>
        </w:rPr>
        <w:t>տրամադրելու</w:t>
      </w:r>
      <w:r w:rsidRPr="00A83C94">
        <w:rPr>
          <w:rFonts w:cs="Sylfaen"/>
          <w:b w:val="0"/>
          <w:szCs w:val="22"/>
          <w:lang w:val="af-ZA"/>
        </w:rPr>
        <w:t xml:space="preserve">  </w:t>
      </w:r>
      <w:r w:rsidRPr="00A83C94">
        <w:rPr>
          <w:rFonts w:cs="Sylfaen"/>
          <w:b w:val="0"/>
          <w:szCs w:val="22"/>
          <w:lang w:val="en-US"/>
        </w:rPr>
        <w:t>համար</w:t>
      </w:r>
      <w:r w:rsidRPr="00A83C94">
        <w:rPr>
          <w:rFonts w:cs="Sylfaen"/>
          <w:b w:val="0"/>
          <w:szCs w:val="22"/>
          <w:lang w:val="af-ZA"/>
        </w:rPr>
        <w:t>:</w:t>
      </w:r>
    </w:p>
    <w:p w14:paraId="7CD859DA" w14:textId="77777777" w:rsidR="00AE2A75" w:rsidRPr="00A83C94" w:rsidRDefault="00AE2A75" w:rsidP="00AE2A75">
      <w:pPr>
        <w:spacing w:before="0" w:line="276" w:lineRule="auto"/>
        <w:ind w:firstLine="538"/>
        <w:rPr>
          <w:rFonts w:eastAsia="Calibri"/>
          <w:b w:val="0"/>
          <w:szCs w:val="22"/>
          <w:lang w:val="hy-AM" w:eastAsia="en-US"/>
        </w:rPr>
      </w:pPr>
      <w:r w:rsidRPr="00A83C94">
        <w:rPr>
          <w:rFonts w:eastAsia="Calibri"/>
          <w:b w:val="0"/>
          <w:szCs w:val="22"/>
          <w:lang w:val="hy-AM" w:eastAsia="en-US"/>
        </w:rPr>
        <w:t>Այս խմբի պե</w:t>
      </w:r>
      <w:r w:rsidRPr="00A83C94">
        <w:rPr>
          <w:rFonts w:eastAsia="Calibri"/>
          <w:b w:val="0"/>
          <w:szCs w:val="22"/>
          <w:lang w:val="hy-AM" w:eastAsia="en-US"/>
        </w:rPr>
        <w:softHyphen/>
        <w:t>տա</w:t>
      </w:r>
      <w:r w:rsidRPr="00A83C94">
        <w:rPr>
          <w:rFonts w:eastAsia="Calibri"/>
          <w:b w:val="0"/>
          <w:szCs w:val="22"/>
          <w:lang w:val="hy-AM" w:eastAsia="en-US"/>
        </w:rPr>
        <w:softHyphen/>
        <w:t>կան տուրքերի 202</w:t>
      </w:r>
      <w:r w:rsidRPr="00A83C94">
        <w:rPr>
          <w:rFonts w:eastAsia="Calibri"/>
          <w:b w:val="0"/>
          <w:szCs w:val="22"/>
          <w:lang w:val="af-ZA" w:eastAsia="en-US"/>
        </w:rPr>
        <w:t>2</w:t>
      </w:r>
      <w:r w:rsidRPr="00A83C94">
        <w:rPr>
          <w:rFonts w:eastAsia="Calibri"/>
          <w:b w:val="0"/>
          <w:szCs w:val="22"/>
          <w:lang w:val="hy-AM" w:eastAsia="en-US"/>
        </w:rPr>
        <w:t xml:space="preserve"> թվականի մուտքերի գերակշիռ մասը` 1</w:t>
      </w:r>
      <w:r w:rsidRPr="00A83C94">
        <w:rPr>
          <w:rFonts w:eastAsia="Calibri"/>
          <w:b w:val="0"/>
          <w:szCs w:val="22"/>
          <w:lang w:val="af-ZA" w:eastAsia="en-US"/>
        </w:rPr>
        <w:t>2,576.1</w:t>
      </w:r>
      <w:r w:rsidRPr="00A83C94">
        <w:rPr>
          <w:rFonts w:eastAsia="Calibri"/>
          <w:b w:val="0"/>
          <w:szCs w:val="22"/>
          <w:lang w:val="hy-AM" w:eastAsia="en-US"/>
        </w:rPr>
        <w:t xml:space="preserve"> մլն դրամը կամ </w:t>
      </w:r>
      <w:r w:rsidRPr="00A83C94">
        <w:rPr>
          <w:rFonts w:eastAsia="Calibri"/>
          <w:b w:val="0"/>
          <w:szCs w:val="22"/>
          <w:lang w:val="af-ZA" w:eastAsia="en-US"/>
        </w:rPr>
        <w:t>72.1</w:t>
      </w:r>
      <w:r w:rsidRPr="00A83C94">
        <w:rPr>
          <w:rFonts w:eastAsia="Calibri"/>
          <w:b w:val="0"/>
          <w:szCs w:val="22"/>
          <w:lang w:val="hy-AM" w:eastAsia="en-US"/>
        </w:rPr>
        <w:t xml:space="preserve">%-ը </w:t>
      </w:r>
      <w:r w:rsidRPr="00A83C94">
        <w:rPr>
          <w:rFonts w:eastAsia="Calibri"/>
          <w:b w:val="0"/>
          <w:szCs w:val="22"/>
          <w:lang w:val="af-ZA" w:eastAsia="en-US"/>
        </w:rPr>
        <w:t>(</w:t>
      </w:r>
      <w:r w:rsidRPr="00A83C94">
        <w:rPr>
          <w:rFonts w:eastAsia="Calibri"/>
          <w:b w:val="0"/>
          <w:szCs w:val="22"/>
          <w:lang w:val="en-US" w:eastAsia="en-US"/>
        </w:rPr>
        <w:t>առանց</w:t>
      </w:r>
      <w:r w:rsidRPr="00A83C94">
        <w:rPr>
          <w:rFonts w:eastAsia="Calibri"/>
          <w:b w:val="0"/>
          <w:szCs w:val="22"/>
          <w:lang w:val="af-ZA" w:eastAsia="en-US"/>
        </w:rPr>
        <w:t xml:space="preserve"> </w:t>
      </w:r>
      <w:r w:rsidRPr="00A83C94">
        <w:rPr>
          <w:rFonts w:cs="Sylfaen"/>
          <w:b w:val="0"/>
          <w:szCs w:val="22"/>
          <w:lang w:val="af-ZA"/>
        </w:rPr>
        <w:t xml:space="preserve">Հայաստանի Հանրապետությունից </w:t>
      </w:r>
      <w:r w:rsidRPr="00A83C94">
        <w:rPr>
          <w:rFonts w:cs="Sylfaen"/>
          <w:b w:val="0"/>
          <w:szCs w:val="22"/>
        </w:rPr>
        <w:t>պղնձի</w:t>
      </w:r>
      <w:r w:rsidRPr="00A83C94">
        <w:rPr>
          <w:rFonts w:cs="Sylfaen"/>
          <w:b w:val="0"/>
          <w:szCs w:val="22"/>
          <w:lang w:val="af-ZA"/>
        </w:rPr>
        <w:t xml:space="preserve"> </w:t>
      </w:r>
      <w:r w:rsidRPr="00A83C94">
        <w:rPr>
          <w:rFonts w:cs="Sylfaen"/>
          <w:b w:val="0"/>
          <w:szCs w:val="22"/>
        </w:rPr>
        <w:t>խտահանքի</w:t>
      </w:r>
      <w:r w:rsidRPr="00A83C94">
        <w:rPr>
          <w:rFonts w:cs="Sylfaen"/>
          <w:b w:val="0"/>
          <w:szCs w:val="22"/>
          <w:lang w:val="af-ZA"/>
        </w:rPr>
        <w:t xml:space="preserve">, </w:t>
      </w:r>
      <w:r w:rsidRPr="00A83C94">
        <w:rPr>
          <w:rFonts w:cs="Sylfaen"/>
          <w:b w:val="0"/>
          <w:szCs w:val="22"/>
        </w:rPr>
        <w:t>մոլիբդենի</w:t>
      </w:r>
      <w:r w:rsidRPr="00A83C94">
        <w:rPr>
          <w:rFonts w:cs="Sylfaen"/>
          <w:b w:val="0"/>
          <w:szCs w:val="22"/>
          <w:lang w:val="af-ZA"/>
        </w:rPr>
        <w:t xml:space="preserve"> </w:t>
      </w:r>
      <w:r w:rsidRPr="00A83C94">
        <w:rPr>
          <w:rFonts w:cs="Sylfaen"/>
          <w:b w:val="0"/>
          <w:szCs w:val="22"/>
        </w:rPr>
        <w:t>խտահանքի</w:t>
      </w:r>
      <w:r w:rsidRPr="00A83C94">
        <w:rPr>
          <w:rFonts w:cs="Sylfaen"/>
          <w:b w:val="0"/>
          <w:szCs w:val="22"/>
          <w:lang w:val="af-ZA"/>
        </w:rPr>
        <w:t xml:space="preserve"> </w:t>
      </w:r>
      <w:r w:rsidRPr="00A83C94">
        <w:rPr>
          <w:rFonts w:cs="Sylfaen"/>
          <w:b w:val="0"/>
          <w:szCs w:val="22"/>
          <w:lang w:val="en-US"/>
        </w:rPr>
        <w:t>և</w:t>
      </w:r>
      <w:r w:rsidRPr="00A83C94">
        <w:rPr>
          <w:rFonts w:cs="Sylfaen"/>
          <w:b w:val="0"/>
          <w:szCs w:val="22"/>
          <w:lang w:val="af-ZA"/>
        </w:rPr>
        <w:t xml:space="preserve">  մոլիբդենի և դրանից պատրաստված արտադրատեսակների (բացառությամբ՝ թափոններ և ջարդոն)՝ դեպի երրորդ երկրներ </w:t>
      </w:r>
      <w:r w:rsidRPr="00A83C94">
        <w:rPr>
          <w:rFonts w:cs="Sylfaen"/>
          <w:b w:val="0"/>
          <w:szCs w:val="22"/>
        </w:rPr>
        <w:t>արտահանման</w:t>
      </w:r>
      <w:r w:rsidRPr="00A83C94">
        <w:rPr>
          <w:rFonts w:cs="Sylfaen"/>
          <w:b w:val="0"/>
          <w:szCs w:val="22"/>
          <w:lang w:val="af-ZA"/>
        </w:rPr>
        <w:t xml:space="preserve"> ժամանակավոր սահմանափակում կիրառելու </w:t>
      </w:r>
      <w:r w:rsidRPr="00A83C94">
        <w:rPr>
          <w:rFonts w:cs="Sylfaen"/>
          <w:b w:val="0"/>
          <w:szCs w:val="22"/>
        </w:rPr>
        <w:t>լիցենզիաներ</w:t>
      </w:r>
      <w:r w:rsidRPr="00A83C94">
        <w:rPr>
          <w:rFonts w:cs="Sylfaen"/>
          <w:b w:val="0"/>
          <w:szCs w:val="22"/>
          <w:lang w:val="af-ZA"/>
        </w:rPr>
        <w:t xml:space="preserve"> </w:t>
      </w:r>
      <w:r w:rsidRPr="00A83C94">
        <w:rPr>
          <w:rFonts w:cs="Sylfaen"/>
          <w:b w:val="0"/>
          <w:szCs w:val="22"/>
        </w:rPr>
        <w:t>տրամադրելու</w:t>
      </w:r>
      <w:r w:rsidRPr="00A83C94">
        <w:rPr>
          <w:rFonts w:cs="Sylfaen"/>
          <w:b w:val="0"/>
          <w:szCs w:val="22"/>
          <w:lang w:val="af-ZA"/>
        </w:rPr>
        <w:t xml:space="preserve"> </w:t>
      </w:r>
      <w:r w:rsidRPr="00A83C94">
        <w:rPr>
          <w:rFonts w:cs="Sylfaen"/>
          <w:b w:val="0"/>
          <w:szCs w:val="22"/>
          <w:lang w:val="en-US"/>
        </w:rPr>
        <w:t>համար</w:t>
      </w:r>
      <w:r w:rsidRPr="00A83C94">
        <w:rPr>
          <w:rFonts w:cs="Sylfaen"/>
          <w:b w:val="0"/>
          <w:szCs w:val="22"/>
          <w:lang w:val="af-ZA"/>
        </w:rPr>
        <w:t xml:space="preserve"> </w:t>
      </w:r>
      <w:r w:rsidRPr="00A83C94">
        <w:rPr>
          <w:rFonts w:cs="Sylfaen"/>
          <w:b w:val="0"/>
          <w:szCs w:val="22"/>
          <w:lang w:val="en-US"/>
        </w:rPr>
        <w:t>պետական</w:t>
      </w:r>
      <w:r w:rsidRPr="00A83C94">
        <w:rPr>
          <w:rFonts w:cs="Sylfaen"/>
          <w:b w:val="0"/>
          <w:szCs w:val="22"/>
          <w:lang w:val="af-ZA"/>
        </w:rPr>
        <w:t xml:space="preserve"> </w:t>
      </w:r>
      <w:r w:rsidRPr="00A83C94">
        <w:rPr>
          <w:rFonts w:cs="Sylfaen"/>
          <w:b w:val="0"/>
          <w:szCs w:val="22"/>
          <w:lang w:val="en-US"/>
        </w:rPr>
        <w:t>տուրքի</w:t>
      </w:r>
      <w:r w:rsidRPr="00A83C94">
        <w:rPr>
          <w:rFonts w:cs="Sylfaen"/>
          <w:b w:val="0"/>
          <w:szCs w:val="22"/>
          <w:lang w:val="af-ZA"/>
        </w:rPr>
        <w:t xml:space="preserve"> </w:t>
      </w:r>
      <w:r w:rsidRPr="00A83C94">
        <w:rPr>
          <w:rFonts w:cs="Sylfaen"/>
          <w:b w:val="0"/>
          <w:szCs w:val="22"/>
          <w:lang w:val="en-US"/>
        </w:rPr>
        <w:t>գծով</w:t>
      </w:r>
      <w:r w:rsidRPr="00A83C94">
        <w:rPr>
          <w:rFonts w:cs="Sylfaen"/>
          <w:b w:val="0"/>
          <w:szCs w:val="22"/>
          <w:lang w:val="af-ZA"/>
        </w:rPr>
        <w:t xml:space="preserve"> </w:t>
      </w:r>
      <w:r w:rsidRPr="00A83C94">
        <w:rPr>
          <w:rFonts w:cs="Sylfaen"/>
          <w:b w:val="0"/>
          <w:szCs w:val="22"/>
          <w:lang w:val="en-US"/>
        </w:rPr>
        <w:t>կանխատեսվող</w:t>
      </w:r>
      <w:r w:rsidRPr="00A83C94">
        <w:rPr>
          <w:rFonts w:cs="Sylfaen"/>
          <w:b w:val="0"/>
          <w:szCs w:val="22"/>
          <w:lang w:val="af-ZA"/>
        </w:rPr>
        <w:t xml:space="preserve"> 50.0 </w:t>
      </w:r>
      <w:r w:rsidRPr="00A83C94">
        <w:rPr>
          <w:rFonts w:cs="Sylfaen"/>
          <w:b w:val="0"/>
          <w:szCs w:val="22"/>
          <w:lang w:val="en-US"/>
        </w:rPr>
        <w:t>մլրդ</w:t>
      </w:r>
      <w:r w:rsidRPr="00A83C94">
        <w:rPr>
          <w:rFonts w:cs="Sylfaen"/>
          <w:b w:val="0"/>
          <w:szCs w:val="22"/>
          <w:lang w:val="af-ZA"/>
        </w:rPr>
        <w:t xml:space="preserve"> </w:t>
      </w:r>
      <w:r w:rsidRPr="00A83C94">
        <w:rPr>
          <w:rFonts w:cs="Sylfaen"/>
          <w:b w:val="0"/>
          <w:szCs w:val="22"/>
          <w:lang w:val="en-US"/>
        </w:rPr>
        <w:t>դրամի</w:t>
      </w:r>
      <w:r w:rsidRPr="00A83C94">
        <w:rPr>
          <w:rFonts w:cs="Sylfaen"/>
          <w:b w:val="0"/>
          <w:szCs w:val="22"/>
          <w:lang w:val="af-ZA"/>
        </w:rPr>
        <w:t xml:space="preserve">), </w:t>
      </w:r>
      <w:r w:rsidRPr="00A83C94">
        <w:rPr>
          <w:rFonts w:eastAsia="Calibri"/>
          <w:b w:val="0"/>
          <w:szCs w:val="22"/>
          <w:lang w:val="hy-AM" w:eastAsia="en-US"/>
        </w:rPr>
        <w:t xml:space="preserve">նախատեսվում է գանձել </w:t>
      </w:r>
      <w:r w:rsidRPr="00A83C94">
        <w:rPr>
          <w:rFonts w:eastAsia="Calibri" w:cs="GHEA Grapalat"/>
          <w:b w:val="0"/>
          <w:szCs w:val="22"/>
          <w:lang w:val="hy-AM" w:eastAsia="en-US"/>
        </w:rPr>
        <w:t xml:space="preserve">վիճակախաղերի, շահումներով խաղերի, բանկային և ֆինանսավարկային կազմակերպությունների, </w:t>
      </w:r>
      <w:r w:rsidRPr="00A83C94">
        <w:rPr>
          <w:rFonts w:eastAsia="Calibri"/>
          <w:b w:val="0"/>
          <w:szCs w:val="22"/>
          <w:lang w:val="hy-AM" w:eastAsia="en-US"/>
        </w:rPr>
        <w:t>պետական սեփակա</w:t>
      </w:r>
      <w:r w:rsidRPr="00A83C94">
        <w:rPr>
          <w:rFonts w:eastAsia="Calibri"/>
          <w:b w:val="0"/>
          <w:szCs w:val="22"/>
          <w:lang w:val="hy-AM" w:eastAsia="en-US"/>
        </w:rPr>
        <w:softHyphen/>
        <w:t>նություն հանդիսացող ընդերքի և բնական ռե</w:t>
      </w:r>
      <w:r w:rsidRPr="00A83C94">
        <w:rPr>
          <w:rFonts w:eastAsia="Calibri"/>
          <w:b w:val="0"/>
          <w:szCs w:val="22"/>
          <w:lang w:val="hy-AM" w:eastAsia="en-US"/>
        </w:rPr>
        <w:softHyphen/>
        <w:t>սուրս</w:t>
      </w:r>
      <w:r w:rsidRPr="00A83C94">
        <w:rPr>
          <w:rFonts w:eastAsia="Calibri"/>
          <w:b w:val="0"/>
          <w:szCs w:val="22"/>
          <w:lang w:val="hy-AM" w:eastAsia="en-US"/>
        </w:rPr>
        <w:softHyphen/>
      </w:r>
      <w:r w:rsidRPr="00A83C94">
        <w:rPr>
          <w:rFonts w:eastAsia="Calibri"/>
          <w:b w:val="0"/>
          <w:szCs w:val="22"/>
          <w:lang w:val="hy-AM" w:eastAsia="en-US"/>
        </w:rPr>
        <w:softHyphen/>
        <w:t>նե</w:t>
      </w:r>
      <w:r w:rsidRPr="00A83C94">
        <w:rPr>
          <w:rFonts w:eastAsia="Calibri"/>
          <w:b w:val="0"/>
          <w:szCs w:val="22"/>
          <w:lang w:val="hy-AM" w:eastAsia="en-US"/>
        </w:rPr>
        <w:softHyphen/>
        <w:t xml:space="preserve">րի, ինչպես նաև </w:t>
      </w:r>
      <w:r w:rsidRPr="00A83C94">
        <w:rPr>
          <w:rFonts w:eastAsia="Calibri"/>
          <w:b w:val="0"/>
          <w:szCs w:val="22"/>
          <w:lang w:val="en-US" w:eastAsia="en-US"/>
        </w:rPr>
        <w:t>բանկային</w:t>
      </w:r>
      <w:r w:rsidRPr="00A83C94">
        <w:rPr>
          <w:rFonts w:eastAsia="Calibri"/>
          <w:b w:val="0"/>
          <w:szCs w:val="22"/>
          <w:lang w:val="af-ZA" w:eastAsia="en-US"/>
        </w:rPr>
        <w:t xml:space="preserve">, </w:t>
      </w:r>
      <w:r w:rsidRPr="00A83C94">
        <w:rPr>
          <w:rFonts w:eastAsia="Calibri"/>
          <w:b w:val="0"/>
          <w:szCs w:val="22"/>
          <w:lang w:val="en-US" w:eastAsia="en-US"/>
        </w:rPr>
        <w:t>մաքսային</w:t>
      </w:r>
      <w:r w:rsidRPr="00A83C94">
        <w:rPr>
          <w:rFonts w:eastAsia="Calibri"/>
          <w:b w:val="0"/>
          <w:szCs w:val="22"/>
          <w:lang w:val="af-ZA" w:eastAsia="en-US"/>
        </w:rPr>
        <w:t xml:space="preserve">, </w:t>
      </w:r>
      <w:r w:rsidRPr="00A83C94">
        <w:rPr>
          <w:rFonts w:eastAsia="Calibri"/>
          <w:b w:val="0"/>
          <w:szCs w:val="22"/>
          <w:lang w:val="en-US" w:eastAsia="en-US"/>
        </w:rPr>
        <w:t>տրանս</w:t>
      </w:r>
      <w:r w:rsidRPr="00A83C94">
        <w:rPr>
          <w:rFonts w:eastAsia="Calibri"/>
          <w:b w:val="0"/>
          <w:szCs w:val="22"/>
          <w:lang w:val="af-ZA" w:eastAsia="en-US"/>
        </w:rPr>
        <w:softHyphen/>
      </w:r>
      <w:r w:rsidRPr="00A83C94">
        <w:rPr>
          <w:rFonts w:eastAsia="Calibri"/>
          <w:b w:val="0"/>
          <w:szCs w:val="22"/>
          <w:lang w:val="af-ZA" w:eastAsia="en-US"/>
        </w:rPr>
        <w:softHyphen/>
      </w:r>
      <w:r w:rsidRPr="00A83C94">
        <w:rPr>
          <w:rFonts w:eastAsia="Calibri"/>
          <w:b w:val="0"/>
          <w:szCs w:val="22"/>
          <w:lang w:val="en-US" w:eastAsia="en-US"/>
        </w:rPr>
        <w:t>պորտի</w:t>
      </w:r>
      <w:r w:rsidRPr="00A83C94">
        <w:rPr>
          <w:rFonts w:eastAsia="Calibri"/>
          <w:b w:val="0"/>
          <w:szCs w:val="22"/>
          <w:lang w:val="af-ZA" w:eastAsia="en-US"/>
        </w:rPr>
        <w:t xml:space="preserve"> </w:t>
      </w:r>
      <w:r w:rsidRPr="00A83C94">
        <w:rPr>
          <w:rFonts w:eastAsia="Calibri"/>
          <w:b w:val="0"/>
          <w:szCs w:val="22"/>
          <w:lang w:val="en-US" w:eastAsia="en-US"/>
        </w:rPr>
        <w:t>և</w:t>
      </w:r>
      <w:r w:rsidRPr="00A83C94">
        <w:rPr>
          <w:rFonts w:eastAsia="Calibri"/>
          <w:b w:val="0"/>
          <w:szCs w:val="22"/>
          <w:lang w:val="af-ZA" w:eastAsia="en-US"/>
        </w:rPr>
        <w:t xml:space="preserve"> </w:t>
      </w:r>
      <w:r w:rsidRPr="00A83C94">
        <w:rPr>
          <w:rFonts w:eastAsia="Calibri"/>
          <w:b w:val="0"/>
          <w:szCs w:val="22"/>
          <w:lang w:val="hy-AM" w:eastAsia="en-US"/>
        </w:rPr>
        <w:t>քաղա</w:t>
      </w:r>
      <w:r w:rsidRPr="00A83C94">
        <w:rPr>
          <w:rFonts w:eastAsia="Calibri"/>
          <w:b w:val="0"/>
          <w:szCs w:val="22"/>
          <w:lang w:val="hy-AM" w:eastAsia="en-US"/>
        </w:rPr>
        <w:softHyphen/>
        <w:t>քա</w:t>
      </w:r>
      <w:r w:rsidRPr="00A83C94">
        <w:rPr>
          <w:rFonts w:eastAsia="Calibri"/>
          <w:b w:val="0"/>
          <w:szCs w:val="22"/>
          <w:lang w:val="hy-AM" w:eastAsia="en-US"/>
        </w:rPr>
        <w:softHyphen/>
        <w:t>շինության բնագավառ</w:t>
      </w:r>
      <w:r w:rsidRPr="00A83C94">
        <w:rPr>
          <w:rFonts w:eastAsia="Calibri"/>
          <w:b w:val="0"/>
          <w:szCs w:val="22"/>
          <w:lang w:val="hy-AM" w:eastAsia="en-US"/>
        </w:rPr>
        <w:softHyphen/>
        <w:t>ներում լիցեն</w:t>
      </w:r>
      <w:r w:rsidRPr="00A83C94">
        <w:rPr>
          <w:rFonts w:eastAsia="Calibri"/>
          <w:b w:val="0"/>
          <w:szCs w:val="22"/>
          <w:lang w:val="hy-AM" w:eastAsia="en-US"/>
        </w:rPr>
        <w:softHyphen/>
        <w:t>զավոր</w:t>
      </w:r>
      <w:r w:rsidRPr="00A83C94">
        <w:rPr>
          <w:rFonts w:eastAsia="Calibri"/>
          <w:b w:val="0"/>
          <w:szCs w:val="22"/>
          <w:lang w:val="hy-AM" w:eastAsia="en-US"/>
        </w:rPr>
        <w:softHyphen/>
        <w:t>ման ենթակա գործու</w:t>
      </w:r>
      <w:r w:rsidRPr="00A83C94">
        <w:rPr>
          <w:rFonts w:eastAsia="Calibri"/>
          <w:b w:val="0"/>
          <w:szCs w:val="22"/>
          <w:lang w:val="af-ZA" w:eastAsia="en-US"/>
        </w:rPr>
        <w:softHyphen/>
      </w:r>
      <w:r w:rsidRPr="00A83C94">
        <w:rPr>
          <w:rFonts w:eastAsia="Calibri"/>
          <w:b w:val="0"/>
          <w:szCs w:val="22"/>
          <w:lang w:val="hy-AM" w:eastAsia="en-US"/>
        </w:rPr>
        <w:t>նեու</w:t>
      </w:r>
      <w:r w:rsidRPr="00A83C94">
        <w:rPr>
          <w:rFonts w:eastAsia="Calibri"/>
          <w:b w:val="0"/>
          <w:szCs w:val="22"/>
          <w:lang w:val="af-ZA" w:eastAsia="en-US"/>
        </w:rPr>
        <w:softHyphen/>
      </w:r>
      <w:r w:rsidRPr="00A83C94">
        <w:rPr>
          <w:rFonts w:eastAsia="Calibri"/>
          <w:b w:val="0"/>
          <w:szCs w:val="22"/>
          <w:lang w:val="hy-AM" w:eastAsia="en-US"/>
        </w:rPr>
        <w:t>թյուն իրա</w:t>
      </w:r>
      <w:r w:rsidRPr="00A83C94">
        <w:rPr>
          <w:rFonts w:eastAsia="Calibri"/>
          <w:b w:val="0"/>
          <w:szCs w:val="22"/>
          <w:lang w:val="hy-AM" w:eastAsia="en-US"/>
        </w:rPr>
        <w:softHyphen/>
        <w:t>կա</w:t>
      </w:r>
      <w:r w:rsidRPr="00A83C94">
        <w:rPr>
          <w:rFonts w:eastAsia="Calibri"/>
          <w:b w:val="0"/>
          <w:szCs w:val="22"/>
          <w:lang w:val="hy-AM" w:eastAsia="en-US"/>
        </w:rPr>
        <w:softHyphen/>
        <w:t>նացնելու համար վճարվելիք պետական տուր</w:t>
      </w:r>
      <w:r w:rsidRPr="00A83C94">
        <w:rPr>
          <w:rFonts w:eastAsia="Calibri"/>
          <w:b w:val="0"/>
          <w:szCs w:val="22"/>
          <w:lang w:val="hy-AM" w:eastAsia="en-US"/>
        </w:rPr>
        <w:softHyphen/>
        <w:t>քե</w:t>
      </w:r>
      <w:r w:rsidRPr="00A83C94">
        <w:rPr>
          <w:rFonts w:eastAsia="Calibri"/>
          <w:b w:val="0"/>
          <w:szCs w:val="22"/>
          <w:lang w:val="hy-AM" w:eastAsia="en-US"/>
        </w:rPr>
        <w:softHyphen/>
        <w:t xml:space="preserve">րի հաշվին: </w:t>
      </w:r>
      <w:r w:rsidRPr="00A83C94">
        <w:rPr>
          <w:rFonts w:eastAsia="Calibri" w:cs="GHEA Grapalat"/>
          <w:b w:val="0"/>
          <w:szCs w:val="22"/>
          <w:lang w:val="hy-AM" w:eastAsia="en-US"/>
        </w:rPr>
        <w:t>Լիցենզավորման ենթա</w:t>
      </w:r>
      <w:r w:rsidRPr="00A83C94">
        <w:rPr>
          <w:rFonts w:eastAsia="Calibri" w:cs="GHEA Grapalat"/>
          <w:b w:val="0"/>
          <w:szCs w:val="22"/>
          <w:lang w:val="af-ZA" w:eastAsia="en-US"/>
        </w:rPr>
        <w:softHyphen/>
      </w:r>
      <w:r w:rsidRPr="00A83C94">
        <w:rPr>
          <w:rFonts w:eastAsia="Calibri" w:cs="GHEA Grapalat"/>
          <w:b w:val="0"/>
          <w:szCs w:val="22"/>
          <w:lang w:val="hy-AM" w:eastAsia="en-US"/>
        </w:rPr>
        <w:t>կա գործունեություն իրականացնելու համար գանձվող պե</w:t>
      </w:r>
      <w:r w:rsidRPr="00A83C94">
        <w:rPr>
          <w:rFonts w:eastAsia="Calibri" w:cs="GHEA Grapalat"/>
          <w:b w:val="0"/>
          <w:szCs w:val="22"/>
          <w:lang w:val="hy-AM" w:eastAsia="en-US"/>
        </w:rPr>
        <w:softHyphen/>
      </w:r>
      <w:r w:rsidRPr="00A83C94">
        <w:rPr>
          <w:rFonts w:eastAsia="Calibri" w:cs="GHEA Grapalat"/>
          <w:b w:val="0"/>
          <w:szCs w:val="22"/>
          <w:lang w:val="hy-AM" w:eastAsia="en-US"/>
        </w:rPr>
        <w:softHyphen/>
        <w:t>տա</w:t>
      </w:r>
      <w:r w:rsidRPr="00A83C94">
        <w:rPr>
          <w:rFonts w:eastAsia="Calibri" w:cs="GHEA Grapalat"/>
          <w:b w:val="0"/>
          <w:szCs w:val="22"/>
          <w:lang w:val="hy-AM" w:eastAsia="en-US"/>
        </w:rPr>
        <w:softHyphen/>
      </w:r>
      <w:r w:rsidRPr="00A83C94">
        <w:rPr>
          <w:rFonts w:eastAsia="Calibri" w:cs="GHEA Grapalat"/>
          <w:b w:val="0"/>
          <w:szCs w:val="22"/>
          <w:lang w:val="hy-AM" w:eastAsia="en-US"/>
        </w:rPr>
        <w:softHyphen/>
        <w:t>կան տուր</w:t>
      </w:r>
      <w:r w:rsidRPr="00A83C94">
        <w:rPr>
          <w:rFonts w:eastAsia="Calibri" w:cs="GHEA Grapalat"/>
          <w:b w:val="0"/>
          <w:szCs w:val="22"/>
          <w:lang w:val="hy-AM" w:eastAsia="en-US"/>
        </w:rPr>
        <w:softHyphen/>
        <w:t>քերի գծով կան</w:t>
      </w:r>
      <w:r w:rsidRPr="00A83C94">
        <w:rPr>
          <w:rFonts w:eastAsia="Calibri" w:cs="GHEA Grapalat"/>
          <w:b w:val="0"/>
          <w:szCs w:val="22"/>
          <w:lang w:val="hy-AM" w:eastAsia="en-US"/>
        </w:rPr>
        <w:softHyphen/>
        <w:t>խատեսումներն իրականացվել են` ել</w:t>
      </w:r>
      <w:r w:rsidRPr="00A83C94">
        <w:rPr>
          <w:rFonts w:eastAsia="Calibri" w:cs="GHEA Grapalat"/>
          <w:b w:val="0"/>
          <w:szCs w:val="22"/>
          <w:lang w:val="hy-AM" w:eastAsia="en-US"/>
        </w:rPr>
        <w:softHyphen/>
        <w:t>նե</w:t>
      </w:r>
      <w:r w:rsidRPr="00A83C94">
        <w:rPr>
          <w:rFonts w:eastAsia="Calibri" w:cs="GHEA Grapalat"/>
          <w:b w:val="0"/>
          <w:szCs w:val="22"/>
          <w:lang w:val="hy-AM" w:eastAsia="en-US"/>
        </w:rPr>
        <w:softHyphen/>
        <w:t>լով օրենքով նա</w:t>
      </w:r>
      <w:r w:rsidRPr="00A83C94">
        <w:rPr>
          <w:rFonts w:eastAsia="Calibri" w:cs="GHEA Grapalat"/>
          <w:b w:val="0"/>
          <w:szCs w:val="22"/>
          <w:lang w:val="hy-AM" w:eastAsia="en-US"/>
        </w:rPr>
        <w:softHyphen/>
        <w:t>խա</w:t>
      </w:r>
      <w:r w:rsidRPr="00A83C94">
        <w:rPr>
          <w:rFonts w:eastAsia="Calibri" w:cs="GHEA Grapalat"/>
          <w:b w:val="0"/>
          <w:szCs w:val="22"/>
          <w:lang w:val="hy-AM" w:eastAsia="en-US"/>
        </w:rPr>
        <w:softHyphen/>
        <w:t>տես</w:t>
      </w:r>
      <w:r w:rsidRPr="00A83C94">
        <w:rPr>
          <w:rFonts w:eastAsia="Calibri" w:cs="GHEA Grapalat"/>
          <w:b w:val="0"/>
          <w:szCs w:val="22"/>
          <w:lang w:val="hy-AM" w:eastAsia="en-US"/>
        </w:rPr>
        <w:softHyphen/>
        <w:t>ված լիցեն</w:t>
      </w:r>
      <w:r w:rsidRPr="00A83C94">
        <w:rPr>
          <w:rFonts w:eastAsia="Calibri" w:cs="GHEA Grapalat"/>
          <w:b w:val="0"/>
          <w:szCs w:val="22"/>
          <w:lang w:val="hy-AM" w:eastAsia="en-US"/>
        </w:rPr>
        <w:softHyphen/>
        <w:t>զա</w:t>
      </w:r>
      <w:r w:rsidRPr="00A83C94">
        <w:rPr>
          <w:rFonts w:eastAsia="Calibri" w:cs="GHEA Grapalat"/>
          <w:b w:val="0"/>
          <w:szCs w:val="22"/>
          <w:lang w:val="hy-AM" w:eastAsia="en-US"/>
        </w:rPr>
        <w:softHyphen/>
      </w:r>
      <w:r w:rsidRPr="00A83C94">
        <w:rPr>
          <w:rFonts w:eastAsia="Calibri" w:cs="GHEA Grapalat"/>
          <w:b w:val="0"/>
          <w:szCs w:val="22"/>
          <w:lang w:val="hy-AM" w:eastAsia="en-US"/>
        </w:rPr>
        <w:softHyphen/>
        <w:t>վոր</w:t>
      </w:r>
      <w:r w:rsidRPr="00A83C94">
        <w:rPr>
          <w:rFonts w:eastAsia="Calibri" w:cs="GHEA Grapalat"/>
          <w:b w:val="0"/>
          <w:szCs w:val="22"/>
          <w:lang w:val="hy-AM" w:eastAsia="en-US"/>
        </w:rPr>
        <w:softHyphen/>
        <w:t>ման են</w:t>
      </w:r>
      <w:r w:rsidRPr="00A83C94">
        <w:rPr>
          <w:rFonts w:eastAsia="Calibri" w:cs="GHEA Grapalat"/>
          <w:b w:val="0"/>
          <w:szCs w:val="22"/>
          <w:lang w:val="hy-AM" w:eastAsia="en-US"/>
        </w:rPr>
        <w:softHyphen/>
        <w:t>թա</w:t>
      </w:r>
      <w:r w:rsidRPr="00A83C94">
        <w:rPr>
          <w:rFonts w:eastAsia="Calibri" w:cs="GHEA Grapalat"/>
          <w:b w:val="0"/>
          <w:szCs w:val="22"/>
          <w:lang w:val="hy-AM" w:eastAsia="en-US"/>
        </w:rPr>
        <w:softHyphen/>
        <w:t>կա գործունեության տեսակների վերա</w:t>
      </w:r>
      <w:r w:rsidRPr="00A83C94">
        <w:rPr>
          <w:rFonts w:eastAsia="Calibri" w:cs="GHEA Grapalat"/>
          <w:b w:val="0"/>
          <w:szCs w:val="22"/>
          <w:lang w:val="hy-AM" w:eastAsia="en-US"/>
        </w:rPr>
        <w:softHyphen/>
        <w:t>բեր</w:t>
      </w:r>
      <w:r w:rsidRPr="00A83C94">
        <w:rPr>
          <w:rFonts w:eastAsia="Calibri" w:cs="GHEA Grapalat"/>
          <w:b w:val="0"/>
          <w:szCs w:val="22"/>
          <w:lang w:val="hy-AM" w:eastAsia="en-US"/>
        </w:rPr>
        <w:softHyphen/>
        <w:t>յալ առկա քա</w:t>
      </w:r>
      <w:r w:rsidRPr="00A83C94">
        <w:rPr>
          <w:rFonts w:eastAsia="Calibri" w:cs="GHEA Grapalat"/>
          <w:b w:val="0"/>
          <w:szCs w:val="22"/>
          <w:lang w:val="hy-AM" w:eastAsia="en-US"/>
        </w:rPr>
        <w:softHyphen/>
        <w:t>նա</w:t>
      </w:r>
      <w:r w:rsidRPr="00A83C94">
        <w:rPr>
          <w:rFonts w:eastAsia="Calibri" w:cs="GHEA Grapalat"/>
          <w:b w:val="0"/>
          <w:szCs w:val="22"/>
          <w:lang w:val="hy-AM" w:eastAsia="en-US"/>
        </w:rPr>
        <w:softHyphen/>
      </w:r>
      <w:r w:rsidRPr="00A83C94">
        <w:rPr>
          <w:rFonts w:eastAsia="Calibri" w:cs="GHEA Grapalat"/>
          <w:b w:val="0"/>
          <w:szCs w:val="22"/>
          <w:lang w:val="hy-AM" w:eastAsia="en-US"/>
        </w:rPr>
        <w:softHyphen/>
        <w:t>կական տվյալ</w:t>
      </w:r>
      <w:r w:rsidRPr="00A83C94">
        <w:rPr>
          <w:rFonts w:eastAsia="Calibri" w:cs="GHEA Grapalat"/>
          <w:b w:val="0"/>
          <w:szCs w:val="22"/>
          <w:lang w:val="hy-AM" w:eastAsia="en-US"/>
        </w:rPr>
        <w:softHyphen/>
        <w:t>ներից, 20</w:t>
      </w:r>
      <w:r w:rsidRPr="00A83C94">
        <w:rPr>
          <w:rFonts w:eastAsia="Calibri" w:cs="GHEA Grapalat"/>
          <w:b w:val="0"/>
          <w:szCs w:val="22"/>
          <w:lang w:val="af-ZA" w:eastAsia="en-US"/>
        </w:rPr>
        <w:t>20</w:t>
      </w:r>
      <w:r w:rsidRPr="00A83C94">
        <w:rPr>
          <w:rFonts w:eastAsia="Calibri" w:cs="GHEA Grapalat"/>
          <w:b w:val="0"/>
          <w:szCs w:val="22"/>
          <w:lang w:val="hy-AM" w:eastAsia="en-US"/>
        </w:rPr>
        <w:t xml:space="preserve"> թվա</w:t>
      </w:r>
      <w:r w:rsidRPr="00A83C94">
        <w:rPr>
          <w:rFonts w:eastAsia="Calibri" w:cs="GHEA Grapalat"/>
          <w:b w:val="0"/>
          <w:szCs w:val="22"/>
          <w:lang w:val="hy-AM" w:eastAsia="en-US"/>
        </w:rPr>
        <w:softHyphen/>
      </w:r>
      <w:r w:rsidRPr="00A83C94">
        <w:rPr>
          <w:rFonts w:eastAsia="Calibri" w:cs="GHEA Grapalat"/>
          <w:b w:val="0"/>
          <w:szCs w:val="22"/>
          <w:lang w:val="hy-AM" w:eastAsia="en-US"/>
        </w:rPr>
        <w:softHyphen/>
        <w:t>կանի փաստացի և 20</w:t>
      </w:r>
      <w:r w:rsidRPr="00A83C94">
        <w:rPr>
          <w:rFonts w:eastAsia="Calibri" w:cs="GHEA Grapalat"/>
          <w:b w:val="0"/>
          <w:szCs w:val="22"/>
          <w:lang w:val="af-ZA" w:eastAsia="en-US"/>
        </w:rPr>
        <w:t>21</w:t>
      </w:r>
      <w:r w:rsidRPr="00A83C94">
        <w:rPr>
          <w:rFonts w:eastAsia="Calibri" w:cs="GHEA Grapalat"/>
          <w:b w:val="0"/>
          <w:szCs w:val="22"/>
          <w:lang w:val="hy-AM" w:eastAsia="en-US"/>
        </w:rPr>
        <w:t xml:space="preserve"> թվականի սպասողական մուտ</w:t>
      </w:r>
      <w:r w:rsidRPr="00A83C94">
        <w:rPr>
          <w:rFonts w:eastAsia="Calibri" w:cs="GHEA Grapalat"/>
          <w:b w:val="0"/>
          <w:szCs w:val="22"/>
          <w:lang w:val="hy-AM" w:eastAsia="en-US"/>
        </w:rPr>
        <w:softHyphen/>
        <w:t>քերից:</w:t>
      </w:r>
    </w:p>
    <w:p w14:paraId="12FC0160" w14:textId="77777777" w:rsidR="00AE2A75" w:rsidRPr="00A83C94" w:rsidRDefault="00AE2A75" w:rsidP="00AE2A75">
      <w:pPr>
        <w:spacing w:before="0" w:line="276" w:lineRule="auto"/>
        <w:ind w:firstLine="538"/>
        <w:rPr>
          <w:rFonts w:eastAsia="Calibri"/>
          <w:b w:val="0"/>
          <w:szCs w:val="22"/>
          <w:lang w:val="hy-AM" w:eastAsia="en-US"/>
        </w:rPr>
      </w:pPr>
      <w:r w:rsidRPr="00A83C94">
        <w:rPr>
          <w:rFonts w:eastAsia="Calibri"/>
          <w:szCs w:val="22"/>
          <w:lang w:val="hy-AM" w:eastAsia="en-US"/>
        </w:rPr>
        <w:t>Այլ ծառայությունների կամ գործողությունների համար</w:t>
      </w:r>
      <w:r w:rsidRPr="00A83C94">
        <w:rPr>
          <w:rFonts w:eastAsia="Calibri"/>
          <w:b w:val="0"/>
          <w:szCs w:val="22"/>
          <w:lang w:val="hy-AM" w:eastAsia="en-US"/>
        </w:rPr>
        <w:t xml:space="preserve"> գանձվող պետական տուրքե</w:t>
      </w:r>
      <w:r w:rsidRPr="00A83C94">
        <w:rPr>
          <w:rFonts w:eastAsia="Calibri"/>
          <w:b w:val="0"/>
          <w:szCs w:val="22"/>
          <w:lang w:val="hy-AM" w:eastAsia="en-US"/>
        </w:rPr>
        <w:softHyphen/>
      </w:r>
      <w:r w:rsidRPr="00A83C94">
        <w:rPr>
          <w:rFonts w:eastAsia="Calibri"/>
          <w:b w:val="0"/>
          <w:szCs w:val="22"/>
          <w:lang w:val="hy-AM" w:eastAsia="en-US"/>
        </w:rPr>
        <w:softHyphen/>
        <w:t>րի գծով 2022 թվականի մուտքերը կանխատեսվել են 13,295.6 մլն դրամի չափով` 2021 թվա</w:t>
      </w:r>
      <w:r w:rsidRPr="00A83C94">
        <w:rPr>
          <w:rFonts w:eastAsia="Calibri"/>
          <w:b w:val="0"/>
          <w:szCs w:val="22"/>
          <w:lang w:val="hy-AM" w:eastAsia="en-US"/>
        </w:rPr>
        <w:softHyphen/>
      </w:r>
      <w:r w:rsidRPr="00A83C94">
        <w:rPr>
          <w:rFonts w:eastAsia="Calibri"/>
          <w:b w:val="0"/>
          <w:szCs w:val="22"/>
          <w:lang w:val="hy-AM" w:eastAsia="en-US"/>
        </w:rPr>
        <w:softHyphen/>
      </w:r>
      <w:r w:rsidRPr="00A83C94">
        <w:rPr>
          <w:rFonts w:eastAsia="Calibri"/>
          <w:b w:val="0"/>
          <w:szCs w:val="22"/>
          <w:lang w:val="hy-AM" w:eastAsia="en-US"/>
        </w:rPr>
        <w:softHyphen/>
        <w:t>կանի հա</w:t>
      </w:r>
      <w:r w:rsidRPr="00A83C94">
        <w:rPr>
          <w:rFonts w:eastAsia="Calibri"/>
          <w:b w:val="0"/>
          <w:szCs w:val="22"/>
          <w:lang w:val="hy-AM" w:eastAsia="en-US"/>
        </w:rPr>
        <w:softHyphen/>
        <w:t xml:space="preserve">մար հաստատված 19,408.4 մլն դրամի և 2020 թվականի փաստացի ստացված 10,228.6 մլն դրամի դիմաց: </w:t>
      </w:r>
      <w:r w:rsidRPr="00A83C94">
        <w:rPr>
          <w:rFonts w:eastAsia="Calibri" w:cs="GHEA Grapalat"/>
          <w:b w:val="0"/>
          <w:szCs w:val="22"/>
          <w:lang w:val="hy-AM" w:eastAsia="en-US"/>
        </w:rPr>
        <w:t>Նշված պետական տուրքերից 2022 թվականի բյուջետային մուտքերի գերակշռող մա</w:t>
      </w:r>
      <w:r w:rsidRPr="00A83C94">
        <w:rPr>
          <w:rFonts w:eastAsia="Calibri" w:cs="GHEA Grapalat"/>
          <w:b w:val="0"/>
          <w:szCs w:val="22"/>
          <w:lang w:val="hy-AM" w:eastAsia="en-US"/>
        </w:rPr>
        <w:softHyphen/>
      </w:r>
      <w:r w:rsidRPr="00A83C94">
        <w:rPr>
          <w:rFonts w:eastAsia="Calibri" w:cs="GHEA Grapalat"/>
          <w:b w:val="0"/>
          <w:szCs w:val="22"/>
          <w:lang w:val="hy-AM" w:eastAsia="en-US"/>
        </w:rPr>
        <w:softHyphen/>
        <w:t>սը՝ 62.2 %-ը, ապահովվելու է ՀՀ-ից օդային տրանսպորտի միջոց</w:t>
      </w:r>
      <w:r w:rsidRPr="00A83C94">
        <w:rPr>
          <w:rFonts w:eastAsia="Calibri" w:cs="GHEA Grapalat"/>
          <w:b w:val="0"/>
          <w:szCs w:val="22"/>
          <w:lang w:val="hy-AM" w:eastAsia="en-US"/>
        </w:rPr>
        <w:softHyphen/>
        <w:t>ներով ֆիզի</w:t>
      </w:r>
      <w:r w:rsidRPr="00A83C94">
        <w:rPr>
          <w:rFonts w:eastAsia="Calibri" w:cs="GHEA Grapalat"/>
          <w:b w:val="0"/>
          <w:szCs w:val="22"/>
          <w:lang w:val="hy-AM" w:eastAsia="en-US"/>
        </w:rPr>
        <w:softHyphen/>
        <w:t>կա</w:t>
      </w:r>
      <w:r w:rsidRPr="00A83C94">
        <w:rPr>
          <w:rFonts w:eastAsia="Calibri" w:cs="GHEA Grapalat"/>
          <w:b w:val="0"/>
          <w:szCs w:val="22"/>
          <w:lang w:val="hy-AM" w:eastAsia="en-US"/>
        </w:rPr>
        <w:softHyphen/>
        <w:t>կան անձանց (օդային ուղևոր</w:t>
      </w:r>
      <w:r w:rsidRPr="00A83C94">
        <w:rPr>
          <w:rFonts w:eastAsia="Calibri" w:cs="GHEA Grapalat"/>
          <w:b w:val="0"/>
          <w:szCs w:val="22"/>
          <w:lang w:val="hy-AM" w:eastAsia="en-US"/>
        </w:rPr>
        <w:softHyphen/>
        <w:t>նե</w:t>
      </w:r>
      <w:r w:rsidRPr="00A83C94">
        <w:rPr>
          <w:rFonts w:eastAsia="Calibri" w:cs="GHEA Grapalat"/>
          <w:b w:val="0"/>
          <w:szCs w:val="22"/>
          <w:lang w:val="hy-AM" w:eastAsia="en-US"/>
        </w:rPr>
        <w:softHyphen/>
        <w:t>րի) ելքի համար գանձ</w:t>
      </w:r>
      <w:r w:rsidRPr="00A83C94">
        <w:rPr>
          <w:rFonts w:eastAsia="Calibri" w:cs="GHEA Grapalat"/>
          <w:b w:val="0"/>
          <w:szCs w:val="22"/>
          <w:lang w:val="hy-AM" w:eastAsia="en-US"/>
        </w:rPr>
        <w:softHyphen/>
        <w:t>վող պետական տուրքի հաշվին:</w:t>
      </w:r>
    </w:p>
    <w:p w14:paraId="68CD790B" w14:textId="77777777" w:rsidR="00AE2A75" w:rsidRPr="00A83C94" w:rsidRDefault="00AE2A75" w:rsidP="00786462">
      <w:pPr>
        <w:pStyle w:val="ListParagraph"/>
        <w:widowControl w:val="0"/>
        <w:numPr>
          <w:ilvl w:val="0"/>
          <w:numId w:val="45"/>
        </w:numPr>
        <w:tabs>
          <w:tab w:val="left" w:pos="360"/>
        </w:tabs>
        <w:spacing w:before="0" w:line="276" w:lineRule="auto"/>
        <w:ind w:left="0" w:firstLine="0"/>
        <w:rPr>
          <w:rFonts w:eastAsia="Calibri" w:cs="Sylfaen"/>
          <w:b w:val="0"/>
          <w:szCs w:val="22"/>
          <w:lang w:val="af-ZA"/>
        </w:rPr>
      </w:pPr>
      <w:r w:rsidRPr="00A83C94">
        <w:rPr>
          <w:rFonts w:eastAsia="Calibri" w:cs="Sylfaen"/>
          <w:szCs w:val="22"/>
          <w:lang w:val="af-ZA"/>
        </w:rPr>
        <w:t>ՀՀ</w:t>
      </w:r>
      <w:r w:rsidRPr="00A83C94">
        <w:rPr>
          <w:rFonts w:eastAsia="Calibri"/>
          <w:szCs w:val="22"/>
          <w:lang w:val="hy-AM" w:eastAsia="en-US"/>
        </w:rPr>
        <w:t>-ից օդային տրանսպորտի միջոցներով ֆիզիկական անձանց (օդային ուղևոր</w:t>
      </w:r>
      <w:r w:rsidRPr="00A83C94">
        <w:rPr>
          <w:rFonts w:eastAsia="Calibri"/>
          <w:szCs w:val="22"/>
          <w:lang w:val="hy-AM" w:eastAsia="en-US"/>
        </w:rPr>
        <w:softHyphen/>
        <w:t>նե</w:t>
      </w:r>
      <w:r w:rsidRPr="00A83C94">
        <w:rPr>
          <w:rFonts w:eastAsia="Calibri"/>
          <w:szCs w:val="22"/>
          <w:lang w:val="hy-AM" w:eastAsia="en-US"/>
        </w:rPr>
        <w:softHyphen/>
        <w:t>րի) ելքի հա</w:t>
      </w:r>
      <w:r w:rsidRPr="00A83C94">
        <w:rPr>
          <w:rFonts w:eastAsia="Calibri"/>
          <w:szCs w:val="22"/>
          <w:lang w:val="hy-AM" w:eastAsia="en-US"/>
        </w:rPr>
        <w:softHyphen/>
        <w:t xml:space="preserve">մար </w:t>
      </w:r>
      <w:r w:rsidRPr="00A83C94">
        <w:rPr>
          <w:rFonts w:eastAsia="Calibri"/>
          <w:b w:val="0"/>
          <w:szCs w:val="22"/>
          <w:lang w:val="hy-AM" w:eastAsia="en-US"/>
        </w:rPr>
        <w:t>գանձ</w:t>
      </w:r>
      <w:r w:rsidRPr="00A83C94">
        <w:rPr>
          <w:rFonts w:eastAsia="Calibri"/>
          <w:b w:val="0"/>
          <w:szCs w:val="22"/>
          <w:lang w:val="hy-AM" w:eastAsia="en-US"/>
        </w:rPr>
        <w:softHyphen/>
        <w:t>վող պետական տուրքի գծով 2022 թվականի մուտքերը կան</w:t>
      </w:r>
      <w:r w:rsidRPr="00A83C94">
        <w:rPr>
          <w:rFonts w:eastAsia="Calibri"/>
          <w:b w:val="0"/>
          <w:szCs w:val="22"/>
          <w:lang w:val="hy-AM" w:eastAsia="en-US"/>
        </w:rPr>
        <w:softHyphen/>
        <w:t>խատեսվել են 8,269.9 մլն դրամի չափով՝ 2021 թվականի սպասողական 8,179.9 մլն դրամի  մուտքերի նկատմամբ կիրառելով 1.1</w:t>
      </w:r>
      <w:r w:rsidRPr="00A83C94">
        <w:rPr>
          <w:rFonts w:eastAsia="Calibri" w:cs="GHEA Grapalat"/>
          <w:b w:val="0"/>
          <w:szCs w:val="22"/>
          <w:lang w:val="hy-AM" w:eastAsia="en-US"/>
        </w:rPr>
        <w:t xml:space="preserve">% աճ: 2021 թվականի սպասողական ցուցանիշը կանխատեսվել է </w:t>
      </w:r>
      <w:r w:rsidRPr="00A83C94">
        <w:rPr>
          <w:rFonts w:eastAsia="Calibri" w:cs="Sylfaen"/>
          <w:b w:val="0"/>
          <w:szCs w:val="22"/>
          <w:lang w:val="af-ZA"/>
        </w:rPr>
        <w:t>2021 թվականի առաջին 7 ամիսների փաստացի մուտքերի նկատմամբ կիրա</w:t>
      </w:r>
      <w:r w:rsidRPr="00A83C94">
        <w:rPr>
          <w:rFonts w:eastAsia="Calibri" w:cs="Sylfaen"/>
          <w:b w:val="0"/>
          <w:szCs w:val="22"/>
          <w:lang w:val="af-ZA"/>
        </w:rPr>
        <w:softHyphen/>
        <w:t>ռելով 2018-2020 թվականների տարեկան մուտքերում առաջին 7 ամիս</w:t>
      </w:r>
      <w:r w:rsidRPr="00A83C94">
        <w:rPr>
          <w:rFonts w:eastAsia="Calibri" w:cs="Sylfaen"/>
          <w:b w:val="0"/>
          <w:szCs w:val="22"/>
          <w:lang w:val="af-ZA"/>
        </w:rPr>
        <w:softHyphen/>
        <w:t>ների մուտ</w:t>
      </w:r>
      <w:r w:rsidRPr="00A83C94">
        <w:rPr>
          <w:rFonts w:eastAsia="Calibri" w:cs="Sylfaen"/>
          <w:b w:val="0"/>
          <w:szCs w:val="22"/>
          <w:lang w:val="af-ZA"/>
        </w:rPr>
        <w:softHyphen/>
        <w:t>քերի տեսակարար կշիռների միջինացված ցուցանիշը:</w:t>
      </w:r>
    </w:p>
    <w:p w14:paraId="6FE37532" w14:textId="77777777" w:rsidR="00A83C94" w:rsidRDefault="00A83C94">
      <w:pPr>
        <w:spacing w:before="0" w:line="240" w:lineRule="auto"/>
        <w:ind w:firstLine="0"/>
        <w:contextualSpacing w:val="0"/>
        <w:jc w:val="left"/>
        <w:rPr>
          <w:rFonts w:eastAsia="Calibri" w:cs="GHEA Grapalat"/>
          <w:bCs/>
          <w:szCs w:val="22"/>
          <w:lang w:val="hy-AM" w:eastAsia="en-US"/>
        </w:rPr>
      </w:pPr>
      <w:bookmarkStart w:id="213" w:name="_Toc500177729"/>
      <w:bookmarkStart w:id="214" w:name="_Toc530663264"/>
      <w:bookmarkStart w:id="215" w:name="_Toc57655466"/>
      <w:r>
        <w:rPr>
          <w:rFonts w:eastAsia="Calibri" w:cs="GHEA Grapalat"/>
          <w:bCs/>
          <w:szCs w:val="22"/>
          <w:lang w:val="hy-AM" w:eastAsia="en-US"/>
        </w:rPr>
        <w:br w:type="page"/>
      </w:r>
    </w:p>
    <w:p w14:paraId="5C5B003A" w14:textId="7C980ACE" w:rsidR="00AE2A75" w:rsidRPr="00A83C94" w:rsidRDefault="00AE2A75" w:rsidP="00AE2A75">
      <w:pPr>
        <w:keepNext/>
        <w:tabs>
          <w:tab w:val="left" w:pos="709"/>
        </w:tabs>
        <w:spacing w:before="0" w:line="276" w:lineRule="auto"/>
        <w:outlineLvl w:val="2"/>
        <w:rPr>
          <w:rFonts w:eastAsia="Calibri" w:cs="GHEA Grapalat"/>
          <w:bCs/>
          <w:szCs w:val="22"/>
          <w:lang w:val="hy-AM" w:eastAsia="en-US"/>
        </w:rPr>
      </w:pPr>
      <w:bookmarkStart w:id="216" w:name="_Toc83996361"/>
      <w:r w:rsidRPr="00A83C94">
        <w:rPr>
          <w:rFonts w:eastAsia="Calibri" w:cs="GHEA Grapalat"/>
          <w:bCs/>
          <w:szCs w:val="22"/>
          <w:lang w:val="hy-AM" w:eastAsia="en-US"/>
        </w:rPr>
        <w:t>Պաշտոնական դրամաշնորհներ</w:t>
      </w:r>
      <w:bookmarkEnd w:id="213"/>
      <w:bookmarkEnd w:id="214"/>
      <w:bookmarkEnd w:id="215"/>
      <w:bookmarkEnd w:id="216"/>
    </w:p>
    <w:p w14:paraId="2A249BC5" w14:textId="71FE99A2" w:rsidR="00AE2A75" w:rsidRDefault="00AE2A75" w:rsidP="00AE2A75">
      <w:pPr>
        <w:tabs>
          <w:tab w:val="left" w:pos="9120"/>
        </w:tabs>
        <w:spacing w:before="0" w:line="276" w:lineRule="auto"/>
        <w:ind w:firstLine="562"/>
        <w:contextualSpacing w:val="0"/>
        <w:rPr>
          <w:rFonts w:cs="Sylfaen"/>
          <w:b w:val="0"/>
          <w:iCs/>
          <w:szCs w:val="22"/>
          <w:lang w:val="af-ZA" w:eastAsia="en-GB"/>
        </w:rPr>
      </w:pPr>
      <w:r w:rsidRPr="00A83C94">
        <w:rPr>
          <w:rFonts w:eastAsia="Calibri"/>
          <w:b w:val="0"/>
          <w:szCs w:val="22"/>
          <w:lang w:val="hy-AM" w:eastAsia="en-US"/>
        </w:rPr>
        <w:t xml:space="preserve">Պաշտոնական դրամաշնորհները 2022 </w:t>
      </w:r>
      <w:r w:rsidRPr="00A83C94">
        <w:rPr>
          <w:rFonts w:cs="Sylfaen"/>
          <w:b w:val="0"/>
          <w:iCs/>
          <w:szCs w:val="22"/>
          <w:lang w:val="af-ZA" w:eastAsia="en-GB"/>
        </w:rPr>
        <w:t>թվականի համար ծրագրվել են` հաշվի առ</w:t>
      </w:r>
      <w:r w:rsidRPr="00A83C94">
        <w:rPr>
          <w:rFonts w:cs="Sylfaen"/>
          <w:b w:val="0"/>
          <w:iCs/>
          <w:szCs w:val="22"/>
          <w:lang w:val="af-ZA" w:eastAsia="en-GB"/>
        </w:rPr>
        <w:softHyphen/>
        <w:t>նե</w:t>
      </w:r>
      <w:r w:rsidRPr="00A83C94">
        <w:rPr>
          <w:rFonts w:cs="Sylfaen"/>
          <w:b w:val="0"/>
          <w:iCs/>
          <w:szCs w:val="22"/>
          <w:lang w:val="af-ZA" w:eastAsia="en-GB"/>
        </w:rPr>
        <w:softHyphen/>
      </w:r>
      <w:r w:rsidRPr="00A83C94">
        <w:rPr>
          <w:rFonts w:cs="Sylfaen"/>
          <w:b w:val="0"/>
          <w:iCs/>
          <w:szCs w:val="22"/>
          <w:lang w:val="af-ZA" w:eastAsia="en-GB"/>
        </w:rPr>
        <w:softHyphen/>
        <w:t>լով առկա պայմանագրերը, դո</w:t>
      </w:r>
      <w:r w:rsidRPr="00A83C94">
        <w:rPr>
          <w:rFonts w:cs="Sylfaen"/>
          <w:b w:val="0"/>
          <w:iCs/>
          <w:szCs w:val="22"/>
          <w:lang w:val="af-ZA" w:eastAsia="en-GB"/>
        </w:rPr>
        <w:softHyphen/>
        <w:t>նոր</w:t>
      </w:r>
      <w:r w:rsidRPr="00A83C94">
        <w:rPr>
          <w:rFonts w:cs="Sylfaen"/>
          <w:b w:val="0"/>
          <w:iCs/>
          <w:szCs w:val="22"/>
          <w:lang w:val="af-ZA" w:eastAsia="en-GB"/>
        </w:rPr>
        <w:softHyphen/>
        <w:t>նե</w:t>
      </w:r>
      <w:r w:rsidRPr="00A83C94">
        <w:rPr>
          <w:rFonts w:cs="Sylfaen"/>
          <w:b w:val="0"/>
          <w:iCs/>
          <w:szCs w:val="22"/>
          <w:lang w:val="af-ZA" w:eastAsia="en-GB"/>
        </w:rPr>
        <w:softHyphen/>
        <w:t>րի հետ ձեռքբերված նախնական համաձայնությունները և Եվրամիությունից ակնկալվող դրամաշնորհների դեպքում` սպա</w:t>
      </w:r>
      <w:r w:rsidRPr="00A83C94">
        <w:rPr>
          <w:rFonts w:cs="Sylfaen"/>
          <w:b w:val="0"/>
          <w:iCs/>
          <w:szCs w:val="22"/>
          <w:lang w:val="af-ZA" w:eastAsia="en-GB"/>
        </w:rPr>
        <w:softHyphen/>
        <w:t>սում</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րը:</w:t>
      </w:r>
    </w:p>
    <w:p w14:paraId="4F58D2E9" w14:textId="77777777" w:rsidR="000957ED" w:rsidRDefault="000957ED" w:rsidP="00AE2A75">
      <w:pPr>
        <w:tabs>
          <w:tab w:val="left" w:pos="9120"/>
        </w:tabs>
        <w:spacing w:before="0" w:line="276" w:lineRule="auto"/>
        <w:ind w:firstLine="562"/>
        <w:contextualSpacing w:val="0"/>
        <w:rPr>
          <w:rFonts w:cs="Sylfaen"/>
          <w:b w:val="0"/>
          <w:iCs/>
          <w:szCs w:val="22"/>
          <w:lang w:val="af-ZA" w:eastAsia="en-GB"/>
        </w:rPr>
      </w:pPr>
    </w:p>
    <w:p w14:paraId="5978A138" w14:textId="76234AF4" w:rsidR="00AE2A75" w:rsidRPr="00A83C94" w:rsidRDefault="0025299D" w:rsidP="000957ED">
      <w:pPr>
        <w:pStyle w:val="Caption"/>
        <w:spacing w:before="0" w:after="0"/>
        <w:rPr>
          <w:b/>
          <w:i/>
          <w:sz w:val="20"/>
          <w:szCs w:val="20"/>
          <w:lang w:val="hy-AM"/>
        </w:rPr>
      </w:pPr>
      <w:bookmarkStart w:id="217" w:name="_Toc83928944"/>
      <w:r>
        <w:t>Աղյուսակ</w:t>
      </w:r>
      <w:r w:rsidRPr="008B1D49">
        <w:rPr>
          <w:lang w:val="af-ZA"/>
        </w:rPr>
        <w:t xml:space="preserve"> </w:t>
      </w:r>
      <w:r>
        <w:fldChar w:fldCharType="begin"/>
      </w:r>
      <w:r w:rsidRPr="008B1D49">
        <w:rPr>
          <w:lang w:val="af-ZA"/>
        </w:rPr>
        <w:instrText xml:space="preserve"> SEQ </w:instrText>
      </w:r>
      <w:r>
        <w:instrText>Աղյուսակ</w:instrText>
      </w:r>
      <w:r w:rsidRPr="008B1D49">
        <w:rPr>
          <w:lang w:val="af-ZA"/>
        </w:rPr>
        <w:instrText xml:space="preserve"> \* ARABIC </w:instrText>
      </w:r>
      <w:r>
        <w:fldChar w:fldCharType="separate"/>
      </w:r>
      <w:r w:rsidR="0077355D">
        <w:rPr>
          <w:noProof/>
          <w:lang w:val="af-ZA"/>
        </w:rPr>
        <w:t>7</w:t>
      </w:r>
      <w:r>
        <w:fldChar w:fldCharType="end"/>
      </w:r>
      <w:r w:rsidR="00AE2A75" w:rsidRPr="008150A1">
        <w:rPr>
          <w:rFonts w:ascii="Cambria Math" w:hAnsi="Cambria Math" w:cs="Cambria Math"/>
          <w:lang w:val="hy-AM"/>
        </w:rPr>
        <w:t>․</w:t>
      </w:r>
      <w:r w:rsidR="00AE2A75" w:rsidRPr="00A83C94">
        <w:rPr>
          <w:rFonts w:ascii="Cambria Math" w:hAnsi="Cambria Math"/>
          <w:lang w:val="hy-AM"/>
        </w:rPr>
        <w:t xml:space="preserve"> </w:t>
      </w:r>
      <w:r w:rsidR="00AE2A75" w:rsidRPr="00A83C94">
        <w:rPr>
          <w:b/>
          <w:i/>
          <w:sz w:val="20"/>
          <w:szCs w:val="20"/>
          <w:lang w:val="hy-AM"/>
        </w:rPr>
        <w:t>2018-2022թթ փաստացի/կանխատեսումային պաշտոնական դրամաշնորհները (մլրդ դրամ</w:t>
      </w:r>
      <w:r w:rsidR="00AE2A75" w:rsidRPr="00A83C94">
        <w:rPr>
          <w:b/>
          <w:i/>
          <w:sz w:val="20"/>
          <w:szCs w:val="20"/>
          <w:lang w:val="hy-AM"/>
        </w:rPr>
        <w:softHyphen/>
        <w:t>նե</w:t>
      </w:r>
      <w:r w:rsidR="00AE2A75" w:rsidRPr="00A83C94">
        <w:rPr>
          <w:b/>
          <w:i/>
          <w:sz w:val="20"/>
          <w:szCs w:val="20"/>
          <w:lang w:val="hy-AM"/>
        </w:rPr>
        <w:softHyphen/>
        <w:t>րով)</w:t>
      </w:r>
      <w:bookmarkEnd w:id="217"/>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1235"/>
        <w:gridCol w:w="1235"/>
        <w:gridCol w:w="1235"/>
        <w:gridCol w:w="1235"/>
        <w:gridCol w:w="1235"/>
      </w:tblGrid>
      <w:tr w:rsidR="00AE2A75" w:rsidRPr="00A83C94" w14:paraId="2FE7714A" w14:textId="77777777" w:rsidTr="001D3173">
        <w:trPr>
          <w:trHeight w:val="690"/>
        </w:trPr>
        <w:tc>
          <w:tcPr>
            <w:tcW w:w="3180" w:type="dxa"/>
            <w:shd w:val="clear" w:color="auto" w:fill="4F81BD" w:themeFill="accent1"/>
            <w:noWrap/>
            <w:vAlign w:val="center"/>
            <w:hideMark/>
          </w:tcPr>
          <w:p w14:paraId="03CDB438" w14:textId="77777777" w:rsidR="00AE2A75" w:rsidRPr="00A83C94" w:rsidRDefault="00AE2A75" w:rsidP="000957ED">
            <w:pPr>
              <w:spacing w:before="0" w:line="240"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Պաշտոնական դրամաշնորհներ</w:t>
            </w:r>
          </w:p>
        </w:tc>
        <w:tc>
          <w:tcPr>
            <w:tcW w:w="1235" w:type="dxa"/>
            <w:shd w:val="clear" w:color="auto" w:fill="4F81BD" w:themeFill="accent1"/>
            <w:vAlign w:val="center"/>
            <w:hideMark/>
          </w:tcPr>
          <w:p w14:paraId="058777C7"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 xml:space="preserve">2018թ </w:t>
            </w:r>
            <w:r w:rsidRPr="00A83C94">
              <w:rPr>
                <w:rFonts w:cs="Calibri"/>
                <w:color w:val="FFFFFF" w:themeColor="background1"/>
                <w:szCs w:val="22"/>
                <w:lang w:val="en-US" w:eastAsia="en-US"/>
              </w:rPr>
              <w:br/>
              <w:t>փաստ</w:t>
            </w:r>
          </w:p>
        </w:tc>
        <w:tc>
          <w:tcPr>
            <w:tcW w:w="1235" w:type="dxa"/>
            <w:shd w:val="clear" w:color="auto" w:fill="4F81BD" w:themeFill="accent1"/>
            <w:vAlign w:val="center"/>
            <w:hideMark/>
          </w:tcPr>
          <w:p w14:paraId="390ABFF2"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 xml:space="preserve">2019թ </w:t>
            </w:r>
            <w:r w:rsidRPr="00A83C94">
              <w:rPr>
                <w:rFonts w:cs="Calibri"/>
                <w:color w:val="FFFFFF" w:themeColor="background1"/>
                <w:szCs w:val="22"/>
                <w:lang w:val="en-US" w:eastAsia="en-US"/>
              </w:rPr>
              <w:br/>
              <w:t>փաստ</w:t>
            </w:r>
          </w:p>
        </w:tc>
        <w:tc>
          <w:tcPr>
            <w:tcW w:w="1235" w:type="dxa"/>
            <w:shd w:val="clear" w:color="auto" w:fill="4F81BD" w:themeFill="accent1"/>
            <w:vAlign w:val="center"/>
            <w:hideMark/>
          </w:tcPr>
          <w:p w14:paraId="6C7278A9"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2020թ</w:t>
            </w:r>
            <w:r w:rsidRPr="00A83C94">
              <w:rPr>
                <w:rFonts w:cs="Calibri"/>
                <w:color w:val="FFFFFF" w:themeColor="background1"/>
                <w:szCs w:val="22"/>
                <w:lang w:val="en-US" w:eastAsia="en-US"/>
              </w:rPr>
              <w:br/>
              <w:t xml:space="preserve"> փաստ</w:t>
            </w:r>
          </w:p>
        </w:tc>
        <w:tc>
          <w:tcPr>
            <w:tcW w:w="1235" w:type="dxa"/>
            <w:shd w:val="clear" w:color="auto" w:fill="4F81BD" w:themeFill="accent1"/>
            <w:vAlign w:val="center"/>
            <w:hideMark/>
          </w:tcPr>
          <w:p w14:paraId="7E8BCBC0"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2021թ</w:t>
            </w:r>
            <w:r w:rsidRPr="00A83C94">
              <w:rPr>
                <w:rFonts w:cs="Calibri"/>
                <w:color w:val="FFFFFF" w:themeColor="background1"/>
                <w:szCs w:val="22"/>
                <w:lang w:val="en-US" w:eastAsia="en-US"/>
              </w:rPr>
              <w:br/>
              <w:t xml:space="preserve"> բյուջե</w:t>
            </w:r>
          </w:p>
        </w:tc>
        <w:tc>
          <w:tcPr>
            <w:tcW w:w="1235" w:type="dxa"/>
            <w:shd w:val="clear" w:color="auto" w:fill="4F81BD" w:themeFill="accent1"/>
            <w:vAlign w:val="center"/>
            <w:hideMark/>
          </w:tcPr>
          <w:p w14:paraId="5414755E"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2022թ կանխատեսում</w:t>
            </w:r>
          </w:p>
        </w:tc>
      </w:tr>
      <w:tr w:rsidR="00AE2A75" w:rsidRPr="00A83C94" w14:paraId="638938DA" w14:textId="77777777" w:rsidTr="001D3173">
        <w:trPr>
          <w:trHeight w:val="611"/>
        </w:trPr>
        <w:tc>
          <w:tcPr>
            <w:tcW w:w="3180" w:type="dxa"/>
            <w:shd w:val="clear" w:color="auto" w:fill="DBE5F1" w:themeFill="accent1" w:themeFillTint="33"/>
            <w:vAlign w:val="center"/>
            <w:hideMark/>
          </w:tcPr>
          <w:p w14:paraId="5CF1EB10" w14:textId="77777777" w:rsidR="00AE2A75" w:rsidRPr="00A83C94" w:rsidRDefault="00AE2A75" w:rsidP="001D3173">
            <w:pPr>
              <w:spacing w:before="0" w:line="240" w:lineRule="auto"/>
              <w:ind w:firstLine="0"/>
              <w:contextualSpacing w:val="0"/>
              <w:jc w:val="left"/>
              <w:rPr>
                <w:rFonts w:cs="Calibri"/>
                <w:b w:val="0"/>
                <w:bCs/>
                <w:color w:val="000000"/>
                <w:szCs w:val="22"/>
                <w:lang w:val="en-US" w:eastAsia="en-US"/>
              </w:rPr>
            </w:pPr>
            <w:r w:rsidRPr="00A83C94">
              <w:rPr>
                <w:rFonts w:cs="Calibri"/>
                <w:b w:val="0"/>
                <w:bCs/>
                <w:color w:val="000000"/>
                <w:szCs w:val="22"/>
                <w:lang w:val="en-US" w:eastAsia="en-US"/>
              </w:rPr>
              <w:t>Ընդամենը, այդ թվում՝</w:t>
            </w:r>
          </w:p>
        </w:tc>
        <w:tc>
          <w:tcPr>
            <w:tcW w:w="1235" w:type="dxa"/>
            <w:shd w:val="clear" w:color="auto" w:fill="DBE5F1" w:themeFill="accent1" w:themeFillTint="33"/>
            <w:noWrap/>
            <w:vAlign w:val="center"/>
            <w:hideMark/>
          </w:tcPr>
          <w:p w14:paraId="47D3B415"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11.2 </w:t>
            </w:r>
          </w:p>
        </w:tc>
        <w:tc>
          <w:tcPr>
            <w:tcW w:w="1235" w:type="dxa"/>
            <w:shd w:val="clear" w:color="auto" w:fill="DBE5F1" w:themeFill="accent1" w:themeFillTint="33"/>
            <w:noWrap/>
            <w:vAlign w:val="center"/>
            <w:hideMark/>
          </w:tcPr>
          <w:p w14:paraId="1FB0595B"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12.4 </w:t>
            </w:r>
          </w:p>
        </w:tc>
        <w:tc>
          <w:tcPr>
            <w:tcW w:w="1235" w:type="dxa"/>
            <w:shd w:val="clear" w:color="auto" w:fill="DBE5F1" w:themeFill="accent1" w:themeFillTint="33"/>
            <w:noWrap/>
            <w:vAlign w:val="center"/>
            <w:hideMark/>
          </w:tcPr>
          <w:p w14:paraId="4B60B5B9"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53.2 </w:t>
            </w:r>
          </w:p>
        </w:tc>
        <w:tc>
          <w:tcPr>
            <w:tcW w:w="1235" w:type="dxa"/>
            <w:shd w:val="clear" w:color="auto" w:fill="DBE5F1" w:themeFill="accent1" w:themeFillTint="33"/>
            <w:noWrap/>
            <w:vAlign w:val="center"/>
            <w:hideMark/>
          </w:tcPr>
          <w:p w14:paraId="582866DA"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24.3 </w:t>
            </w:r>
          </w:p>
        </w:tc>
        <w:tc>
          <w:tcPr>
            <w:tcW w:w="1235" w:type="dxa"/>
            <w:shd w:val="clear" w:color="auto" w:fill="DBE5F1" w:themeFill="accent1" w:themeFillTint="33"/>
            <w:noWrap/>
            <w:vAlign w:val="center"/>
            <w:hideMark/>
          </w:tcPr>
          <w:p w14:paraId="20FEA193"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40.3</w:t>
            </w:r>
          </w:p>
        </w:tc>
      </w:tr>
      <w:tr w:rsidR="00AE2A75" w:rsidRPr="00A83C94" w14:paraId="29084A11" w14:textId="77777777" w:rsidTr="001D3173">
        <w:trPr>
          <w:trHeight w:val="698"/>
        </w:trPr>
        <w:tc>
          <w:tcPr>
            <w:tcW w:w="3180" w:type="dxa"/>
            <w:shd w:val="clear" w:color="auto" w:fill="auto"/>
            <w:vAlign w:val="center"/>
            <w:hideMark/>
          </w:tcPr>
          <w:p w14:paraId="2256E2BB" w14:textId="77777777" w:rsidR="00AE2A75" w:rsidRPr="00A83C94" w:rsidRDefault="00AE2A75" w:rsidP="001D3173">
            <w:pPr>
              <w:spacing w:before="0" w:line="240" w:lineRule="auto"/>
              <w:ind w:firstLine="0"/>
              <w:contextualSpacing w:val="0"/>
              <w:jc w:val="left"/>
              <w:rPr>
                <w:rFonts w:cs="Calibri"/>
                <w:b w:val="0"/>
                <w:color w:val="000000"/>
                <w:szCs w:val="22"/>
                <w:lang w:eastAsia="en-US"/>
              </w:rPr>
            </w:pPr>
            <w:r w:rsidRPr="00A83C94">
              <w:rPr>
                <w:rFonts w:cs="Calibri"/>
                <w:b w:val="0"/>
                <w:color w:val="000000"/>
                <w:szCs w:val="22"/>
                <w:lang w:val="en-US" w:eastAsia="en-US"/>
              </w:rPr>
              <w:t>ԵՄ</w:t>
            </w:r>
            <w:r w:rsidRPr="00A83C94">
              <w:rPr>
                <w:rFonts w:cs="Calibri"/>
                <w:b w:val="0"/>
                <w:color w:val="000000"/>
                <w:szCs w:val="22"/>
                <w:lang w:eastAsia="en-US"/>
              </w:rPr>
              <w:t xml:space="preserve"> (</w:t>
            </w:r>
            <w:r w:rsidRPr="00A83C94">
              <w:rPr>
                <w:rFonts w:cs="Calibri"/>
                <w:b w:val="0"/>
                <w:color w:val="000000"/>
                <w:szCs w:val="22"/>
                <w:lang w:val="en-US" w:eastAsia="en-US"/>
              </w:rPr>
              <w:t>Եվրոպական</w:t>
            </w:r>
            <w:r w:rsidRPr="00A83C94">
              <w:rPr>
                <w:rFonts w:cs="Calibri"/>
                <w:b w:val="0"/>
                <w:color w:val="000000"/>
                <w:szCs w:val="22"/>
                <w:lang w:eastAsia="en-US"/>
              </w:rPr>
              <w:t xml:space="preserve"> </w:t>
            </w:r>
            <w:r w:rsidRPr="00A83C94">
              <w:rPr>
                <w:rFonts w:cs="Calibri"/>
                <w:b w:val="0"/>
                <w:color w:val="000000"/>
                <w:szCs w:val="22"/>
                <w:lang w:val="en-US" w:eastAsia="en-US"/>
              </w:rPr>
              <w:t>հարևանության</w:t>
            </w:r>
            <w:r w:rsidRPr="00A83C94">
              <w:rPr>
                <w:rFonts w:cs="Calibri"/>
                <w:b w:val="0"/>
                <w:color w:val="000000"/>
                <w:szCs w:val="22"/>
                <w:lang w:eastAsia="en-US"/>
              </w:rPr>
              <w:t xml:space="preserve"> </w:t>
            </w:r>
            <w:r w:rsidRPr="00A83C94">
              <w:rPr>
                <w:rFonts w:cs="Calibri"/>
                <w:b w:val="0"/>
                <w:color w:val="000000"/>
                <w:szCs w:val="22"/>
                <w:lang w:val="en-US" w:eastAsia="en-US"/>
              </w:rPr>
              <w:t>շրջանակներում</w:t>
            </w:r>
            <w:r w:rsidRPr="00A83C94">
              <w:rPr>
                <w:rFonts w:cs="Calibri"/>
                <w:b w:val="0"/>
                <w:color w:val="000000"/>
                <w:szCs w:val="22"/>
                <w:lang w:eastAsia="en-US"/>
              </w:rPr>
              <w:t xml:space="preserve"> </w:t>
            </w:r>
            <w:r w:rsidRPr="00A83C94">
              <w:rPr>
                <w:rFonts w:cs="Calibri"/>
                <w:b w:val="0"/>
                <w:color w:val="000000"/>
                <w:szCs w:val="22"/>
                <w:lang w:val="en-US" w:eastAsia="en-US"/>
              </w:rPr>
              <w:t>ՀՀ</w:t>
            </w:r>
            <w:r w:rsidRPr="00A83C94">
              <w:rPr>
                <w:rFonts w:cs="Calibri"/>
                <w:b w:val="0"/>
                <w:color w:val="000000"/>
                <w:szCs w:val="22"/>
                <w:lang w:eastAsia="en-US"/>
              </w:rPr>
              <w:t>-</w:t>
            </w:r>
            <w:r w:rsidRPr="00A83C94">
              <w:rPr>
                <w:rFonts w:cs="Calibri"/>
                <w:b w:val="0"/>
                <w:color w:val="000000"/>
                <w:szCs w:val="22"/>
                <w:lang w:val="en-US" w:eastAsia="en-US"/>
              </w:rPr>
              <w:t>ԵՄ</w:t>
            </w:r>
            <w:r w:rsidRPr="00A83C94">
              <w:rPr>
                <w:rFonts w:cs="Calibri"/>
                <w:b w:val="0"/>
                <w:color w:val="000000"/>
                <w:szCs w:val="22"/>
                <w:lang w:eastAsia="en-US"/>
              </w:rPr>
              <w:t xml:space="preserve"> </w:t>
            </w:r>
            <w:r w:rsidRPr="00A83C94">
              <w:rPr>
                <w:rFonts w:cs="Calibri"/>
                <w:b w:val="0"/>
                <w:color w:val="000000"/>
                <w:szCs w:val="22"/>
                <w:lang w:val="en-US" w:eastAsia="en-US"/>
              </w:rPr>
              <w:t>գործողությունների</w:t>
            </w:r>
            <w:r w:rsidRPr="00A83C94">
              <w:rPr>
                <w:rFonts w:cs="Calibri"/>
                <w:b w:val="0"/>
                <w:color w:val="000000"/>
                <w:szCs w:val="22"/>
                <w:lang w:eastAsia="en-US"/>
              </w:rPr>
              <w:t xml:space="preserve"> </w:t>
            </w:r>
            <w:r w:rsidRPr="00A83C94">
              <w:rPr>
                <w:rFonts w:cs="Calibri"/>
                <w:b w:val="0"/>
                <w:color w:val="000000"/>
                <w:szCs w:val="22"/>
                <w:lang w:val="en-US" w:eastAsia="en-US"/>
              </w:rPr>
              <w:t>ծրագրով</w:t>
            </w:r>
            <w:r w:rsidRPr="00A83C94">
              <w:rPr>
                <w:rFonts w:cs="Calibri"/>
                <w:b w:val="0"/>
                <w:color w:val="000000"/>
                <w:szCs w:val="22"/>
                <w:lang w:eastAsia="en-US"/>
              </w:rPr>
              <w:t xml:space="preserve"> </w:t>
            </w:r>
            <w:r w:rsidRPr="00A83C94">
              <w:rPr>
                <w:rFonts w:cs="Calibri"/>
                <w:b w:val="0"/>
                <w:color w:val="000000"/>
                <w:szCs w:val="22"/>
                <w:lang w:val="en-US" w:eastAsia="en-US"/>
              </w:rPr>
              <w:t>նախատեսված</w:t>
            </w:r>
            <w:r w:rsidRPr="00A83C94">
              <w:rPr>
                <w:rFonts w:cs="Calibri"/>
                <w:b w:val="0"/>
                <w:color w:val="000000"/>
                <w:szCs w:val="22"/>
                <w:lang w:eastAsia="en-US"/>
              </w:rPr>
              <w:t xml:space="preserve"> </w:t>
            </w:r>
            <w:r w:rsidRPr="00A83C94">
              <w:rPr>
                <w:rFonts w:cs="Calibri"/>
                <w:b w:val="0"/>
                <w:color w:val="000000"/>
                <w:szCs w:val="22"/>
                <w:lang w:val="en-US" w:eastAsia="en-US"/>
              </w:rPr>
              <w:t>դրամաշնորհային</w:t>
            </w:r>
            <w:r w:rsidRPr="00A83C94">
              <w:rPr>
                <w:rFonts w:cs="Calibri"/>
                <w:b w:val="0"/>
                <w:color w:val="000000"/>
                <w:szCs w:val="22"/>
                <w:lang w:eastAsia="en-US"/>
              </w:rPr>
              <w:t xml:space="preserve"> </w:t>
            </w:r>
            <w:r w:rsidRPr="00A83C94">
              <w:rPr>
                <w:rFonts w:cs="Calibri"/>
                <w:b w:val="0"/>
                <w:color w:val="000000"/>
                <w:szCs w:val="22"/>
                <w:lang w:val="en-US" w:eastAsia="en-US"/>
              </w:rPr>
              <w:t>ծրագրեր</w:t>
            </w:r>
            <w:r w:rsidRPr="00A83C94">
              <w:rPr>
                <w:rFonts w:cs="Calibri"/>
                <w:b w:val="0"/>
                <w:color w:val="000000"/>
                <w:szCs w:val="22"/>
                <w:lang w:eastAsia="en-US"/>
              </w:rPr>
              <w:t>)</w:t>
            </w:r>
          </w:p>
        </w:tc>
        <w:tc>
          <w:tcPr>
            <w:tcW w:w="1235" w:type="dxa"/>
            <w:shd w:val="clear" w:color="auto" w:fill="auto"/>
            <w:noWrap/>
            <w:vAlign w:val="center"/>
            <w:hideMark/>
          </w:tcPr>
          <w:p w14:paraId="7A44EA1C"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eastAsia="en-US"/>
              </w:rPr>
              <w:t xml:space="preserve">                       </w:t>
            </w:r>
            <w:r w:rsidRPr="00A83C94">
              <w:rPr>
                <w:rFonts w:cs="Calibri"/>
                <w:b w:val="0"/>
                <w:color w:val="000000"/>
                <w:szCs w:val="22"/>
                <w:lang w:val="en-US" w:eastAsia="en-US"/>
              </w:rPr>
              <w:t xml:space="preserve">11.0 </w:t>
            </w:r>
          </w:p>
        </w:tc>
        <w:tc>
          <w:tcPr>
            <w:tcW w:w="1235" w:type="dxa"/>
            <w:shd w:val="clear" w:color="auto" w:fill="auto"/>
            <w:noWrap/>
            <w:vAlign w:val="center"/>
            <w:hideMark/>
          </w:tcPr>
          <w:p w14:paraId="40D62DA2"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4.5 </w:t>
            </w:r>
          </w:p>
        </w:tc>
        <w:tc>
          <w:tcPr>
            <w:tcW w:w="1235" w:type="dxa"/>
            <w:shd w:val="clear" w:color="auto" w:fill="auto"/>
            <w:noWrap/>
            <w:vAlign w:val="center"/>
            <w:hideMark/>
          </w:tcPr>
          <w:p w14:paraId="73A16442"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47.3 </w:t>
            </w:r>
          </w:p>
        </w:tc>
        <w:tc>
          <w:tcPr>
            <w:tcW w:w="1235" w:type="dxa"/>
            <w:shd w:val="clear" w:color="auto" w:fill="auto"/>
            <w:noWrap/>
            <w:vAlign w:val="center"/>
            <w:hideMark/>
          </w:tcPr>
          <w:p w14:paraId="119031F7"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1.7 </w:t>
            </w:r>
          </w:p>
        </w:tc>
        <w:tc>
          <w:tcPr>
            <w:tcW w:w="1235" w:type="dxa"/>
            <w:shd w:val="clear" w:color="auto" w:fill="auto"/>
            <w:noWrap/>
            <w:vAlign w:val="center"/>
            <w:hideMark/>
          </w:tcPr>
          <w:p w14:paraId="63D9791D"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5.3 </w:t>
            </w:r>
          </w:p>
        </w:tc>
      </w:tr>
      <w:tr w:rsidR="00AE2A75" w:rsidRPr="00A83C94" w14:paraId="69A8A6FF" w14:textId="77777777" w:rsidTr="001D3173">
        <w:trPr>
          <w:trHeight w:val="698"/>
        </w:trPr>
        <w:tc>
          <w:tcPr>
            <w:tcW w:w="3180" w:type="dxa"/>
            <w:shd w:val="clear" w:color="auto" w:fill="auto"/>
            <w:vAlign w:val="center"/>
          </w:tcPr>
          <w:p w14:paraId="3E0E43AB" w14:textId="77777777" w:rsidR="00AE2A75" w:rsidRPr="00A83C94" w:rsidRDefault="00AE2A75" w:rsidP="001D3173">
            <w:pPr>
              <w:spacing w:before="0" w:line="240" w:lineRule="auto"/>
              <w:ind w:firstLine="0"/>
              <w:contextualSpacing w:val="0"/>
              <w:jc w:val="left"/>
              <w:rPr>
                <w:rFonts w:cs="Calibri"/>
                <w:b w:val="0"/>
                <w:color w:val="000000"/>
                <w:szCs w:val="22"/>
                <w:lang w:eastAsia="en-US"/>
              </w:rPr>
            </w:pPr>
            <w:r w:rsidRPr="00A83C94">
              <w:rPr>
                <w:rFonts w:cs="Calibri"/>
                <w:b w:val="0"/>
                <w:color w:val="000000"/>
                <w:szCs w:val="22"/>
                <w:lang w:val="en-US" w:eastAsia="en-US"/>
              </w:rPr>
              <w:t>ԵՄ</w:t>
            </w:r>
            <w:r w:rsidRPr="00A83C94">
              <w:rPr>
                <w:rFonts w:cs="Calibri"/>
                <w:b w:val="0"/>
                <w:color w:val="000000"/>
                <w:szCs w:val="22"/>
                <w:lang w:val="hy-AM" w:eastAsia="en-US"/>
              </w:rPr>
              <w:t xml:space="preserve"> </w:t>
            </w:r>
            <w:r w:rsidRPr="00A83C94">
              <w:rPr>
                <w:rFonts w:cs="Calibri"/>
                <w:b w:val="0"/>
                <w:color w:val="000000"/>
                <w:szCs w:val="22"/>
                <w:lang w:eastAsia="en-US"/>
              </w:rPr>
              <w:t xml:space="preserve">(2.6 </w:t>
            </w:r>
            <w:r w:rsidRPr="00A83C94">
              <w:rPr>
                <w:rFonts w:cs="Calibri"/>
                <w:b w:val="0"/>
                <w:color w:val="000000"/>
                <w:szCs w:val="22"/>
                <w:lang w:val="en-US" w:eastAsia="en-US"/>
              </w:rPr>
              <w:t>մլրդ</w:t>
            </w:r>
            <w:r w:rsidRPr="00A83C94">
              <w:rPr>
                <w:rFonts w:cs="Calibri"/>
                <w:b w:val="0"/>
                <w:color w:val="000000"/>
                <w:szCs w:val="22"/>
                <w:lang w:eastAsia="en-US"/>
              </w:rPr>
              <w:t xml:space="preserve"> </w:t>
            </w:r>
            <w:r w:rsidRPr="00A83C94">
              <w:rPr>
                <w:rFonts w:cs="Calibri"/>
                <w:b w:val="0"/>
                <w:color w:val="000000"/>
                <w:szCs w:val="22"/>
                <w:lang w:val="hy-AM" w:eastAsia="en-US"/>
              </w:rPr>
              <w:t>ե</w:t>
            </w:r>
            <w:r w:rsidRPr="00A83C94">
              <w:rPr>
                <w:rFonts w:cs="Calibri"/>
                <w:b w:val="0"/>
                <w:color w:val="000000"/>
                <w:szCs w:val="22"/>
                <w:lang w:val="en-US" w:eastAsia="en-US"/>
              </w:rPr>
              <w:t>վրո</w:t>
            </w:r>
            <w:r w:rsidRPr="00A83C94">
              <w:rPr>
                <w:rFonts w:cs="Calibri"/>
                <w:b w:val="0"/>
                <w:color w:val="000000"/>
                <w:szCs w:val="22"/>
                <w:lang w:eastAsia="en-US"/>
              </w:rPr>
              <w:t>)</w:t>
            </w:r>
          </w:p>
        </w:tc>
        <w:tc>
          <w:tcPr>
            <w:tcW w:w="1235" w:type="dxa"/>
            <w:shd w:val="clear" w:color="auto" w:fill="auto"/>
            <w:noWrap/>
            <w:vAlign w:val="center"/>
          </w:tcPr>
          <w:p w14:paraId="4446DAA0"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6D3E0E5B"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00B997EC"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6B05EAB6"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5D0A27E0"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13.0</w:t>
            </w:r>
          </w:p>
        </w:tc>
      </w:tr>
      <w:tr w:rsidR="00AE2A75" w:rsidRPr="00A83C94" w14:paraId="2356C7B2" w14:textId="77777777" w:rsidTr="001D3173">
        <w:trPr>
          <w:trHeight w:val="800"/>
        </w:trPr>
        <w:tc>
          <w:tcPr>
            <w:tcW w:w="3180" w:type="dxa"/>
            <w:shd w:val="clear" w:color="auto" w:fill="DBE5F1" w:themeFill="accent1" w:themeFillTint="33"/>
            <w:vAlign w:val="center"/>
            <w:hideMark/>
          </w:tcPr>
          <w:p w14:paraId="061B70B0" w14:textId="77777777" w:rsidR="00AE2A75" w:rsidRPr="00A83C94" w:rsidRDefault="00AE2A75" w:rsidP="001D3173">
            <w:pPr>
              <w:spacing w:before="0" w:line="240" w:lineRule="auto"/>
              <w:ind w:firstLine="0"/>
              <w:contextualSpacing w:val="0"/>
              <w:jc w:val="left"/>
              <w:rPr>
                <w:rFonts w:cs="Calibri"/>
                <w:b w:val="0"/>
                <w:color w:val="000000"/>
                <w:szCs w:val="22"/>
                <w:lang w:val="en-US" w:eastAsia="en-US"/>
              </w:rPr>
            </w:pPr>
            <w:r w:rsidRPr="00A83C94">
              <w:rPr>
                <w:rFonts w:cs="Calibri"/>
                <w:b w:val="0"/>
                <w:color w:val="000000"/>
                <w:szCs w:val="22"/>
                <w:lang w:val="en-US" w:eastAsia="en-US"/>
              </w:rPr>
              <w:t>Այլ նպատակային դրամաշնորհներ</w:t>
            </w:r>
          </w:p>
        </w:tc>
        <w:tc>
          <w:tcPr>
            <w:tcW w:w="1235" w:type="dxa"/>
            <w:shd w:val="clear" w:color="auto" w:fill="DBE5F1" w:themeFill="accent1" w:themeFillTint="33"/>
            <w:noWrap/>
            <w:vAlign w:val="center"/>
            <w:hideMark/>
          </w:tcPr>
          <w:p w14:paraId="65BEC090"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0.2 </w:t>
            </w:r>
          </w:p>
        </w:tc>
        <w:tc>
          <w:tcPr>
            <w:tcW w:w="1235" w:type="dxa"/>
            <w:shd w:val="clear" w:color="auto" w:fill="DBE5F1" w:themeFill="accent1" w:themeFillTint="33"/>
            <w:noWrap/>
            <w:vAlign w:val="center"/>
            <w:hideMark/>
          </w:tcPr>
          <w:p w14:paraId="61EE5018"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7.9</w:t>
            </w:r>
          </w:p>
        </w:tc>
        <w:tc>
          <w:tcPr>
            <w:tcW w:w="1235" w:type="dxa"/>
            <w:shd w:val="clear" w:color="auto" w:fill="DBE5F1" w:themeFill="accent1" w:themeFillTint="33"/>
            <w:noWrap/>
            <w:vAlign w:val="center"/>
            <w:hideMark/>
          </w:tcPr>
          <w:p w14:paraId="0E838542"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5.9 </w:t>
            </w:r>
          </w:p>
        </w:tc>
        <w:tc>
          <w:tcPr>
            <w:tcW w:w="1235" w:type="dxa"/>
            <w:shd w:val="clear" w:color="auto" w:fill="DBE5F1" w:themeFill="accent1" w:themeFillTint="33"/>
            <w:noWrap/>
            <w:vAlign w:val="center"/>
            <w:hideMark/>
          </w:tcPr>
          <w:p w14:paraId="669BF4F7"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22.6 </w:t>
            </w:r>
          </w:p>
        </w:tc>
        <w:tc>
          <w:tcPr>
            <w:tcW w:w="1235" w:type="dxa"/>
            <w:shd w:val="clear" w:color="auto" w:fill="DBE5F1" w:themeFill="accent1" w:themeFillTint="33"/>
            <w:noWrap/>
            <w:vAlign w:val="center"/>
            <w:hideMark/>
          </w:tcPr>
          <w:p w14:paraId="08118638"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22.0</w:t>
            </w:r>
          </w:p>
        </w:tc>
      </w:tr>
    </w:tbl>
    <w:p w14:paraId="5337B7BA" w14:textId="77777777" w:rsidR="00AE2A75" w:rsidRPr="00A83C94" w:rsidRDefault="00AE2A75" w:rsidP="00AE2A75">
      <w:pPr>
        <w:spacing w:before="0" w:line="276" w:lineRule="auto"/>
        <w:ind w:firstLine="0"/>
        <w:contextualSpacing w:val="0"/>
        <w:jc w:val="left"/>
        <w:rPr>
          <w:b w:val="0"/>
          <w:szCs w:val="22"/>
          <w:lang w:val="af-ZA" w:eastAsia="en-US"/>
        </w:rPr>
      </w:pPr>
    </w:p>
    <w:p w14:paraId="1B904007" w14:textId="77777777" w:rsidR="00AE2A75" w:rsidRPr="00A83C94" w:rsidRDefault="00AE2A75" w:rsidP="00AE2A75">
      <w:pPr>
        <w:tabs>
          <w:tab w:val="left" w:pos="9120"/>
        </w:tabs>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Եվրոպական հարևանության ՀՀ-ԵՄ գործո</w:t>
      </w:r>
      <w:r w:rsidRPr="00A83C94">
        <w:rPr>
          <w:rFonts w:cs="Sylfaen"/>
          <w:b w:val="0"/>
          <w:iCs/>
          <w:szCs w:val="22"/>
          <w:lang w:val="af-ZA" w:eastAsia="en-GB"/>
        </w:rPr>
        <w:softHyphen/>
        <w:t>ղություն</w:t>
      </w:r>
      <w:r w:rsidRPr="00A83C94">
        <w:rPr>
          <w:rFonts w:cs="Sylfaen"/>
          <w:b w:val="0"/>
          <w:iCs/>
          <w:szCs w:val="22"/>
          <w:lang w:val="af-ZA" w:eastAsia="en-GB"/>
        </w:rPr>
        <w:softHyphen/>
        <w:t>ների ծրագրի շրջանակներում Աջակցություն Հայաստանում դատական ոլորտի բարեփոխումների իրականացմանը ծրագրով նա</w:t>
      </w:r>
      <w:r w:rsidRPr="00A83C94">
        <w:rPr>
          <w:rFonts w:cs="Sylfaen"/>
          <w:b w:val="0"/>
          <w:iCs/>
          <w:szCs w:val="22"/>
          <w:lang w:val="af-ZA" w:eastAsia="en-GB"/>
        </w:rPr>
        <w:softHyphen/>
        <w:t>խա</w:t>
      </w:r>
      <w:r w:rsidRPr="00A83C94">
        <w:rPr>
          <w:rFonts w:cs="Sylfaen"/>
          <w:b w:val="0"/>
          <w:iCs/>
          <w:szCs w:val="22"/>
          <w:lang w:val="af-ZA" w:eastAsia="en-GB"/>
        </w:rPr>
        <w:softHyphen/>
        <w:t>տես</w:t>
      </w:r>
      <w:r w:rsidRPr="00A83C94">
        <w:rPr>
          <w:rFonts w:cs="Sylfaen"/>
          <w:b w:val="0"/>
          <w:iCs/>
          <w:szCs w:val="22"/>
          <w:lang w:val="af-ZA" w:eastAsia="en-GB"/>
        </w:rPr>
        <w:softHyphen/>
        <w:t xml:space="preserve">վում է բյուջետային օժանդակություն պաշտոնական դրամաշնորհների (չկապակցված դրամաշնորհներ) ստացում` 9.0 մլն եվրո կամ 5.3 մլրդ դրամ: </w:t>
      </w:r>
    </w:p>
    <w:p w14:paraId="07F4FDC6" w14:textId="77777777" w:rsidR="00AE2A75" w:rsidRPr="00A83C94" w:rsidRDefault="00AE2A75" w:rsidP="00AE2A75">
      <w:pPr>
        <w:tabs>
          <w:tab w:val="left" w:pos="9120"/>
        </w:tabs>
        <w:spacing w:before="0" w:line="276" w:lineRule="auto"/>
        <w:ind w:firstLine="562"/>
        <w:contextualSpacing w:val="0"/>
        <w:rPr>
          <w:rFonts w:cs="Sylfaen"/>
          <w:b w:val="0"/>
          <w:iCs/>
          <w:szCs w:val="22"/>
          <w:lang w:val="hy-AM" w:eastAsia="en-GB"/>
        </w:rPr>
      </w:pPr>
      <w:r w:rsidRPr="00A83C94">
        <w:rPr>
          <w:rFonts w:cs="Sylfaen"/>
          <w:b w:val="0"/>
          <w:iCs/>
          <w:szCs w:val="22"/>
          <w:lang w:val="af-ZA" w:eastAsia="en-GB"/>
        </w:rPr>
        <w:t xml:space="preserve">Արևելյան գործընկերության ՀՀ-ԵՄ համագործակցության նոր 5-ամյա փուլի շրջանակներում նախատեսվել է տարատեսակ ֆինանսական գործիքների միջոցով Հայաստանի Հանրապետությանը հատկացնել 2.6 մլրդ եվրո աջակցություն, որն ուղղվելու է Հայաստանի Հանրապետության կառավարության և ԵՄ-ի համատեղ սահմանած 5 առաջնահերթ նախաձեռնություններին, որոնք առնչվելու են Հյուսիս-Հարավ մայրուղու և </w:t>
      </w:r>
      <w:r w:rsidRPr="00A83C94">
        <w:rPr>
          <w:rFonts w:cs="Sylfaen"/>
          <w:b w:val="0"/>
          <w:iCs/>
          <w:szCs w:val="22"/>
          <w:lang w:val="hy-AM" w:eastAsia="en-GB"/>
        </w:rPr>
        <w:t xml:space="preserve">այլ </w:t>
      </w:r>
      <w:r w:rsidRPr="00A83C94">
        <w:rPr>
          <w:rFonts w:cs="Sylfaen"/>
          <w:b w:val="0"/>
          <w:iCs/>
          <w:szCs w:val="22"/>
          <w:lang w:val="af-ZA" w:eastAsia="en-GB"/>
        </w:rPr>
        <w:t>ենթակառուցվածքների կառուցմանը</w:t>
      </w:r>
      <w:r w:rsidRPr="00A83C94">
        <w:rPr>
          <w:rFonts w:cs="Sylfaen"/>
          <w:b w:val="0"/>
          <w:iCs/>
          <w:szCs w:val="22"/>
          <w:lang w:val="hy-AM" w:eastAsia="en-GB"/>
        </w:rPr>
        <w:t xml:space="preserve"> և</w:t>
      </w:r>
      <w:r w:rsidRPr="00A83C94">
        <w:rPr>
          <w:rFonts w:cs="Sylfaen"/>
          <w:b w:val="0"/>
          <w:iCs/>
          <w:szCs w:val="22"/>
          <w:lang w:val="af-ZA" w:eastAsia="en-GB"/>
        </w:rPr>
        <w:t xml:space="preserve"> </w:t>
      </w:r>
      <w:r w:rsidRPr="00A83C94">
        <w:rPr>
          <w:rFonts w:cs="Sylfaen"/>
          <w:b w:val="0"/>
          <w:iCs/>
          <w:szCs w:val="22"/>
          <w:lang w:val="hy-AM" w:eastAsia="en-GB"/>
        </w:rPr>
        <w:t>ՀՀ</w:t>
      </w:r>
      <w:r w:rsidRPr="00A83C94">
        <w:rPr>
          <w:rFonts w:cs="Sylfaen"/>
          <w:b w:val="0"/>
          <w:iCs/>
          <w:szCs w:val="22"/>
          <w:lang w:val="af-ZA" w:eastAsia="en-GB"/>
        </w:rPr>
        <w:t xml:space="preserve"> հարավային շրջանների սոցիալ-տնտեսական զարգացմանը, </w:t>
      </w:r>
      <w:r w:rsidRPr="00A83C94">
        <w:rPr>
          <w:rFonts w:cs="Sylfaen"/>
          <w:b w:val="0"/>
          <w:iCs/>
          <w:szCs w:val="22"/>
          <w:lang w:val="hy-AM" w:eastAsia="en-GB"/>
        </w:rPr>
        <w:t xml:space="preserve">առողջապահական ոլորտի բուժ. հաստատությունների արդիականցմանը, կրթական հաստատությունների բարելավմանը և գիտական ենթակառուցվածքների արդիականցմանը, </w:t>
      </w:r>
      <w:r w:rsidRPr="00A83C94">
        <w:rPr>
          <w:rFonts w:cs="Sylfaen"/>
          <w:b w:val="0"/>
          <w:iCs/>
          <w:szCs w:val="22"/>
          <w:lang w:val="af-ZA" w:eastAsia="en-GB"/>
        </w:rPr>
        <w:t>թվային կառավարմանը և նորարարության խթանմանը</w:t>
      </w:r>
      <w:r w:rsidRPr="00A83C94">
        <w:rPr>
          <w:rFonts w:cs="Sylfaen"/>
          <w:b w:val="0"/>
          <w:iCs/>
          <w:szCs w:val="22"/>
          <w:lang w:val="hy-AM" w:eastAsia="en-GB"/>
        </w:rPr>
        <w:t>, ինչպես նաև էկոնոմիկայի ոլորտում որակի ենթակառուցվածքների համակարգի արդիականացմանը, այդ թվում՝ գյուղատնտեսական արտադրանքի որակի և անվտանգության մակարդակի բարձրացմանը, ՊՄԳ-ի շրջանականերում ժամանակակից լոգիստիկ կենտրոնի ստեղծմանը:</w:t>
      </w:r>
    </w:p>
    <w:p w14:paraId="5CB8555E" w14:textId="77777777" w:rsidR="00AE2A75" w:rsidRPr="00A83C94" w:rsidRDefault="00AE2A75" w:rsidP="00AE2A75">
      <w:pPr>
        <w:tabs>
          <w:tab w:val="left" w:pos="9120"/>
        </w:tabs>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Նպատակային օժանդակություն պաշտոնական դրամաշնորհային (կապակցված դրամաշնորհներ) ծրագրերից նախատեսվում է 44.6 մլն. ԱՄՆ դոլարի կամ 22.0 մլրդ դրամի ստացում: Նպատակային պաշտոնական դրամաշնորհային ծրագրերի գծով ՀՀ 2022 թվականի պետա</w:t>
      </w:r>
      <w:r w:rsidRPr="00A83C94">
        <w:rPr>
          <w:rFonts w:cs="Sylfaen"/>
          <w:b w:val="0"/>
          <w:iCs/>
          <w:szCs w:val="22"/>
          <w:lang w:val="af-ZA" w:eastAsia="en-GB"/>
        </w:rPr>
        <w:softHyphen/>
        <w:t>կան բյուջեի նախագծի ցուցանիշների մանրամասները ներկայացված են նախագծի N 1 հավելվածի N 5 աղյու</w:t>
      </w:r>
      <w:r w:rsidRPr="00A83C94">
        <w:rPr>
          <w:rFonts w:cs="Sylfaen"/>
          <w:b w:val="0"/>
          <w:iCs/>
          <w:szCs w:val="22"/>
          <w:lang w:val="af-ZA" w:eastAsia="en-GB"/>
        </w:rPr>
        <w:softHyphen/>
      </w:r>
      <w:r w:rsidRPr="00A83C94">
        <w:rPr>
          <w:rFonts w:cs="Sylfaen"/>
          <w:b w:val="0"/>
          <w:iCs/>
          <w:szCs w:val="22"/>
          <w:lang w:val="af-ZA" w:eastAsia="en-GB"/>
        </w:rPr>
        <w:softHyphen/>
        <w:t>սակում:</w:t>
      </w:r>
    </w:p>
    <w:p w14:paraId="26AFD915" w14:textId="77777777" w:rsidR="00AE2A75" w:rsidRPr="00A83C94" w:rsidRDefault="00AE2A75" w:rsidP="00AE2A75">
      <w:pPr>
        <w:keepNext/>
        <w:tabs>
          <w:tab w:val="left" w:pos="709"/>
        </w:tabs>
        <w:spacing w:before="0" w:line="276" w:lineRule="auto"/>
        <w:outlineLvl w:val="2"/>
        <w:rPr>
          <w:rFonts w:eastAsia="Calibri" w:cs="GHEA Grapalat"/>
          <w:bCs/>
          <w:szCs w:val="22"/>
          <w:lang w:val="af-ZA" w:eastAsia="en-US"/>
        </w:rPr>
      </w:pPr>
      <w:bookmarkStart w:id="218" w:name="_Toc500177730"/>
      <w:bookmarkStart w:id="219" w:name="_Toc530663265"/>
      <w:bookmarkStart w:id="220" w:name="_Toc57655467"/>
      <w:bookmarkStart w:id="221" w:name="_Toc83996362"/>
      <w:r w:rsidRPr="00A83C94">
        <w:rPr>
          <w:rFonts w:eastAsia="Calibri" w:cs="GHEA Grapalat"/>
          <w:bCs/>
          <w:szCs w:val="22"/>
          <w:lang w:val="hy-AM" w:eastAsia="en-US"/>
        </w:rPr>
        <w:t>Այլ եկամուտներ</w:t>
      </w:r>
      <w:bookmarkEnd w:id="218"/>
      <w:bookmarkEnd w:id="219"/>
      <w:bookmarkEnd w:id="220"/>
      <w:bookmarkEnd w:id="221"/>
    </w:p>
    <w:p w14:paraId="4327BD9D"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Այլ եկամուտները ներառում են բանկերում և ֆինանսավարկային հաս</w:t>
      </w:r>
      <w:r w:rsidRPr="00A83C94">
        <w:rPr>
          <w:rFonts w:cs="Sylfaen"/>
          <w:b w:val="0"/>
          <w:iCs/>
          <w:szCs w:val="22"/>
          <w:lang w:val="af-ZA" w:eastAsia="en-GB"/>
        </w:rPr>
        <w:softHyphen/>
        <w:t>տա</w:t>
      </w:r>
      <w:r w:rsidRPr="00A83C94">
        <w:rPr>
          <w:rFonts w:cs="Sylfaen"/>
          <w:b w:val="0"/>
          <w:iCs/>
          <w:szCs w:val="22"/>
          <w:lang w:val="af-ZA" w:eastAsia="en-GB"/>
        </w:rPr>
        <w:softHyphen/>
        <w:t>տու</w:t>
      </w:r>
      <w:r w:rsidRPr="00A83C94">
        <w:rPr>
          <w:rFonts w:cs="Sylfaen"/>
          <w:b w:val="0"/>
          <w:iCs/>
          <w:szCs w:val="22"/>
          <w:lang w:val="af-ZA" w:eastAsia="en-GB"/>
        </w:rPr>
        <w:softHyphen/>
        <w:t>թյուն</w:t>
      </w:r>
      <w:r w:rsidRPr="00A83C94">
        <w:rPr>
          <w:rFonts w:cs="Sylfaen"/>
          <w:b w:val="0"/>
          <w:iCs/>
          <w:szCs w:val="22"/>
          <w:lang w:val="af-ZA" w:eastAsia="en-GB"/>
        </w:rPr>
        <w:softHyphen/>
        <w:t>նե</w:t>
      </w:r>
      <w:r w:rsidRPr="00A83C94">
        <w:rPr>
          <w:rFonts w:cs="Sylfaen"/>
          <w:b w:val="0"/>
          <w:iCs/>
          <w:szCs w:val="22"/>
          <w:lang w:val="af-ZA" w:eastAsia="en-GB"/>
        </w:rPr>
        <w:softHyphen/>
        <w:t>րում պե</w:t>
      </w:r>
      <w:r w:rsidRPr="00A83C94">
        <w:rPr>
          <w:rFonts w:cs="Sylfaen"/>
          <w:b w:val="0"/>
          <w:iCs/>
          <w:szCs w:val="22"/>
          <w:lang w:val="af-ZA" w:eastAsia="en-GB"/>
        </w:rPr>
        <w:softHyphen/>
        <w:t>տա</w:t>
      </w:r>
      <w:r w:rsidRPr="00A83C94">
        <w:rPr>
          <w:rFonts w:cs="Sylfaen"/>
          <w:b w:val="0"/>
          <w:iCs/>
          <w:szCs w:val="22"/>
          <w:lang w:val="af-ZA" w:eastAsia="en-GB"/>
        </w:rPr>
        <w:softHyphen/>
        <w:t>կան բյուջեի ժամանակավոր ազատ միջոցների տեղաբաշխումից և դեպոզիտներից ստաց</w:t>
      </w:r>
      <w:r w:rsidRPr="00A83C94">
        <w:rPr>
          <w:rFonts w:cs="Sylfaen"/>
          <w:b w:val="0"/>
          <w:iCs/>
          <w:szCs w:val="22"/>
          <w:lang w:val="af-ZA" w:eastAsia="en-GB"/>
        </w:rPr>
        <w:softHyphen/>
      </w:r>
      <w:r w:rsidRPr="00A83C94">
        <w:rPr>
          <w:rFonts w:cs="Sylfaen"/>
          <w:b w:val="0"/>
          <w:iCs/>
          <w:szCs w:val="22"/>
          <w:lang w:val="af-ZA" w:eastAsia="en-GB"/>
        </w:rPr>
        <w:softHyphen/>
        <w:t>վող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t>ները, իրավաբանական անձանց կապիտալում կատարված ներդրում</w:t>
      </w:r>
      <w:r w:rsidRPr="00A83C94">
        <w:rPr>
          <w:rFonts w:cs="Sylfaen"/>
          <w:b w:val="0"/>
          <w:iCs/>
          <w:szCs w:val="22"/>
          <w:lang w:val="af-ZA" w:eastAsia="en-GB"/>
        </w:rPr>
        <w:softHyphen/>
        <w:t>ներից ստաց</w:t>
      </w:r>
      <w:r w:rsidRPr="00A83C94">
        <w:rPr>
          <w:rFonts w:cs="Sylfaen"/>
          <w:b w:val="0"/>
          <w:iCs/>
          <w:szCs w:val="22"/>
          <w:lang w:val="af-ZA" w:eastAsia="en-GB"/>
        </w:rPr>
        <w:softHyphen/>
      </w:r>
      <w:r w:rsidRPr="00A83C94">
        <w:rPr>
          <w:rFonts w:cs="Sylfaen"/>
          <w:b w:val="0"/>
          <w:iCs/>
          <w:szCs w:val="22"/>
          <w:lang w:val="af-ZA" w:eastAsia="en-GB"/>
        </w:rPr>
        <w:softHyphen/>
        <w:t>վող շահաբաժինները, պե</w:t>
      </w:r>
      <w:r w:rsidRPr="00A83C94">
        <w:rPr>
          <w:rFonts w:cs="Sylfaen"/>
          <w:b w:val="0"/>
          <w:iCs/>
          <w:szCs w:val="22"/>
          <w:lang w:val="af-ZA" w:eastAsia="en-GB"/>
        </w:rPr>
        <w:softHyphen/>
        <w:t>տա</w:t>
      </w:r>
      <w:r w:rsidRPr="00A83C94">
        <w:rPr>
          <w:rFonts w:cs="Sylfaen"/>
          <w:b w:val="0"/>
          <w:iCs/>
          <w:szCs w:val="22"/>
          <w:lang w:val="af-ZA" w:eastAsia="en-GB"/>
        </w:rPr>
        <w:softHyphen/>
        <w:t>կան ձեռնարկությունների գույքի օգտագործման վճար</w:t>
      </w:r>
      <w:r w:rsidRPr="00A83C94">
        <w:rPr>
          <w:rFonts w:cs="Sylfaen"/>
          <w:b w:val="0"/>
          <w:iCs/>
          <w:szCs w:val="22"/>
          <w:lang w:val="af-ZA" w:eastAsia="en-GB"/>
        </w:rPr>
        <w:softHyphen/>
        <w:t>ները, պետության կողմից տրված վարկերի օգտագործ</w:t>
      </w:r>
      <w:r w:rsidRPr="00A83C94">
        <w:rPr>
          <w:rFonts w:cs="Sylfaen"/>
          <w:b w:val="0"/>
          <w:iCs/>
          <w:szCs w:val="22"/>
          <w:lang w:val="af-ZA" w:eastAsia="en-GB"/>
        </w:rPr>
        <w:softHyphen/>
        <w:t>ման դի</w:t>
      </w:r>
      <w:r w:rsidRPr="00A83C94">
        <w:rPr>
          <w:rFonts w:cs="Sylfaen"/>
          <w:b w:val="0"/>
          <w:iCs/>
          <w:szCs w:val="22"/>
          <w:lang w:val="af-ZA" w:eastAsia="en-GB"/>
        </w:rPr>
        <w:softHyphen/>
        <w:t>մաց վճարները (տոկոսավճար</w:t>
      </w:r>
      <w:r w:rsidRPr="00A83C94">
        <w:rPr>
          <w:rFonts w:cs="Sylfaen"/>
          <w:b w:val="0"/>
          <w:iCs/>
          <w:szCs w:val="22"/>
          <w:lang w:val="af-ZA" w:eastAsia="en-GB"/>
        </w:rPr>
        <w:softHyphen/>
        <w:t>ները), իրա</w:t>
      </w:r>
      <w:r w:rsidRPr="00A83C94">
        <w:rPr>
          <w:rFonts w:cs="Sylfaen"/>
          <w:b w:val="0"/>
          <w:iCs/>
          <w:szCs w:val="22"/>
          <w:lang w:val="af-ZA" w:eastAsia="en-GB"/>
        </w:rPr>
        <w:softHyphen/>
        <w:t>վա</w:t>
      </w:r>
      <w:r w:rsidRPr="00A83C94">
        <w:rPr>
          <w:rFonts w:cs="Sylfaen"/>
          <w:b w:val="0"/>
          <w:iCs/>
          <w:szCs w:val="22"/>
          <w:lang w:val="af-ZA" w:eastAsia="en-GB"/>
        </w:rPr>
        <w:softHyphen/>
        <w:t>խախտումների համար գոր</w:t>
      </w:r>
      <w:r w:rsidRPr="00A83C94">
        <w:rPr>
          <w:rFonts w:cs="Sylfaen"/>
          <w:b w:val="0"/>
          <w:iCs/>
          <w:szCs w:val="22"/>
          <w:lang w:val="af-ZA" w:eastAsia="en-GB"/>
        </w:rPr>
        <w:softHyphen/>
        <w:t>ծա</w:t>
      </w:r>
      <w:r w:rsidRPr="00A83C94">
        <w:rPr>
          <w:rFonts w:cs="Sylfaen"/>
          <w:b w:val="0"/>
          <w:iCs/>
          <w:szCs w:val="22"/>
          <w:lang w:val="af-ZA" w:eastAsia="en-GB"/>
        </w:rPr>
        <w:softHyphen/>
        <w:t>դիր և դատական մար</w:t>
      </w:r>
      <w:r w:rsidRPr="00A83C94">
        <w:rPr>
          <w:rFonts w:cs="Sylfaen"/>
          <w:b w:val="0"/>
          <w:iCs/>
          <w:szCs w:val="22"/>
          <w:lang w:val="af-ZA" w:eastAsia="en-GB"/>
        </w:rPr>
        <w:softHyphen/>
      </w:r>
      <w:r w:rsidRPr="00A83C94">
        <w:rPr>
          <w:rFonts w:cs="Sylfaen"/>
          <w:b w:val="0"/>
          <w:iCs/>
          <w:szCs w:val="22"/>
          <w:lang w:val="af-ZA" w:eastAsia="en-GB"/>
        </w:rPr>
        <w:softHyphen/>
        <w:t>մին</w:t>
      </w:r>
      <w:r w:rsidRPr="00A83C94">
        <w:rPr>
          <w:rFonts w:cs="Sylfaen"/>
          <w:b w:val="0"/>
          <w:iCs/>
          <w:szCs w:val="22"/>
          <w:lang w:val="af-ZA" w:eastAsia="en-GB"/>
        </w:rPr>
        <w:softHyphen/>
        <w:t>նե</w:t>
      </w:r>
      <w:r w:rsidRPr="00A83C94">
        <w:rPr>
          <w:rFonts w:cs="Sylfaen"/>
          <w:b w:val="0"/>
          <w:iCs/>
          <w:szCs w:val="22"/>
          <w:lang w:val="af-ZA" w:eastAsia="en-GB"/>
        </w:rPr>
        <w:softHyphen/>
        <w:t>րի կողմից կիրառվող պատժամի</w:t>
      </w:r>
      <w:r w:rsidRPr="00A83C94">
        <w:rPr>
          <w:rFonts w:cs="Sylfaen"/>
          <w:b w:val="0"/>
          <w:iCs/>
          <w:szCs w:val="22"/>
          <w:lang w:val="af-ZA" w:eastAsia="en-GB"/>
        </w:rPr>
        <w:softHyphen/>
        <w:t>ջոցներից ստացվող մուտքերը, պետական մարմինների կողմից ապրանքների մա</w:t>
      </w:r>
      <w:r w:rsidRPr="00A83C94">
        <w:rPr>
          <w:rFonts w:cs="Sylfaen"/>
          <w:b w:val="0"/>
          <w:iCs/>
          <w:szCs w:val="22"/>
          <w:lang w:val="af-ZA" w:eastAsia="en-GB"/>
        </w:rPr>
        <w:softHyphen/>
        <w:t>տա</w:t>
      </w:r>
      <w:r w:rsidRPr="00A83C94">
        <w:rPr>
          <w:rFonts w:cs="Sylfaen"/>
          <w:b w:val="0"/>
          <w:iCs/>
          <w:szCs w:val="22"/>
          <w:lang w:val="af-ZA" w:eastAsia="en-GB"/>
        </w:rPr>
        <w:softHyphen/>
        <w:t>կա</w:t>
      </w:r>
      <w:r w:rsidRPr="00A83C94">
        <w:rPr>
          <w:rFonts w:cs="Sylfaen"/>
          <w:b w:val="0"/>
          <w:iCs/>
          <w:szCs w:val="22"/>
          <w:lang w:val="af-ZA" w:eastAsia="en-GB"/>
        </w:rPr>
        <w:softHyphen/>
        <w:t>րա</w:t>
      </w:r>
      <w:r w:rsidRPr="00A83C94">
        <w:rPr>
          <w:rFonts w:cs="Sylfaen"/>
          <w:b w:val="0"/>
          <w:iCs/>
          <w:szCs w:val="22"/>
          <w:lang w:val="af-ZA" w:eastAsia="en-GB"/>
        </w:rPr>
        <w:softHyphen/>
        <w:t>րումից և ծառայությունների մատուցումից մուտքերը և այլ եկա</w:t>
      </w:r>
      <w:r w:rsidRPr="00A83C94">
        <w:rPr>
          <w:rFonts w:cs="Sylfaen"/>
          <w:b w:val="0"/>
          <w:iCs/>
          <w:szCs w:val="22"/>
          <w:lang w:val="af-ZA" w:eastAsia="en-GB"/>
        </w:rPr>
        <w:softHyphen/>
        <w:t>մուտ</w:t>
      </w:r>
      <w:r w:rsidRPr="00A83C94">
        <w:rPr>
          <w:rFonts w:cs="Sylfaen"/>
          <w:b w:val="0"/>
          <w:iCs/>
          <w:szCs w:val="22"/>
          <w:lang w:val="af-ZA" w:eastAsia="en-GB"/>
        </w:rPr>
        <w:softHyphen/>
        <w:t>ները:</w:t>
      </w:r>
    </w:p>
    <w:p w14:paraId="66A218B5"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Այլ եկամուտների գծով մուտքերը 2022 թվականի համար համար ծրագրվել են 62.1 մլրդ դրամի չափով, հաշվի առնելով գանձման համար պատաս</w:t>
      </w:r>
      <w:r w:rsidRPr="00A83C94">
        <w:rPr>
          <w:rFonts w:cs="Sylfaen"/>
          <w:b w:val="0"/>
          <w:iCs/>
          <w:szCs w:val="22"/>
          <w:lang w:val="af-ZA" w:eastAsia="en-GB"/>
        </w:rPr>
        <w:softHyphen/>
        <w:t>խա</w:t>
      </w:r>
      <w:r w:rsidRPr="00A83C94">
        <w:rPr>
          <w:rFonts w:cs="Sylfaen"/>
          <w:b w:val="0"/>
          <w:iCs/>
          <w:szCs w:val="22"/>
          <w:lang w:val="af-ZA" w:eastAsia="en-GB"/>
        </w:rPr>
        <w:softHyphen/>
        <w:t>նա</w:t>
      </w:r>
      <w:r w:rsidRPr="00A83C94">
        <w:rPr>
          <w:rFonts w:cs="Sylfaen"/>
          <w:b w:val="0"/>
          <w:iCs/>
          <w:szCs w:val="22"/>
          <w:lang w:val="af-ZA" w:eastAsia="en-GB"/>
        </w:rPr>
        <w:softHyphen/>
        <w:t>տու պետական կա</w:t>
      </w:r>
      <w:r w:rsidRPr="00A83C94">
        <w:rPr>
          <w:rFonts w:cs="Sylfaen"/>
          <w:b w:val="0"/>
          <w:iCs/>
          <w:szCs w:val="22"/>
          <w:lang w:val="af-ZA" w:eastAsia="en-GB"/>
        </w:rPr>
        <w:softHyphen/>
        <w:t>ռավարման մարմինների կողմից ՀՀ 2022 թվականի բյուջետային գործ</w:t>
      </w:r>
      <w:r w:rsidRPr="00A83C94">
        <w:rPr>
          <w:rFonts w:cs="Sylfaen"/>
          <w:b w:val="0"/>
          <w:iCs/>
          <w:szCs w:val="22"/>
          <w:lang w:val="af-ZA" w:eastAsia="en-GB"/>
        </w:rPr>
        <w:softHyphen/>
        <w:t>ըն</w:t>
      </w:r>
      <w:r w:rsidRPr="00A83C94">
        <w:rPr>
          <w:rFonts w:cs="Sylfaen"/>
          <w:b w:val="0"/>
          <w:iCs/>
          <w:szCs w:val="22"/>
          <w:lang w:val="af-ZA" w:eastAsia="en-GB"/>
        </w:rPr>
        <w:softHyphen/>
      </w:r>
      <w:r w:rsidRPr="00A83C94">
        <w:rPr>
          <w:rFonts w:cs="Sylfaen"/>
          <w:b w:val="0"/>
          <w:iCs/>
          <w:szCs w:val="22"/>
          <w:lang w:val="af-ZA" w:eastAsia="en-GB"/>
        </w:rPr>
        <w:softHyphen/>
        <w:t>թացի շրջա</w:t>
      </w:r>
      <w:r w:rsidRPr="00A83C94">
        <w:rPr>
          <w:rFonts w:cs="Sylfaen"/>
          <w:b w:val="0"/>
          <w:iCs/>
          <w:szCs w:val="22"/>
          <w:lang w:val="af-ZA" w:eastAsia="en-GB"/>
        </w:rPr>
        <w:softHyphen/>
      </w:r>
      <w:r w:rsidRPr="00A83C94">
        <w:rPr>
          <w:rFonts w:cs="Sylfaen"/>
          <w:b w:val="0"/>
          <w:iCs/>
          <w:szCs w:val="22"/>
          <w:lang w:val="af-ZA" w:eastAsia="en-GB"/>
        </w:rPr>
        <w:softHyphen/>
        <w:t>նակում հա</w:t>
      </w:r>
      <w:r w:rsidRPr="00A83C94">
        <w:rPr>
          <w:rFonts w:cs="Sylfaen"/>
          <w:b w:val="0"/>
          <w:iCs/>
          <w:szCs w:val="22"/>
          <w:lang w:val="af-ZA" w:eastAsia="en-GB"/>
        </w:rPr>
        <w:softHyphen/>
        <w:t>մա</w:t>
      </w:r>
      <w:r w:rsidRPr="00A83C94">
        <w:rPr>
          <w:rFonts w:cs="Sylfaen"/>
          <w:b w:val="0"/>
          <w:iCs/>
          <w:szCs w:val="22"/>
          <w:lang w:val="af-ZA" w:eastAsia="en-GB"/>
        </w:rPr>
        <w:softHyphen/>
        <w:t>պա</w:t>
      </w:r>
      <w:r w:rsidRPr="00A83C94">
        <w:rPr>
          <w:rFonts w:cs="Sylfaen"/>
          <w:b w:val="0"/>
          <w:iCs/>
          <w:szCs w:val="22"/>
          <w:lang w:val="af-ZA" w:eastAsia="en-GB"/>
        </w:rPr>
        <w:softHyphen/>
        <w:t>տաս</w:t>
      </w:r>
      <w:r w:rsidRPr="00A83C94">
        <w:rPr>
          <w:rFonts w:cs="Sylfaen"/>
          <w:b w:val="0"/>
          <w:iCs/>
          <w:szCs w:val="22"/>
          <w:lang w:val="af-ZA" w:eastAsia="en-GB"/>
        </w:rPr>
        <w:softHyphen/>
        <w:t>խան հայտերով ներկայացված կանխատեսումները, կատար</w:t>
      </w:r>
      <w:r w:rsidRPr="00A83C94">
        <w:rPr>
          <w:rFonts w:cs="Sylfaen"/>
          <w:b w:val="0"/>
          <w:iCs/>
          <w:szCs w:val="22"/>
          <w:lang w:val="af-ZA" w:eastAsia="en-GB"/>
        </w:rPr>
        <w:softHyphen/>
        <w:t>ված օրենս</w:t>
      </w:r>
      <w:r w:rsidRPr="00A83C94">
        <w:rPr>
          <w:rFonts w:cs="Sylfaen"/>
          <w:b w:val="0"/>
          <w:iCs/>
          <w:szCs w:val="22"/>
          <w:lang w:val="af-ZA" w:eastAsia="en-GB"/>
        </w:rPr>
        <w:softHyphen/>
        <w:t>դրա</w:t>
      </w:r>
      <w:r w:rsidRPr="00A83C94">
        <w:rPr>
          <w:rFonts w:cs="Sylfaen"/>
          <w:b w:val="0"/>
          <w:iCs/>
          <w:szCs w:val="22"/>
          <w:lang w:val="af-ZA" w:eastAsia="en-GB"/>
        </w:rPr>
        <w:softHyphen/>
        <w:t>կան փոփոխությունները, ինչ</w:t>
      </w:r>
      <w:r w:rsidRPr="00A83C94">
        <w:rPr>
          <w:rFonts w:cs="Sylfaen"/>
          <w:b w:val="0"/>
          <w:iCs/>
          <w:szCs w:val="22"/>
          <w:lang w:val="af-ZA" w:eastAsia="en-GB"/>
        </w:rPr>
        <w:softHyphen/>
        <w:t>պես նաև առանձին եկամտատեսակների գծով նա</w:t>
      </w:r>
      <w:r w:rsidRPr="00A83C94">
        <w:rPr>
          <w:rFonts w:cs="Sylfaen"/>
          <w:b w:val="0"/>
          <w:iCs/>
          <w:szCs w:val="22"/>
          <w:lang w:val="af-ZA" w:eastAsia="en-GB"/>
        </w:rPr>
        <w:softHyphen/>
        <w:t>խորդ տա</w:t>
      </w:r>
      <w:r w:rsidRPr="00A83C94">
        <w:rPr>
          <w:rFonts w:cs="Sylfaen"/>
          <w:b w:val="0"/>
          <w:iCs/>
          <w:szCs w:val="22"/>
          <w:lang w:val="af-ZA" w:eastAsia="en-GB"/>
        </w:rPr>
        <w:softHyphen/>
        <w:t>րի</w:t>
      </w:r>
      <w:r w:rsidRPr="00A83C94">
        <w:rPr>
          <w:rFonts w:cs="Sylfaen"/>
          <w:b w:val="0"/>
          <w:iCs/>
          <w:szCs w:val="22"/>
          <w:lang w:val="af-ZA" w:eastAsia="en-GB"/>
        </w:rPr>
        <w:softHyphen/>
        <w:t>նե</w:t>
      </w:r>
      <w:r w:rsidRPr="00A83C94">
        <w:rPr>
          <w:rFonts w:cs="Sylfaen"/>
          <w:b w:val="0"/>
          <w:iCs/>
          <w:szCs w:val="22"/>
          <w:lang w:val="af-ZA" w:eastAsia="en-GB"/>
        </w:rPr>
        <w:softHyphen/>
        <w:t>րին արձանագրված միտումները:</w:t>
      </w:r>
    </w:p>
    <w:p w14:paraId="739ACE70"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Այլ եկամուտների գծով կանխատեսումային ցուցանիշների ընդհանուր պատկերն ըստ եկամտի հիմնական աղբյուրների հետևյալն է.</w:t>
      </w:r>
    </w:p>
    <w:p w14:paraId="1FB47533" w14:textId="2B4B0B4A" w:rsidR="00AE2A75" w:rsidRPr="00FC690A" w:rsidRDefault="003F382C" w:rsidP="000957ED">
      <w:pPr>
        <w:pStyle w:val="Caption"/>
        <w:spacing w:before="0" w:after="0"/>
        <w:ind w:firstLine="562"/>
        <w:rPr>
          <w:b/>
          <w:i/>
          <w:lang w:val="af-ZA"/>
        </w:rPr>
      </w:pPr>
      <w:bookmarkStart w:id="222" w:name="_Toc83928945"/>
      <w:r>
        <w:t>Աղյուսակ</w:t>
      </w:r>
      <w:r w:rsidRPr="008B1D49">
        <w:rPr>
          <w:lang w:val="af-ZA"/>
        </w:rPr>
        <w:t xml:space="preserve"> </w:t>
      </w:r>
      <w:r>
        <w:fldChar w:fldCharType="begin"/>
      </w:r>
      <w:r w:rsidRPr="008B1D49">
        <w:rPr>
          <w:lang w:val="af-ZA"/>
        </w:rPr>
        <w:instrText xml:space="preserve"> SEQ </w:instrText>
      </w:r>
      <w:r>
        <w:instrText>Աղյուսակ</w:instrText>
      </w:r>
      <w:r w:rsidRPr="008B1D49">
        <w:rPr>
          <w:lang w:val="af-ZA"/>
        </w:rPr>
        <w:instrText xml:space="preserve"> \* ARABIC </w:instrText>
      </w:r>
      <w:r>
        <w:fldChar w:fldCharType="separate"/>
      </w:r>
      <w:r w:rsidR="0077355D">
        <w:rPr>
          <w:noProof/>
          <w:lang w:val="af-ZA"/>
        </w:rPr>
        <w:t>8</w:t>
      </w:r>
      <w:r>
        <w:fldChar w:fldCharType="end"/>
      </w:r>
      <w:r w:rsidR="00AE2A75" w:rsidRPr="008150A1">
        <w:rPr>
          <w:rFonts w:ascii="Cambria Math" w:hAnsi="Cambria Math" w:cs="Cambria Math"/>
          <w:lang w:val="hy-AM"/>
        </w:rPr>
        <w:t>․</w:t>
      </w:r>
      <w:r w:rsidR="00AE2A75" w:rsidRPr="00FC690A">
        <w:rPr>
          <w:lang w:val="af-ZA"/>
        </w:rPr>
        <w:t xml:space="preserve"> </w:t>
      </w:r>
      <w:r w:rsidR="00AE2A75" w:rsidRPr="00512C5A">
        <w:rPr>
          <w:b/>
          <w:i/>
        </w:rPr>
        <w:t>Այլ</w:t>
      </w:r>
      <w:r w:rsidR="00AE2A75" w:rsidRPr="00FC690A">
        <w:rPr>
          <w:b/>
          <w:i/>
          <w:lang w:val="af-ZA"/>
        </w:rPr>
        <w:t xml:space="preserve"> </w:t>
      </w:r>
      <w:r w:rsidR="00AE2A75" w:rsidRPr="00512C5A">
        <w:rPr>
          <w:b/>
          <w:i/>
        </w:rPr>
        <w:t>եկամուտների</w:t>
      </w:r>
      <w:r w:rsidR="00AE2A75" w:rsidRPr="00FC690A">
        <w:rPr>
          <w:b/>
          <w:i/>
          <w:lang w:val="af-ZA"/>
        </w:rPr>
        <w:t xml:space="preserve"> </w:t>
      </w:r>
      <w:r w:rsidR="00AE2A75" w:rsidRPr="00512C5A">
        <w:rPr>
          <w:b/>
          <w:i/>
        </w:rPr>
        <w:t>կազմում</w:t>
      </w:r>
      <w:r w:rsidR="00AE2A75" w:rsidRPr="00FC690A">
        <w:rPr>
          <w:b/>
          <w:i/>
          <w:lang w:val="af-ZA"/>
        </w:rPr>
        <w:t xml:space="preserve"> </w:t>
      </w:r>
      <w:r w:rsidR="00AE2A75" w:rsidRPr="00512C5A">
        <w:rPr>
          <w:b/>
          <w:i/>
        </w:rPr>
        <w:t>հաշվառվող</w:t>
      </w:r>
      <w:r w:rsidR="00AE2A75" w:rsidRPr="00FC690A">
        <w:rPr>
          <w:b/>
          <w:i/>
          <w:lang w:val="af-ZA"/>
        </w:rPr>
        <w:t xml:space="preserve"> </w:t>
      </w:r>
      <w:r w:rsidR="00AE2A75" w:rsidRPr="00512C5A">
        <w:rPr>
          <w:b/>
          <w:i/>
        </w:rPr>
        <w:t>եկամտատեսակների</w:t>
      </w:r>
      <w:r w:rsidR="00AE2A75" w:rsidRPr="00FC690A">
        <w:rPr>
          <w:b/>
          <w:i/>
          <w:lang w:val="af-ZA"/>
        </w:rPr>
        <w:t xml:space="preserve"> </w:t>
      </w:r>
      <w:r w:rsidR="00AE2A75" w:rsidRPr="00512C5A">
        <w:rPr>
          <w:b/>
          <w:i/>
        </w:rPr>
        <w:t>գծով</w:t>
      </w:r>
      <w:r w:rsidR="00AE2A75" w:rsidRPr="00FC690A">
        <w:rPr>
          <w:b/>
          <w:i/>
          <w:lang w:val="af-ZA"/>
        </w:rPr>
        <w:t xml:space="preserve"> </w:t>
      </w:r>
      <w:r w:rsidR="00AE2A75" w:rsidRPr="00512C5A">
        <w:rPr>
          <w:b/>
          <w:i/>
        </w:rPr>
        <w:t>ՀՀ</w:t>
      </w:r>
      <w:r w:rsidR="00AE2A75" w:rsidRPr="00FC690A">
        <w:rPr>
          <w:b/>
          <w:i/>
          <w:lang w:val="af-ZA"/>
        </w:rPr>
        <w:t xml:space="preserve"> 2018-2022</w:t>
      </w:r>
      <w:r w:rsidR="00AE2A75" w:rsidRPr="00512C5A">
        <w:rPr>
          <w:b/>
          <w:i/>
        </w:rPr>
        <w:t>թթ</w:t>
      </w:r>
      <w:r w:rsidR="00AE2A75" w:rsidRPr="00FC690A">
        <w:rPr>
          <w:b/>
          <w:i/>
          <w:lang w:val="af-ZA"/>
        </w:rPr>
        <w:t xml:space="preserve"> </w:t>
      </w:r>
      <w:r w:rsidR="00AE2A75" w:rsidRPr="00512C5A">
        <w:rPr>
          <w:b/>
          <w:i/>
        </w:rPr>
        <w:t>փաստացի</w:t>
      </w:r>
      <w:r w:rsidR="00AE2A75" w:rsidRPr="00FC690A">
        <w:rPr>
          <w:b/>
          <w:i/>
          <w:lang w:val="af-ZA"/>
        </w:rPr>
        <w:t>/</w:t>
      </w:r>
      <w:r w:rsidR="00AE2A75" w:rsidRPr="00512C5A">
        <w:rPr>
          <w:b/>
          <w:i/>
        </w:rPr>
        <w:t>կանխատեսումային</w:t>
      </w:r>
      <w:r w:rsidR="00AE2A75" w:rsidRPr="00FC690A">
        <w:rPr>
          <w:b/>
          <w:i/>
          <w:lang w:val="af-ZA"/>
        </w:rPr>
        <w:t xml:space="preserve"> </w:t>
      </w:r>
      <w:r w:rsidR="00AE2A75" w:rsidRPr="00512C5A">
        <w:rPr>
          <w:b/>
          <w:i/>
        </w:rPr>
        <w:t>ցուցանիշները</w:t>
      </w:r>
      <w:r w:rsidR="00AE2A75" w:rsidRPr="00FC690A">
        <w:rPr>
          <w:b/>
          <w:i/>
          <w:lang w:val="af-ZA"/>
        </w:rPr>
        <w:t xml:space="preserve"> (</w:t>
      </w:r>
      <w:r w:rsidR="00AE2A75" w:rsidRPr="00512C5A">
        <w:rPr>
          <w:b/>
          <w:i/>
        </w:rPr>
        <w:t>մլրդ</w:t>
      </w:r>
      <w:r w:rsidR="00AE2A75" w:rsidRPr="00FC690A">
        <w:rPr>
          <w:b/>
          <w:i/>
          <w:lang w:val="af-ZA"/>
        </w:rPr>
        <w:t xml:space="preserve"> </w:t>
      </w:r>
      <w:r w:rsidR="00AE2A75" w:rsidRPr="00512C5A">
        <w:rPr>
          <w:b/>
          <w:i/>
        </w:rPr>
        <w:t>դրամներով</w:t>
      </w:r>
      <w:r w:rsidR="00AE2A75" w:rsidRPr="00FC690A">
        <w:rPr>
          <w:b/>
          <w:i/>
          <w:lang w:val="af-ZA"/>
        </w:rPr>
        <w:t>)</w:t>
      </w:r>
      <w:bookmarkEnd w:id="222"/>
    </w:p>
    <w:tbl>
      <w:tblPr>
        <w:tblW w:w="95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077"/>
        <w:gridCol w:w="1077"/>
        <w:gridCol w:w="1077"/>
        <w:gridCol w:w="1077"/>
        <w:gridCol w:w="1077"/>
      </w:tblGrid>
      <w:tr w:rsidR="00AE2A75" w:rsidRPr="00A83C94" w14:paraId="5E3F7BD9" w14:textId="77777777" w:rsidTr="001D3173">
        <w:trPr>
          <w:trHeight w:val="690"/>
        </w:trPr>
        <w:tc>
          <w:tcPr>
            <w:tcW w:w="4135" w:type="dxa"/>
            <w:shd w:val="clear" w:color="auto" w:fill="4F81BD" w:themeFill="accent1"/>
            <w:vAlign w:val="center"/>
            <w:hideMark/>
          </w:tcPr>
          <w:p w14:paraId="6900F181" w14:textId="77777777" w:rsidR="00AE2A75" w:rsidRPr="00A83C94" w:rsidRDefault="00AE2A75" w:rsidP="001D3173">
            <w:pPr>
              <w:spacing w:before="0" w:line="276" w:lineRule="auto"/>
              <w:ind w:firstLine="0"/>
              <w:contextualSpacing w:val="0"/>
              <w:jc w:val="left"/>
              <w:rPr>
                <w:rFonts w:cs="Calibri"/>
                <w:bCs/>
                <w:color w:val="FFFFFF" w:themeColor="background1"/>
                <w:sz w:val="20"/>
                <w:szCs w:val="20"/>
                <w:lang w:val="en-US" w:eastAsia="en-US"/>
              </w:rPr>
            </w:pPr>
            <w:r w:rsidRPr="00A83C94">
              <w:rPr>
                <w:rFonts w:cs="Calibri"/>
                <w:bCs/>
                <w:color w:val="FFFFFF" w:themeColor="background1"/>
                <w:sz w:val="20"/>
                <w:szCs w:val="20"/>
                <w:lang w:val="en-US" w:eastAsia="en-US"/>
              </w:rPr>
              <w:t>Այլ եկամուտներ</w:t>
            </w:r>
          </w:p>
        </w:tc>
        <w:tc>
          <w:tcPr>
            <w:tcW w:w="1077" w:type="dxa"/>
            <w:shd w:val="clear" w:color="auto" w:fill="4F81BD" w:themeFill="accent1"/>
            <w:vAlign w:val="center"/>
            <w:hideMark/>
          </w:tcPr>
          <w:p w14:paraId="643DC2BE"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2018թ</w:t>
            </w:r>
            <w:r w:rsidRPr="00A83C94">
              <w:rPr>
                <w:rFonts w:cs="Calibri"/>
                <w:color w:val="FFFFFF" w:themeColor="background1"/>
                <w:sz w:val="20"/>
                <w:szCs w:val="20"/>
                <w:lang w:val="en-US" w:eastAsia="en-US"/>
              </w:rPr>
              <w:br/>
              <w:t>փաստ</w:t>
            </w:r>
          </w:p>
        </w:tc>
        <w:tc>
          <w:tcPr>
            <w:tcW w:w="1077" w:type="dxa"/>
            <w:shd w:val="clear" w:color="auto" w:fill="4F81BD" w:themeFill="accent1"/>
            <w:vAlign w:val="center"/>
            <w:hideMark/>
          </w:tcPr>
          <w:p w14:paraId="3064EDE8"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2019թ</w:t>
            </w:r>
            <w:r w:rsidRPr="00A83C94">
              <w:rPr>
                <w:rFonts w:cs="Calibri"/>
                <w:color w:val="FFFFFF" w:themeColor="background1"/>
                <w:sz w:val="20"/>
                <w:szCs w:val="20"/>
                <w:lang w:val="en-US" w:eastAsia="en-US"/>
              </w:rPr>
              <w:br/>
              <w:t>փաստ</w:t>
            </w:r>
          </w:p>
        </w:tc>
        <w:tc>
          <w:tcPr>
            <w:tcW w:w="1077" w:type="dxa"/>
            <w:shd w:val="clear" w:color="auto" w:fill="4F81BD" w:themeFill="accent1"/>
            <w:vAlign w:val="center"/>
            <w:hideMark/>
          </w:tcPr>
          <w:p w14:paraId="2B07B2ED"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2020թ</w:t>
            </w:r>
            <w:r w:rsidRPr="00A83C94">
              <w:rPr>
                <w:rFonts w:cs="Calibri"/>
                <w:color w:val="FFFFFF" w:themeColor="background1"/>
                <w:sz w:val="20"/>
                <w:szCs w:val="20"/>
                <w:lang w:val="en-US" w:eastAsia="en-US"/>
              </w:rPr>
              <w:br/>
              <w:t>փաստ</w:t>
            </w:r>
          </w:p>
        </w:tc>
        <w:tc>
          <w:tcPr>
            <w:tcW w:w="1077" w:type="dxa"/>
            <w:shd w:val="clear" w:color="auto" w:fill="4F81BD" w:themeFill="accent1"/>
            <w:vAlign w:val="center"/>
            <w:hideMark/>
          </w:tcPr>
          <w:p w14:paraId="6167F92D"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2021թ</w:t>
            </w:r>
            <w:r w:rsidRPr="00A83C94">
              <w:rPr>
                <w:rFonts w:cs="Calibri"/>
                <w:color w:val="FFFFFF" w:themeColor="background1"/>
                <w:sz w:val="20"/>
                <w:szCs w:val="20"/>
                <w:lang w:val="en-US" w:eastAsia="en-US"/>
              </w:rPr>
              <w:br/>
              <w:t>բյուջե</w:t>
            </w:r>
          </w:p>
        </w:tc>
        <w:tc>
          <w:tcPr>
            <w:tcW w:w="1077" w:type="dxa"/>
            <w:shd w:val="clear" w:color="auto" w:fill="4F81BD" w:themeFill="accent1"/>
            <w:vAlign w:val="center"/>
            <w:hideMark/>
          </w:tcPr>
          <w:p w14:paraId="6CCF0D56"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2022թ</w:t>
            </w:r>
            <w:r w:rsidRPr="00A83C94">
              <w:rPr>
                <w:rFonts w:cs="Calibri"/>
                <w:color w:val="FFFFFF" w:themeColor="background1"/>
                <w:sz w:val="20"/>
                <w:szCs w:val="20"/>
                <w:lang w:val="en-US" w:eastAsia="en-US"/>
              </w:rPr>
              <w:br/>
              <w:t>կանխատեսում</w:t>
            </w:r>
          </w:p>
        </w:tc>
      </w:tr>
      <w:tr w:rsidR="00AE2A75" w:rsidRPr="00A83C94" w14:paraId="25CC5B36" w14:textId="77777777" w:rsidTr="001D3173">
        <w:trPr>
          <w:trHeight w:val="390"/>
        </w:trPr>
        <w:tc>
          <w:tcPr>
            <w:tcW w:w="4135" w:type="dxa"/>
            <w:shd w:val="clear" w:color="auto" w:fill="DBE5F1" w:themeFill="accent1" w:themeFillTint="33"/>
            <w:vAlign w:val="center"/>
            <w:hideMark/>
          </w:tcPr>
          <w:p w14:paraId="447F2B58" w14:textId="77777777" w:rsidR="00AE2A75" w:rsidRPr="00A83C94" w:rsidRDefault="00AE2A75" w:rsidP="001D3173">
            <w:pPr>
              <w:spacing w:before="0" w:line="276" w:lineRule="auto"/>
              <w:ind w:firstLine="0"/>
              <w:contextualSpacing w:val="0"/>
              <w:jc w:val="left"/>
              <w:rPr>
                <w:rFonts w:cs="Calibri"/>
                <w:bCs/>
                <w:color w:val="000000"/>
                <w:sz w:val="20"/>
                <w:szCs w:val="20"/>
                <w:lang w:val="en-US" w:eastAsia="en-US"/>
              </w:rPr>
            </w:pPr>
            <w:r w:rsidRPr="00A83C94">
              <w:rPr>
                <w:rFonts w:cs="Calibri"/>
                <w:bCs/>
                <w:color w:val="000000"/>
                <w:sz w:val="20"/>
                <w:szCs w:val="20"/>
                <w:lang w:val="en-US" w:eastAsia="en-US"/>
              </w:rPr>
              <w:t>Ընդամենը</w:t>
            </w:r>
          </w:p>
        </w:tc>
        <w:tc>
          <w:tcPr>
            <w:tcW w:w="1077" w:type="dxa"/>
            <w:shd w:val="clear" w:color="auto" w:fill="DBE5F1" w:themeFill="accent1" w:themeFillTint="33"/>
            <w:noWrap/>
            <w:vAlign w:val="center"/>
            <w:hideMark/>
          </w:tcPr>
          <w:p w14:paraId="5DAE9DF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72.3</w:t>
            </w:r>
          </w:p>
        </w:tc>
        <w:tc>
          <w:tcPr>
            <w:tcW w:w="1077" w:type="dxa"/>
            <w:shd w:val="clear" w:color="auto" w:fill="DBE5F1" w:themeFill="accent1" w:themeFillTint="33"/>
            <w:noWrap/>
            <w:vAlign w:val="center"/>
            <w:hideMark/>
          </w:tcPr>
          <w:p w14:paraId="0EEE11A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88.8 </w:t>
            </w:r>
          </w:p>
        </w:tc>
        <w:tc>
          <w:tcPr>
            <w:tcW w:w="1077" w:type="dxa"/>
            <w:shd w:val="clear" w:color="auto" w:fill="DBE5F1" w:themeFill="accent1" w:themeFillTint="33"/>
            <w:noWrap/>
            <w:vAlign w:val="center"/>
            <w:hideMark/>
          </w:tcPr>
          <w:p w14:paraId="5E26F04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122.2 </w:t>
            </w:r>
          </w:p>
        </w:tc>
        <w:tc>
          <w:tcPr>
            <w:tcW w:w="1077" w:type="dxa"/>
            <w:shd w:val="clear" w:color="auto" w:fill="DBE5F1" w:themeFill="accent1" w:themeFillTint="33"/>
            <w:noWrap/>
            <w:vAlign w:val="center"/>
            <w:hideMark/>
          </w:tcPr>
          <w:p w14:paraId="16DBD23F"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45.1 </w:t>
            </w:r>
          </w:p>
        </w:tc>
        <w:tc>
          <w:tcPr>
            <w:tcW w:w="1077" w:type="dxa"/>
            <w:shd w:val="clear" w:color="auto" w:fill="DBE5F1" w:themeFill="accent1" w:themeFillTint="33"/>
            <w:noWrap/>
            <w:vAlign w:val="center"/>
            <w:hideMark/>
          </w:tcPr>
          <w:p w14:paraId="0A1D6C3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62.1 </w:t>
            </w:r>
          </w:p>
        </w:tc>
      </w:tr>
      <w:tr w:rsidR="00AE2A75" w:rsidRPr="00A83C94" w14:paraId="05133D2F" w14:textId="77777777" w:rsidTr="001D3173">
        <w:trPr>
          <w:trHeight w:val="1007"/>
        </w:trPr>
        <w:tc>
          <w:tcPr>
            <w:tcW w:w="4135" w:type="dxa"/>
            <w:shd w:val="clear" w:color="auto" w:fill="auto"/>
            <w:vAlign w:val="center"/>
            <w:hideMark/>
          </w:tcPr>
          <w:p w14:paraId="2BD3DE11"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2. </w:t>
            </w:r>
            <w:r w:rsidRPr="00A83C94">
              <w:rPr>
                <w:rFonts w:cs="Calibri"/>
                <w:b w:val="0"/>
                <w:color w:val="000000"/>
                <w:sz w:val="20"/>
                <w:szCs w:val="20"/>
                <w:lang w:val="en-US" w:eastAsia="en-US"/>
              </w:rPr>
              <w:t>Պետական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սեփականություն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հանդիսացող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գույքի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վարձակալությունից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p>
        </w:tc>
        <w:tc>
          <w:tcPr>
            <w:tcW w:w="1077" w:type="dxa"/>
            <w:shd w:val="clear" w:color="auto" w:fill="auto"/>
            <w:noWrap/>
            <w:vAlign w:val="center"/>
            <w:hideMark/>
          </w:tcPr>
          <w:p w14:paraId="79FAF58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2.5 </w:t>
            </w:r>
          </w:p>
        </w:tc>
        <w:tc>
          <w:tcPr>
            <w:tcW w:w="1077" w:type="dxa"/>
            <w:shd w:val="clear" w:color="auto" w:fill="auto"/>
            <w:noWrap/>
            <w:vAlign w:val="center"/>
            <w:hideMark/>
          </w:tcPr>
          <w:p w14:paraId="2BAA6DE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2.4 </w:t>
            </w:r>
          </w:p>
        </w:tc>
        <w:tc>
          <w:tcPr>
            <w:tcW w:w="1077" w:type="dxa"/>
            <w:shd w:val="clear" w:color="auto" w:fill="auto"/>
            <w:noWrap/>
            <w:vAlign w:val="center"/>
            <w:hideMark/>
          </w:tcPr>
          <w:p w14:paraId="4447D8F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0.4 </w:t>
            </w:r>
          </w:p>
        </w:tc>
        <w:tc>
          <w:tcPr>
            <w:tcW w:w="1077" w:type="dxa"/>
            <w:shd w:val="clear" w:color="auto" w:fill="auto"/>
            <w:noWrap/>
            <w:vAlign w:val="center"/>
            <w:hideMark/>
          </w:tcPr>
          <w:p w14:paraId="135B5A9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 </w:t>
            </w:r>
          </w:p>
        </w:tc>
        <w:tc>
          <w:tcPr>
            <w:tcW w:w="1077" w:type="dxa"/>
            <w:shd w:val="clear" w:color="auto" w:fill="auto"/>
            <w:noWrap/>
            <w:vAlign w:val="center"/>
            <w:hideMark/>
          </w:tcPr>
          <w:p w14:paraId="32AF2B0C"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6.7 </w:t>
            </w:r>
          </w:p>
        </w:tc>
      </w:tr>
      <w:tr w:rsidR="00AE2A75" w:rsidRPr="00A83C94" w14:paraId="1BD250F8" w14:textId="77777777" w:rsidTr="001D3173">
        <w:trPr>
          <w:trHeight w:val="1035"/>
        </w:trPr>
        <w:tc>
          <w:tcPr>
            <w:tcW w:w="4135" w:type="dxa"/>
            <w:shd w:val="clear" w:color="auto" w:fill="DBE5F1" w:themeFill="accent1" w:themeFillTint="33"/>
            <w:vAlign w:val="center"/>
            <w:hideMark/>
          </w:tcPr>
          <w:p w14:paraId="4E1EF509"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3. </w:t>
            </w:r>
            <w:r w:rsidRPr="00A83C94">
              <w:rPr>
                <w:rFonts w:cs="Calibri"/>
                <w:b w:val="0"/>
                <w:color w:val="000000"/>
                <w:sz w:val="20"/>
                <w:szCs w:val="20"/>
                <w:lang w:val="en-US" w:eastAsia="en-US"/>
              </w:rPr>
              <w:t>Տոկոսավճարների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և</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շահաբաժինների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տեսքով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ստացվող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p>
        </w:tc>
        <w:tc>
          <w:tcPr>
            <w:tcW w:w="1077" w:type="dxa"/>
            <w:shd w:val="clear" w:color="auto" w:fill="DBE5F1" w:themeFill="accent1" w:themeFillTint="33"/>
            <w:noWrap/>
            <w:vAlign w:val="center"/>
            <w:hideMark/>
          </w:tcPr>
          <w:p w14:paraId="14AB469E"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20.0 </w:t>
            </w:r>
          </w:p>
        </w:tc>
        <w:tc>
          <w:tcPr>
            <w:tcW w:w="1077" w:type="dxa"/>
            <w:shd w:val="clear" w:color="auto" w:fill="DBE5F1" w:themeFill="accent1" w:themeFillTint="33"/>
            <w:noWrap/>
            <w:vAlign w:val="center"/>
            <w:hideMark/>
          </w:tcPr>
          <w:p w14:paraId="09C0E7E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24.8 </w:t>
            </w:r>
          </w:p>
        </w:tc>
        <w:tc>
          <w:tcPr>
            <w:tcW w:w="1077" w:type="dxa"/>
            <w:shd w:val="clear" w:color="auto" w:fill="DBE5F1" w:themeFill="accent1" w:themeFillTint="33"/>
            <w:noWrap/>
            <w:vAlign w:val="center"/>
            <w:hideMark/>
          </w:tcPr>
          <w:p w14:paraId="488D4DD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35.2 </w:t>
            </w:r>
          </w:p>
        </w:tc>
        <w:tc>
          <w:tcPr>
            <w:tcW w:w="1077" w:type="dxa"/>
            <w:shd w:val="clear" w:color="auto" w:fill="DBE5F1" w:themeFill="accent1" w:themeFillTint="33"/>
            <w:noWrap/>
            <w:vAlign w:val="center"/>
            <w:hideMark/>
          </w:tcPr>
          <w:p w14:paraId="6FF0823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20.2 </w:t>
            </w:r>
          </w:p>
        </w:tc>
        <w:tc>
          <w:tcPr>
            <w:tcW w:w="1077" w:type="dxa"/>
            <w:shd w:val="clear" w:color="auto" w:fill="DBE5F1" w:themeFill="accent1" w:themeFillTint="33"/>
            <w:noWrap/>
            <w:vAlign w:val="center"/>
            <w:hideMark/>
          </w:tcPr>
          <w:p w14:paraId="78C0E9B2"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26.0 </w:t>
            </w:r>
          </w:p>
        </w:tc>
      </w:tr>
      <w:tr w:rsidR="00AE2A75" w:rsidRPr="00A83C94" w14:paraId="0A0EBA70" w14:textId="77777777" w:rsidTr="001D3173">
        <w:trPr>
          <w:trHeight w:val="1205"/>
        </w:trPr>
        <w:tc>
          <w:tcPr>
            <w:tcW w:w="4135" w:type="dxa"/>
            <w:shd w:val="clear" w:color="auto" w:fill="auto"/>
            <w:vAlign w:val="center"/>
            <w:hideMark/>
          </w:tcPr>
          <w:p w14:paraId="6E7904F2"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4. </w:t>
            </w:r>
            <w:r w:rsidRPr="00A83C94">
              <w:rPr>
                <w:rFonts w:cs="Calibri"/>
                <w:b w:val="0"/>
                <w:color w:val="000000"/>
                <w:sz w:val="20"/>
                <w:szCs w:val="20"/>
                <w:lang w:val="en-US" w:eastAsia="en-US"/>
              </w:rPr>
              <w:t>Իրավախախտումների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համար</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գործադիր</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դատական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մարմինների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կողմից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կիրառվող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պատժամիջոցներից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մուտքեր</w:t>
            </w:r>
          </w:p>
        </w:tc>
        <w:tc>
          <w:tcPr>
            <w:tcW w:w="1077" w:type="dxa"/>
            <w:shd w:val="clear" w:color="auto" w:fill="auto"/>
            <w:noWrap/>
            <w:vAlign w:val="center"/>
            <w:hideMark/>
          </w:tcPr>
          <w:p w14:paraId="33BFA35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14.7 </w:t>
            </w:r>
          </w:p>
        </w:tc>
        <w:tc>
          <w:tcPr>
            <w:tcW w:w="1077" w:type="dxa"/>
            <w:shd w:val="clear" w:color="auto" w:fill="auto"/>
            <w:noWrap/>
            <w:vAlign w:val="center"/>
            <w:hideMark/>
          </w:tcPr>
          <w:p w14:paraId="59EAEC8B"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15.7 </w:t>
            </w:r>
          </w:p>
        </w:tc>
        <w:tc>
          <w:tcPr>
            <w:tcW w:w="1077" w:type="dxa"/>
            <w:shd w:val="clear" w:color="auto" w:fill="auto"/>
            <w:noWrap/>
            <w:vAlign w:val="center"/>
            <w:hideMark/>
          </w:tcPr>
          <w:p w14:paraId="24816E75"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11.5 </w:t>
            </w:r>
          </w:p>
        </w:tc>
        <w:tc>
          <w:tcPr>
            <w:tcW w:w="1077" w:type="dxa"/>
            <w:shd w:val="clear" w:color="auto" w:fill="auto"/>
            <w:noWrap/>
            <w:vAlign w:val="center"/>
            <w:hideMark/>
          </w:tcPr>
          <w:p w14:paraId="14774FCE"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10.5 </w:t>
            </w:r>
          </w:p>
        </w:tc>
        <w:tc>
          <w:tcPr>
            <w:tcW w:w="1077" w:type="dxa"/>
            <w:shd w:val="clear" w:color="auto" w:fill="auto"/>
            <w:noWrap/>
            <w:vAlign w:val="center"/>
            <w:hideMark/>
          </w:tcPr>
          <w:p w14:paraId="403D4862"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10.8 </w:t>
            </w:r>
          </w:p>
        </w:tc>
      </w:tr>
      <w:tr w:rsidR="00AE2A75" w:rsidRPr="00A83C94" w14:paraId="3D6080D1" w14:textId="77777777" w:rsidTr="001D3173">
        <w:trPr>
          <w:trHeight w:val="1016"/>
        </w:trPr>
        <w:tc>
          <w:tcPr>
            <w:tcW w:w="4135" w:type="dxa"/>
            <w:shd w:val="clear" w:color="auto" w:fill="DBE5F1" w:themeFill="accent1" w:themeFillTint="33"/>
            <w:vAlign w:val="center"/>
            <w:hideMark/>
          </w:tcPr>
          <w:p w14:paraId="7212FE33"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5. </w:t>
            </w:r>
            <w:r w:rsidRPr="00A83C94">
              <w:rPr>
                <w:rFonts w:cs="Calibri"/>
                <w:b w:val="0"/>
                <w:color w:val="000000"/>
                <w:sz w:val="20"/>
                <w:szCs w:val="20"/>
                <w:lang w:val="en-US" w:eastAsia="en-US"/>
              </w:rPr>
              <w:t>Ապրանքների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մատակարարումից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և</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ծառայությունների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մատուցումից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որից</w:t>
            </w:r>
            <w:r w:rsidRPr="00A83C94">
              <w:rPr>
                <w:rFonts w:cs="Calibri"/>
                <w:b w:val="0"/>
                <w:color w:val="000000"/>
                <w:sz w:val="20"/>
                <w:szCs w:val="20"/>
                <w:lang w:eastAsia="en-US"/>
              </w:rPr>
              <w:t>`</w:t>
            </w:r>
          </w:p>
        </w:tc>
        <w:tc>
          <w:tcPr>
            <w:tcW w:w="1077" w:type="dxa"/>
            <w:shd w:val="clear" w:color="auto" w:fill="DBE5F1" w:themeFill="accent1" w:themeFillTint="33"/>
            <w:noWrap/>
            <w:vAlign w:val="center"/>
            <w:hideMark/>
          </w:tcPr>
          <w:p w14:paraId="5DAEEE79"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27.4 </w:t>
            </w:r>
          </w:p>
        </w:tc>
        <w:tc>
          <w:tcPr>
            <w:tcW w:w="1077" w:type="dxa"/>
            <w:shd w:val="clear" w:color="auto" w:fill="DBE5F1" w:themeFill="accent1" w:themeFillTint="33"/>
            <w:noWrap/>
            <w:vAlign w:val="center"/>
            <w:hideMark/>
          </w:tcPr>
          <w:p w14:paraId="1AFF933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34.0 </w:t>
            </w:r>
          </w:p>
        </w:tc>
        <w:tc>
          <w:tcPr>
            <w:tcW w:w="1077" w:type="dxa"/>
            <w:shd w:val="clear" w:color="auto" w:fill="DBE5F1" w:themeFill="accent1" w:themeFillTint="33"/>
            <w:noWrap/>
            <w:vAlign w:val="center"/>
            <w:hideMark/>
          </w:tcPr>
          <w:p w14:paraId="59BF771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16.4 </w:t>
            </w:r>
          </w:p>
        </w:tc>
        <w:tc>
          <w:tcPr>
            <w:tcW w:w="1077" w:type="dxa"/>
            <w:shd w:val="clear" w:color="auto" w:fill="DBE5F1" w:themeFill="accent1" w:themeFillTint="33"/>
            <w:noWrap/>
            <w:vAlign w:val="center"/>
            <w:hideMark/>
          </w:tcPr>
          <w:p w14:paraId="2148FD49"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11.7 </w:t>
            </w:r>
          </w:p>
        </w:tc>
        <w:tc>
          <w:tcPr>
            <w:tcW w:w="1077" w:type="dxa"/>
            <w:shd w:val="clear" w:color="auto" w:fill="DBE5F1" w:themeFill="accent1" w:themeFillTint="33"/>
            <w:noWrap/>
            <w:vAlign w:val="center"/>
            <w:hideMark/>
          </w:tcPr>
          <w:p w14:paraId="08298F06"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17.5 </w:t>
            </w:r>
          </w:p>
        </w:tc>
      </w:tr>
      <w:tr w:rsidR="00AE2A75" w:rsidRPr="00A83C94" w14:paraId="1D2F75BF" w14:textId="77777777" w:rsidTr="001D3173">
        <w:trPr>
          <w:trHeight w:val="1079"/>
        </w:trPr>
        <w:tc>
          <w:tcPr>
            <w:tcW w:w="4135" w:type="dxa"/>
            <w:shd w:val="clear" w:color="auto" w:fill="auto"/>
            <w:vAlign w:val="center"/>
            <w:hideMark/>
          </w:tcPr>
          <w:p w14:paraId="3A3AAF23"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6. </w:t>
            </w:r>
            <w:r w:rsidRPr="00A83C94">
              <w:rPr>
                <w:rFonts w:cs="Calibri"/>
                <w:b w:val="0"/>
                <w:color w:val="000000"/>
                <w:sz w:val="20"/>
                <w:szCs w:val="20"/>
                <w:lang w:val="en-US" w:eastAsia="en-US"/>
              </w:rPr>
              <w:t>Օրենքով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և</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այլ</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իրավական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ակտերով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սահմանված</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պետական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բյուջե</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մուտքագրվող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այլ</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p>
        </w:tc>
        <w:tc>
          <w:tcPr>
            <w:tcW w:w="1077" w:type="dxa"/>
            <w:shd w:val="clear" w:color="auto" w:fill="auto"/>
            <w:noWrap/>
            <w:vAlign w:val="center"/>
            <w:hideMark/>
          </w:tcPr>
          <w:p w14:paraId="785DAA0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7.7</w:t>
            </w:r>
          </w:p>
        </w:tc>
        <w:tc>
          <w:tcPr>
            <w:tcW w:w="1077" w:type="dxa"/>
            <w:shd w:val="clear" w:color="auto" w:fill="auto"/>
            <w:noWrap/>
            <w:vAlign w:val="center"/>
            <w:hideMark/>
          </w:tcPr>
          <w:p w14:paraId="3C51BAD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11.9 </w:t>
            </w:r>
          </w:p>
        </w:tc>
        <w:tc>
          <w:tcPr>
            <w:tcW w:w="1077" w:type="dxa"/>
            <w:shd w:val="clear" w:color="auto" w:fill="auto"/>
            <w:noWrap/>
            <w:vAlign w:val="center"/>
            <w:hideMark/>
          </w:tcPr>
          <w:p w14:paraId="2679CFB4"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58.7 </w:t>
            </w:r>
          </w:p>
        </w:tc>
        <w:tc>
          <w:tcPr>
            <w:tcW w:w="1077" w:type="dxa"/>
            <w:shd w:val="clear" w:color="auto" w:fill="auto"/>
            <w:noWrap/>
            <w:vAlign w:val="center"/>
            <w:hideMark/>
          </w:tcPr>
          <w:p w14:paraId="2A22011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1.6 </w:t>
            </w:r>
          </w:p>
        </w:tc>
        <w:tc>
          <w:tcPr>
            <w:tcW w:w="1077" w:type="dxa"/>
            <w:shd w:val="clear" w:color="auto" w:fill="auto"/>
            <w:noWrap/>
            <w:vAlign w:val="center"/>
            <w:hideMark/>
          </w:tcPr>
          <w:p w14:paraId="758F800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1.2 </w:t>
            </w:r>
          </w:p>
        </w:tc>
      </w:tr>
    </w:tbl>
    <w:p w14:paraId="40C4D4C3" w14:textId="77777777" w:rsidR="00AE2A75" w:rsidRPr="00A83C94" w:rsidRDefault="00AE2A75" w:rsidP="00AE2A75">
      <w:pPr>
        <w:spacing w:before="0" w:line="276" w:lineRule="auto"/>
        <w:ind w:firstLine="0"/>
        <w:contextualSpacing w:val="0"/>
        <w:rPr>
          <w:rFonts w:cs="Sylfaen"/>
          <w:b w:val="0"/>
          <w:iCs/>
          <w:szCs w:val="22"/>
          <w:lang w:val="af-ZA" w:eastAsia="en-GB"/>
        </w:rPr>
      </w:pPr>
    </w:p>
    <w:p w14:paraId="5A231567"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Ստորև ներկայացվում են 2022 թվա</w:t>
      </w:r>
      <w:r w:rsidRPr="00A83C94">
        <w:rPr>
          <w:rFonts w:cs="Sylfaen"/>
          <w:b w:val="0"/>
          <w:iCs/>
          <w:szCs w:val="22"/>
          <w:lang w:val="af-ZA" w:eastAsia="en-GB"/>
        </w:rPr>
        <w:softHyphen/>
        <w:t>կա</w:t>
      </w:r>
      <w:r w:rsidRPr="00A83C94">
        <w:rPr>
          <w:rFonts w:cs="Sylfaen"/>
          <w:b w:val="0"/>
          <w:iCs/>
          <w:szCs w:val="22"/>
          <w:lang w:val="af-ZA" w:eastAsia="en-GB"/>
        </w:rPr>
        <w:softHyphen/>
        <w:t>նի այլ եկամուտների գծով կան</w:t>
      </w:r>
      <w:r w:rsidRPr="00A83C94">
        <w:rPr>
          <w:rFonts w:cs="Sylfaen"/>
          <w:b w:val="0"/>
          <w:iCs/>
          <w:szCs w:val="22"/>
          <w:lang w:val="af-ZA" w:eastAsia="en-GB"/>
        </w:rPr>
        <w:softHyphen/>
        <w:t>խատես</w:t>
      </w:r>
      <w:r w:rsidRPr="00A83C94">
        <w:rPr>
          <w:rFonts w:cs="Sylfaen"/>
          <w:b w:val="0"/>
          <w:iCs/>
          <w:szCs w:val="22"/>
          <w:lang w:val="af-ZA" w:eastAsia="en-GB"/>
        </w:rPr>
        <w:softHyphen/>
        <w:t>վող մուտ</w:t>
      </w:r>
      <w:r w:rsidRPr="00A83C94">
        <w:rPr>
          <w:rFonts w:cs="Sylfaen"/>
          <w:b w:val="0"/>
          <w:iCs/>
          <w:szCs w:val="22"/>
          <w:lang w:val="af-ZA" w:eastAsia="en-GB"/>
        </w:rPr>
        <w:softHyphen/>
        <w:t>քե</w:t>
      </w:r>
      <w:r w:rsidRPr="00A83C94">
        <w:rPr>
          <w:rFonts w:cs="Sylfaen"/>
          <w:b w:val="0"/>
          <w:iCs/>
          <w:szCs w:val="22"/>
          <w:lang w:val="af-ZA" w:eastAsia="en-GB"/>
        </w:rPr>
        <w:softHyphen/>
        <w:t>րի հաշ</w:t>
      </w:r>
      <w:r w:rsidRPr="00A83C94">
        <w:rPr>
          <w:rFonts w:cs="Sylfaen"/>
          <w:b w:val="0"/>
          <w:iCs/>
          <w:szCs w:val="22"/>
          <w:lang w:val="af-ZA" w:eastAsia="en-GB"/>
        </w:rPr>
        <w:softHyphen/>
        <w:t>վարկ</w:t>
      </w:r>
      <w:r w:rsidRPr="00A83C94">
        <w:rPr>
          <w:rFonts w:cs="Sylfaen"/>
          <w:b w:val="0"/>
          <w:iCs/>
          <w:szCs w:val="22"/>
          <w:lang w:val="af-ZA" w:eastAsia="en-GB"/>
        </w:rPr>
        <w:softHyphen/>
        <w:t>նե</w:t>
      </w:r>
      <w:r w:rsidRPr="00A83C94">
        <w:rPr>
          <w:rFonts w:cs="Sylfaen"/>
          <w:b w:val="0"/>
          <w:iCs/>
          <w:szCs w:val="22"/>
          <w:lang w:val="af-ZA" w:eastAsia="en-GB"/>
        </w:rPr>
        <w:softHyphen/>
        <w:t>րում կի</w:t>
      </w:r>
      <w:r w:rsidRPr="00A83C94">
        <w:rPr>
          <w:rFonts w:cs="Sylfaen"/>
          <w:b w:val="0"/>
          <w:iCs/>
          <w:szCs w:val="22"/>
          <w:lang w:val="af-ZA" w:eastAsia="en-GB"/>
        </w:rPr>
        <w:softHyphen/>
        <w:t>րառ</w:t>
      </w:r>
      <w:r w:rsidRPr="00A83C94">
        <w:rPr>
          <w:rFonts w:cs="Sylfaen"/>
          <w:b w:val="0"/>
          <w:iCs/>
          <w:szCs w:val="22"/>
          <w:lang w:val="af-ZA" w:eastAsia="en-GB"/>
        </w:rPr>
        <w:softHyphen/>
        <w:t>ված մեթոդաբանության համա</w:t>
      </w:r>
      <w:r w:rsidRPr="00A83C94">
        <w:rPr>
          <w:rFonts w:cs="Sylfaen"/>
          <w:b w:val="0"/>
          <w:iCs/>
          <w:szCs w:val="22"/>
          <w:lang w:val="af-ZA" w:eastAsia="en-GB"/>
        </w:rPr>
        <w:softHyphen/>
        <w:t>ռոտ նկարա</w:t>
      </w:r>
      <w:r w:rsidRPr="00A83C94">
        <w:rPr>
          <w:rFonts w:cs="Sylfaen"/>
          <w:b w:val="0"/>
          <w:iCs/>
          <w:szCs w:val="22"/>
          <w:lang w:val="af-ZA" w:eastAsia="en-GB"/>
        </w:rPr>
        <w:softHyphen/>
        <w:t>գրու</w:t>
      </w:r>
      <w:r w:rsidRPr="00A83C94">
        <w:rPr>
          <w:rFonts w:cs="Sylfaen"/>
          <w:b w:val="0"/>
          <w:iCs/>
          <w:szCs w:val="22"/>
          <w:lang w:val="af-ZA" w:eastAsia="en-GB"/>
        </w:rPr>
        <w:softHyphen/>
        <w:t>թյունը:</w:t>
      </w:r>
    </w:p>
    <w:p w14:paraId="0EF90516"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Պետական հիմնարկների հաշվեկշիռներում հաշվառվող գույքի (բացառությամբ հողի) վար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ձակալության և օգ</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գործ</w:t>
      </w:r>
      <w:r w:rsidRPr="00A83C94">
        <w:rPr>
          <w:rFonts w:cs="Sylfaen"/>
          <w:b w:val="0"/>
          <w:iCs/>
          <w:szCs w:val="22"/>
          <w:lang w:val="af-ZA" w:eastAsia="en-GB"/>
        </w:rPr>
        <w:softHyphen/>
        <w:t>ման դիմաց գանձվող վարձավճարները 2022 թվա</w:t>
      </w:r>
      <w:r w:rsidRPr="00A83C94">
        <w:rPr>
          <w:rFonts w:cs="Sylfaen"/>
          <w:b w:val="0"/>
          <w:iCs/>
          <w:szCs w:val="22"/>
          <w:lang w:val="af-ZA" w:eastAsia="en-GB"/>
        </w:rPr>
        <w:softHyphen/>
        <w:t>կա</w:t>
      </w:r>
      <w:r w:rsidRPr="00A83C94">
        <w:rPr>
          <w:rFonts w:cs="Sylfaen"/>
          <w:b w:val="0"/>
          <w:iCs/>
          <w:szCs w:val="22"/>
          <w:lang w:val="af-ZA" w:eastAsia="en-GB"/>
        </w:rPr>
        <w:softHyphen/>
        <w:t>նի հա</w:t>
      </w:r>
      <w:r w:rsidRPr="00A83C94">
        <w:rPr>
          <w:rFonts w:cs="Sylfaen"/>
          <w:b w:val="0"/>
          <w:iCs/>
          <w:szCs w:val="22"/>
          <w:lang w:val="af-ZA" w:eastAsia="en-GB"/>
        </w:rPr>
        <w:softHyphen/>
        <w:t>մար կան</w:t>
      </w:r>
      <w:r w:rsidRPr="00A83C94">
        <w:rPr>
          <w:rFonts w:cs="Sylfaen"/>
          <w:b w:val="0"/>
          <w:iCs/>
          <w:szCs w:val="22"/>
          <w:lang w:val="af-ZA" w:eastAsia="en-GB"/>
        </w:rPr>
        <w:softHyphen/>
      </w:r>
      <w:r w:rsidRPr="00A83C94">
        <w:rPr>
          <w:rFonts w:cs="Sylfaen"/>
          <w:b w:val="0"/>
          <w:iCs/>
          <w:szCs w:val="22"/>
          <w:lang w:val="af-ZA" w:eastAsia="en-GB"/>
        </w:rPr>
        <w:softHyphen/>
        <w:t>խատեսվում են շուրջ 6,675.2 մլն դրամ, 2021 թվականի համար ծրագրված 1,077.7 մլն դրամի և 2020 թվականին փաստացի ստացված 391.2 մլն դրամի դի</w:t>
      </w:r>
      <w:r w:rsidRPr="00A83C94">
        <w:rPr>
          <w:rFonts w:cs="Sylfaen"/>
          <w:b w:val="0"/>
          <w:iCs/>
          <w:szCs w:val="22"/>
          <w:lang w:val="af-ZA" w:eastAsia="en-GB"/>
        </w:rPr>
        <w:softHyphen/>
      </w:r>
      <w:r w:rsidRPr="00A83C94">
        <w:rPr>
          <w:rFonts w:cs="Sylfaen"/>
          <w:b w:val="0"/>
          <w:iCs/>
          <w:szCs w:val="22"/>
          <w:lang w:val="af-ZA" w:eastAsia="en-GB"/>
        </w:rPr>
        <w:softHyphen/>
        <w:t>մաց: Կան</w:t>
      </w:r>
      <w:r w:rsidRPr="00A83C94">
        <w:rPr>
          <w:rFonts w:cs="Sylfaen"/>
          <w:b w:val="0"/>
          <w:iCs/>
          <w:szCs w:val="22"/>
          <w:lang w:val="af-ZA" w:eastAsia="en-GB"/>
        </w:rPr>
        <w:softHyphen/>
      </w:r>
      <w:r w:rsidRPr="00A83C94">
        <w:rPr>
          <w:rFonts w:cs="Sylfaen"/>
          <w:b w:val="0"/>
          <w:iCs/>
          <w:szCs w:val="22"/>
          <w:lang w:val="af-ZA" w:eastAsia="en-GB"/>
        </w:rPr>
        <w:softHyphen/>
        <w:t>խա</w:t>
      </w:r>
      <w:r w:rsidRPr="00A83C94">
        <w:rPr>
          <w:rFonts w:cs="Sylfaen"/>
          <w:b w:val="0"/>
          <w:iCs/>
          <w:szCs w:val="22"/>
          <w:lang w:val="af-ZA" w:eastAsia="en-GB"/>
        </w:rPr>
        <w:softHyphen/>
        <w:t>տե</w:t>
      </w:r>
      <w:r w:rsidRPr="00A83C94">
        <w:rPr>
          <w:rFonts w:cs="Sylfaen"/>
          <w:b w:val="0"/>
          <w:iCs/>
          <w:szCs w:val="22"/>
          <w:lang w:val="af-ZA" w:eastAsia="en-GB"/>
        </w:rPr>
        <w:softHyphen/>
      </w:r>
      <w:r w:rsidRPr="00A83C94">
        <w:rPr>
          <w:rFonts w:cs="Sylfaen"/>
          <w:b w:val="0"/>
          <w:iCs/>
          <w:szCs w:val="22"/>
          <w:lang w:val="af-ZA" w:eastAsia="en-GB"/>
        </w:rPr>
        <w:softHyphen/>
        <w:t>սում</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րում հիմք են ընդունվել պետական կա</w:t>
      </w:r>
      <w:r w:rsidRPr="00A83C94">
        <w:rPr>
          <w:rFonts w:cs="Sylfaen"/>
          <w:b w:val="0"/>
          <w:iCs/>
          <w:szCs w:val="22"/>
          <w:lang w:val="af-ZA" w:eastAsia="en-GB"/>
        </w:rPr>
        <w:softHyphen/>
        <w:t>ռա</w:t>
      </w:r>
      <w:r w:rsidRPr="00A83C94">
        <w:rPr>
          <w:rFonts w:cs="Sylfaen"/>
          <w:b w:val="0"/>
          <w:iCs/>
          <w:szCs w:val="22"/>
          <w:lang w:val="af-ZA" w:eastAsia="en-GB"/>
        </w:rPr>
        <w:softHyphen/>
        <w:t>վար</w:t>
      </w:r>
      <w:r w:rsidRPr="00A83C94">
        <w:rPr>
          <w:rFonts w:cs="Sylfaen"/>
          <w:b w:val="0"/>
          <w:iCs/>
          <w:szCs w:val="22"/>
          <w:lang w:val="af-ZA" w:eastAsia="en-GB"/>
        </w:rPr>
        <w:softHyphen/>
        <w:t>ման մար</w:t>
      </w:r>
      <w:r w:rsidRPr="00A83C94">
        <w:rPr>
          <w:rFonts w:cs="Sylfaen"/>
          <w:b w:val="0"/>
          <w:iCs/>
          <w:szCs w:val="22"/>
          <w:lang w:val="af-ZA" w:eastAsia="en-GB"/>
        </w:rPr>
        <w:softHyphen/>
        <w:t>մին</w:t>
      </w:r>
      <w:r w:rsidRPr="00A83C94">
        <w:rPr>
          <w:rFonts w:cs="Sylfaen"/>
          <w:b w:val="0"/>
          <w:iCs/>
          <w:szCs w:val="22"/>
          <w:lang w:val="af-ZA" w:eastAsia="en-GB"/>
        </w:rPr>
        <w:softHyphen/>
        <w:t>ների կող</w:t>
      </w:r>
      <w:r w:rsidRPr="00A83C94">
        <w:rPr>
          <w:rFonts w:cs="Sylfaen"/>
          <w:b w:val="0"/>
          <w:iCs/>
          <w:szCs w:val="22"/>
          <w:lang w:val="af-ZA" w:eastAsia="en-GB"/>
        </w:rPr>
        <w:softHyphen/>
      </w:r>
      <w:r w:rsidRPr="00A83C94">
        <w:rPr>
          <w:rFonts w:cs="Sylfaen"/>
          <w:b w:val="0"/>
          <w:iCs/>
          <w:szCs w:val="22"/>
          <w:lang w:val="af-ZA" w:eastAsia="en-GB"/>
        </w:rPr>
        <w:softHyphen/>
        <w:t>մից ներ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t>յաց</w:t>
      </w:r>
      <w:r w:rsidRPr="00A83C94">
        <w:rPr>
          <w:rFonts w:cs="Sylfaen"/>
          <w:b w:val="0"/>
          <w:iCs/>
          <w:szCs w:val="22"/>
          <w:lang w:val="af-ZA" w:eastAsia="en-GB"/>
        </w:rPr>
        <w:softHyphen/>
      </w:r>
      <w:r w:rsidRPr="00A83C94">
        <w:rPr>
          <w:rFonts w:cs="Sylfaen"/>
          <w:b w:val="0"/>
          <w:iCs/>
          <w:szCs w:val="22"/>
          <w:lang w:val="af-ZA" w:eastAsia="en-GB"/>
        </w:rPr>
        <w:softHyphen/>
        <w:t>ված տե</w:t>
      </w:r>
      <w:r w:rsidRPr="00A83C94">
        <w:rPr>
          <w:rFonts w:cs="Sylfaen"/>
          <w:b w:val="0"/>
          <w:iCs/>
          <w:szCs w:val="22"/>
          <w:lang w:val="af-ZA" w:eastAsia="en-GB"/>
        </w:rPr>
        <w:softHyphen/>
        <w:t>ղե</w:t>
      </w:r>
      <w:r w:rsidRPr="00A83C94">
        <w:rPr>
          <w:rFonts w:cs="Sylfaen"/>
          <w:b w:val="0"/>
          <w:iCs/>
          <w:szCs w:val="22"/>
          <w:lang w:val="af-ZA" w:eastAsia="en-GB"/>
        </w:rPr>
        <w:softHyphen/>
        <w:t>կու</w:t>
      </w:r>
      <w:r w:rsidRPr="00A83C94">
        <w:rPr>
          <w:rFonts w:cs="Sylfaen"/>
          <w:b w:val="0"/>
          <w:iCs/>
          <w:szCs w:val="22"/>
          <w:lang w:val="af-ZA" w:eastAsia="en-GB"/>
        </w:rPr>
        <w:softHyphen/>
        <w:t>թյուն</w:t>
      </w:r>
      <w:r w:rsidRPr="00A83C94">
        <w:rPr>
          <w:rFonts w:cs="Sylfaen"/>
          <w:b w:val="0"/>
          <w:iCs/>
          <w:szCs w:val="22"/>
          <w:lang w:val="af-ZA" w:eastAsia="en-GB"/>
        </w:rPr>
        <w:softHyphen/>
        <w:t>նե</w:t>
      </w:r>
      <w:r w:rsidRPr="00A83C94">
        <w:rPr>
          <w:rFonts w:cs="Sylfaen"/>
          <w:b w:val="0"/>
          <w:iCs/>
          <w:szCs w:val="22"/>
          <w:lang w:val="af-ZA" w:eastAsia="en-GB"/>
        </w:rPr>
        <w:softHyphen/>
        <w:t>րը վարձակալական պայ</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t>գրերի հա</w:t>
      </w:r>
      <w:r w:rsidRPr="00A83C94">
        <w:rPr>
          <w:rFonts w:cs="Sylfaen"/>
          <w:b w:val="0"/>
          <w:iCs/>
          <w:szCs w:val="22"/>
          <w:lang w:val="af-ZA" w:eastAsia="en-GB"/>
        </w:rPr>
        <w:softHyphen/>
      </w:r>
      <w:r w:rsidRPr="00A83C94">
        <w:rPr>
          <w:rFonts w:cs="Sylfaen"/>
          <w:b w:val="0"/>
          <w:iCs/>
          <w:szCs w:val="22"/>
          <w:lang w:val="af-ZA" w:eastAsia="en-GB"/>
        </w:rPr>
        <w:softHyphen/>
        <w:t>մա</w:t>
      </w:r>
      <w:r w:rsidRPr="00A83C94">
        <w:rPr>
          <w:rFonts w:cs="Sylfaen"/>
          <w:b w:val="0"/>
          <w:iCs/>
          <w:szCs w:val="22"/>
          <w:lang w:val="af-ZA" w:eastAsia="en-GB"/>
        </w:rPr>
        <w:softHyphen/>
        <w:t>ձայն 2022 թվա</w:t>
      </w:r>
      <w:r w:rsidRPr="00A83C94">
        <w:rPr>
          <w:rFonts w:cs="Sylfaen"/>
          <w:b w:val="0"/>
          <w:iCs/>
          <w:szCs w:val="22"/>
          <w:lang w:val="af-ZA" w:eastAsia="en-GB"/>
        </w:rPr>
        <w:softHyphen/>
        <w:t>կան</w:t>
      </w:r>
      <w:r w:rsidRPr="00A83C94">
        <w:rPr>
          <w:rFonts w:cs="Sylfaen"/>
          <w:b w:val="0"/>
          <w:iCs/>
          <w:szCs w:val="22"/>
          <w:lang w:val="af-ZA" w:eastAsia="en-GB"/>
        </w:rPr>
        <w:softHyphen/>
        <w:t>ներին վճար</w:t>
      </w:r>
      <w:r w:rsidRPr="00A83C94">
        <w:rPr>
          <w:rFonts w:cs="Sylfaen"/>
          <w:b w:val="0"/>
          <w:iCs/>
          <w:szCs w:val="22"/>
          <w:lang w:val="af-ZA" w:eastAsia="en-GB"/>
        </w:rPr>
        <w:softHyphen/>
        <w:t>վե</w:t>
      </w:r>
      <w:r w:rsidRPr="00A83C94">
        <w:rPr>
          <w:rFonts w:cs="Sylfaen"/>
          <w:b w:val="0"/>
          <w:iCs/>
          <w:szCs w:val="22"/>
          <w:lang w:val="af-ZA" w:eastAsia="en-GB"/>
        </w:rPr>
        <w:softHyphen/>
      </w:r>
      <w:r w:rsidRPr="00A83C94">
        <w:rPr>
          <w:rFonts w:cs="Sylfaen"/>
          <w:b w:val="0"/>
          <w:iCs/>
          <w:szCs w:val="22"/>
          <w:lang w:val="af-ZA" w:eastAsia="en-GB"/>
        </w:rPr>
        <w:softHyphen/>
        <w:t>լիք վար</w:t>
      </w:r>
      <w:r w:rsidRPr="00A83C94">
        <w:rPr>
          <w:rFonts w:cs="Sylfaen"/>
          <w:b w:val="0"/>
          <w:iCs/>
          <w:szCs w:val="22"/>
          <w:lang w:val="af-ZA" w:eastAsia="en-GB"/>
        </w:rPr>
        <w:softHyphen/>
        <w:t>ձա</w:t>
      </w:r>
      <w:r w:rsidRPr="00A83C94">
        <w:rPr>
          <w:rFonts w:cs="Sylfaen"/>
          <w:b w:val="0"/>
          <w:iCs/>
          <w:szCs w:val="22"/>
          <w:lang w:val="af-ZA" w:eastAsia="en-GB"/>
        </w:rPr>
        <w:softHyphen/>
        <w:t>վճար</w:t>
      </w:r>
      <w:r w:rsidRPr="00A83C94">
        <w:rPr>
          <w:rFonts w:cs="Sylfaen"/>
          <w:b w:val="0"/>
          <w:iCs/>
          <w:szCs w:val="22"/>
          <w:lang w:val="af-ZA" w:eastAsia="en-GB"/>
        </w:rPr>
        <w:softHyphen/>
        <w:t>ների վե</w:t>
      </w:r>
      <w:r w:rsidRPr="00A83C94">
        <w:rPr>
          <w:rFonts w:cs="Sylfaen"/>
          <w:b w:val="0"/>
          <w:iCs/>
          <w:szCs w:val="22"/>
          <w:lang w:val="af-ZA" w:eastAsia="en-GB"/>
        </w:rPr>
        <w:softHyphen/>
        <w:t>րա</w:t>
      </w:r>
      <w:r w:rsidRPr="00A83C94">
        <w:rPr>
          <w:rFonts w:cs="Sylfaen"/>
          <w:b w:val="0"/>
          <w:iCs/>
          <w:szCs w:val="22"/>
          <w:lang w:val="af-ZA" w:eastAsia="en-GB"/>
        </w:rPr>
        <w:softHyphen/>
        <w:t>բեր</w:t>
      </w:r>
      <w:r w:rsidRPr="00A83C94">
        <w:rPr>
          <w:rFonts w:cs="Sylfaen"/>
          <w:b w:val="0"/>
          <w:iCs/>
          <w:szCs w:val="22"/>
          <w:lang w:val="af-ZA" w:eastAsia="en-GB"/>
        </w:rPr>
        <w:softHyphen/>
      </w:r>
      <w:r w:rsidRPr="00A83C94">
        <w:rPr>
          <w:rFonts w:cs="Sylfaen"/>
          <w:b w:val="0"/>
          <w:iCs/>
          <w:szCs w:val="22"/>
          <w:lang w:val="af-ZA" w:eastAsia="en-GB"/>
        </w:rPr>
        <w:softHyphen/>
        <w:t>յալ, ինչ</w:t>
      </w:r>
      <w:r w:rsidRPr="00A83C94">
        <w:rPr>
          <w:rFonts w:cs="Sylfaen"/>
          <w:b w:val="0"/>
          <w:iCs/>
          <w:szCs w:val="22"/>
          <w:lang w:val="af-ZA" w:eastAsia="en-GB"/>
        </w:rPr>
        <w:softHyphen/>
        <w:t>պես նաև հա</w:t>
      </w:r>
      <w:r w:rsidRPr="00A83C94">
        <w:rPr>
          <w:rFonts w:cs="Sylfaen"/>
          <w:b w:val="0"/>
          <w:iCs/>
          <w:szCs w:val="22"/>
          <w:lang w:val="af-ZA" w:eastAsia="en-GB"/>
        </w:rPr>
        <w:softHyphen/>
        <w:t>մա</w:t>
      </w:r>
      <w:r w:rsidRPr="00A83C94">
        <w:rPr>
          <w:rFonts w:cs="Sylfaen"/>
          <w:b w:val="0"/>
          <w:iCs/>
          <w:szCs w:val="22"/>
          <w:lang w:val="af-ZA" w:eastAsia="en-GB"/>
        </w:rPr>
        <w:softHyphen/>
        <w:t>պա</w:t>
      </w:r>
      <w:r w:rsidRPr="00A83C94">
        <w:rPr>
          <w:rFonts w:cs="Sylfaen"/>
          <w:b w:val="0"/>
          <w:iCs/>
          <w:szCs w:val="22"/>
          <w:lang w:val="af-ZA" w:eastAsia="en-GB"/>
        </w:rPr>
        <w:softHyphen/>
        <w:t>տաս</w:t>
      </w:r>
      <w:r w:rsidRPr="00A83C94">
        <w:rPr>
          <w:rFonts w:cs="Sylfaen"/>
          <w:b w:val="0"/>
          <w:iCs/>
          <w:szCs w:val="22"/>
          <w:lang w:val="af-ZA" w:eastAsia="en-GB"/>
        </w:rPr>
        <w:softHyphen/>
        <w:t xml:space="preserve">խան </w:t>
      </w:r>
      <w:r w:rsidRPr="00A83C94">
        <w:rPr>
          <w:rFonts w:cs="Sylfaen"/>
          <w:b w:val="0"/>
          <w:iCs/>
          <w:szCs w:val="22"/>
          <w:lang w:val="af-ZA" w:eastAsia="en-GB"/>
        </w:rPr>
        <w:softHyphen/>
        <w:t>բյու</w:t>
      </w:r>
      <w:r w:rsidRPr="00A83C94">
        <w:rPr>
          <w:rFonts w:cs="Sylfaen"/>
          <w:b w:val="0"/>
          <w:iCs/>
          <w:szCs w:val="22"/>
          <w:lang w:val="af-ZA" w:eastAsia="en-GB"/>
        </w:rPr>
        <w:softHyphen/>
        <w:t>ջե</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յին փաստացի մուտ</w:t>
      </w:r>
      <w:r w:rsidRPr="00A83C94">
        <w:rPr>
          <w:rFonts w:cs="Sylfaen"/>
          <w:b w:val="0"/>
          <w:iCs/>
          <w:szCs w:val="22"/>
          <w:lang w:val="af-ZA" w:eastAsia="en-GB"/>
        </w:rPr>
        <w:softHyphen/>
        <w:t>քերի գծով գան</w:t>
      </w:r>
      <w:r w:rsidRPr="00A83C94">
        <w:rPr>
          <w:rFonts w:cs="Sylfaen"/>
          <w:b w:val="0"/>
          <w:iCs/>
          <w:szCs w:val="22"/>
          <w:lang w:val="af-ZA" w:eastAsia="en-GB"/>
        </w:rPr>
        <w:softHyphen/>
      </w:r>
      <w:r w:rsidRPr="00A83C94">
        <w:rPr>
          <w:rFonts w:cs="Sylfaen"/>
          <w:b w:val="0"/>
          <w:iCs/>
          <w:szCs w:val="22"/>
          <w:lang w:val="af-ZA" w:eastAsia="en-GB"/>
        </w:rPr>
        <w:softHyphen/>
        <w:t>ձա</w:t>
      </w:r>
      <w:r w:rsidRPr="00A83C94">
        <w:rPr>
          <w:rFonts w:cs="Sylfaen"/>
          <w:b w:val="0"/>
          <w:iCs/>
          <w:szCs w:val="22"/>
          <w:lang w:val="af-ZA" w:eastAsia="en-GB"/>
        </w:rPr>
        <w:softHyphen/>
        <w:t>պե</w:t>
      </w:r>
      <w:r w:rsidRPr="00A83C94">
        <w:rPr>
          <w:rFonts w:cs="Sylfaen"/>
          <w:b w:val="0"/>
          <w:iCs/>
          <w:szCs w:val="22"/>
          <w:lang w:val="af-ZA" w:eastAsia="en-GB"/>
        </w:rPr>
        <w:softHyphen/>
        <w:t>տա</w:t>
      </w:r>
      <w:r w:rsidRPr="00A83C94">
        <w:rPr>
          <w:rFonts w:cs="Sylfaen"/>
          <w:b w:val="0"/>
          <w:iCs/>
          <w:szCs w:val="22"/>
          <w:lang w:val="af-ZA" w:eastAsia="en-GB"/>
        </w:rPr>
        <w:softHyphen/>
        <w:t>կան տվյալները:</w:t>
      </w:r>
    </w:p>
    <w:p w14:paraId="0244C95B"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Բանկերում և ֆինանսավարկային հաստատություններում գանձապետական միաս</w:t>
      </w:r>
      <w:r w:rsidRPr="00A83C94">
        <w:rPr>
          <w:rFonts w:cs="Sylfaen"/>
          <w:b w:val="0"/>
          <w:iCs/>
          <w:szCs w:val="22"/>
          <w:lang w:val="af-ZA" w:eastAsia="en-GB"/>
        </w:rPr>
        <w:softHyphen/>
        <w:t>նա</w:t>
      </w:r>
      <w:r w:rsidRPr="00A83C94">
        <w:rPr>
          <w:rFonts w:cs="Sylfaen"/>
          <w:b w:val="0"/>
          <w:iCs/>
          <w:szCs w:val="22"/>
          <w:lang w:val="af-ZA" w:eastAsia="en-GB"/>
        </w:rPr>
        <w:softHyphen/>
      </w:r>
      <w:r w:rsidRPr="00A83C94">
        <w:rPr>
          <w:rFonts w:cs="Sylfaen"/>
          <w:b w:val="0"/>
          <w:iCs/>
          <w:szCs w:val="22"/>
          <w:lang w:val="af-ZA" w:eastAsia="en-GB"/>
        </w:rPr>
        <w:softHyphen/>
        <w:t>կան հաշ</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վի ժա</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r>
      <w:r w:rsidRPr="00A83C94">
        <w:rPr>
          <w:rFonts w:cs="Sylfaen"/>
          <w:b w:val="0"/>
          <w:iCs/>
          <w:szCs w:val="22"/>
          <w:lang w:val="af-ZA" w:eastAsia="en-GB"/>
        </w:rPr>
        <w:softHyphen/>
        <w:t>կավոր ազատ միջոցների տեղաբաշխումից և դեպոզիտներից ստաց</w:t>
      </w:r>
      <w:r w:rsidRPr="00A83C94">
        <w:rPr>
          <w:rFonts w:cs="Sylfaen"/>
          <w:b w:val="0"/>
          <w:iCs/>
          <w:szCs w:val="22"/>
          <w:lang w:val="af-ZA" w:eastAsia="en-GB"/>
        </w:rPr>
        <w:softHyphen/>
        <w:t>վող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րից, իրավաբանական անձանց կապիտալում կատարված ներ</w:t>
      </w:r>
      <w:r w:rsidRPr="00A83C94">
        <w:rPr>
          <w:rFonts w:cs="Sylfaen"/>
          <w:b w:val="0"/>
          <w:iCs/>
          <w:szCs w:val="22"/>
          <w:lang w:val="af-ZA" w:eastAsia="en-GB"/>
        </w:rPr>
        <w:softHyphen/>
        <w:t>դրում</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րից ստաց</w:t>
      </w:r>
      <w:r w:rsidRPr="00A83C94">
        <w:rPr>
          <w:rFonts w:cs="Sylfaen"/>
          <w:b w:val="0"/>
          <w:iCs/>
          <w:szCs w:val="22"/>
          <w:lang w:val="af-ZA" w:eastAsia="en-GB"/>
        </w:rPr>
        <w:softHyphen/>
        <w:t>վող շա</w:t>
      </w:r>
      <w:r w:rsidRPr="00A83C94">
        <w:rPr>
          <w:rFonts w:cs="Sylfaen"/>
          <w:b w:val="0"/>
          <w:iCs/>
          <w:szCs w:val="22"/>
          <w:lang w:val="af-ZA" w:eastAsia="en-GB"/>
        </w:rPr>
        <w:softHyphen/>
        <w:t>հա</w:t>
      </w:r>
      <w:r w:rsidRPr="00A83C94">
        <w:rPr>
          <w:rFonts w:cs="Sylfaen"/>
          <w:b w:val="0"/>
          <w:iCs/>
          <w:szCs w:val="22"/>
          <w:lang w:val="af-ZA" w:eastAsia="en-GB"/>
        </w:rPr>
        <w:softHyphen/>
      </w:r>
      <w:r w:rsidRPr="00A83C94">
        <w:rPr>
          <w:rFonts w:cs="Sylfaen"/>
          <w:b w:val="0"/>
          <w:iCs/>
          <w:szCs w:val="22"/>
          <w:lang w:val="af-ZA" w:eastAsia="en-GB"/>
        </w:rPr>
        <w:softHyphen/>
        <w:t>բա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ժիններից 2022 թվականին ակնկալվում են 14,137.9 մլն դրամի չափով մուտ</w:t>
      </w:r>
      <w:r w:rsidRPr="00A83C94">
        <w:rPr>
          <w:rFonts w:cs="Sylfaen"/>
          <w:b w:val="0"/>
          <w:iCs/>
          <w:szCs w:val="22"/>
          <w:lang w:val="af-ZA" w:eastAsia="en-GB"/>
        </w:rPr>
        <w:softHyphen/>
        <w:t>քեր: Մաս</w:t>
      </w:r>
      <w:r w:rsidRPr="00A83C94">
        <w:rPr>
          <w:rFonts w:cs="Sylfaen"/>
          <w:b w:val="0"/>
          <w:iCs/>
          <w:szCs w:val="22"/>
          <w:lang w:val="af-ZA" w:eastAsia="en-GB"/>
        </w:rPr>
        <w:softHyphen/>
        <w:t>նա</w:t>
      </w:r>
      <w:r w:rsidRPr="00A83C94">
        <w:rPr>
          <w:rFonts w:cs="Sylfaen"/>
          <w:b w:val="0"/>
          <w:iCs/>
          <w:szCs w:val="22"/>
          <w:lang w:val="af-ZA" w:eastAsia="en-GB"/>
        </w:rPr>
        <w:softHyphen/>
        <w:t>վո</w:t>
      </w:r>
      <w:r w:rsidRPr="00A83C94">
        <w:rPr>
          <w:rFonts w:cs="Sylfaen"/>
          <w:b w:val="0"/>
          <w:iCs/>
          <w:szCs w:val="22"/>
          <w:lang w:val="af-ZA" w:eastAsia="en-GB"/>
        </w:rPr>
        <w:softHyphen/>
        <w:t>րա</w:t>
      </w:r>
      <w:r w:rsidRPr="00A83C94">
        <w:rPr>
          <w:rFonts w:cs="Sylfaen"/>
          <w:b w:val="0"/>
          <w:iCs/>
          <w:szCs w:val="22"/>
          <w:lang w:val="af-ZA" w:eastAsia="en-GB"/>
        </w:rPr>
        <w:softHyphen/>
        <w:t>պես.</w:t>
      </w:r>
    </w:p>
    <w:p w14:paraId="23ED498E"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Բանկերում և ֆինանսավարկային հաստատություններում պետական բյուջեի ժա</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t>վոր ազատ միջոցների տեղաբաշխումից և դեպոզիտներից ստաց</w:t>
      </w:r>
      <w:r w:rsidRPr="00A83C94">
        <w:rPr>
          <w:rFonts w:cs="Sylfaen"/>
          <w:b w:val="0"/>
          <w:iCs/>
          <w:szCs w:val="22"/>
          <w:lang w:val="af-ZA" w:eastAsia="en-GB"/>
        </w:rPr>
        <w:softHyphen/>
        <w:t>վող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t>նե</w:t>
      </w:r>
      <w:r w:rsidRPr="00A83C94">
        <w:rPr>
          <w:rFonts w:cs="Sylfaen"/>
          <w:b w:val="0"/>
          <w:iCs/>
          <w:szCs w:val="22"/>
          <w:lang w:val="af-ZA" w:eastAsia="en-GB"/>
        </w:rPr>
        <w:softHyphen/>
      </w:r>
      <w:r w:rsidRPr="00A83C94">
        <w:rPr>
          <w:rFonts w:cs="Sylfaen"/>
          <w:b w:val="0"/>
          <w:iCs/>
          <w:szCs w:val="22"/>
          <w:lang w:val="af-ZA" w:eastAsia="en-GB"/>
        </w:rPr>
        <w:softHyphen/>
        <w:t>րի գծով մուտ</w:t>
      </w:r>
      <w:r w:rsidRPr="00A83C94">
        <w:rPr>
          <w:rFonts w:cs="Sylfaen"/>
          <w:b w:val="0"/>
          <w:iCs/>
          <w:szCs w:val="22"/>
          <w:lang w:val="af-ZA" w:eastAsia="en-GB"/>
        </w:rPr>
        <w:softHyphen/>
      </w:r>
      <w:r w:rsidRPr="00A83C94">
        <w:rPr>
          <w:rFonts w:cs="Sylfaen"/>
          <w:b w:val="0"/>
          <w:iCs/>
          <w:szCs w:val="22"/>
          <w:lang w:val="af-ZA" w:eastAsia="en-GB"/>
        </w:rPr>
        <w:softHyphen/>
        <w:t>քերը ծրագրվել են 13,100.0 մլն դրամ` 2021 թվա</w:t>
      </w:r>
      <w:r w:rsidRPr="00A83C94">
        <w:rPr>
          <w:rFonts w:cs="Sylfaen"/>
          <w:b w:val="0"/>
          <w:iCs/>
          <w:szCs w:val="22"/>
          <w:lang w:val="af-ZA" w:eastAsia="en-GB"/>
        </w:rPr>
        <w:softHyphen/>
        <w:t>կանի համար ծրագրված 4,923.0 մլն դրա</w:t>
      </w:r>
      <w:r w:rsidRPr="00A83C94">
        <w:rPr>
          <w:rFonts w:cs="Sylfaen"/>
          <w:b w:val="0"/>
          <w:iCs/>
          <w:szCs w:val="22"/>
          <w:lang w:val="af-ZA" w:eastAsia="en-GB"/>
        </w:rPr>
        <w:softHyphen/>
        <w:t>մի և 2020 թվականի փաս</w:t>
      </w:r>
      <w:r w:rsidRPr="00A83C94">
        <w:rPr>
          <w:rFonts w:cs="Sylfaen"/>
          <w:b w:val="0"/>
          <w:iCs/>
          <w:szCs w:val="22"/>
          <w:lang w:val="af-ZA" w:eastAsia="en-GB"/>
        </w:rPr>
        <w:softHyphen/>
        <w:t>տացի ստաց</w:t>
      </w:r>
      <w:r w:rsidRPr="00A83C94">
        <w:rPr>
          <w:rFonts w:cs="Sylfaen"/>
          <w:b w:val="0"/>
          <w:iCs/>
          <w:szCs w:val="22"/>
          <w:lang w:val="af-ZA" w:eastAsia="en-GB"/>
        </w:rPr>
        <w:softHyphen/>
        <w:t>ված 17,099.6 մլն դրա</w:t>
      </w:r>
      <w:r w:rsidRPr="00A83C94">
        <w:rPr>
          <w:rFonts w:cs="Sylfaen"/>
          <w:b w:val="0"/>
          <w:iCs/>
          <w:szCs w:val="22"/>
          <w:lang w:val="af-ZA" w:eastAsia="en-GB"/>
        </w:rPr>
        <w:softHyphen/>
      </w:r>
      <w:r w:rsidRPr="00A83C94">
        <w:rPr>
          <w:rFonts w:cs="Sylfaen"/>
          <w:b w:val="0"/>
          <w:iCs/>
          <w:szCs w:val="22"/>
          <w:lang w:val="af-ZA" w:eastAsia="en-GB"/>
        </w:rPr>
        <w:softHyphen/>
        <w:t>մի դի</w:t>
      </w:r>
      <w:r w:rsidRPr="00A83C94">
        <w:rPr>
          <w:rFonts w:cs="Sylfaen"/>
          <w:b w:val="0"/>
          <w:iCs/>
          <w:szCs w:val="22"/>
          <w:lang w:val="af-ZA" w:eastAsia="en-GB"/>
        </w:rPr>
        <w:softHyphen/>
        <w:t>մաց: 2022 թվա</w:t>
      </w:r>
      <w:r w:rsidRPr="00A83C94">
        <w:rPr>
          <w:rFonts w:cs="Sylfaen"/>
          <w:b w:val="0"/>
          <w:iCs/>
          <w:szCs w:val="22"/>
          <w:lang w:val="af-ZA" w:eastAsia="en-GB"/>
        </w:rPr>
        <w:softHyphen/>
        <w:t>կանի մուտքերն ա</w:t>
      </w:r>
      <w:r w:rsidRPr="00A83C94">
        <w:rPr>
          <w:rFonts w:cs="Sylfaen"/>
          <w:b w:val="0"/>
          <w:iCs/>
          <w:szCs w:val="22"/>
          <w:lang w:val="af-ZA" w:eastAsia="en-GB"/>
        </w:rPr>
        <w:softHyphen/>
        <w:t>պա</w:t>
      </w:r>
      <w:r w:rsidRPr="00A83C94">
        <w:rPr>
          <w:rFonts w:cs="Sylfaen"/>
          <w:b w:val="0"/>
          <w:iCs/>
          <w:szCs w:val="22"/>
          <w:lang w:val="af-ZA" w:eastAsia="en-GB"/>
        </w:rPr>
        <w:softHyphen/>
        <w:t>հովվելու են հիմնականում ի հա</w:t>
      </w:r>
      <w:r w:rsidRPr="00A83C94">
        <w:rPr>
          <w:rFonts w:cs="Sylfaen"/>
          <w:b w:val="0"/>
          <w:iCs/>
          <w:szCs w:val="22"/>
          <w:lang w:val="af-ZA" w:eastAsia="en-GB"/>
        </w:rPr>
        <w:softHyphen/>
      </w:r>
      <w:r w:rsidRPr="00A83C94">
        <w:rPr>
          <w:rFonts w:cs="Sylfaen"/>
          <w:b w:val="0"/>
          <w:iCs/>
          <w:szCs w:val="22"/>
          <w:lang w:val="af-ZA" w:eastAsia="en-GB"/>
        </w:rPr>
        <w:softHyphen/>
        <w:t>շիվ ժա</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t>կա</w:t>
      </w:r>
      <w:r w:rsidRPr="00A83C94">
        <w:rPr>
          <w:rFonts w:cs="Sylfaen"/>
          <w:b w:val="0"/>
          <w:iCs/>
          <w:szCs w:val="22"/>
          <w:lang w:val="af-ZA" w:eastAsia="en-GB"/>
        </w:rPr>
        <w:softHyphen/>
        <w:t>վորապես ազատ բյուջետային մի</w:t>
      </w:r>
      <w:r w:rsidRPr="00A83C94">
        <w:rPr>
          <w:rFonts w:cs="Sylfaen"/>
          <w:b w:val="0"/>
          <w:iCs/>
          <w:szCs w:val="22"/>
          <w:lang w:val="af-ZA" w:eastAsia="en-GB"/>
        </w:rPr>
        <w:softHyphen/>
        <w:t>ջոցները ՀՀ կենտ</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րոնական բանկում ավան</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դա</w:t>
      </w:r>
      <w:r w:rsidRPr="00A83C94">
        <w:rPr>
          <w:rFonts w:cs="Sylfaen"/>
          <w:b w:val="0"/>
          <w:iCs/>
          <w:szCs w:val="22"/>
          <w:lang w:val="af-ZA" w:eastAsia="en-GB"/>
        </w:rPr>
        <w:softHyphen/>
        <w:t>դնե</w:t>
      </w:r>
      <w:r w:rsidRPr="00A83C94">
        <w:rPr>
          <w:rFonts w:cs="Sylfaen"/>
          <w:b w:val="0"/>
          <w:iCs/>
          <w:szCs w:val="22"/>
          <w:lang w:val="af-ZA" w:eastAsia="en-GB"/>
        </w:rPr>
        <w:softHyphen/>
        <w:t>լու դիմաց ՀՀ կեն</w:t>
      </w:r>
      <w:r w:rsidRPr="00A83C94">
        <w:rPr>
          <w:rFonts w:cs="Sylfaen"/>
          <w:b w:val="0"/>
          <w:iCs/>
          <w:szCs w:val="22"/>
          <w:lang w:val="af-ZA" w:eastAsia="en-GB"/>
        </w:rPr>
        <w:softHyphen/>
        <w:t>տ</w:t>
      </w:r>
      <w:r w:rsidRPr="00A83C94">
        <w:rPr>
          <w:rFonts w:cs="Sylfaen"/>
          <w:b w:val="0"/>
          <w:iCs/>
          <w:szCs w:val="22"/>
          <w:lang w:val="af-ZA" w:eastAsia="en-GB"/>
        </w:rPr>
        <w:softHyphen/>
        <w:t>րո</w:t>
      </w:r>
      <w:r w:rsidRPr="00A83C94">
        <w:rPr>
          <w:rFonts w:cs="Sylfaen"/>
          <w:b w:val="0"/>
          <w:iCs/>
          <w:szCs w:val="22"/>
          <w:lang w:val="af-ZA" w:eastAsia="en-GB"/>
        </w:rPr>
        <w:softHyphen/>
        <w:t>նական բանկի և ՀՀ ֆի</w:t>
      </w:r>
      <w:r w:rsidRPr="00A83C94">
        <w:rPr>
          <w:rFonts w:cs="Sylfaen"/>
          <w:b w:val="0"/>
          <w:iCs/>
          <w:szCs w:val="22"/>
          <w:lang w:val="af-ZA" w:eastAsia="en-GB"/>
        </w:rPr>
        <w:softHyphen/>
        <w:t>նանս</w:t>
      </w:r>
      <w:r w:rsidRPr="00A83C94">
        <w:rPr>
          <w:rFonts w:cs="Sylfaen"/>
          <w:b w:val="0"/>
          <w:iCs/>
          <w:szCs w:val="22"/>
          <w:lang w:val="af-ZA" w:eastAsia="en-GB"/>
        </w:rPr>
        <w:softHyphen/>
        <w:t>ների նա</w:t>
      </w:r>
      <w:r w:rsidRPr="00A83C94">
        <w:rPr>
          <w:rFonts w:cs="Sylfaen"/>
          <w:b w:val="0"/>
          <w:iCs/>
          <w:szCs w:val="22"/>
          <w:lang w:val="af-ZA" w:eastAsia="en-GB"/>
        </w:rPr>
        <w:softHyphen/>
        <w:t>խա</w:t>
      </w:r>
      <w:r w:rsidRPr="00A83C94">
        <w:rPr>
          <w:rFonts w:cs="Sylfaen"/>
          <w:b w:val="0"/>
          <w:iCs/>
          <w:szCs w:val="22"/>
          <w:lang w:val="af-ZA" w:eastAsia="en-GB"/>
        </w:rPr>
        <w:softHyphen/>
        <w:t>րարության միջև կնք</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ված «Հաշվի սպա</w:t>
      </w:r>
      <w:r w:rsidRPr="00A83C94">
        <w:rPr>
          <w:rFonts w:cs="Sylfaen"/>
          <w:b w:val="0"/>
          <w:iCs/>
          <w:szCs w:val="22"/>
          <w:lang w:val="af-ZA" w:eastAsia="en-GB"/>
        </w:rPr>
        <w:softHyphen/>
        <w:t>սարկման մա</w:t>
      </w:r>
      <w:r w:rsidRPr="00A83C94">
        <w:rPr>
          <w:rFonts w:cs="Sylfaen"/>
          <w:b w:val="0"/>
          <w:iCs/>
          <w:szCs w:val="22"/>
          <w:lang w:val="af-ZA" w:eastAsia="en-GB"/>
        </w:rPr>
        <w:softHyphen/>
      </w:r>
      <w:r w:rsidRPr="00A83C94">
        <w:rPr>
          <w:rFonts w:cs="Sylfaen"/>
          <w:b w:val="0"/>
          <w:iCs/>
          <w:szCs w:val="22"/>
          <w:lang w:val="af-ZA" w:eastAsia="en-GB"/>
        </w:rPr>
        <w:softHyphen/>
        <w:t>սին» պայ</w:t>
      </w:r>
      <w:r w:rsidRPr="00A83C94">
        <w:rPr>
          <w:rFonts w:cs="Sylfaen"/>
          <w:b w:val="0"/>
          <w:iCs/>
          <w:szCs w:val="22"/>
          <w:lang w:val="af-ZA" w:eastAsia="en-GB"/>
        </w:rPr>
        <w:softHyphen/>
        <w:t>մանագրի հիման վրա վճար</w:t>
      </w:r>
      <w:r w:rsidRPr="00A83C94">
        <w:rPr>
          <w:rFonts w:cs="Sylfaen"/>
          <w:b w:val="0"/>
          <w:iCs/>
          <w:szCs w:val="22"/>
          <w:lang w:val="af-ZA" w:eastAsia="en-GB"/>
        </w:rPr>
        <w:softHyphen/>
        <w:t>վե</w:t>
      </w:r>
      <w:r w:rsidRPr="00A83C94">
        <w:rPr>
          <w:rFonts w:cs="Sylfaen"/>
          <w:b w:val="0"/>
          <w:iCs/>
          <w:szCs w:val="22"/>
          <w:lang w:val="af-ZA" w:eastAsia="en-GB"/>
        </w:rPr>
        <w:softHyphen/>
        <w:t>լիք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ների:</w:t>
      </w:r>
    </w:p>
    <w:p w14:paraId="612B877B"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Իրավաբանական անձանց կապիտալում կատարված ներդրումներից ստացվող շա</w:t>
      </w:r>
      <w:r w:rsidRPr="00A83C94">
        <w:rPr>
          <w:rFonts w:cs="Sylfaen"/>
          <w:b w:val="0"/>
          <w:iCs/>
          <w:szCs w:val="22"/>
          <w:lang w:val="af-ZA" w:eastAsia="en-GB"/>
        </w:rPr>
        <w:softHyphen/>
        <w:t>հա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բա</w:t>
      </w:r>
      <w:r w:rsidRPr="00A83C94">
        <w:rPr>
          <w:rFonts w:cs="Sylfaen"/>
          <w:b w:val="0"/>
          <w:iCs/>
          <w:szCs w:val="22"/>
          <w:lang w:val="af-ZA" w:eastAsia="en-GB"/>
        </w:rPr>
        <w:softHyphen/>
        <w:t>ժին</w:t>
      </w:r>
      <w:r w:rsidRPr="00A83C94">
        <w:rPr>
          <w:rFonts w:cs="Sylfaen"/>
          <w:b w:val="0"/>
          <w:iCs/>
          <w:szCs w:val="22"/>
          <w:lang w:val="af-ZA" w:eastAsia="en-GB"/>
        </w:rPr>
        <w:softHyphen/>
      </w:r>
      <w:r w:rsidRPr="00A83C94">
        <w:rPr>
          <w:rFonts w:cs="Sylfaen"/>
          <w:b w:val="0"/>
          <w:iCs/>
          <w:szCs w:val="22"/>
          <w:lang w:val="af-ZA" w:eastAsia="en-GB"/>
        </w:rPr>
        <w:softHyphen/>
        <w:t>ներից 2022 թվականին ակնկալվում են 1,037.9 մլն դրամի չափով մուտքեր` 2021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r>
      <w:r w:rsidRPr="00A83C94">
        <w:rPr>
          <w:rFonts w:cs="Sylfaen"/>
          <w:b w:val="0"/>
          <w:iCs/>
          <w:szCs w:val="22"/>
          <w:lang w:val="af-ZA" w:eastAsia="en-GB"/>
        </w:rPr>
        <w:softHyphen/>
        <w:t>նի համար ծրագրված 1,134.2 մլն դրամի և 2020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ստացված 3,563.5 մլն դրամի դի</w:t>
      </w:r>
      <w:r w:rsidRPr="00A83C94">
        <w:rPr>
          <w:rFonts w:cs="Sylfaen"/>
          <w:b w:val="0"/>
          <w:iCs/>
          <w:szCs w:val="22"/>
          <w:lang w:val="af-ZA" w:eastAsia="en-GB"/>
        </w:rPr>
        <w:softHyphen/>
        <w:t>մաց: Շահաբաժինների գծով 2022 թվա</w:t>
      </w:r>
      <w:r w:rsidRPr="00A83C94">
        <w:rPr>
          <w:rFonts w:cs="Sylfaen"/>
          <w:b w:val="0"/>
          <w:iCs/>
          <w:szCs w:val="22"/>
          <w:lang w:val="af-ZA" w:eastAsia="en-GB"/>
        </w:rPr>
        <w:softHyphen/>
        <w:t>կանի կանխատեսվող մուտքերը ծրագ</w:t>
      </w:r>
      <w:r w:rsidRPr="00A83C94">
        <w:rPr>
          <w:rFonts w:cs="Sylfaen"/>
          <w:b w:val="0"/>
          <w:iCs/>
          <w:szCs w:val="22"/>
          <w:lang w:val="af-ZA" w:eastAsia="en-GB"/>
        </w:rPr>
        <w:softHyphen/>
        <w:t>րե</w:t>
      </w:r>
      <w:r w:rsidRPr="00A83C94">
        <w:rPr>
          <w:rFonts w:cs="Sylfaen"/>
          <w:b w:val="0"/>
          <w:iCs/>
          <w:szCs w:val="22"/>
          <w:lang w:val="af-ZA" w:eastAsia="en-GB"/>
        </w:rPr>
        <w:softHyphen/>
        <w:t>լիս հաշվի է առնվել ՀՀ կառավարության 2011 թվա</w:t>
      </w:r>
      <w:r w:rsidRPr="00A83C94">
        <w:rPr>
          <w:rFonts w:cs="Sylfaen"/>
          <w:b w:val="0"/>
          <w:iCs/>
          <w:szCs w:val="22"/>
          <w:lang w:val="af-ZA" w:eastAsia="en-GB"/>
        </w:rPr>
        <w:softHyphen/>
        <w:t>կանի մարտի 3-ի «Պետության սե</w:t>
      </w:r>
      <w:r w:rsidRPr="00A83C94">
        <w:rPr>
          <w:rFonts w:cs="Sylfaen"/>
          <w:b w:val="0"/>
          <w:iCs/>
          <w:szCs w:val="22"/>
          <w:lang w:val="af-ZA" w:eastAsia="en-GB"/>
        </w:rPr>
        <w:softHyphen/>
        <w:t>փա</w:t>
      </w:r>
      <w:r w:rsidRPr="00A83C94">
        <w:rPr>
          <w:rFonts w:cs="Sylfaen"/>
          <w:b w:val="0"/>
          <w:iCs/>
          <w:szCs w:val="22"/>
          <w:lang w:val="af-ZA" w:eastAsia="en-GB"/>
        </w:rPr>
        <w:softHyphen/>
        <w:t>կա</w:t>
      </w:r>
      <w:r w:rsidRPr="00A83C94">
        <w:rPr>
          <w:rFonts w:cs="Sylfaen"/>
          <w:b w:val="0"/>
          <w:iCs/>
          <w:szCs w:val="22"/>
          <w:lang w:val="af-ZA" w:eastAsia="en-GB"/>
        </w:rPr>
        <w:softHyphen/>
        <w:t>նու</w:t>
      </w:r>
      <w:r w:rsidRPr="00A83C94">
        <w:rPr>
          <w:rFonts w:cs="Sylfaen"/>
          <w:b w:val="0"/>
          <w:iCs/>
          <w:szCs w:val="22"/>
          <w:lang w:val="af-ZA" w:eastAsia="en-GB"/>
        </w:rPr>
        <w:softHyphen/>
        <w:t>թյուն հան</w:t>
      </w:r>
      <w:r w:rsidRPr="00A83C94">
        <w:rPr>
          <w:rFonts w:cs="Sylfaen"/>
          <w:b w:val="0"/>
          <w:iCs/>
          <w:szCs w:val="22"/>
          <w:lang w:val="af-ZA" w:eastAsia="en-GB"/>
        </w:rPr>
        <w:softHyphen/>
      </w:r>
      <w:r w:rsidRPr="00A83C94">
        <w:rPr>
          <w:rFonts w:cs="Sylfaen"/>
          <w:b w:val="0"/>
          <w:iCs/>
          <w:szCs w:val="22"/>
          <w:lang w:val="af-ZA" w:eastAsia="en-GB"/>
        </w:rPr>
        <w:softHyphen/>
        <w:t>դի</w:t>
      </w:r>
      <w:r w:rsidRPr="00A83C94">
        <w:rPr>
          <w:rFonts w:cs="Sylfaen"/>
          <w:b w:val="0"/>
          <w:iCs/>
          <w:szCs w:val="22"/>
          <w:lang w:val="af-ZA" w:eastAsia="en-GB"/>
        </w:rPr>
        <w:softHyphen/>
        <w:t>սա</w:t>
      </w:r>
      <w:r w:rsidRPr="00A83C94">
        <w:rPr>
          <w:rFonts w:cs="Sylfaen"/>
          <w:b w:val="0"/>
          <w:iCs/>
          <w:szCs w:val="22"/>
          <w:lang w:val="af-ZA" w:eastAsia="en-GB"/>
        </w:rPr>
        <w:softHyphen/>
        <w:t>ցող բաժնեմաս ունեցող առևտրային կազմակերպությունների շահույթի բաշխման, շա</w:t>
      </w:r>
      <w:r w:rsidRPr="00A83C94">
        <w:rPr>
          <w:rFonts w:cs="Sylfaen"/>
          <w:b w:val="0"/>
          <w:iCs/>
          <w:szCs w:val="22"/>
          <w:lang w:val="af-ZA" w:eastAsia="en-GB"/>
        </w:rPr>
        <w:softHyphen/>
      </w:r>
      <w:r w:rsidRPr="00A83C94">
        <w:rPr>
          <w:rFonts w:cs="Sylfaen"/>
          <w:b w:val="0"/>
          <w:iCs/>
          <w:szCs w:val="22"/>
          <w:lang w:val="af-ZA" w:eastAsia="en-GB"/>
        </w:rPr>
        <w:softHyphen/>
        <w:t>հու</w:t>
      </w:r>
      <w:r w:rsidRPr="00A83C94">
        <w:rPr>
          <w:rFonts w:cs="Sylfaen"/>
          <w:b w:val="0"/>
          <w:iCs/>
          <w:szCs w:val="22"/>
          <w:lang w:val="af-ZA" w:eastAsia="en-GB"/>
        </w:rPr>
        <w:softHyphen/>
        <w:t>թա</w:t>
      </w:r>
      <w:r w:rsidRPr="00A83C94">
        <w:rPr>
          <w:rFonts w:cs="Sylfaen"/>
          <w:b w:val="0"/>
          <w:iCs/>
          <w:szCs w:val="22"/>
          <w:lang w:val="af-ZA" w:eastAsia="en-GB"/>
        </w:rPr>
        <w:softHyphen/>
        <w:t>բա</w:t>
      </w:r>
      <w:r w:rsidRPr="00A83C94">
        <w:rPr>
          <w:rFonts w:cs="Sylfaen"/>
          <w:b w:val="0"/>
          <w:iCs/>
          <w:szCs w:val="22"/>
          <w:lang w:val="af-ZA" w:eastAsia="en-GB"/>
        </w:rPr>
        <w:softHyphen/>
        <w:t>ժին</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 հաշ</w:t>
      </w:r>
      <w:r w:rsidRPr="00A83C94">
        <w:rPr>
          <w:rFonts w:cs="Sylfaen"/>
          <w:b w:val="0"/>
          <w:iCs/>
          <w:szCs w:val="22"/>
          <w:lang w:val="af-ZA" w:eastAsia="en-GB"/>
        </w:rPr>
        <w:softHyphen/>
        <w:t>վարկ</w:t>
      </w:r>
      <w:r w:rsidRPr="00A83C94">
        <w:rPr>
          <w:rFonts w:cs="Sylfaen"/>
          <w:b w:val="0"/>
          <w:iCs/>
          <w:szCs w:val="22"/>
          <w:lang w:val="af-ZA" w:eastAsia="en-GB"/>
        </w:rPr>
        <w:softHyphen/>
        <w:t>ման և Հայաստանի Հան</w:t>
      </w:r>
      <w:r w:rsidRPr="00A83C94">
        <w:rPr>
          <w:rFonts w:cs="Sylfaen"/>
          <w:b w:val="0"/>
          <w:iCs/>
          <w:szCs w:val="22"/>
          <w:lang w:val="af-ZA" w:eastAsia="en-GB"/>
        </w:rPr>
        <w:softHyphen/>
      </w:r>
      <w:r w:rsidRPr="00A83C94">
        <w:rPr>
          <w:rFonts w:cs="Sylfaen"/>
          <w:b w:val="0"/>
          <w:iCs/>
          <w:szCs w:val="22"/>
          <w:lang w:val="af-ZA" w:eastAsia="en-GB"/>
        </w:rPr>
        <w:softHyphen/>
        <w:t>րա</w:t>
      </w:r>
      <w:r w:rsidRPr="00A83C94">
        <w:rPr>
          <w:rFonts w:cs="Sylfaen"/>
          <w:b w:val="0"/>
          <w:iCs/>
          <w:szCs w:val="22"/>
          <w:lang w:val="af-ZA" w:eastAsia="en-GB"/>
        </w:rPr>
        <w:softHyphen/>
      </w:r>
      <w:r w:rsidRPr="00A83C94">
        <w:rPr>
          <w:rFonts w:cs="Sylfaen"/>
          <w:b w:val="0"/>
          <w:iCs/>
          <w:szCs w:val="22"/>
          <w:lang w:val="af-ZA" w:eastAsia="en-GB"/>
        </w:rPr>
        <w:softHyphen/>
        <w:t>պե</w:t>
      </w:r>
      <w:r w:rsidRPr="00A83C94">
        <w:rPr>
          <w:rFonts w:cs="Sylfaen"/>
          <w:b w:val="0"/>
          <w:iCs/>
          <w:szCs w:val="22"/>
          <w:lang w:val="af-ZA" w:eastAsia="en-GB"/>
        </w:rPr>
        <w:softHyphen/>
        <w:t>տու</w:t>
      </w:r>
      <w:r w:rsidRPr="00A83C94">
        <w:rPr>
          <w:rFonts w:cs="Sylfaen"/>
          <w:b w:val="0"/>
          <w:iCs/>
          <w:szCs w:val="22"/>
          <w:lang w:val="af-ZA" w:eastAsia="en-GB"/>
        </w:rPr>
        <w:softHyphen/>
        <w:t>թյան պետական բյուջե վճար</w:t>
      </w:r>
      <w:r w:rsidRPr="00A83C94">
        <w:rPr>
          <w:rFonts w:cs="Sylfaen"/>
          <w:b w:val="0"/>
          <w:iCs/>
          <w:szCs w:val="22"/>
          <w:lang w:val="af-ZA" w:eastAsia="en-GB"/>
        </w:rPr>
        <w:softHyphen/>
        <w:t>ման կար</w:t>
      </w:r>
      <w:r w:rsidRPr="00A83C94">
        <w:rPr>
          <w:rFonts w:cs="Sylfaen"/>
          <w:b w:val="0"/>
          <w:iCs/>
          <w:szCs w:val="22"/>
          <w:lang w:val="af-ZA" w:eastAsia="en-GB"/>
        </w:rPr>
        <w:softHyphen/>
        <w:t>գը հաս</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տելու և Հա</w:t>
      </w:r>
      <w:r w:rsidRPr="00A83C94">
        <w:rPr>
          <w:rFonts w:cs="Sylfaen"/>
          <w:b w:val="0"/>
          <w:iCs/>
          <w:szCs w:val="22"/>
          <w:lang w:val="af-ZA" w:eastAsia="en-GB"/>
        </w:rPr>
        <w:softHyphen/>
        <w:t>յաստանի Հան</w:t>
      </w:r>
      <w:r w:rsidRPr="00A83C94">
        <w:rPr>
          <w:rFonts w:cs="Sylfaen"/>
          <w:b w:val="0"/>
          <w:iCs/>
          <w:szCs w:val="22"/>
          <w:lang w:val="af-ZA" w:eastAsia="en-GB"/>
        </w:rPr>
        <w:softHyphen/>
      </w:r>
      <w:r w:rsidRPr="00A83C94">
        <w:rPr>
          <w:rFonts w:cs="Sylfaen"/>
          <w:b w:val="0"/>
          <w:iCs/>
          <w:szCs w:val="22"/>
          <w:lang w:val="af-ZA" w:eastAsia="en-GB"/>
        </w:rPr>
        <w:softHyphen/>
        <w:t>րա</w:t>
      </w:r>
      <w:r w:rsidRPr="00A83C94">
        <w:rPr>
          <w:rFonts w:cs="Sylfaen"/>
          <w:b w:val="0"/>
          <w:iCs/>
          <w:szCs w:val="22"/>
          <w:lang w:val="af-ZA" w:eastAsia="en-GB"/>
        </w:rPr>
        <w:softHyphen/>
      </w:r>
      <w:r w:rsidRPr="00A83C94">
        <w:rPr>
          <w:rFonts w:cs="Sylfaen"/>
          <w:b w:val="0"/>
          <w:iCs/>
          <w:szCs w:val="22"/>
          <w:lang w:val="af-ZA" w:eastAsia="en-GB"/>
        </w:rPr>
        <w:softHyphen/>
        <w:t>պե</w:t>
      </w:r>
      <w:r w:rsidRPr="00A83C94">
        <w:rPr>
          <w:rFonts w:cs="Sylfaen"/>
          <w:b w:val="0"/>
          <w:iCs/>
          <w:szCs w:val="22"/>
          <w:lang w:val="af-ZA" w:eastAsia="en-GB"/>
        </w:rPr>
        <w:softHyphen/>
        <w:t>տու</w:t>
      </w:r>
      <w:r w:rsidRPr="00A83C94">
        <w:rPr>
          <w:rFonts w:cs="Sylfaen"/>
          <w:b w:val="0"/>
          <w:iCs/>
          <w:szCs w:val="22"/>
          <w:lang w:val="af-ZA" w:eastAsia="en-GB"/>
        </w:rPr>
        <w:softHyphen/>
        <w:t>թյան կառավարության 2001 թվա</w:t>
      </w:r>
      <w:r w:rsidRPr="00A83C94">
        <w:rPr>
          <w:rFonts w:cs="Sylfaen"/>
          <w:b w:val="0"/>
          <w:iCs/>
          <w:szCs w:val="22"/>
          <w:lang w:val="af-ZA" w:eastAsia="en-GB"/>
        </w:rPr>
        <w:softHyphen/>
        <w:t>կա</w:t>
      </w:r>
      <w:r w:rsidRPr="00A83C94">
        <w:rPr>
          <w:rFonts w:cs="Sylfaen"/>
          <w:b w:val="0"/>
          <w:iCs/>
          <w:szCs w:val="22"/>
          <w:lang w:val="af-ZA" w:eastAsia="en-GB"/>
        </w:rPr>
        <w:softHyphen/>
        <w:t>նի դեկ</w:t>
      </w:r>
      <w:r w:rsidRPr="00A83C94">
        <w:rPr>
          <w:rFonts w:cs="Sylfaen"/>
          <w:b w:val="0"/>
          <w:iCs/>
          <w:szCs w:val="22"/>
          <w:lang w:val="af-ZA" w:eastAsia="en-GB"/>
        </w:rPr>
        <w:softHyphen/>
        <w:t>տեմ</w:t>
      </w:r>
      <w:r w:rsidRPr="00A83C94">
        <w:rPr>
          <w:rFonts w:cs="Sylfaen"/>
          <w:b w:val="0"/>
          <w:iCs/>
          <w:szCs w:val="22"/>
          <w:lang w:val="af-ZA" w:eastAsia="en-GB"/>
        </w:rPr>
        <w:softHyphen/>
        <w:t>բերի 5-ի N 1194 որոշ</w:t>
      </w:r>
      <w:r w:rsidRPr="00A83C94">
        <w:rPr>
          <w:rFonts w:cs="Sylfaen"/>
          <w:b w:val="0"/>
          <w:iCs/>
          <w:szCs w:val="22"/>
          <w:lang w:val="af-ZA" w:eastAsia="en-GB"/>
        </w:rPr>
        <w:softHyphen/>
        <w:t>ման մեջ փոփոխություն կատարելու մասին» N 202-Ն որոշ</w:t>
      </w:r>
      <w:r w:rsidRPr="00A83C94">
        <w:rPr>
          <w:rFonts w:cs="Sylfaen"/>
          <w:b w:val="0"/>
          <w:iCs/>
          <w:szCs w:val="22"/>
          <w:lang w:val="af-ZA" w:eastAsia="en-GB"/>
        </w:rPr>
        <w:softHyphen/>
        <w:t>մամբ հաս</w:t>
      </w:r>
      <w:r w:rsidRPr="00A83C94">
        <w:rPr>
          <w:rFonts w:cs="Sylfaen"/>
          <w:b w:val="0"/>
          <w:iCs/>
          <w:szCs w:val="22"/>
          <w:lang w:val="af-ZA" w:eastAsia="en-GB"/>
        </w:rPr>
        <w:softHyphen/>
        <w:t>տատ</w:t>
      </w:r>
      <w:r w:rsidRPr="00A83C94">
        <w:rPr>
          <w:rFonts w:cs="Sylfaen"/>
          <w:b w:val="0"/>
          <w:iCs/>
          <w:szCs w:val="22"/>
          <w:lang w:val="af-ZA" w:eastAsia="en-GB"/>
        </w:rPr>
        <w:softHyphen/>
        <w:t>ված կար</w:t>
      </w:r>
      <w:r w:rsidRPr="00A83C94">
        <w:rPr>
          <w:rFonts w:cs="Sylfaen"/>
          <w:b w:val="0"/>
          <w:iCs/>
          <w:szCs w:val="22"/>
          <w:lang w:val="af-ZA" w:eastAsia="en-GB"/>
        </w:rPr>
        <w:softHyphen/>
        <w:t>գի համաձայն պե</w:t>
      </w:r>
      <w:r w:rsidRPr="00A83C94">
        <w:rPr>
          <w:rFonts w:cs="Sylfaen"/>
          <w:b w:val="0"/>
          <w:iCs/>
          <w:szCs w:val="22"/>
          <w:lang w:val="af-ZA" w:eastAsia="en-GB"/>
        </w:rPr>
        <w:softHyphen/>
        <w:t>տա</w:t>
      </w:r>
      <w:r w:rsidRPr="00A83C94">
        <w:rPr>
          <w:rFonts w:cs="Sylfaen"/>
          <w:b w:val="0"/>
          <w:iCs/>
          <w:szCs w:val="22"/>
          <w:lang w:val="af-ZA" w:eastAsia="en-GB"/>
        </w:rPr>
        <w:softHyphen/>
        <w:t>կան մաս</w:t>
      </w:r>
      <w:r w:rsidRPr="00A83C94">
        <w:rPr>
          <w:rFonts w:cs="Sylfaen"/>
          <w:b w:val="0"/>
          <w:iCs/>
          <w:szCs w:val="22"/>
          <w:lang w:val="af-ZA" w:eastAsia="en-GB"/>
        </w:rPr>
        <w:softHyphen/>
      </w:r>
      <w:r w:rsidRPr="00A83C94">
        <w:rPr>
          <w:rFonts w:cs="Sylfaen"/>
          <w:b w:val="0"/>
          <w:iCs/>
          <w:szCs w:val="22"/>
          <w:lang w:val="af-ZA" w:eastAsia="en-GB"/>
        </w:rPr>
        <w:softHyphen/>
        <w:t>նակ</w:t>
      </w:r>
      <w:r w:rsidRPr="00A83C94">
        <w:rPr>
          <w:rFonts w:cs="Sylfaen"/>
          <w:b w:val="0"/>
          <w:iCs/>
          <w:szCs w:val="22"/>
          <w:lang w:val="af-ZA" w:eastAsia="en-GB"/>
        </w:rPr>
        <w:softHyphen/>
        <w:t>ցու</w:t>
      </w:r>
      <w:r w:rsidRPr="00A83C94">
        <w:rPr>
          <w:rFonts w:cs="Sylfaen"/>
          <w:b w:val="0"/>
          <w:iCs/>
          <w:szCs w:val="22"/>
          <w:lang w:val="af-ZA" w:eastAsia="en-GB"/>
        </w:rPr>
        <w:softHyphen/>
        <w:t>թյան դիմաց պե</w:t>
      </w:r>
      <w:r w:rsidRPr="00A83C94">
        <w:rPr>
          <w:rFonts w:cs="Sylfaen"/>
          <w:b w:val="0"/>
          <w:iCs/>
          <w:szCs w:val="22"/>
          <w:lang w:val="af-ZA" w:eastAsia="en-GB"/>
        </w:rPr>
        <w:softHyphen/>
        <w:t>տա</w:t>
      </w:r>
      <w:r w:rsidRPr="00A83C94">
        <w:rPr>
          <w:rFonts w:cs="Sylfaen"/>
          <w:b w:val="0"/>
          <w:iCs/>
          <w:szCs w:val="22"/>
          <w:lang w:val="af-ZA" w:eastAsia="en-GB"/>
        </w:rPr>
        <w:softHyphen/>
        <w:t>կան բյու</w:t>
      </w:r>
      <w:r w:rsidRPr="00A83C94">
        <w:rPr>
          <w:rFonts w:cs="Sylfaen"/>
          <w:b w:val="0"/>
          <w:iCs/>
          <w:szCs w:val="22"/>
          <w:lang w:val="af-ZA" w:eastAsia="en-GB"/>
        </w:rPr>
        <w:softHyphen/>
        <w:t>ջե վճարման են</w:t>
      </w:r>
      <w:r w:rsidRPr="00A83C94">
        <w:rPr>
          <w:rFonts w:cs="Sylfaen"/>
          <w:b w:val="0"/>
          <w:iCs/>
          <w:szCs w:val="22"/>
          <w:lang w:val="af-ZA" w:eastAsia="en-GB"/>
        </w:rPr>
        <w:softHyphen/>
        <w:t>թա</w:t>
      </w:r>
      <w:r w:rsidRPr="00A83C94">
        <w:rPr>
          <w:rFonts w:cs="Sylfaen"/>
          <w:b w:val="0"/>
          <w:iCs/>
          <w:szCs w:val="22"/>
          <w:lang w:val="af-ZA" w:eastAsia="en-GB"/>
        </w:rPr>
        <w:softHyphen/>
        <w:t>կա տա</w:t>
      </w:r>
      <w:r w:rsidRPr="00A83C94">
        <w:rPr>
          <w:rFonts w:cs="Sylfaen"/>
          <w:b w:val="0"/>
          <w:iCs/>
          <w:szCs w:val="22"/>
          <w:lang w:val="af-ZA" w:eastAsia="en-GB"/>
        </w:rPr>
        <w:softHyphen/>
        <w:t>րե</w:t>
      </w:r>
      <w:r w:rsidRPr="00A83C94">
        <w:rPr>
          <w:rFonts w:cs="Sylfaen"/>
          <w:b w:val="0"/>
          <w:iCs/>
          <w:szCs w:val="22"/>
          <w:lang w:val="af-ZA" w:eastAsia="en-GB"/>
        </w:rPr>
        <w:softHyphen/>
        <w:t>կան շահութաբաժինների հաշվարկման բազայի 50%</w:t>
      </w:r>
      <w:r w:rsidRPr="00A83C94">
        <w:rPr>
          <w:rFonts w:cs="Sylfaen"/>
          <w:b w:val="0"/>
          <w:iCs/>
          <w:szCs w:val="22"/>
          <w:lang w:val="af-ZA" w:eastAsia="en-GB"/>
        </w:rPr>
        <w:noBreakHyphen/>
        <w:t>ի չա</w:t>
      </w:r>
      <w:r w:rsidRPr="00A83C94">
        <w:rPr>
          <w:rFonts w:cs="Sylfaen"/>
          <w:b w:val="0"/>
          <w:iCs/>
          <w:szCs w:val="22"/>
          <w:lang w:val="af-ZA" w:eastAsia="en-GB"/>
        </w:rPr>
        <w:softHyphen/>
        <w:t>փով պետական բյուջե կա</w:t>
      </w:r>
      <w:r w:rsidRPr="00A83C94">
        <w:rPr>
          <w:rFonts w:cs="Sylfaen"/>
          <w:b w:val="0"/>
          <w:iCs/>
          <w:szCs w:val="22"/>
          <w:lang w:val="af-ZA" w:eastAsia="en-GB"/>
        </w:rPr>
        <w:softHyphen/>
        <w:t>տար</w:t>
      </w:r>
      <w:r w:rsidRPr="00A83C94">
        <w:rPr>
          <w:rFonts w:cs="Sylfaen"/>
          <w:b w:val="0"/>
          <w:iCs/>
          <w:szCs w:val="22"/>
          <w:lang w:val="af-ZA" w:eastAsia="en-GB"/>
        </w:rPr>
        <w:softHyphen/>
      </w:r>
      <w:r w:rsidRPr="00A83C94">
        <w:rPr>
          <w:rFonts w:cs="Sylfaen"/>
          <w:b w:val="0"/>
          <w:iCs/>
          <w:szCs w:val="22"/>
          <w:lang w:val="af-ZA" w:eastAsia="en-GB"/>
        </w:rPr>
        <w:softHyphen/>
        <w:t>վե</w:t>
      </w:r>
      <w:r w:rsidRPr="00A83C94">
        <w:rPr>
          <w:rFonts w:cs="Sylfaen"/>
          <w:b w:val="0"/>
          <w:iCs/>
          <w:szCs w:val="22"/>
          <w:lang w:val="af-ZA" w:eastAsia="en-GB"/>
        </w:rPr>
        <w:softHyphen/>
        <w:t>լիք մաս</w:t>
      </w:r>
      <w:r w:rsidRPr="00A83C94">
        <w:rPr>
          <w:rFonts w:cs="Sylfaen"/>
          <w:b w:val="0"/>
          <w:iCs/>
          <w:szCs w:val="22"/>
          <w:lang w:val="af-ZA" w:eastAsia="en-GB"/>
        </w:rPr>
        <w:softHyphen/>
        <w:t>հանումների սահմանումը:</w:t>
      </w:r>
    </w:p>
    <w:p w14:paraId="5DF961AF"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Պետության կողմից տրված վարկերի օգտագործման դիմաց տոկոսավճարները 2022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կանին կանխատեսվում են 11,867.9 մլն դրամի չափով: Մասնավորապես.</w:t>
      </w:r>
    </w:p>
    <w:p w14:paraId="432554E9"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ՀՀ ռեզիդենտներին տրամադրված վարկերի օգտագործումից 2022 թվականին ակն</w:t>
      </w:r>
      <w:r w:rsidRPr="00A83C94">
        <w:rPr>
          <w:rFonts w:cs="Sylfaen"/>
          <w:b w:val="0"/>
          <w:iCs/>
          <w:szCs w:val="22"/>
          <w:lang w:val="af-ZA" w:eastAsia="en-GB"/>
        </w:rPr>
        <w:softHyphen/>
        <w:t>կալ</w:t>
      </w:r>
      <w:r w:rsidRPr="00A83C94">
        <w:rPr>
          <w:rFonts w:cs="Sylfaen"/>
          <w:b w:val="0"/>
          <w:iCs/>
          <w:szCs w:val="22"/>
          <w:lang w:val="af-ZA" w:eastAsia="en-GB"/>
        </w:rPr>
        <w:softHyphen/>
        <w:t>վում է ստանալ 11,815.6 մլն դրամ՝ 2021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r>
      <w:r w:rsidRPr="00A83C94">
        <w:rPr>
          <w:rFonts w:cs="Sylfaen"/>
          <w:b w:val="0"/>
          <w:iCs/>
          <w:szCs w:val="22"/>
          <w:lang w:val="af-ZA" w:eastAsia="en-GB"/>
        </w:rPr>
        <w:softHyphen/>
        <w:t>նի համար ծրագրված 14,099.4 մլն դրամի և 2020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ստացված 14,337.5 մլն դրամի դի</w:t>
      </w:r>
      <w:r w:rsidRPr="00A83C94">
        <w:rPr>
          <w:rFonts w:cs="Sylfaen"/>
          <w:b w:val="0"/>
          <w:iCs/>
          <w:szCs w:val="22"/>
          <w:lang w:val="af-ZA" w:eastAsia="en-GB"/>
        </w:rPr>
        <w:softHyphen/>
        <w:t>մաց: Այն ծրագրվել է` հաշվի առնելով հա</w:t>
      </w:r>
      <w:r w:rsidRPr="00A83C94">
        <w:rPr>
          <w:rFonts w:cs="Sylfaen"/>
          <w:b w:val="0"/>
          <w:iCs/>
          <w:szCs w:val="22"/>
          <w:lang w:val="af-ZA" w:eastAsia="en-GB"/>
        </w:rPr>
        <w:softHyphen/>
        <w:t>մա</w:t>
      </w:r>
      <w:r w:rsidRPr="00A83C94">
        <w:rPr>
          <w:rFonts w:cs="Sylfaen"/>
          <w:b w:val="0"/>
          <w:iCs/>
          <w:szCs w:val="22"/>
          <w:lang w:val="af-ZA" w:eastAsia="en-GB"/>
        </w:rPr>
        <w:softHyphen/>
      </w:r>
      <w:r w:rsidRPr="00A83C94">
        <w:rPr>
          <w:rFonts w:cs="Sylfaen"/>
          <w:b w:val="0"/>
          <w:iCs/>
          <w:szCs w:val="22"/>
          <w:lang w:val="af-ZA" w:eastAsia="en-GB"/>
        </w:rPr>
        <w:softHyphen/>
        <w:t>պա</w:t>
      </w:r>
      <w:r w:rsidRPr="00A83C94">
        <w:rPr>
          <w:rFonts w:cs="Sylfaen"/>
          <w:b w:val="0"/>
          <w:iCs/>
          <w:szCs w:val="22"/>
          <w:lang w:val="af-ZA" w:eastAsia="en-GB"/>
        </w:rPr>
        <w:softHyphen/>
        <w:t>տաս</w:t>
      </w:r>
      <w:r w:rsidRPr="00A83C94">
        <w:rPr>
          <w:rFonts w:cs="Sylfaen"/>
          <w:b w:val="0"/>
          <w:iCs/>
          <w:szCs w:val="22"/>
          <w:lang w:val="af-ZA" w:eastAsia="en-GB"/>
        </w:rPr>
        <w:softHyphen/>
        <w:t>խան պայ</w:t>
      </w:r>
      <w:r w:rsidRPr="00A83C94">
        <w:rPr>
          <w:rFonts w:cs="Sylfaen"/>
          <w:b w:val="0"/>
          <w:iCs/>
          <w:szCs w:val="22"/>
          <w:lang w:val="af-ZA" w:eastAsia="en-GB"/>
        </w:rPr>
        <w:softHyphen/>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t>գրերով նախատեսված դրույթները: Մաս</w:t>
      </w:r>
      <w:r w:rsidRPr="00A83C94">
        <w:rPr>
          <w:rFonts w:cs="Sylfaen"/>
          <w:b w:val="0"/>
          <w:iCs/>
          <w:szCs w:val="22"/>
          <w:lang w:val="af-ZA" w:eastAsia="en-GB"/>
        </w:rPr>
        <w:softHyphen/>
        <w:t>նա</w:t>
      </w:r>
      <w:r w:rsidRPr="00A83C94">
        <w:rPr>
          <w:rFonts w:cs="Sylfaen"/>
          <w:b w:val="0"/>
          <w:iCs/>
          <w:szCs w:val="22"/>
          <w:lang w:val="af-ZA" w:eastAsia="en-GB"/>
        </w:rPr>
        <w:softHyphen/>
        <w:t>վո</w:t>
      </w:r>
      <w:r w:rsidRPr="00A83C94">
        <w:rPr>
          <w:rFonts w:cs="Sylfaen"/>
          <w:b w:val="0"/>
          <w:iCs/>
          <w:szCs w:val="22"/>
          <w:lang w:val="af-ZA" w:eastAsia="en-GB"/>
        </w:rPr>
        <w:softHyphen/>
        <w:t>րա</w:t>
      </w:r>
      <w:r w:rsidRPr="00A83C94">
        <w:rPr>
          <w:rFonts w:cs="Sylfaen"/>
          <w:b w:val="0"/>
          <w:iCs/>
          <w:szCs w:val="22"/>
          <w:lang w:val="af-ZA" w:eastAsia="en-GB"/>
        </w:rPr>
        <w:softHyphen/>
        <w:t>պես, 2021 թվականին տոկոսավճարների գծով մուտ</w:t>
      </w:r>
      <w:r w:rsidRPr="00A83C94">
        <w:rPr>
          <w:rFonts w:cs="Sylfaen"/>
          <w:b w:val="0"/>
          <w:iCs/>
          <w:szCs w:val="22"/>
          <w:lang w:val="af-ZA" w:eastAsia="en-GB"/>
        </w:rPr>
        <w:softHyphen/>
      </w:r>
      <w:r w:rsidRPr="00A83C94">
        <w:rPr>
          <w:rFonts w:cs="Sylfaen"/>
          <w:b w:val="0"/>
          <w:iCs/>
          <w:szCs w:val="22"/>
          <w:lang w:val="af-ZA" w:eastAsia="en-GB"/>
        </w:rPr>
        <w:softHyphen/>
        <w:t>քերն ապահովվելու են ի հա</w:t>
      </w:r>
      <w:r w:rsidRPr="00A83C94">
        <w:rPr>
          <w:rFonts w:cs="Sylfaen"/>
          <w:b w:val="0"/>
          <w:iCs/>
          <w:szCs w:val="22"/>
          <w:lang w:val="af-ZA" w:eastAsia="en-GB"/>
        </w:rPr>
        <w:softHyphen/>
        <w:t>շիվ «Բարձրավոլտ էլեկ</w:t>
      </w:r>
      <w:r w:rsidRPr="00A83C94">
        <w:rPr>
          <w:rFonts w:cs="Sylfaen"/>
          <w:b w:val="0"/>
          <w:iCs/>
          <w:szCs w:val="22"/>
          <w:lang w:val="af-ZA" w:eastAsia="en-GB"/>
        </w:rPr>
        <w:softHyphen/>
        <w:t>տրա</w:t>
      </w:r>
      <w:r w:rsidRPr="00A83C94">
        <w:rPr>
          <w:rFonts w:cs="Sylfaen"/>
          <w:b w:val="0"/>
          <w:iCs/>
          <w:szCs w:val="22"/>
          <w:lang w:val="af-ZA" w:eastAsia="en-GB"/>
        </w:rPr>
        <w:softHyphen/>
        <w:t>կան ցան</w:t>
      </w:r>
      <w:r w:rsidRPr="00A83C94">
        <w:rPr>
          <w:rFonts w:cs="Sylfaen"/>
          <w:b w:val="0"/>
          <w:iCs/>
          <w:szCs w:val="22"/>
          <w:lang w:val="af-ZA" w:eastAsia="en-GB"/>
        </w:rPr>
        <w:softHyphen/>
      </w:r>
      <w:r w:rsidRPr="00A83C94">
        <w:rPr>
          <w:rFonts w:cs="Sylfaen"/>
          <w:b w:val="0"/>
          <w:iCs/>
          <w:szCs w:val="22"/>
          <w:lang w:val="af-ZA" w:eastAsia="en-GB"/>
        </w:rPr>
        <w:softHyphen/>
        <w:t>ցեր», «Էլեկ</w:t>
      </w:r>
      <w:r w:rsidRPr="00A83C94">
        <w:rPr>
          <w:rFonts w:cs="Sylfaen"/>
          <w:b w:val="0"/>
          <w:iCs/>
          <w:szCs w:val="22"/>
          <w:lang w:val="af-ZA" w:eastAsia="en-GB"/>
        </w:rPr>
        <w:softHyphen/>
        <w:t>տրա</w:t>
      </w:r>
      <w:r w:rsidRPr="00A83C94">
        <w:rPr>
          <w:rFonts w:cs="Sylfaen"/>
          <w:b w:val="0"/>
          <w:iCs/>
          <w:szCs w:val="22"/>
          <w:lang w:val="af-ZA" w:eastAsia="en-GB"/>
        </w:rPr>
        <w:softHyphen/>
        <w:t>էներ</w:t>
      </w:r>
      <w:r w:rsidRPr="00A83C94">
        <w:rPr>
          <w:rFonts w:cs="Sylfaen"/>
          <w:b w:val="0"/>
          <w:iCs/>
          <w:szCs w:val="22"/>
          <w:lang w:val="af-ZA" w:eastAsia="en-GB"/>
        </w:rPr>
        <w:softHyphen/>
        <w:t>գե</w:t>
      </w:r>
      <w:r w:rsidRPr="00A83C94">
        <w:rPr>
          <w:rFonts w:cs="Sylfaen"/>
          <w:b w:val="0"/>
          <w:iCs/>
          <w:szCs w:val="22"/>
          <w:lang w:val="af-ZA" w:eastAsia="en-GB"/>
        </w:rPr>
        <w:softHyphen/>
        <w:t>տի</w:t>
      </w:r>
      <w:r w:rsidRPr="00A83C94">
        <w:rPr>
          <w:rFonts w:cs="Sylfaen"/>
          <w:b w:val="0"/>
          <w:iCs/>
          <w:szCs w:val="22"/>
          <w:lang w:val="af-ZA" w:eastAsia="en-GB"/>
        </w:rPr>
        <w:softHyphen/>
        <w:t>կա</w:t>
      </w:r>
      <w:r w:rsidRPr="00A83C94">
        <w:rPr>
          <w:rFonts w:cs="Sylfaen"/>
          <w:b w:val="0"/>
          <w:iCs/>
          <w:szCs w:val="22"/>
          <w:lang w:val="af-ZA" w:eastAsia="en-GB"/>
        </w:rPr>
        <w:softHyphen/>
        <w:t>կան հա</w:t>
      </w:r>
      <w:r w:rsidRPr="00A83C94">
        <w:rPr>
          <w:rFonts w:cs="Sylfaen"/>
          <w:b w:val="0"/>
          <w:iCs/>
          <w:szCs w:val="22"/>
          <w:lang w:val="af-ZA" w:eastAsia="en-GB"/>
        </w:rPr>
        <w:softHyphen/>
        <w:t>մա</w:t>
      </w:r>
      <w:r w:rsidRPr="00A83C94">
        <w:rPr>
          <w:rFonts w:cs="Sylfaen"/>
          <w:b w:val="0"/>
          <w:iCs/>
          <w:szCs w:val="22"/>
          <w:lang w:val="af-ZA" w:eastAsia="en-GB"/>
        </w:rPr>
        <w:softHyphen/>
      </w:r>
      <w:r w:rsidRPr="00A83C94">
        <w:rPr>
          <w:rFonts w:cs="Sylfaen"/>
          <w:b w:val="0"/>
          <w:iCs/>
          <w:szCs w:val="22"/>
          <w:lang w:val="af-ZA" w:eastAsia="en-GB"/>
        </w:rPr>
        <w:softHyphen/>
        <w:t>կար</w:t>
      </w:r>
      <w:r w:rsidRPr="00A83C94">
        <w:rPr>
          <w:rFonts w:cs="Sylfaen"/>
          <w:b w:val="0"/>
          <w:iCs/>
          <w:szCs w:val="22"/>
          <w:lang w:val="af-ZA" w:eastAsia="en-GB"/>
        </w:rPr>
        <w:softHyphen/>
        <w:t>գի օպերատոր», «Հայաստանի էլեկ</w:t>
      </w:r>
      <w:r w:rsidRPr="00A83C94">
        <w:rPr>
          <w:rFonts w:cs="Sylfaen"/>
          <w:b w:val="0"/>
          <w:iCs/>
          <w:szCs w:val="22"/>
          <w:lang w:val="af-ZA" w:eastAsia="en-GB"/>
        </w:rPr>
        <w:softHyphen/>
        <w:t>տրա</w:t>
      </w:r>
      <w:r w:rsidRPr="00A83C94">
        <w:rPr>
          <w:rFonts w:cs="Sylfaen"/>
          <w:b w:val="0"/>
          <w:iCs/>
          <w:szCs w:val="22"/>
          <w:lang w:val="af-ZA" w:eastAsia="en-GB"/>
        </w:rPr>
        <w:softHyphen/>
        <w:t>կան ցանցեր» ՓԲԸ-ներին, «Երևանի Ջերմաէլեկտրակենտրոն» ՓԲԸ-ին և այլ կազ</w:t>
      </w:r>
      <w:r w:rsidRPr="00A83C94">
        <w:rPr>
          <w:rFonts w:cs="Sylfaen"/>
          <w:b w:val="0"/>
          <w:iCs/>
          <w:szCs w:val="22"/>
          <w:lang w:val="af-ZA" w:eastAsia="en-GB"/>
        </w:rPr>
        <w:softHyphen/>
        <w:t>մա</w:t>
      </w:r>
      <w:r w:rsidRPr="00A83C94">
        <w:rPr>
          <w:rFonts w:cs="Sylfaen"/>
          <w:b w:val="0"/>
          <w:iCs/>
          <w:szCs w:val="22"/>
          <w:lang w:val="af-ZA" w:eastAsia="en-GB"/>
        </w:rPr>
        <w:softHyphen/>
        <w:t>կեր</w:t>
      </w:r>
      <w:r w:rsidRPr="00A83C94">
        <w:rPr>
          <w:rFonts w:cs="Sylfaen"/>
          <w:b w:val="0"/>
          <w:iCs/>
          <w:szCs w:val="22"/>
          <w:lang w:val="af-ZA" w:eastAsia="en-GB"/>
        </w:rPr>
        <w:softHyphen/>
        <w:t>պու</w:t>
      </w:r>
      <w:r w:rsidRPr="00A83C94">
        <w:rPr>
          <w:rFonts w:cs="Sylfaen"/>
          <w:b w:val="0"/>
          <w:iCs/>
          <w:szCs w:val="22"/>
          <w:lang w:val="af-ZA" w:eastAsia="en-GB"/>
        </w:rPr>
        <w:softHyphen/>
        <w:t>թյուններին տրա</w:t>
      </w:r>
      <w:r w:rsidRPr="00A83C94">
        <w:rPr>
          <w:rFonts w:cs="Sylfaen"/>
          <w:b w:val="0"/>
          <w:iCs/>
          <w:szCs w:val="22"/>
          <w:lang w:val="af-ZA" w:eastAsia="en-GB"/>
        </w:rPr>
        <w:softHyphen/>
      </w:r>
      <w:r w:rsidRPr="00A83C94">
        <w:rPr>
          <w:rFonts w:cs="Sylfaen"/>
          <w:b w:val="0"/>
          <w:iCs/>
          <w:szCs w:val="22"/>
          <w:lang w:val="af-ZA" w:eastAsia="en-GB"/>
        </w:rPr>
        <w:softHyphen/>
        <w:t>մադրված վարկերի դիմաց հաշ</w:t>
      </w:r>
      <w:r w:rsidRPr="00A83C94">
        <w:rPr>
          <w:rFonts w:cs="Sylfaen"/>
          <w:b w:val="0"/>
          <w:iCs/>
          <w:szCs w:val="22"/>
          <w:lang w:val="af-ZA" w:eastAsia="en-GB"/>
        </w:rPr>
        <w:softHyphen/>
        <w:t>վարկված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վճարների:</w:t>
      </w:r>
    </w:p>
    <w:p w14:paraId="0A373C6C"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Հա</w:t>
      </w:r>
      <w:r w:rsidRPr="00A83C94">
        <w:rPr>
          <w:rFonts w:cs="Sylfaen"/>
          <w:b w:val="0"/>
          <w:iCs/>
          <w:szCs w:val="22"/>
          <w:lang w:val="af-ZA" w:eastAsia="en-GB"/>
        </w:rPr>
        <w:softHyphen/>
        <w:t>յաստանի Հանրապետության ոչ ռեզիդենտին տրամադրված վարկերի գծով 2022 թվա</w:t>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t>նի բյուջետային մուտ</w:t>
      </w:r>
      <w:r w:rsidRPr="00A83C94">
        <w:rPr>
          <w:rFonts w:cs="Sylfaen"/>
          <w:b w:val="0"/>
          <w:iCs/>
          <w:szCs w:val="22"/>
          <w:lang w:val="af-ZA" w:eastAsia="en-GB"/>
        </w:rPr>
        <w:softHyphen/>
        <w:t>քե</w:t>
      </w:r>
      <w:r w:rsidRPr="00A83C94">
        <w:rPr>
          <w:rFonts w:cs="Sylfaen"/>
          <w:b w:val="0"/>
          <w:iCs/>
          <w:szCs w:val="22"/>
          <w:lang w:val="af-ZA" w:eastAsia="en-GB"/>
        </w:rPr>
        <w:softHyphen/>
        <w:t>րը կգո</w:t>
      </w:r>
      <w:r w:rsidRPr="00A83C94">
        <w:rPr>
          <w:rFonts w:cs="Sylfaen"/>
          <w:b w:val="0"/>
          <w:iCs/>
          <w:szCs w:val="22"/>
          <w:lang w:val="af-ZA" w:eastAsia="en-GB"/>
        </w:rPr>
        <w:softHyphen/>
      </w:r>
      <w:r w:rsidRPr="00A83C94">
        <w:rPr>
          <w:rFonts w:cs="Sylfaen"/>
          <w:b w:val="0"/>
          <w:iCs/>
          <w:szCs w:val="22"/>
          <w:lang w:val="af-ZA" w:eastAsia="en-GB"/>
        </w:rPr>
        <w:softHyphen/>
        <w:t>յա</w:t>
      </w:r>
      <w:r w:rsidRPr="00A83C94">
        <w:rPr>
          <w:rFonts w:cs="Sylfaen"/>
          <w:b w:val="0"/>
          <w:iCs/>
          <w:szCs w:val="22"/>
          <w:lang w:val="af-ZA" w:eastAsia="en-GB"/>
        </w:rPr>
        <w:softHyphen/>
        <w:t>նան Վրաստանի Հան</w:t>
      </w:r>
      <w:r w:rsidRPr="00A83C94">
        <w:rPr>
          <w:rFonts w:cs="Sylfaen"/>
          <w:b w:val="0"/>
          <w:iCs/>
          <w:szCs w:val="22"/>
          <w:lang w:val="af-ZA" w:eastAsia="en-GB"/>
        </w:rPr>
        <w:softHyphen/>
        <w:t>րա</w:t>
      </w:r>
      <w:r w:rsidRPr="00A83C94">
        <w:rPr>
          <w:rFonts w:cs="Sylfaen"/>
          <w:b w:val="0"/>
          <w:iCs/>
          <w:szCs w:val="22"/>
          <w:lang w:val="af-ZA" w:eastAsia="en-GB"/>
        </w:rPr>
        <w:softHyphen/>
        <w:t>պե</w:t>
      </w:r>
      <w:r w:rsidRPr="00A83C94">
        <w:rPr>
          <w:rFonts w:cs="Sylfaen"/>
          <w:b w:val="0"/>
          <w:iCs/>
          <w:szCs w:val="22"/>
          <w:lang w:val="af-ZA" w:eastAsia="en-GB"/>
        </w:rPr>
        <w:softHyphen/>
        <w:t>տու</w:t>
      </w:r>
      <w:r w:rsidRPr="00A83C94">
        <w:rPr>
          <w:rFonts w:cs="Sylfaen"/>
          <w:b w:val="0"/>
          <w:iCs/>
          <w:szCs w:val="22"/>
          <w:lang w:val="af-ZA" w:eastAsia="en-GB"/>
        </w:rPr>
        <w:softHyphen/>
        <w:t>թյանը տրա</w:t>
      </w:r>
      <w:r w:rsidRPr="00A83C94">
        <w:rPr>
          <w:rFonts w:cs="Sylfaen"/>
          <w:b w:val="0"/>
          <w:iCs/>
          <w:szCs w:val="22"/>
          <w:lang w:val="af-ZA" w:eastAsia="en-GB"/>
        </w:rPr>
        <w:softHyphen/>
        <w:t>մա</w:t>
      </w:r>
      <w:r w:rsidRPr="00A83C94">
        <w:rPr>
          <w:rFonts w:cs="Sylfaen"/>
          <w:b w:val="0"/>
          <w:iCs/>
          <w:szCs w:val="22"/>
          <w:lang w:val="af-ZA" w:eastAsia="en-GB"/>
        </w:rPr>
        <w:softHyphen/>
        <w:t>դր</w:t>
      </w:r>
      <w:r w:rsidRPr="00A83C94">
        <w:rPr>
          <w:rFonts w:cs="Sylfaen"/>
          <w:b w:val="0"/>
          <w:iCs/>
          <w:szCs w:val="22"/>
          <w:lang w:val="af-ZA" w:eastAsia="en-GB"/>
        </w:rPr>
        <w:softHyphen/>
        <w:t>ված վարկի սպա</w:t>
      </w:r>
      <w:r w:rsidRPr="00A83C94">
        <w:rPr>
          <w:rFonts w:cs="Sylfaen"/>
          <w:b w:val="0"/>
          <w:iCs/>
          <w:szCs w:val="22"/>
          <w:lang w:val="af-ZA" w:eastAsia="en-GB"/>
        </w:rPr>
        <w:softHyphen/>
      </w:r>
      <w:r w:rsidRPr="00A83C94">
        <w:rPr>
          <w:rFonts w:cs="Sylfaen"/>
          <w:b w:val="0"/>
          <w:iCs/>
          <w:szCs w:val="22"/>
          <w:lang w:val="af-ZA" w:eastAsia="en-GB"/>
        </w:rPr>
        <w:softHyphen/>
        <w:t>սարկման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րից, որոնք կկազ</w:t>
      </w:r>
      <w:r w:rsidRPr="00A83C94">
        <w:rPr>
          <w:rFonts w:cs="Sylfaen"/>
          <w:b w:val="0"/>
          <w:iCs/>
          <w:szCs w:val="22"/>
          <w:lang w:val="af-ZA" w:eastAsia="en-GB"/>
        </w:rPr>
        <w:softHyphen/>
        <w:t>մեն 106.0 հազ. ԱՄՆ դոլար կամ մոտ 52.3 մլն դրամ՝ 2021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r>
      <w:r w:rsidRPr="00A83C94">
        <w:rPr>
          <w:rFonts w:cs="Sylfaen"/>
          <w:b w:val="0"/>
          <w:iCs/>
          <w:szCs w:val="22"/>
          <w:lang w:val="af-ZA" w:eastAsia="en-GB"/>
        </w:rPr>
        <w:softHyphen/>
        <w:t>նի համար ծրագրված 75.7 մլն դրամի և 2020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ստացված 97.8 մլն դրամի դի</w:t>
      </w:r>
      <w:r w:rsidRPr="00A83C94">
        <w:rPr>
          <w:rFonts w:cs="Sylfaen"/>
          <w:b w:val="0"/>
          <w:iCs/>
          <w:szCs w:val="22"/>
          <w:lang w:val="af-ZA" w:eastAsia="en-GB"/>
        </w:rPr>
        <w:softHyphen/>
        <w:t>մաց:</w:t>
      </w:r>
    </w:p>
    <w:p w14:paraId="0415C38B"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Իրավախախտումների համար գործադիր, դատական մարմինների կողմից կի</w:t>
      </w:r>
      <w:r w:rsidRPr="00A83C94">
        <w:rPr>
          <w:rFonts w:cs="Sylfaen"/>
          <w:b w:val="0"/>
          <w:iCs/>
          <w:szCs w:val="22"/>
          <w:lang w:val="af-ZA" w:eastAsia="en-GB"/>
        </w:rPr>
        <w:softHyphen/>
        <w:t>րառ</w:t>
      </w:r>
      <w:r w:rsidRPr="00A83C94">
        <w:rPr>
          <w:rFonts w:cs="Sylfaen"/>
          <w:b w:val="0"/>
          <w:iCs/>
          <w:szCs w:val="22"/>
          <w:lang w:val="af-ZA" w:eastAsia="en-GB"/>
        </w:rPr>
        <w:softHyphen/>
        <w:t>վող պատ</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ժա</w:t>
      </w:r>
      <w:r w:rsidRPr="00A83C94">
        <w:rPr>
          <w:rFonts w:cs="Sylfaen"/>
          <w:b w:val="0"/>
          <w:iCs/>
          <w:szCs w:val="22"/>
          <w:lang w:val="af-ZA" w:eastAsia="en-GB"/>
        </w:rPr>
        <w:softHyphen/>
      </w:r>
      <w:r w:rsidRPr="00A83C94">
        <w:rPr>
          <w:rFonts w:cs="Sylfaen"/>
          <w:b w:val="0"/>
          <w:iCs/>
          <w:szCs w:val="22"/>
          <w:lang w:val="af-ZA" w:eastAsia="en-GB"/>
        </w:rPr>
        <w:softHyphen/>
        <w:t>մի</w:t>
      </w:r>
      <w:r w:rsidRPr="00A83C94">
        <w:rPr>
          <w:rFonts w:cs="Sylfaen"/>
          <w:b w:val="0"/>
          <w:iCs/>
          <w:szCs w:val="22"/>
          <w:lang w:val="af-ZA" w:eastAsia="en-GB"/>
        </w:rPr>
        <w:softHyphen/>
        <w:t>ջոցներից 2022 թվականի մուտքերը գնահատվել են 10,798.8 մլն դրամի չափով` 2021 թվա</w:t>
      </w:r>
      <w:r w:rsidRPr="00A83C94">
        <w:rPr>
          <w:rFonts w:cs="Sylfaen"/>
          <w:b w:val="0"/>
          <w:iCs/>
          <w:szCs w:val="22"/>
          <w:lang w:val="af-ZA" w:eastAsia="en-GB"/>
        </w:rPr>
        <w:softHyphen/>
        <w:t>կա</w:t>
      </w:r>
      <w:r w:rsidRPr="00A83C94">
        <w:rPr>
          <w:rFonts w:cs="Sylfaen"/>
          <w:b w:val="0"/>
          <w:iCs/>
          <w:szCs w:val="22"/>
          <w:lang w:val="af-ZA" w:eastAsia="en-GB"/>
        </w:rPr>
        <w:softHyphen/>
        <w:t>նի հա</w:t>
      </w:r>
      <w:r w:rsidRPr="00A83C94">
        <w:rPr>
          <w:rFonts w:cs="Sylfaen"/>
          <w:b w:val="0"/>
          <w:iCs/>
          <w:szCs w:val="22"/>
          <w:lang w:val="af-ZA" w:eastAsia="en-GB"/>
        </w:rPr>
        <w:softHyphen/>
        <w:t>մար ծրա</w:t>
      </w:r>
      <w:r w:rsidRPr="00A83C94">
        <w:rPr>
          <w:rFonts w:cs="Sylfaen"/>
          <w:b w:val="0"/>
          <w:iCs/>
          <w:szCs w:val="22"/>
          <w:lang w:val="af-ZA" w:eastAsia="en-GB"/>
        </w:rPr>
        <w:softHyphen/>
        <w:t>գրված 10,479.9 մլն դրամի և 2020 թվա</w:t>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w:t>
      </w:r>
      <w:r w:rsidRPr="00A83C94">
        <w:rPr>
          <w:rFonts w:cs="Sylfaen"/>
          <w:b w:val="0"/>
          <w:iCs/>
          <w:szCs w:val="22"/>
          <w:lang w:val="af-ZA" w:eastAsia="en-GB"/>
        </w:rPr>
        <w:softHyphen/>
        <w:t>ված 11,540.9 մլն դրամի դիմաց: Կանխատեսումները կա</w:t>
      </w:r>
      <w:r w:rsidRPr="00A83C94">
        <w:rPr>
          <w:rFonts w:cs="Sylfaen"/>
          <w:b w:val="0"/>
          <w:iCs/>
          <w:szCs w:val="22"/>
          <w:lang w:val="af-ZA" w:eastAsia="en-GB"/>
        </w:rPr>
        <w:softHyphen/>
        <w:t>տար</w:t>
      </w:r>
      <w:r w:rsidRPr="00A83C94">
        <w:rPr>
          <w:rFonts w:cs="Sylfaen"/>
          <w:b w:val="0"/>
          <w:iCs/>
          <w:szCs w:val="22"/>
          <w:lang w:val="af-ZA" w:eastAsia="en-GB"/>
        </w:rPr>
        <w:softHyphen/>
      </w:r>
      <w:r w:rsidRPr="00A83C94">
        <w:rPr>
          <w:rFonts w:cs="Sylfaen"/>
          <w:b w:val="0"/>
          <w:iCs/>
          <w:szCs w:val="22"/>
          <w:lang w:val="af-ZA" w:eastAsia="en-GB"/>
        </w:rPr>
        <w:softHyphen/>
        <w:t>ված են ըստ հա</w:t>
      </w:r>
      <w:r w:rsidRPr="00A83C94">
        <w:rPr>
          <w:rFonts w:cs="Sylfaen"/>
          <w:b w:val="0"/>
          <w:iCs/>
          <w:szCs w:val="22"/>
          <w:lang w:val="af-ZA" w:eastAsia="en-GB"/>
        </w:rPr>
        <w:softHyphen/>
      </w:r>
      <w:r w:rsidRPr="00A83C94">
        <w:rPr>
          <w:rFonts w:cs="Sylfaen"/>
          <w:b w:val="0"/>
          <w:iCs/>
          <w:szCs w:val="22"/>
          <w:lang w:val="af-ZA" w:eastAsia="en-GB"/>
        </w:rPr>
        <w:softHyphen/>
        <w:t>մա</w:t>
      </w:r>
      <w:r w:rsidRPr="00A83C94">
        <w:rPr>
          <w:rFonts w:cs="Sylfaen"/>
          <w:b w:val="0"/>
          <w:iCs/>
          <w:szCs w:val="22"/>
          <w:lang w:val="af-ZA" w:eastAsia="en-GB"/>
        </w:rPr>
        <w:softHyphen/>
        <w:t>պա</w:t>
      </w:r>
      <w:r w:rsidRPr="00A83C94">
        <w:rPr>
          <w:rFonts w:cs="Sylfaen"/>
          <w:b w:val="0"/>
          <w:iCs/>
          <w:szCs w:val="22"/>
          <w:lang w:val="af-ZA" w:eastAsia="en-GB"/>
        </w:rPr>
        <w:softHyphen/>
      </w:r>
      <w:r w:rsidRPr="00A83C94">
        <w:rPr>
          <w:rFonts w:cs="Sylfaen"/>
          <w:b w:val="0"/>
          <w:iCs/>
          <w:szCs w:val="22"/>
          <w:lang w:val="af-ZA" w:eastAsia="en-GB"/>
        </w:rPr>
        <w:softHyphen/>
        <w:t>տաս</w:t>
      </w:r>
      <w:r w:rsidRPr="00A83C94">
        <w:rPr>
          <w:rFonts w:cs="Sylfaen"/>
          <w:b w:val="0"/>
          <w:iCs/>
          <w:szCs w:val="22"/>
          <w:lang w:val="af-ZA" w:eastAsia="en-GB"/>
        </w:rPr>
        <w:softHyphen/>
        <w:t>խան իրա</w:t>
      </w:r>
      <w:r w:rsidRPr="00A83C94">
        <w:rPr>
          <w:rFonts w:cs="Sylfaen"/>
          <w:b w:val="0"/>
          <w:iCs/>
          <w:szCs w:val="22"/>
          <w:lang w:val="af-ZA" w:eastAsia="en-GB"/>
        </w:rPr>
        <w:softHyphen/>
        <w:t>վա</w:t>
      </w:r>
      <w:r w:rsidRPr="00A83C94">
        <w:rPr>
          <w:rFonts w:cs="Sylfaen"/>
          <w:b w:val="0"/>
          <w:iCs/>
          <w:szCs w:val="22"/>
          <w:lang w:val="af-ZA" w:eastAsia="en-GB"/>
        </w:rPr>
        <w:softHyphen/>
        <w:t>կան հիմքով վարչական պատժամիջոց կի</w:t>
      </w:r>
      <w:r w:rsidRPr="00A83C94">
        <w:rPr>
          <w:rFonts w:cs="Sylfaen"/>
          <w:b w:val="0"/>
          <w:iCs/>
          <w:szCs w:val="22"/>
          <w:lang w:val="af-ZA" w:eastAsia="en-GB"/>
        </w:rPr>
        <w:softHyphen/>
        <w:t>րա</w:t>
      </w:r>
      <w:r w:rsidRPr="00A83C94">
        <w:rPr>
          <w:rFonts w:cs="Sylfaen"/>
          <w:b w:val="0"/>
          <w:iCs/>
          <w:szCs w:val="22"/>
          <w:lang w:val="af-ZA" w:eastAsia="en-GB"/>
        </w:rPr>
        <w:softHyphen/>
        <w:t>ռող պե</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կան կա</w:t>
      </w:r>
      <w:r w:rsidRPr="00A83C94">
        <w:rPr>
          <w:rFonts w:cs="Sylfaen"/>
          <w:b w:val="0"/>
          <w:iCs/>
          <w:szCs w:val="22"/>
          <w:lang w:val="af-ZA" w:eastAsia="en-GB"/>
        </w:rPr>
        <w:softHyphen/>
        <w:t>ռա</w:t>
      </w:r>
      <w:r w:rsidRPr="00A83C94">
        <w:rPr>
          <w:rFonts w:cs="Sylfaen"/>
          <w:b w:val="0"/>
          <w:iCs/>
          <w:szCs w:val="22"/>
          <w:lang w:val="af-ZA" w:eastAsia="en-GB"/>
        </w:rPr>
        <w:softHyphen/>
        <w:t>վար</w:t>
      </w:r>
      <w:r w:rsidRPr="00A83C94">
        <w:rPr>
          <w:rFonts w:cs="Sylfaen"/>
          <w:b w:val="0"/>
          <w:iCs/>
          <w:szCs w:val="22"/>
          <w:lang w:val="af-ZA" w:eastAsia="en-GB"/>
        </w:rPr>
        <w:softHyphen/>
        <w:t>ման մար</w:t>
      </w:r>
      <w:r w:rsidRPr="00A83C94">
        <w:rPr>
          <w:rFonts w:cs="Sylfaen"/>
          <w:b w:val="0"/>
          <w:iCs/>
          <w:szCs w:val="22"/>
          <w:lang w:val="af-ZA" w:eastAsia="en-GB"/>
        </w:rPr>
        <w:softHyphen/>
      </w:r>
      <w:r w:rsidRPr="00A83C94">
        <w:rPr>
          <w:rFonts w:cs="Sylfaen"/>
          <w:b w:val="0"/>
          <w:iCs/>
          <w:szCs w:val="22"/>
          <w:lang w:val="af-ZA" w:eastAsia="en-GB"/>
        </w:rPr>
        <w:softHyphen/>
        <w:t>մին</w:t>
      </w:r>
      <w:r w:rsidRPr="00A83C94">
        <w:rPr>
          <w:rFonts w:cs="Sylfaen"/>
          <w:b w:val="0"/>
          <w:iCs/>
          <w:szCs w:val="22"/>
          <w:lang w:val="af-ZA" w:eastAsia="en-GB"/>
        </w:rPr>
        <w:softHyphen/>
        <w:t>ների` հաշ</w:t>
      </w:r>
      <w:r w:rsidRPr="00A83C94">
        <w:rPr>
          <w:rFonts w:cs="Sylfaen"/>
          <w:b w:val="0"/>
          <w:iCs/>
          <w:szCs w:val="22"/>
          <w:lang w:val="af-ZA" w:eastAsia="en-GB"/>
        </w:rPr>
        <w:softHyphen/>
        <w:t>վի առ</w:t>
      </w:r>
      <w:r w:rsidRPr="00A83C94">
        <w:rPr>
          <w:rFonts w:cs="Sylfaen"/>
          <w:b w:val="0"/>
          <w:iCs/>
          <w:szCs w:val="22"/>
          <w:lang w:val="af-ZA" w:eastAsia="en-GB"/>
        </w:rPr>
        <w:softHyphen/>
        <w:t>նե</w:t>
      </w:r>
      <w:r w:rsidRPr="00A83C94">
        <w:rPr>
          <w:rFonts w:cs="Sylfaen"/>
          <w:b w:val="0"/>
          <w:iCs/>
          <w:szCs w:val="22"/>
          <w:lang w:val="af-ZA" w:eastAsia="en-GB"/>
        </w:rPr>
        <w:softHyphen/>
        <w:t>լով պատ</w:t>
      </w:r>
      <w:r w:rsidRPr="00A83C94">
        <w:rPr>
          <w:rFonts w:cs="Sylfaen"/>
          <w:b w:val="0"/>
          <w:iCs/>
          <w:szCs w:val="22"/>
          <w:lang w:val="af-ZA" w:eastAsia="en-GB"/>
        </w:rPr>
        <w:softHyphen/>
      </w:r>
      <w:r w:rsidRPr="00A83C94">
        <w:rPr>
          <w:rFonts w:cs="Sylfaen"/>
          <w:b w:val="0"/>
          <w:iCs/>
          <w:szCs w:val="22"/>
          <w:lang w:val="af-ZA" w:eastAsia="en-GB"/>
        </w:rPr>
        <w:softHyphen/>
        <w:t>ժա</w:t>
      </w:r>
      <w:r w:rsidRPr="00A83C94">
        <w:rPr>
          <w:rFonts w:cs="Sylfaen"/>
          <w:b w:val="0"/>
          <w:iCs/>
          <w:szCs w:val="22"/>
          <w:lang w:val="af-ZA" w:eastAsia="en-GB"/>
        </w:rPr>
        <w:softHyphen/>
        <w:t>մի</w:t>
      </w:r>
      <w:r w:rsidRPr="00A83C94">
        <w:rPr>
          <w:rFonts w:cs="Sylfaen"/>
          <w:b w:val="0"/>
          <w:iCs/>
          <w:szCs w:val="22"/>
          <w:lang w:val="af-ZA" w:eastAsia="en-GB"/>
        </w:rPr>
        <w:softHyphen/>
        <w:t>ջոց</w:t>
      </w:r>
      <w:r w:rsidRPr="00A83C94">
        <w:rPr>
          <w:rFonts w:cs="Sylfaen"/>
          <w:b w:val="0"/>
          <w:iCs/>
          <w:szCs w:val="22"/>
          <w:lang w:val="af-ZA" w:eastAsia="en-GB"/>
        </w:rPr>
        <w:softHyphen/>
      </w:r>
      <w:r w:rsidRPr="00A83C94">
        <w:rPr>
          <w:rFonts w:cs="Sylfaen"/>
          <w:b w:val="0"/>
          <w:iCs/>
          <w:szCs w:val="22"/>
          <w:lang w:val="af-ZA" w:eastAsia="en-GB"/>
        </w:rPr>
        <w:softHyphen/>
        <w:t>ների գծով 2016-2020 թվա</w:t>
      </w:r>
      <w:r w:rsidRPr="00A83C94">
        <w:rPr>
          <w:rFonts w:cs="Sylfaen"/>
          <w:b w:val="0"/>
          <w:iCs/>
          <w:szCs w:val="22"/>
          <w:lang w:val="af-ZA" w:eastAsia="en-GB"/>
        </w:rPr>
        <w:softHyphen/>
      </w:r>
      <w:r w:rsidRPr="00A83C94">
        <w:rPr>
          <w:rFonts w:cs="Sylfaen"/>
          <w:b w:val="0"/>
          <w:iCs/>
          <w:szCs w:val="22"/>
          <w:lang w:val="af-ZA" w:eastAsia="en-GB"/>
        </w:rPr>
        <w:softHyphen/>
        <w:t>կան</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 մուտ</w:t>
      </w:r>
      <w:r w:rsidRPr="00A83C94">
        <w:rPr>
          <w:rFonts w:cs="Sylfaen"/>
          <w:b w:val="0"/>
          <w:iCs/>
          <w:szCs w:val="22"/>
          <w:lang w:val="af-ZA" w:eastAsia="en-GB"/>
        </w:rPr>
        <w:softHyphen/>
        <w:t>քերի հա</w:t>
      </w:r>
      <w:r w:rsidRPr="00A83C94">
        <w:rPr>
          <w:rFonts w:cs="Sylfaen"/>
          <w:b w:val="0"/>
          <w:iCs/>
          <w:szCs w:val="22"/>
          <w:lang w:val="af-ZA" w:eastAsia="en-GB"/>
        </w:rPr>
        <w:softHyphen/>
        <w:t>վաքագրման միտումները, ինչպես նաև այս բնա</w:t>
      </w:r>
      <w:r w:rsidRPr="00A83C94">
        <w:rPr>
          <w:rFonts w:cs="Sylfaen"/>
          <w:b w:val="0"/>
          <w:iCs/>
          <w:szCs w:val="22"/>
          <w:lang w:val="af-ZA" w:eastAsia="en-GB"/>
        </w:rPr>
        <w:softHyphen/>
        <w:t>գա</w:t>
      </w:r>
      <w:r w:rsidRPr="00A83C94">
        <w:rPr>
          <w:rFonts w:cs="Sylfaen"/>
          <w:b w:val="0"/>
          <w:iCs/>
          <w:szCs w:val="22"/>
          <w:lang w:val="af-ZA" w:eastAsia="en-GB"/>
        </w:rPr>
        <w:softHyphen/>
        <w:t>վա</w:t>
      </w:r>
      <w:r w:rsidRPr="00A83C94">
        <w:rPr>
          <w:rFonts w:cs="Sylfaen"/>
          <w:b w:val="0"/>
          <w:iCs/>
          <w:szCs w:val="22"/>
          <w:lang w:val="af-ZA" w:eastAsia="en-GB"/>
        </w:rPr>
        <w:softHyphen/>
      </w:r>
      <w:r w:rsidRPr="00A83C94">
        <w:rPr>
          <w:rFonts w:cs="Sylfaen"/>
          <w:b w:val="0"/>
          <w:iCs/>
          <w:szCs w:val="22"/>
          <w:lang w:val="af-ZA" w:eastAsia="en-GB"/>
        </w:rPr>
        <w:softHyphen/>
        <w:t>ռում իրա</w:t>
      </w:r>
      <w:r w:rsidRPr="00A83C94">
        <w:rPr>
          <w:rFonts w:cs="Sylfaen"/>
          <w:b w:val="0"/>
          <w:iCs/>
          <w:szCs w:val="22"/>
          <w:lang w:val="af-ZA" w:eastAsia="en-GB"/>
        </w:rPr>
        <w:softHyphen/>
        <w:t>կա</w:t>
      </w:r>
      <w:r w:rsidRPr="00A83C94">
        <w:rPr>
          <w:rFonts w:cs="Sylfaen"/>
          <w:b w:val="0"/>
          <w:iCs/>
          <w:szCs w:val="22"/>
          <w:lang w:val="af-ZA" w:eastAsia="en-GB"/>
        </w:rPr>
        <w:softHyphen/>
        <w:t>նաց</w:t>
      </w:r>
      <w:r w:rsidRPr="00A83C94">
        <w:rPr>
          <w:rFonts w:cs="Sylfaen"/>
          <w:b w:val="0"/>
          <w:iCs/>
          <w:szCs w:val="22"/>
          <w:lang w:val="af-ZA" w:eastAsia="en-GB"/>
        </w:rPr>
        <w:softHyphen/>
        <w:t>ված օրենս</w:t>
      </w:r>
      <w:r w:rsidRPr="00A83C94">
        <w:rPr>
          <w:rFonts w:cs="Sylfaen"/>
          <w:b w:val="0"/>
          <w:iCs/>
          <w:szCs w:val="22"/>
          <w:lang w:val="af-ZA" w:eastAsia="en-GB"/>
        </w:rPr>
        <w:softHyphen/>
      </w:r>
      <w:r w:rsidRPr="00A83C94">
        <w:rPr>
          <w:rFonts w:cs="Sylfaen"/>
          <w:b w:val="0"/>
          <w:iCs/>
          <w:szCs w:val="22"/>
          <w:lang w:val="af-ZA" w:eastAsia="en-GB"/>
        </w:rPr>
        <w:softHyphen/>
        <w:t>դրա</w:t>
      </w:r>
      <w:r w:rsidRPr="00A83C94">
        <w:rPr>
          <w:rFonts w:cs="Sylfaen"/>
          <w:b w:val="0"/>
          <w:iCs/>
          <w:szCs w:val="22"/>
          <w:lang w:val="af-ZA" w:eastAsia="en-GB"/>
        </w:rPr>
        <w:softHyphen/>
        <w:t>կան փո</w:t>
      </w:r>
      <w:r w:rsidRPr="00A83C94">
        <w:rPr>
          <w:rFonts w:cs="Sylfaen"/>
          <w:b w:val="0"/>
          <w:iCs/>
          <w:szCs w:val="22"/>
          <w:lang w:val="af-ZA" w:eastAsia="en-GB"/>
        </w:rPr>
        <w:softHyphen/>
        <w:t>փո</w:t>
      </w:r>
      <w:r w:rsidRPr="00A83C94">
        <w:rPr>
          <w:rFonts w:cs="Sylfaen"/>
          <w:b w:val="0"/>
          <w:iCs/>
          <w:szCs w:val="22"/>
          <w:lang w:val="af-ZA" w:eastAsia="en-GB"/>
        </w:rPr>
        <w:softHyphen/>
        <w:t>խու</w:t>
      </w:r>
      <w:r w:rsidRPr="00A83C94">
        <w:rPr>
          <w:rFonts w:cs="Sylfaen"/>
          <w:b w:val="0"/>
          <w:iCs/>
          <w:szCs w:val="22"/>
          <w:lang w:val="af-ZA" w:eastAsia="en-GB"/>
        </w:rPr>
        <w:softHyphen/>
        <w:t>թյունները:</w:t>
      </w:r>
    </w:p>
    <w:p w14:paraId="51FB69D6"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Ապրանքների մատակարարումից և ծառայությունների մատուցումից եկամուտների գծով 2022 թվականի պետական բյուջեի մուտքերը գնահատվել են 17,455.9 մլն դրամի չափով` 2021 թվա</w:t>
      </w:r>
      <w:r w:rsidRPr="00A83C94">
        <w:rPr>
          <w:rFonts w:cs="Sylfaen"/>
          <w:b w:val="0"/>
          <w:iCs/>
          <w:szCs w:val="22"/>
          <w:lang w:val="af-ZA" w:eastAsia="en-GB"/>
        </w:rPr>
        <w:softHyphen/>
        <w:t>կա</w:t>
      </w:r>
      <w:r w:rsidRPr="00A83C94">
        <w:rPr>
          <w:rFonts w:cs="Sylfaen"/>
          <w:b w:val="0"/>
          <w:iCs/>
          <w:szCs w:val="22"/>
          <w:lang w:val="af-ZA" w:eastAsia="en-GB"/>
        </w:rPr>
        <w:softHyphen/>
        <w:t>նի հա</w:t>
      </w:r>
      <w:r w:rsidRPr="00A83C94">
        <w:rPr>
          <w:rFonts w:cs="Sylfaen"/>
          <w:b w:val="0"/>
          <w:iCs/>
          <w:szCs w:val="22"/>
          <w:lang w:val="af-ZA" w:eastAsia="en-GB"/>
        </w:rPr>
        <w:softHyphen/>
        <w:t>մար ծրա</w:t>
      </w:r>
      <w:r w:rsidRPr="00A83C94">
        <w:rPr>
          <w:rFonts w:cs="Sylfaen"/>
          <w:b w:val="0"/>
          <w:iCs/>
          <w:szCs w:val="22"/>
          <w:lang w:val="af-ZA" w:eastAsia="en-GB"/>
        </w:rPr>
        <w:softHyphen/>
        <w:t>գրված 11,651.5 մլն դրամի և 2020 թվա</w:t>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w:t>
      </w:r>
      <w:r w:rsidRPr="00A83C94">
        <w:rPr>
          <w:rFonts w:cs="Sylfaen"/>
          <w:b w:val="0"/>
          <w:iCs/>
          <w:szCs w:val="22"/>
          <w:lang w:val="af-ZA" w:eastAsia="en-GB"/>
        </w:rPr>
        <w:softHyphen/>
        <w:t>ված 16,376.4 մլն դրամի դիմաց: Կանխատեսումները կատարվել են պետական կառավարման մարմիններից ստացված հայտերի և 2016-2020 թվա</w:t>
      </w:r>
      <w:r w:rsidRPr="00A83C94">
        <w:rPr>
          <w:rFonts w:cs="Sylfaen"/>
          <w:b w:val="0"/>
          <w:iCs/>
          <w:szCs w:val="22"/>
          <w:lang w:val="af-ZA" w:eastAsia="en-GB"/>
        </w:rPr>
        <w:softHyphen/>
      </w:r>
      <w:r w:rsidRPr="00A83C94">
        <w:rPr>
          <w:rFonts w:cs="Sylfaen"/>
          <w:b w:val="0"/>
          <w:iCs/>
          <w:szCs w:val="22"/>
          <w:lang w:val="af-ZA" w:eastAsia="en-GB"/>
        </w:rPr>
        <w:softHyphen/>
        <w:t>կան</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 մուտ</w:t>
      </w:r>
      <w:r w:rsidRPr="00A83C94">
        <w:rPr>
          <w:rFonts w:cs="Sylfaen"/>
          <w:b w:val="0"/>
          <w:iCs/>
          <w:szCs w:val="22"/>
          <w:lang w:val="af-ZA" w:eastAsia="en-GB"/>
        </w:rPr>
        <w:softHyphen/>
        <w:t>քերի հա</w:t>
      </w:r>
      <w:r w:rsidRPr="00A83C94">
        <w:rPr>
          <w:rFonts w:cs="Sylfaen"/>
          <w:b w:val="0"/>
          <w:iCs/>
          <w:szCs w:val="22"/>
          <w:lang w:val="af-ZA" w:eastAsia="en-GB"/>
        </w:rPr>
        <w:softHyphen/>
        <w:t>վաքագրման միտումների հիման վրա:</w:t>
      </w:r>
    </w:p>
    <w:p w14:paraId="35181561"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Օրենքով և իրավական այլ ակտերով սահմանված՝ պետական բյուջե մուտքագրվող այլ եկա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մուտ</w:t>
      </w:r>
      <w:r w:rsidRPr="00A83C94">
        <w:rPr>
          <w:rFonts w:cs="Sylfaen"/>
          <w:b w:val="0"/>
          <w:iCs/>
          <w:szCs w:val="22"/>
          <w:lang w:val="af-ZA" w:eastAsia="en-GB"/>
        </w:rPr>
        <w:softHyphen/>
        <w:t>ների գծով 2022 թվականի պետական բյուջեի մուտքերը գնահատվել են 1,168.7 մլն դրա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մի չա</w:t>
      </w:r>
      <w:r w:rsidRPr="00A83C94">
        <w:rPr>
          <w:rFonts w:cs="Sylfaen"/>
          <w:b w:val="0"/>
          <w:iCs/>
          <w:szCs w:val="22"/>
          <w:lang w:val="af-ZA" w:eastAsia="en-GB"/>
        </w:rPr>
        <w:softHyphen/>
        <w:t>փով` 2021 թվականի համար ծրագրված 1,629.1 մլ</w:t>
      </w:r>
      <w:r w:rsidRPr="00A83C94">
        <w:rPr>
          <w:rFonts w:cs="Sylfaen"/>
          <w:b w:val="0"/>
          <w:iCs/>
          <w:szCs w:val="22"/>
          <w:lang w:val="hy-AM" w:eastAsia="en-GB"/>
        </w:rPr>
        <w:t>ն</w:t>
      </w:r>
      <w:r w:rsidRPr="00A83C94">
        <w:rPr>
          <w:rFonts w:cs="Sylfaen"/>
          <w:b w:val="0"/>
          <w:iCs/>
          <w:szCs w:val="22"/>
          <w:lang w:val="af-ZA" w:eastAsia="en-GB"/>
        </w:rPr>
        <w:t xml:space="preserve"> դրամի և 2020 թվա</w:t>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w:t>
      </w:r>
      <w:r w:rsidRPr="00A83C94">
        <w:rPr>
          <w:rFonts w:cs="Sylfaen"/>
          <w:b w:val="0"/>
          <w:iCs/>
          <w:szCs w:val="22"/>
          <w:lang w:val="af-ZA" w:eastAsia="en-GB"/>
        </w:rPr>
        <w:softHyphen/>
        <w:t>ված 2,904.4 մլն դրամի դիմաց: Այն կանխատեսվել է՝  ելնելով նախորդ տարիների փաստացի մուտքերի միտումներից:</w:t>
      </w:r>
    </w:p>
    <w:p w14:paraId="77F8ED85" w14:textId="77777777" w:rsidR="00AE2A75" w:rsidRPr="00A83C94" w:rsidRDefault="00AE2A75" w:rsidP="005525A4">
      <w:pPr>
        <w:keepNext/>
        <w:tabs>
          <w:tab w:val="left" w:pos="709"/>
        </w:tabs>
        <w:spacing w:before="0" w:line="276" w:lineRule="auto"/>
        <w:outlineLvl w:val="2"/>
        <w:rPr>
          <w:rFonts w:eastAsia="Calibri" w:cs="GHEA Grapalat"/>
          <w:bCs/>
          <w:szCs w:val="22"/>
          <w:lang w:val="hy-AM" w:eastAsia="en-US"/>
        </w:rPr>
      </w:pPr>
    </w:p>
    <w:p w14:paraId="370768B2" w14:textId="46A22A30" w:rsidR="0084358D" w:rsidRPr="00A83C94" w:rsidRDefault="0084358D">
      <w:pPr>
        <w:spacing w:before="0" w:line="240" w:lineRule="auto"/>
        <w:ind w:firstLine="0"/>
        <w:contextualSpacing w:val="0"/>
        <w:jc w:val="left"/>
        <w:rPr>
          <w:sz w:val="28"/>
          <w:szCs w:val="20"/>
          <w:lang w:val="af-ZA"/>
        </w:rPr>
      </w:pPr>
      <w:r w:rsidRPr="00A83C94">
        <w:rPr>
          <w:lang w:val="af-ZA"/>
        </w:rPr>
        <w:br w:type="page"/>
      </w:r>
    </w:p>
    <w:p w14:paraId="6DAEF824" w14:textId="49A76CD8" w:rsidR="00060470" w:rsidRPr="00EB774C" w:rsidRDefault="00060470" w:rsidP="00A30EDC">
      <w:pPr>
        <w:pStyle w:val="Heading1"/>
        <w:rPr>
          <w:lang w:val="af-ZA"/>
        </w:rPr>
      </w:pPr>
      <w:bookmarkStart w:id="223" w:name="_Toc83996363"/>
      <w:r w:rsidRPr="00A83C94">
        <w:t>Մ</w:t>
      </w:r>
      <w:r w:rsidRPr="00EB774C">
        <w:rPr>
          <w:lang w:val="af-ZA"/>
        </w:rPr>
        <w:t xml:space="preserve"> </w:t>
      </w:r>
      <w:r w:rsidRPr="00A83C94">
        <w:t>Ա</w:t>
      </w:r>
      <w:r w:rsidRPr="00EB774C">
        <w:rPr>
          <w:lang w:val="af-ZA"/>
        </w:rPr>
        <w:t xml:space="preserve"> </w:t>
      </w:r>
      <w:r w:rsidRPr="00A83C94">
        <w:t>Ս</w:t>
      </w:r>
      <w:r w:rsidR="001E6978" w:rsidRPr="00EB774C">
        <w:rPr>
          <w:lang w:val="af-ZA"/>
        </w:rPr>
        <w:t xml:space="preserve"> </w:t>
      </w:r>
      <w:r w:rsidRPr="00EB774C">
        <w:rPr>
          <w:lang w:val="af-ZA"/>
        </w:rPr>
        <w:t xml:space="preserve">III – </w:t>
      </w:r>
      <w:r w:rsidRPr="00A83C94">
        <w:t>Բ</w:t>
      </w:r>
      <w:r w:rsidRPr="00EB774C">
        <w:rPr>
          <w:lang w:val="af-ZA"/>
        </w:rPr>
        <w:t xml:space="preserve">. </w:t>
      </w:r>
      <w:r w:rsidRPr="00A83C94">
        <w:t>Ծ</w:t>
      </w:r>
      <w:r w:rsidRPr="00EB774C">
        <w:rPr>
          <w:lang w:val="af-ZA"/>
        </w:rPr>
        <w:t xml:space="preserve"> </w:t>
      </w:r>
      <w:r w:rsidRPr="00A83C94">
        <w:t>Ա</w:t>
      </w:r>
      <w:r w:rsidRPr="00EB774C">
        <w:rPr>
          <w:lang w:val="af-ZA"/>
        </w:rPr>
        <w:t xml:space="preserve"> </w:t>
      </w:r>
      <w:r w:rsidRPr="00A83C94">
        <w:t>Խ</w:t>
      </w:r>
      <w:r w:rsidRPr="00EB774C">
        <w:rPr>
          <w:lang w:val="af-ZA"/>
        </w:rPr>
        <w:t xml:space="preserve"> </w:t>
      </w:r>
      <w:r w:rsidRPr="00A83C94">
        <w:t>Ս</w:t>
      </w:r>
      <w:r w:rsidRPr="00EB774C">
        <w:rPr>
          <w:lang w:val="af-ZA"/>
        </w:rPr>
        <w:t xml:space="preserve"> </w:t>
      </w:r>
      <w:r w:rsidRPr="00A83C94">
        <w:t>Ե</w:t>
      </w:r>
      <w:r w:rsidRPr="00EB774C">
        <w:rPr>
          <w:lang w:val="af-ZA"/>
        </w:rPr>
        <w:t xml:space="preserve"> </w:t>
      </w:r>
      <w:r w:rsidRPr="00A83C94">
        <w:t>Ր</w:t>
      </w:r>
      <w:r w:rsidRPr="00EB774C">
        <w:rPr>
          <w:lang w:val="af-ZA"/>
        </w:rPr>
        <w:t xml:space="preserve"> </w:t>
      </w:r>
      <w:r w:rsidRPr="00A83C94">
        <w:t>Ի</w:t>
      </w:r>
      <w:r w:rsidR="001E6978" w:rsidRPr="00EB774C">
        <w:rPr>
          <w:lang w:val="af-ZA"/>
        </w:rPr>
        <w:t xml:space="preserve"> </w:t>
      </w:r>
      <w:r w:rsidR="00C53FEE" w:rsidRPr="00EB774C">
        <w:rPr>
          <w:lang w:val="af-ZA"/>
        </w:rPr>
        <w:t xml:space="preserve"> </w:t>
      </w:r>
      <w:r w:rsidRPr="00A83C94">
        <w:t>Կ</w:t>
      </w:r>
      <w:r w:rsidRPr="00EB774C">
        <w:rPr>
          <w:lang w:val="af-ZA"/>
        </w:rPr>
        <w:t xml:space="preserve"> </w:t>
      </w:r>
      <w:r w:rsidRPr="00A83C94">
        <w:t>Ա</w:t>
      </w:r>
      <w:r w:rsidRPr="00EB774C">
        <w:rPr>
          <w:lang w:val="af-ZA"/>
        </w:rPr>
        <w:t xml:space="preserve"> </w:t>
      </w:r>
      <w:r w:rsidRPr="00A83C94">
        <w:t>Ն</w:t>
      </w:r>
      <w:r w:rsidRPr="00EB774C">
        <w:rPr>
          <w:lang w:val="af-ZA"/>
        </w:rPr>
        <w:t xml:space="preserve"> </w:t>
      </w:r>
      <w:r w:rsidRPr="00A83C94">
        <w:t>Խ</w:t>
      </w:r>
      <w:r w:rsidRPr="00EB774C">
        <w:rPr>
          <w:lang w:val="af-ZA"/>
        </w:rPr>
        <w:t xml:space="preserve"> </w:t>
      </w:r>
      <w:r w:rsidRPr="00A83C94">
        <w:t>Ա</w:t>
      </w:r>
      <w:r w:rsidRPr="00EB774C">
        <w:rPr>
          <w:lang w:val="af-ZA"/>
        </w:rPr>
        <w:t xml:space="preserve"> </w:t>
      </w:r>
      <w:r w:rsidRPr="00A83C94">
        <w:t>Տ</w:t>
      </w:r>
      <w:r w:rsidRPr="00EB774C">
        <w:rPr>
          <w:lang w:val="af-ZA"/>
        </w:rPr>
        <w:t xml:space="preserve"> </w:t>
      </w:r>
      <w:r w:rsidRPr="00A83C94">
        <w:t>Ե</w:t>
      </w:r>
      <w:r w:rsidRPr="00EB774C">
        <w:rPr>
          <w:lang w:val="af-ZA"/>
        </w:rPr>
        <w:t xml:space="preserve"> </w:t>
      </w:r>
      <w:r w:rsidRPr="00A83C94">
        <w:t>Ս</w:t>
      </w:r>
      <w:r w:rsidRPr="00EB774C">
        <w:rPr>
          <w:lang w:val="af-ZA"/>
        </w:rPr>
        <w:t xml:space="preserve"> </w:t>
      </w:r>
      <w:r w:rsidRPr="00A83C94">
        <w:t>Ո</w:t>
      </w:r>
      <w:r w:rsidRPr="00EB774C">
        <w:rPr>
          <w:lang w:val="af-ZA"/>
        </w:rPr>
        <w:t xml:space="preserve"> </w:t>
      </w:r>
      <w:r w:rsidRPr="00A83C94">
        <w:t>Ւ</w:t>
      </w:r>
      <w:r w:rsidRPr="00EB774C">
        <w:rPr>
          <w:lang w:val="af-ZA"/>
        </w:rPr>
        <w:t xml:space="preserve"> </w:t>
      </w:r>
      <w:r w:rsidRPr="00A83C94">
        <w:t>Մ</w:t>
      </w:r>
      <w:bookmarkEnd w:id="223"/>
    </w:p>
    <w:p w14:paraId="6C727915" w14:textId="316BBB24" w:rsidR="0075265B" w:rsidRPr="00A83C94" w:rsidRDefault="0075265B" w:rsidP="007730AA">
      <w:pPr>
        <w:spacing w:before="0" w:line="276" w:lineRule="auto"/>
        <w:rPr>
          <w:rFonts w:cs="Sylfaen"/>
          <w:b w:val="0"/>
          <w:szCs w:val="22"/>
          <w:lang w:val="hy-AM" w:eastAsia="en-US"/>
        </w:rPr>
      </w:pPr>
      <w:r w:rsidRPr="00A83C94">
        <w:rPr>
          <w:rFonts w:cs="Sylfaen"/>
          <w:b w:val="0"/>
          <w:szCs w:val="22"/>
          <w:lang w:val="hy-AM" w:eastAsia="en-US"/>
        </w:rPr>
        <w:t>ՀՀ 20</w:t>
      </w:r>
      <w:r w:rsidR="00D907FB" w:rsidRPr="00A83C94">
        <w:rPr>
          <w:rFonts w:cs="Sylfaen"/>
          <w:b w:val="0"/>
          <w:szCs w:val="22"/>
          <w:lang w:val="hy-AM" w:eastAsia="en-US"/>
        </w:rPr>
        <w:t>2</w:t>
      </w:r>
      <w:r w:rsidR="00B62797" w:rsidRPr="00A83C94">
        <w:rPr>
          <w:rFonts w:cs="Sylfaen"/>
          <w:b w:val="0"/>
          <w:szCs w:val="22"/>
          <w:lang w:val="hy-AM" w:eastAsia="en-US"/>
        </w:rPr>
        <w:t>2</w:t>
      </w:r>
      <w:r w:rsidRPr="00A83C94">
        <w:rPr>
          <w:rFonts w:cs="Sylfaen"/>
          <w:b w:val="0"/>
          <w:szCs w:val="22"/>
          <w:lang w:val="hy-AM" w:eastAsia="en-US"/>
        </w:rPr>
        <w:t xml:space="preserve"> թվականի պետական բյուջեի նախագծով ծախսերի ծավալը ծրագրա</w:t>
      </w:r>
      <w:r w:rsidRPr="00A83C94">
        <w:rPr>
          <w:rFonts w:cs="Sylfaen"/>
          <w:b w:val="0"/>
          <w:szCs w:val="22"/>
          <w:lang w:val="hy-AM" w:eastAsia="en-US"/>
        </w:rPr>
        <w:softHyphen/>
        <w:t xml:space="preserve">վորվել է շուրջ </w:t>
      </w:r>
      <w:r w:rsidR="0088445B" w:rsidRPr="00A83C94">
        <w:rPr>
          <w:rFonts w:cs="Sylfaen"/>
          <w:b w:val="0"/>
          <w:szCs w:val="22"/>
          <w:lang w:val="hy-AM" w:eastAsia="en-US"/>
        </w:rPr>
        <w:t>2</w:t>
      </w:r>
      <w:r w:rsidRPr="00A83C94">
        <w:rPr>
          <w:rFonts w:cs="Sylfaen"/>
          <w:b w:val="0"/>
          <w:szCs w:val="22"/>
          <w:lang w:val="hy-AM" w:eastAsia="en-US"/>
        </w:rPr>
        <w:t>,</w:t>
      </w:r>
      <w:r w:rsidR="00866F8F" w:rsidRPr="00866F8F">
        <w:rPr>
          <w:rFonts w:cs="Sylfaen"/>
          <w:b w:val="0"/>
          <w:szCs w:val="22"/>
          <w:lang w:val="af-ZA" w:eastAsia="en-US"/>
        </w:rPr>
        <w:t>189</w:t>
      </w:r>
      <w:r w:rsidR="00882881" w:rsidRPr="00A83C94">
        <w:rPr>
          <w:rFonts w:cs="Sylfaen"/>
          <w:b w:val="0"/>
          <w:szCs w:val="22"/>
          <w:lang w:val="hy-AM" w:eastAsia="en-US"/>
        </w:rPr>
        <w:t>.</w:t>
      </w:r>
      <w:r w:rsidR="0088445B" w:rsidRPr="00A83C94">
        <w:rPr>
          <w:rFonts w:cs="Sylfaen"/>
          <w:b w:val="0"/>
          <w:szCs w:val="22"/>
          <w:lang w:val="hy-AM" w:eastAsia="en-US"/>
        </w:rPr>
        <w:t>2</w:t>
      </w:r>
      <w:r w:rsidR="00D907FB" w:rsidRPr="00A83C94">
        <w:rPr>
          <w:rFonts w:cs="Sylfaen"/>
          <w:b w:val="0"/>
          <w:szCs w:val="22"/>
          <w:lang w:val="hy-AM" w:eastAsia="en-US"/>
        </w:rPr>
        <w:t xml:space="preserve"> </w:t>
      </w:r>
      <w:r w:rsidRPr="00A83C94">
        <w:rPr>
          <w:rFonts w:cs="Sylfaen"/>
          <w:b w:val="0"/>
          <w:szCs w:val="22"/>
          <w:lang w:val="hy-AM" w:eastAsia="en-US"/>
        </w:rPr>
        <w:t>մլրդ դրամի չափով</w:t>
      </w:r>
      <w:r w:rsidR="00BE45D6" w:rsidRPr="00A83C94">
        <w:rPr>
          <w:rFonts w:cs="Sylfaen"/>
          <w:b w:val="0"/>
          <w:szCs w:val="22"/>
          <w:lang w:val="hy-AM" w:eastAsia="en-US"/>
        </w:rPr>
        <w:t>:</w:t>
      </w:r>
      <w:r w:rsidRPr="00A83C94">
        <w:rPr>
          <w:rFonts w:cs="Sylfaen"/>
          <w:b w:val="0"/>
          <w:szCs w:val="22"/>
          <w:lang w:val="hy-AM" w:eastAsia="en-US"/>
        </w:rPr>
        <w:t xml:space="preserve"> Ծախսերի ամբողջ ծավալի </w:t>
      </w:r>
      <w:r w:rsidR="004114AA" w:rsidRPr="00A83C94">
        <w:rPr>
          <w:rFonts w:cs="Sylfaen"/>
          <w:b w:val="0"/>
          <w:szCs w:val="22"/>
          <w:lang w:val="hy-AM" w:eastAsia="en-US"/>
        </w:rPr>
        <w:t>8</w:t>
      </w:r>
      <w:r w:rsidR="00413FFC" w:rsidRPr="00413FFC">
        <w:rPr>
          <w:rFonts w:cs="Sylfaen"/>
          <w:b w:val="0"/>
          <w:szCs w:val="22"/>
          <w:lang w:val="af-ZA" w:eastAsia="en-US"/>
        </w:rPr>
        <w:t>4</w:t>
      </w:r>
      <w:r w:rsidR="00C53E84" w:rsidRPr="00A83C94">
        <w:rPr>
          <w:rFonts w:cs="Sylfaen"/>
          <w:b w:val="0"/>
          <w:szCs w:val="22"/>
          <w:lang w:val="hy-AM" w:eastAsia="en-US"/>
        </w:rPr>
        <w:t>.</w:t>
      </w:r>
      <w:r w:rsidR="00413FFC" w:rsidRPr="00413FFC">
        <w:rPr>
          <w:rFonts w:cs="Sylfaen"/>
          <w:b w:val="0"/>
          <w:szCs w:val="22"/>
          <w:lang w:val="af-ZA" w:eastAsia="en-US"/>
        </w:rPr>
        <w:t>2</w:t>
      </w:r>
      <w:r w:rsidR="00CE3D09" w:rsidRPr="00A83C94">
        <w:rPr>
          <w:rFonts w:cs="Sylfaen"/>
          <w:b w:val="0"/>
          <w:szCs w:val="22"/>
          <w:lang w:val="hy-AM" w:eastAsia="en-US"/>
        </w:rPr>
        <w:t>%</w:t>
      </w:r>
      <w:r w:rsidRPr="00A83C94">
        <w:rPr>
          <w:rFonts w:cs="Sylfaen"/>
          <w:b w:val="0"/>
          <w:szCs w:val="22"/>
          <w:lang w:val="hy-AM" w:eastAsia="en-US"/>
        </w:rPr>
        <w:t>-ը կամ 1</w:t>
      </w:r>
      <w:r w:rsidR="00B64746" w:rsidRPr="00A83C94">
        <w:rPr>
          <w:rFonts w:cs="Sylfaen"/>
          <w:b w:val="0"/>
          <w:szCs w:val="22"/>
          <w:lang w:val="hy-AM" w:eastAsia="en-US"/>
        </w:rPr>
        <w:t>,</w:t>
      </w:r>
      <w:r w:rsidR="0088445B" w:rsidRPr="00A83C94">
        <w:rPr>
          <w:rFonts w:cs="Sylfaen"/>
          <w:b w:val="0"/>
          <w:szCs w:val="22"/>
          <w:lang w:val="hy-AM" w:eastAsia="en-US"/>
        </w:rPr>
        <w:t>8</w:t>
      </w:r>
      <w:r w:rsidR="00D94D7A" w:rsidRPr="00A83C94">
        <w:rPr>
          <w:rFonts w:cs="Sylfaen"/>
          <w:b w:val="0"/>
          <w:szCs w:val="22"/>
          <w:lang w:val="hy-AM" w:eastAsia="en-US"/>
        </w:rPr>
        <w:t>4</w:t>
      </w:r>
      <w:r w:rsidR="0088445B" w:rsidRPr="00A83C94">
        <w:rPr>
          <w:rFonts w:cs="Sylfaen"/>
          <w:b w:val="0"/>
          <w:szCs w:val="22"/>
          <w:lang w:val="hy-AM" w:eastAsia="en-US"/>
        </w:rPr>
        <w:t>2</w:t>
      </w:r>
      <w:r w:rsidR="00465ED9" w:rsidRPr="00A83C94">
        <w:rPr>
          <w:rFonts w:cs="Sylfaen"/>
          <w:b w:val="0"/>
          <w:szCs w:val="22"/>
          <w:lang w:val="hy-AM" w:eastAsia="en-US"/>
        </w:rPr>
        <w:t>.</w:t>
      </w:r>
      <w:r w:rsidR="00866F8F" w:rsidRPr="00866F8F">
        <w:rPr>
          <w:rFonts w:cs="Sylfaen"/>
          <w:b w:val="0"/>
          <w:szCs w:val="22"/>
          <w:lang w:val="af-ZA" w:eastAsia="en-US"/>
        </w:rPr>
        <w:t>7</w:t>
      </w:r>
      <w:r w:rsidR="00CE3D09" w:rsidRPr="00A83C94">
        <w:rPr>
          <w:rFonts w:cs="Sylfaen"/>
          <w:b w:val="0"/>
          <w:szCs w:val="22"/>
          <w:lang w:val="hy-AM" w:eastAsia="en-US"/>
        </w:rPr>
        <w:t xml:space="preserve"> </w:t>
      </w:r>
      <w:r w:rsidRPr="00A83C94">
        <w:rPr>
          <w:rFonts w:cs="Sylfaen"/>
          <w:b w:val="0"/>
          <w:szCs w:val="22"/>
          <w:lang w:val="hy-AM" w:eastAsia="en-US"/>
        </w:rPr>
        <w:t>մլրդ դրամը բա</w:t>
      </w:r>
      <w:r w:rsidRPr="00A83C94">
        <w:rPr>
          <w:rFonts w:cs="Sylfaen"/>
          <w:b w:val="0"/>
          <w:szCs w:val="22"/>
          <w:lang w:val="hy-AM" w:eastAsia="en-US"/>
        </w:rPr>
        <w:softHyphen/>
        <w:t xml:space="preserve">ժին </w:t>
      </w:r>
      <w:r w:rsidR="007F5120" w:rsidRPr="00A83C94">
        <w:rPr>
          <w:rFonts w:cs="Sylfaen"/>
          <w:b w:val="0"/>
          <w:szCs w:val="22"/>
          <w:lang w:val="hy-AM" w:eastAsia="en-US"/>
        </w:rPr>
        <w:t>է ընկ</w:t>
      </w:r>
      <w:r w:rsidR="007F5120" w:rsidRPr="00A83C94">
        <w:rPr>
          <w:rFonts w:cs="Sylfaen"/>
          <w:b w:val="0"/>
          <w:szCs w:val="22"/>
          <w:lang w:val="hy-AM" w:eastAsia="en-US"/>
        </w:rPr>
        <w:softHyphen/>
        <w:t>նում ըն</w:t>
      </w:r>
      <w:r w:rsidR="007F5120" w:rsidRPr="00A83C94">
        <w:rPr>
          <w:rFonts w:cs="Sylfaen"/>
          <w:b w:val="0"/>
          <w:szCs w:val="22"/>
          <w:lang w:val="hy-AM" w:eastAsia="en-US"/>
        </w:rPr>
        <w:softHyphen/>
        <w:t xml:space="preserve">թացիկ ծախսերին, </w:t>
      </w:r>
      <w:r w:rsidR="00413FFC">
        <w:rPr>
          <w:rFonts w:cs="Sylfaen"/>
          <w:b w:val="0"/>
          <w:szCs w:val="22"/>
          <w:lang w:val="af-ZA" w:eastAsia="en-US"/>
        </w:rPr>
        <w:t>15</w:t>
      </w:r>
      <w:r w:rsidR="00413FFC" w:rsidRPr="00413FFC">
        <w:rPr>
          <w:rFonts w:cs="Sylfaen"/>
          <w:b w:val="0"/>
          <w:szCs w:val="22"/>
          <w:lang w:val="af-ZA" w:eastAsia="en-US"/>
        </w:rPr>
        <w:t>.</w:t>
      </w:r>
      <w:r w:rsidR="00413FFC">
        <w:rPr>
          <w:rFonts w:cs="Sylfaen"/>
          <w:b w:val="0"/>
          <w:szCs w:val="22"/>
          <w:lang w:val="af-ZA" w:eastAsia="en-US"/>
        </w:rPr>
        <w:t>8</w:t>
      </w:r>
      <w:r w:rsidRPr="00A83C94">
        <w:rPr>
          <w:rFonts w:cs="Sylfaen"/>
          <w:b w:val="0"/>
          <w:szCs w:val="22"/>
          <w:lang w:val="hy-AM" w:eastAsia="en-US"/>
        </w:rPr>
        <w:t xml:space="preserve">%-ը կամ </w:t>
      </w:r>
      <w:r w:rsidR="0088445B" w:rsidRPr="00A83C94">
        <w:rPr>
          <w:rFonts w:cs="Sylfaen"/>
          <w:b w:val="0"/>
          <w:szCs w:val="22"/>
          <w:lang w:val="hy-AM" w:eastAsia="en-US"/>
        </w:rPr>
        <w:t>3</w:t>
      </w:r>
      <w:r w:rsidR="00413FFC" w:rsidRPr="00413FFC">
        <w:rPr>
          <w:rFonts w:cs="Sylfaen"/>
          <w:b w:val="0"/>
          <w:szCs w:val="22"/>
          <w:lang w:val="af-ZA" w:eastAsia="en-US"/>
        </w:rPr>
        <w:t>4</w:t>
      </w:r>
      <w:r w:rsidR="0088445B" w:rsidRPr="00A83C94">
        <w:rPr>
          <w:rFonts w:cs="Sylfaen"/>
          <w:b w:val="0"/>
          <w:szCs w:val="22"/>
          <w:lang w:val="hy-AM" w:eastAsia="en-US"/>
        </w:rPr>
        <w:t>6</w:t>
      </w:r>
      <w:r w:rsidR="00BE45D6" w:rsidRPr="00A83C94">
        <w:rPr>
          <w:rFonts w:cs="Sylfaen"/>
          <w:b w:val="0"/>
          <w:szCs w:val="22"/>
          <w:lang w:val="hy-AM" w:eastAsia="en-US"/>
        </w:rPr>
        <w:t>.</w:t>
      </w:r>
      <w:r w:rsidR="00413FFC" w:rsidRPr="00413FFC">
        <w:rPr>
          <w:rFonts w:cs="Sylfaen"/>
          <w:b w:val="0"/>
          <w:szCs w:val="22"/>
          <w:lang w:val="af-ZA" w:eastAsia="en-US"/>
        </w:rPr>
        <w:t>5</w:t>
      </w:r>
      <w:r w:rsidRPr="00A83C94">
        <w:rPr>
          <w:rFonts w:cs="Sylfaen"/>
          <w:b w:val="0"/>
          <w:szCs w:val="22"/>
          <w:lang w:val="hy-AM" w:eastAsia="en-US"/>
        </w:rPr>
        <w:t xml:space="preserve"> մլրդ դրամը՝ ոչ ֆինանսական ակ</w:t>
      </w:r>
      <w:r w:rsidR="00BE45D6" w:rsidRPr="00A83C94">
        <w:rPr>
          <w:rFonts w:cs="Sylfaen"/>
          <w:b w:val="0"/>
          <w:szCs w:val="22"/>
          <w:lang w:val="hy-AM" w:eastAsia="en-US"/>
        </w:rPr>
        <w:softHyphen/>
      </w:r>
      <w:r w:rsidRPr="00A83C94">
        <w:rPr>
          <w:rFonts w:cs="Sylfaen"/>
          <w:b w:val="0"/>
          <w:szCs w:val="22"/>
          <w:lang w:val="hy-AM" w:eastAsia="en-US"/>
        </w:rPr>
        <w:t>տիվ</w:t>
      </w:r>
      <w:r w:rsidR="00BE45D6" w:rsidRPr="00A83C94">
        <w:rPr>
          <w:rFonts w:cs="Sylfaen"/>
          <w:b w:val="0"/>
          <w:szCs w:val="22"/>
          <w:lang w:val="hy-AM" w:eastAsia="en-US"/>
        </w:rPr>
        <w:softHyphen/>
      </w:r>
      <w:r w:rsidRPr="00A83C94">
        <w:rPr>
          <w:rFonts w:cs="Sylfaen"/>
          <w:b w:val="0"/>
          <w:szCs w:val="22"/>
          <w:lang w:val="hy-AM" w:eastAsia="en-US"/>
        </w:rPr>
        <w:softHyphen/>
      </w:r>
      <w:r w:rsidR="00BE45D6" w:rsidRPr="00A83C94">
        <w:rPr>
          <w:rFonts w:cs="Sylfaen"/>
          <w:b w:val="0"/>
          <w:szCs w:val="22"/>
          <w:lang w:val="hy-AM" w:eastAsia="en-US"/>
        </w:rPr>
        <w:softHyphen/>
      </w:r>
      <w:r w:rsidRPr="00A83C94">
        <w:rPr>
          <w:rFonts w:cs="Sylfaen"/>
          <w:b w:val="0"/>
          <w:szCs w:val="22"/>
          <w:lang w:val="hy-AM" w:eastAsia="en-US"/>
        </w:rPr>
        <w:t>ների գծով զուտ ծախ</w:t>
      </w:r>
      <w:r w:rsidRPr="00A83C94">
        <w:rPr>
          <w:rFonts w:cs="Sylfaen"/>
          <w:b w:val="0"/>
          <w:szCs w:val="22"/>
          <w:lang w:val="hy-AM" w:eastAsia="en-US"/>
        </w:rPr>
        <w:softHyphen/>
        <w:t>սերին: ՀՀ 20</w:t>
      </w:r>
      <w:r w:rsidR="00D907FB" w:rsidRPr="00A83C94">
        <w:rPr>
          <w:rFonts w:cs="Sylfaen"/>
          <w:b w:val="0"/>
          <w:szCs w:val="22"/>
          <w:lang w:val="hy-AM" w:eastAsia="en-US"/>
        </w:rPr>
        <w:t>2</w:t>
      </w:r>
      <w:r w:rsidR="0088445B" w:rsidRPr="00A83C94">
        <w:rPr>
          <w:rFonts w:cs="Sylfaen"/>
          <w:b w:val="0"/>
          <w:szCs w:val="22"/>
          <w:lang w:val="hy-AM" w:eastAsia="en-US"/>
        </w:rPr>
        <w:t>2</w:t>
      </w:r>
      <w:r w:rsidRPr="00A83C94">
        <w:rPr>
          <w:rFonts w:cs="Sylfaen"/>
          <w:b w:val="0"/>
          <w:szCs w:val="22"/>
          <w:lang w:val="hy-AM" w:eastAsia="en-US"/>
        </w:rPr>
        <w:t xml:space="preserve"> թվականի պետական բյուջեի նախագծի ծախ</w:t>
      </w:r>
      <w:r w:rsidR="00BE45D6" w:rsidRPr="00A83C94">
        <w:rPr>
          <w:rFonts w:cs="Sylfaen"/>
          <w:b w:val="0"/>
          <w:szCs w:val="22"/>
          <w:lang w:val="hy-AM" w:eastAsia="en-US"/>
        </w:rPr>
        <w:softHyphen/>
      </w:r>
      <w:r w:rsidRPr="00A83C94">
        <w:rPr>
          <w:rFonts w:cs="Sylfaen"/>
          <w:b w:val="0"/>
          <w:szCs w:val="22"/>
          <w:lang w:val="hy-AM" w:eastAsia="en-US"/>
        </w:rPr>
        <w:t>սա</w:t>
      </w:r>
      <w:r w:rsidR="00BE45D6" w:rsidRPr="00A83C94">
        <w:rPr>
          <w:rFonts w:cs="Sylfaen"/>
          <w:b w:val="0"/>
          <w:szCs w:val="22"/>
          <w:lang w:val="hy-AM" w:eastAsia="en-US"/>
        </w:rPr>
        <w:softHyphen/>
      </w:r>
      <w:r w:rsidRPr="00A83C94">
        <w:rPr>
          <w:rFonts w:cs="Sylfaen"/>
          <w:b w:val="0"/>
          <w:szCs w:val="22"/>
          <w:lang w:val="hy-AM" w:eastAsia="en-US"/>
        </w:rPr>
        <w:t>յին մասը ՀՀ 20</w:t>
      </w:r>
      <w:r w:rsidR="00CE3D09" w:rsidRPr="00A83C94">
        <w:rPr>
          <w:rFonts w:cs="Sylfaen"/>
          <w:b w:val="0"/>
          <w:szCs w:val="22"/>
          <w:lang w:val="hy-AM" w:eastAsia="en-US"/>
        </w:rPr>
        <w:t>2</w:t>
      </w:r>
      <w:r w:rsidR="0088445B" w:rsidRPr="00A83C94">
        <w:rPr>
          <w:rFonts w:cs="Sylfaen"/>
          <w:b w:val="0"/>
          <w:szCs w:val="22"/>
          <w:lang w:val="hy-AM" w:eastAsia="en-US"/>
        </w:rPr>
        <w:t>1</w:t>
      </w:r>
      <w:r w:rsidRPr="00A83C94">
        <w:rPr>
          <w:rFonts w:cs="Sylfaen"/>
          <w:b w:val="0"/>
          <w:szCs w:val="22"/>
          <w:lang w:val="hy-AM" w:eastAsia="en-US"/>
        </w:rPr>
        <w:t xml:space="preserve"> թվականի պե</w:t>
      </w:r>
      <w:r w:rsidRPr="00A83C94">
        <w:rPr>
          <w:rFonts w:cs="Sylfaen"/>
          <w:b w:val="0"/>
          <w:szCs w:val="22"/>
          <w:lang w:val="hy-AM" w:eastAsia="en-US"/>
        </w:rPr>
        <w:softHyphen/>
        <w:t>տա</w:t>
      </w:r>
      <w:r w:rsidRPr="00A83C94">
        <w:rPr>
          <w:rFonts w:cs="Sylfaen"/>
          <w:b w:val="0"/>
          <w:szCs w:val="22"/>
          <w:lang w:val="hy-AM" w:eastAsia="en-US"/>
        </w:rPr>
        <w:softHyphen/>
        <w:t xml:space="preserve">կան բյուջեի </w:t>
      </w:r>
      <w:r w:rsidR="00CE3D09" w:rsidRPr="00A83C94">
        <w:rPr>
          <w:rFonts w:cs="Sylfaen"/>
          <w:b w:val="0"/>
          <w:szCs w:val="22"/>
          <w:lang w:val="hy-AM" w:eastAsia="en-US"/>
        </w:rPr>
        <w:t>հաստատված</w:t>
      </w:r>
      <w:r w:rsidRPr="00A83C94">
        <w:rPr>
          <w:rFonts w:cs="Sylfaen"/>
          <w:b w:val="0"/>
          <w:szCs w:val="22"/>
          <w:lang w:val="hy-AM" w:eastAsia="en-US"/>
        </w:rPr>
        <w:t xml:space="preserve"> մակարդակի համեմատ </w:t>
      </w:r>
      <w:r w:rsidR="005A319E" w:rsidRPr="00A83C94">
        <w:rPr>
          <w:rFonts w:cs="Sylfaen"/>
          <w:b w:val="0"/>
          <w:szCs w:val="22"/>
          <w:lang w:val="hy-AM" w:eastAsia="en-US"/>
        </w:rPr>
        <w:t>ավելացել</w:t>
      </w:r>
      <w:r w:rsidRPr="00A83C94">
        <w:rPr>
          <w:rFonts w:cs="Sylfaen"/>
          <w:b w:val="0"/>
          <w:szCs w:val="22"/>
          <w:lang w:val="hy-AM" w:eastAsia="en-US"/>
        </w:rPr>
        <w:t xml:space="preserve"> է շուրջ </w:t>
      </w:r>
      <w:r w:rsidR="005A319E" w:rsidRPr="00A83C94">
        <w:rPr>
          <w:rFonts w:cs="Sylfaen"/>
          <w:b w:val="0"/>
          <w:szCs w:val="22"/>
          <w:lang w:val="hy-AM" w:eastAsia="en-US"/>
        </w:rPr>
        <w:t>3</w:t>
      </w:r>
      <w:r w:rsidR="00413FFC" w:rsidRPr="00413FFC">
        <w:rPr>
          <w:rFonts w:cs="Sylfaen"/>
          <w:b w:val="0"/>
          <w:szCs w:val="22"/>
          <w:lang w:val="af-ZA" w:eastAsia="en-US"/>
        </w:rPr>
        <w:t>38</w:t>
      </w:r>
      <w:r w:rsidR="00413FFC">
        <w:rPr>
          <w:rFonts w:cs="Sylfaen"/>
          <w:b w:val="0"/>
          <w:szCs w:val="22"/>
          <w:lang w:val="hy-AM" w:eastAsia="en-US"/>
        </w:rPr>
        <w:t xml:space="preserve"> </w:t>
      </w:r>
      <w:r w:rsidRPr="00A83C94">
        <w:rPr>
          <w:rFonts w:cs="Sylfaen"/>
          <w:b w:val="0"/>
          <w:szCs w:val="22"/>
          <w:lang w:val="hy-AM" w:eastAsia="en-US"/>
        </w:rPr>
        <w:t xml:space="preserve">մլրդ դրամով: </w:t>
      </w:r>
    </w:p>
    <w:p w14:paraId="7E9C0C24" w14:textId="0E2EFF8E" w:rsidR="0075265B" w:rsidRPr="00A83C94" w:rsidRDefault="0075265B" w:rsidP="007730AA">
      <w:pPr>
        <w:spacing w:before="0" w:line="276" w:lineRule="auto"/>
        <w:rPr>
          <w:rFonts w:cs="Sylfaen"/>
          <w:b w:val="0"/>
          <w:szCs w:val="22"/>
          <w:lang w:val="hy-AM" w:eastAsia="en-US"/>
        </w:rPr>
      </w:pPr>
      <w:r w:rsidRPr="00A83C94">
        <w:rPr>
          <w:rFonts w:cs="Sylfaen"/>
          <w:b w:val="0"/>
          <w:szCs w:val="22"/>
          <w:lang w:val="hy-AM" w:eastAsia="en-US"/>
        </w:rPr>
        <w:t>Նախագծով առաջարկվող բյուջետային ծախսերի ծավալները, կազմն ու կառուցվա</w:t>
      </w:r>
      <w:r w:rsidR="00D907FB" w:rsidRPr="00A83C94">
        <w:rPr>
          <w:rFonts w:cs="Sylfaen"/>
          <w:b w:val="0"/>
          <w:szCs w:val="22"/>
          <w:lang w:val="hy-AM" w:eastAsia="en-US"/>
        </w:rPr>
        <w:t>ծքը ձևա</w:t>
      </w:r>
      <w:r w:rsidR="00D907FB" w:rsidRPr="00A83C94">
        <w:rPr>
          <w:rFonts w:cs="Sylfaen"/>
          <w:b w:val="0"/>
          <w:szCs w:val="22"/>
          <w:lang w:val="hy-AM" w:eastAsia="en-US"/>
        </w:rPr>
        <w:softHyphen/>
      </w:r>
      <w:r w:rsidR="00D907FB" w:rsidRPr="00A83C94">
        <w:rPr>
          <w:rFonts w:cs="Sylfaen"/>
          <w:b w:val="0"/>
          <w:szCs w:val="22"/>
          <w:lang w:val="hy-AM" w:eastAsia="en-US"/>
        </w:rPr>
        <w:softHyphen/>
      </w:r>
      <w:r w:rsidR="00D907FB" w:rsidRPr="00A83C94">
        <w:rPr>
          <w:rFonts w:cs="Sylfaen"/>
          <w:b w:val="0"/>
          <w:szCs w:val="22"/>
          <w:lang w:val="hy-AM" w:eastAsia="en-US"/>
        </w:rPr>
        <w:softHyphen/>
        <w:t>վոր</w:t>
      </w:r>
      <w:r w:rsidR="00D907FB" w:rsidRPr="00A83C94">
        <w:rPr>
          <w:rFonts w:cs="Sylfaen"/>
          <w:b w:val="0"/>
          <w:szCs w:val="22"/>
          <w:lang w:val="hy-AM" w:eastAsia="en-US"/>
        </w:rPr>
        <w:softHyphen/>
        <w:t>վել են ելնելով 202</w:t>
      </w:r>
      <w:r w:rsidR="009A1774" w:rsidRPr="00A83C94">
        <w:rPr>
          <w:rFonts w:cs="Sylfaen"/>
          <w:b w:val="0"/>
          <w:szCs w:val="22"/>
          <w:lang w:val="hy-AM" w:eastAsia="en-US"/>
        </w:rPr>
        <w:t>2</w:t>
      </w:r>
      <w:r w:rsidRPr="00A83C94">
        <w:rPr>
          <w:rFonts w:cs="Sylfaen"/>
          <w:b w:val="0"/>
          <w:szCs w:val="22"/>
          <w:lang w:val="hy-AM" w:eastAsia="en-US"/>
        </w:rPr>
        <w:t xml:space="preserve"> թվականի մակրոտնտեսական կանխա</w:t>
      </w:r>
      <w:r w:rsidRPr="00A83C94">
        <w:rPr>
          <w:rFonts w:cs="Sylfaen"/>
          <w:b w:val="0"/>
          <w:szCs w:val="22"/>
          <w:lang w:val="hy-AM" w:eastAsia="en-US"/>
        </w:rPr>
        <w:softHyphen/>
        <w:t>տեսումներից, գների և սա</w:t>
      </w:r>
      <w:r w:rsidRPr="00A83C94">
        <w:rPr>
          <w:rFonts w:cs="Sylfaen"/>
          <w:b w:val="0"/>
          <w:szCs w:val="22"/>
          <w:lang w:val="hy-AM" w:eastAsia="en-US"/>
        </w:rPr>
        <w:softHyphen/>
        <w:t>կագների կանխատեսվող ցուցանիշներից, հանրապետու</w:t>
      </w:r>
      <w:r w:rsidRPr="00A83C94">
        <w:rPr>
          <w:rFonts w:cs="Sylfaen"/>
          <w:b w:val="0"/>
          <w:szCs w:val="22"/>
          <w:lang w:val="hy-AM" w:eastAsia="en-US"/>
        </w:rPr>
        <w:softHyphen/>
        <w:t>թյունում տնտեսական հարա</w:t>
      </w:r>
      <w:r w:rsidRPr="00A83C94">
        <w:rPr>
          <w:rFonts w:cs="Sylfaen"/>
          <w:b w:val="0"/>
          <w:szCs w:val="22"/>
          <w:lang w:val="hy-AM" w:eastAsia="en-US"/>
        </w:rPr>
        <w:softHyphen/>
        <w:t>բե</w:t>
      </w:r>
      <w:r w:rsidRPr="00A83C94">
        <w:rPr>
          <w:rFonts w:cs="Sylfaen"/>
          <w:b w:val="0"/>
          <w:szCs w:val="22"/>
          <w:lang w:val="hy-AM" w:eastAsia="en-US"/>
        </w:rPr>
        <w:softHyphen/>
        <w:t>րու</w:t>
      </w:r>
      <w:r w:rsidRPr="00A83C94">
        <w:rPr>
          <w:rFonts w:cs="Sylfaen"/>
          <w:b w:val="0"/>
          <w:szCs w:val="22"/>
          <w:lang w:val="hy-AM" w:eastAsia="en-US"/>
        </w:rPr>
        <w:softHyphen/>
      </w:r>
      <w:r w:rsidRPr="00A83C94">
        <w:rPr>
          <w:rFonts w:cs="Sylfaen"/>
          <w:b w:val="0"/>
          <w:szCs w:val="22"/>
          <w:lang w:val="hy-AM" w:eastAsia="en-US"/>
        </w:rPr>
        <w:softHyphen/>
        <w:t>թյուն</w:t>
      </w:r>
      <w:r w:rsidRPr="00A83C94">
        <w:rPr>
          <w:rFonts w:cs="Sylfaen"/>
          <w:b w:val="0"/>
          <w:szCs w:val="22"/>
          <w:lang w:val="hy-AM" w:eastAsia="en-US"/>
        </w:rPr>
        <w:softHyphen/>
      </w:r>
      <w:r w:rsidRPr="00A83C94">
        <w:rPr>
          <w:rFonts w:cs="Sylfaen"/>
          <w:b w:val="0"/>
          <w:szCs w:val="22"/>
          <w:lang w:val="hy-AM" w:eastAsia="en-US"/>
        </w:rPr>
        <w:softHyphen/>
        <w:t>ների բնա</w:t>
      </w:r>
      <w:r w:rsidRPr="00A83C94">
        <w:rPr>
          <w:rFonts w:cs="Sylfaen"/>
          <w:b w:val="0"/>
          <w:szCs w:val="22"/>
          <w:lang w:val="hy-AM" w:eastAsia="en-US"/>
        </w:rPr>
        <w:softHyphen/>
        <w:t>կա</w:t>
      </w:r>
      <w:r w:rsidRPr="00A83C94">
        <w:rPr>
          <w:rFonts w:cs="Sylfaen"/>
          <w:b w:val="0"/>
          <w:szCs w:val="22"/>
          <w:lang w:val="hy-AM" w:eastAsia="en-US"/>
        </w:rPr>
        <w:softHyphen/>
        <w:t>նոն ընթացքը խաթարող նոր բյուջետային պարտքերի չառաջացման ան</w:t>
      </w:r>
      <w:r w:rsidRPr="00A83C94">
        <w:rPr>
          <w:rFonts w:cs="Sylfaen"/>
          <w:b w:val="0"/>
          <w:szCs w:val="22"/>
          <w:lang w:val="hy-AM" w:eastAsia="en-US"/>
        </w:rPr>
        <w:softHyphen/>
        <w:t>հրա</w:t>
      </w:r>
      <w:r w:rsidRPr="00A83C94">
        <w:rPr>
          <w:rFonts w:cs="Sylfaen"/>
          <w:b w:val="0"/>
          <w:szCs w:val="22"/>
          <w:lang w:val="hy-AM" w:eastAsia="en-US"/>
        </w:rPr>
        <w:softHyphen/>
      </w:r>
      <w:r w:rsidRPr="00A83C94">
        <w:rPr>
          <w:rFonts w:cs="Sylfaen"/>
          <w:b w:val="0"/>
          <w:szCs w:val="22"/>
          <w:lang w:val="hy-AM" w:eastAsia="en-US"/>
        </w:rPr>
        <w:softHyphen/>
        <w:t>ժեշտությունից ու առանձին ծախսա</w:t>
      </w:r>
      <w:r w:rsidRPr="00A83C94">
        <w:rPr>
          <w:rFonts w:cs="Sylfaen"/>
          <w:b w:val="0"/>
          <w:szCs w:val="22"/>
          <w:lang w:val="hy-AM" w:eastAsia="en-US"/>
        </w:rPr>
        <w:softHyphen/>
        <w:t>տե</w:t>
      </w:r>
      <w:r w:rsidRPr="00A83C94">
        <w:rPr>
          <w:rFonts w:cs="Sylfaen"/>
          <w:b w:val="0"/>
          <w:szCs w:val="22"/>
          <w:lang w:val="hy-AM" w:eastAsia="en-US"/>
        </w:rPr>
        <w:softHyphen/>
        <w:t>սակների գծով մշակված բյուջետային նոր</w:t>
      </w:r>
      <w:r w:rsidRPr="00A83C94">
        <w:rPr>
          <w:rFonts w:cs="Sylfaen"/>
          <w:b w:val="0"/>
          <w:szCs w:val="22"/>
          <w:lang w:val="hy-AM" w:eastAsia="en-US"/>
        </w:rPr>
        <w:softHyphen/>
        <w:t>մատի</w:t>
      </w:r>
      <w:r w:rsidRPr="00A83C94">
        <w:rPr>
          <w:rFonts w:cs="Sylfaen"/>
          <w:b w:val="0"/>
          <w:szCs w:val="22"/>
          <w:lang w:val="hy-AM" w:eastAsia="en-US"/>
        </w:rPr>
        <w:softHyphen/>
        <w:t>վ</w:t>
      </w:r>
      <w:r w:rsidRPr="00A83C94">
        <w:rPr>
          <w:rFonts w:cs="Sylfaen"/>
          <w:b w:val="0"/>
          <w:szCs w:val="22"/>
          <w:lang w:val="hy-AM" w:eastAsia="en-US"/>
        </w:rPr>
        <w:softHyphen/>
        <w:t>նե</w:t>
      </w:r>
      <w:r w:rsidRPr="00A83C94">
        <w:rPr>
          <w:rFonts w:cs="Sylfaen"/>
          <w:b w:val="0"/>
          <w:szCs w:val="22"/>
          <w:lang w:val="hy-AM" w:eastAsia="en-US"/>
        </w:rPr>
        <w:softHyphen/>
        <w:t>րից:</w:t>
      </w:r>
    </w:p>
    <w:p w14:paraId="438AC879" w14:textId="5F27E0A4" w:rsidR="00FC44D9" w:rsidRPr="00A83C94" w:rsidRDefault="0075265B" w:rsidP="00A5558B">
      <w:pPr>
        <w:pStyle w:val="BodyText2"/>
      </w:pPr>
      <w:r w:rsidRPr="00A83C94">
        <w:t>«Հայաստանի Հանրապետության 20</w:t>
      </w:r>
      <w:r w:rsidR="00D907FB" w:rsidRPr="00A83C94">
        <w:t>2</w:t>
      </w:r>
      <w:r w:rsidR="002C26F9" w:rsidRPr="00A83C94">
        <w:t>2</w:t>
      </w:r>
      <w:r w:rsidRPr="00A83C94">
        <w:t xml:space="preserve"> թվականի պետական բյուջեի մասին» ՀՀ օրեն</w:t>
      </w:r>
      <w:r w:rsidRPr="00A83C94">
        <w:softHyphen/>
        <w:t>քի նա</w:t>
      </w:r>
      <w:r w:rsidRPr="00A83C94">
        <w:softHyphen/>
        <w:t>խագ</w:t>
      </w:r>
      <w:r w:rsidR="00D907FB" w:rsidRPr="00A83C94">
        <w:t>ի</w:t>
      </w:r>
      <w:r w:rsidRPr="00A83C94">
        <w:t>ծը</w:t>
      </w:r>
      <w:r w:rsidR="001E6978" w:rsidRPr="00A83C94">
        <w:t xml:space="preserve"> </w:t>
      </w:r>
      <w:r w:rsidRPr="00A83C94">
        <w:t>կազմվել է Ծրագրային բյուջետավորման</w:t>
      </w:r>
      <w:r w:rsidR="001E6978" w:rsidRPr="00A83C94">
        <w:t xml:space="preserve"> </w:t>
      </w:r>
      <w:r w:rsidRPr="00A83C94">
        <w:t>ձևաչափով՝</w:t>
      </w:r>
      <w:r w:rsidR="001E6978" w:rsidRPr="00A83C94">
        <w:t xml:space="preserve"> </w:t>
      </w:r>
      <w:r w:rsidRPr="00A83C94">
        <w:t>«Հայաստանի Հանրապետու</w:t>
      </w:r>
      <w:r w:rsidR="00B330BE" w:rsidRPr="00A83C94">
        <w:softHyphen/>
      </w:r>
      <w:r w:rsidRPr="00A83C94">
        <w:t>թյան բյուջետային</w:t>
      </w:r>
      <w:r w:rsidR="001E6978" w:rsidRPr="00A83C94">
        <w:t xml:space="preserve"> </w:t>
      </w:r>
      <w:r w:rsidRPr="00A83C94">
        <w:t>համակարգի</w:t>
      </w:r>
      <w:r w:rsidR="001E6978" w:rsidRPr="00A83C94">
        <w:t xml:space="preserve"> </w:t>
      </w:r>
      <w:r w:rsidRPr="00A83C94">
        <w:t>մաս</w:t>
      </w:r>
      <w:r w:rsidR="00C9600C" w:rsidRPr="00A83C94">
        <w:t>ին» ՀՀ</w:t>
      </w:r>
      <w:r w:rsidR="004630AC" w:rsidRPr="00A83C94">
        <w:t xml:space="preserve"> </w:t>
      </w:r>
      <w:r w:rsidR="00C9600C" w:rsidRPr="00A83C94">
        <w:t xml:space="preserve"> օրենքի </w:t>
      </w:r>
      <w:r w:rsidRPr="00A83C94">
        <w:t>պահանջ</w:t>
      </w:r>
      <w:r w:rsidR="004630AC" w:rsidRPr="00A83C94">
        <w:softHyphen/>
      </w:r>
      <w:r w:rsidRPr="00A83C94">
        <w:t>ներին</w:t>
      </w:r>
      <w:r w:rsidR="001E6978" w:rsidRPr="00A83C94">
        <w:t xml:space="preserve"> </w:t>
      </w:r>
      <w:r w:rsidRPr="00A83C94">
        <w:t>համահունչ,</w:t>
      </w:r>
      <w:r w:rsidR="001E6978" w:rsidRPr="00A83C94">
        <w:t xml:space="preserve"> </w:t>
      </w:r>
      <w:r w:rsidRPr="00A83C94">
        <w:t>ապահովելով ծրագրայ</w:t>
      </w:r>
      <w:r w:rsidR="00C9600C" w:rsidRPr="00A83C94">
        <w:t xml:space="preserve">ին բյուջետավորման սկզբունքների </w:t>
      </w:r>
      <w:r w:rsidRPr="00A83C94">
        <w:t>ամբողջական ներդրումը: Ծրագրային բյուջետա</w:t>
      </w:r>
      <w:r w:rsidR="004630AC" w:rsidRPr="00A83C94">
        <w:softHyphen/>
      </w:r>
      <w:r w:rsidRPr="00A83C94">
        <w:t>վոր</w:t>
      </w:r>
      <w:r w:rsidR="004630AC" w:rsidRPr="00A83C94">
        <w:softHyphen/>
      </w:r>
      <w:r w:rsidRPr="00A83C94">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A83C94">
        <w:softHyphen/>
      </w:r>
      <w:r w:rsidRPr="00A83C94">
        <w:t>կանությունը, արդյունավետությունը և արդյունքայնությունը, ինչպես նաև բյուջետային տեղեկատվությունը ներկայացնել այնպիսի ձևաչափով, որը</w:t>
      </w:r>
      <w:r w:rsidR="001E6978" w:rsidRPr="00A83C94">
        <w:t xml:space="preserve"> </w:t>
      </w:r>
      <w:r w:rsidRPr="00A83C94">
        <w:t>հնարավոր կդարձնի վերահսկել, թե ինչպես է բյուջեն օգտագործվում ընդունված քաղաքա</w:t>
      </w:r>
      <w:r w:rsidR="004630AC" w:rsidRPr="00A83C94">
        <w:softHyphen/>
      </w:r>
      <w:r w:rsidRPr="00A83C94">
        <w:t>կանություններն իրականաց</w:t>
      </w:r>
      <w:r w:rsidRPr="00A83C94">
        <w:softHyphen/>
        <w:t>նելու համար: Փոփոխությունները</w:t>
      </w:r>
      <w:r w:rsidR="001E6978" w:rsidRPr="00A83C94">
        <w:t xml:space="preserve"> </w:t>
      </w:r>
      <w:r w:rsidRPr="00A83C94">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p>
    <w:p w14:paraId="3E39AC7D" w14:textId="7AA75FA9" w:rsidR="004630AC" w:rsidRPr="00A83C94" w:rsidRDefault="004630AC" w:rsidP="00A5558B">
      <w:pPr>
        <w:pStyle w:val="BodyText2"/>
        <w:rPr>
          <w:rFonts w:cs="Times Armenian"/>
          <w:color w:val="000000"/>
        </w:rPr>
      </w:pPr>
      <w:r w:rsidRPr="00A83C94">
        <w:t>ՀՀ 20</w:t>
      </w:r>
      <w:r w:rsidR="005B556E" w:rsidRPr="00A83C94">
        <w:t>2</w:t>
      </w:r>
      <w:r w:rsidR="002C26F9" w:rsidRPr="00A83C94">
        <w:t>2</w:t>
      </w:r>
      <w:r w:rsidRPr="00A83C94">
        <w:t xml:space="preserve"> թվականի պետական բյուջեի նախագծով </w:t>
      </w:r>
      <w:r w:rsidR="005D70C0" w:rsidRPr="00A83C94">
        <w:t>ելքային</w:t>
      </w:r>
      <w:r w:rsidRPr="00A83C94">
        <w:t xml:space="preserve"> ծրագրերի </w:t>
      </w:r>
      <w:r w:rsidR="005D70C0" w:rsidRPr="00A83C94">
        <w:t xml:space="preserve">և միջոցառումների գծով արդյունքային (կատարողական) ցուցանիշներն ու ծախսային </w:t>
      </w:r>
      <w:r w:rsidRPr="00A83C94">
        <w:t xml:space="preserve"> ծրագր</w:t>
      </w:r>
      <w:r w:rsidR="005D70C0" w:rsidRPr="00A83C94">
        <w:t>երի գծով վերջնական արդյունքային ցուցանիշները</w:t>
      </w:r>
      <w:r w:rsidRPr="00A83C94">
        <w:t xml:space="preserve"> ներկայացված են համապատասխանաբար սույն բա</w:t>
      </w:r>
      <w:r w:rsidRPr="00A83C94">
        <w:softHyphen/>
        <w:t xml:space="preserve">ցատրագրի NN </w:t>
      </w:r>
      <w:r w:rsidR="007D2ACE" w:rsidRPr="00A83C94">
        <w:t>3</w:t>
      </w:r>
      <w:r w:rsidRPr="00A83C94">
        <w:t xml:space="preserve"> և 1</w:t>
      </w:r>
      <w:r w:rsidR="005641FB" w:rsidRPr="00A83C94">
        <w:t>3</w:t>
      </w:r>
      <w:r w:rsidRPr="00A83C94">
        <w:t xml:space="preserve"> հավելվածներում:</w:t>
      </w:r>
      <w:r w:rsidRPr="00A83C94">
        <w:rPr>
          <w:rFonts w:cs="Times Armenian"/>
        </w:rPr>
        <w:t xml:space="preserve"> </w:t>
      </w:r>
    </w:p>
    <w:p w14:paraId="459B0BC8" w14:textId="08FB4F16" w:rsidR="00E85612" w:rsidRPr="00A83C94" w:rsidRDefault="00E85612" w:rsidP="00A5558B">
      <w:pPr>
        <w:pStyle w:val="BodyText2"/>
      </w:pPr>
    </w:p>
    <w:p w14:paraId="2C15B28B" w14:textId="1E4F11CF" w:rsidR="00C87101" w:rsidRPr="00A83C94" w:rsidRDefault="00C87101" w:rsidP="00A5558B">
      <w:pPr>
        <w:pStyle w:val="BodyText2"/>
      </w:pPr>
    </w:p>
    <w:p w14:paraId="5A6AEF6A" w14:textId="42CF7AC2" w:rsidR="00C87101" w:rsidRPr="00A83C94" w:rsidRDefault="00C87101" w:rsidP="00A5558B">
      <w:pPr>
        <w:pStyle w:val="BodyText2"/>
      </w:pPr>
    </w:p>
    <w:p w14:paraId="2CA53567" w14:textId="53926EC9" w:rsidR="00C87101" w:rsidRPr="00A83C94" w:rsidRDefault="00C87101" w:rsidP="00A5558B">
      <w:pPr>
        <w:pStyle w:val="BodyText2"/>
      </w:pPr>
    </w:p>
    <w:p w14:paraId="33B107E3" w14:textId="3C5D872E" w:rsidR="00C87101" w:rsidRPr="00A83C94" w:rsidRDefault="00C87101" w:rsidP="00A5558B">
      <w:pPr>
        <w:pStyle w:val="BodyText2"/>
      </w:pPr>
    </w:p>
    <w:p w14:paraId="6B17BBFC" w14:textId="5B9F9DC5" w:rsidR="00C87101" w:rsidRPr="00A83C94" w:rsidRDefault="00C87101" w:rsidP="00A5558B">
      <w:pPr>
        <w:pStyle w:val="BodyText2"/>
      </w:pPr>
    </w:p>
    <w:p w14:paraId="1574833C" w14:textId="6E11EBD3" w:rsidR="00C87101" w:rsidRPr="00A83C94" w:rsidRDefault="00C87101" w:rsidP="00A5558B">
      <w:pPr>
        <w:pStyle w:val="BodyText2"/>
      </w:pPr>
    </w:p>
    <w:p w14:paraId="4090EB0C" w14:textId="075B73B0" w:rsidR="00C87101" w:rsidRPr="00A83C94" w:rsidRDefault="00C87101" w:rsidP="00A5558B">
      <w:pPr>
        <w:pStyle w:val="BodyText2"/>
      </w:pPr>
    </w:p>
    <w:p w14:paraId="5A71E6B3" w14:textId="33CC2BEA" w:rsidR="00C87101" w:rsidRPr="00A83C94" w:rsidRDefault="00C87101" w:rsidP="00A5558B">
      <w:pPr>
        <w:pStyle w:val="BodyText2"/>
      </w:pPr>
    </w:p>
    <w:p w14:paraId="3ABD7026" w14:textId="2EDD0780" w:rsidR="00C87101" w:rsidRPr="00A83C94" w:rsidRDefault="00C87101" w:rsidP="00A5558B">
      <w:pPr>
        <w:pStyle w:val="BodyText2"/>
      </w:pPr>
    </w:p>
    <w:p w14:paraId="7075833A" w14:textId="0E18D05B" w:rsidR="00C87101" w:rsidRPr="00A83C94" w:rsidRDefault="00C87101" w:rsidP="00A5558B">
      <w:pPr>
        <w:pStyle w:val="BodyText2"/>
      </w:pPr>
    </w:p>
    <w:p w14:paraId="68FDDED1" w14:textId="77777777" w:rsidR="00C87101" w:rsidRPr="00A83C94" w:rsidRDefault="00C87101" w:rsidP="00A5558B">
      <w:pPr>
        <w:pStyle w:val="BodyText2"/>
      </w:pPr>
    </w:p>
    <w:p w14:paraId="4E4CCED7" w14:textId="77777777" w:rsidR="00071A75" w:rsidRDefault="00071A75">
      <w:pPr>
        <w:spacing w:before="0" w:line="240" w:lineRule="auto"/>
        <w:ind w:firstLine="0"/>
        <w:contextualSpacing w:val="0"/>
        <w:jc w:val="left"/>
        <w:rPr>
          <w:rFonts w:eastAsia="Calibri" w:cs="GHEA Grapalat"/>
          <w:bCs/>
          <w:sz w:val="24"/>
          <w:szCs w:val="26"/>
          <w:lang w:val="hy-AM" w:eastAsia="en-US"/>
        </w:rPr>
      </w:pPr>
      <w:bookmarkStart w:id="224" w:name="_Toc57655469"/>
      <w:bookmarkStart w:id="225" w:name="_Toc83631020"/>
      <w:r>
        <w:rPr>
          <w:rFonts w:eastAsia="Calibri" w:cs="GHEA Grapalat"/>
          <w:bCs/>
          <w:sz w:val="24"/>
          <w:szCs w:val="26"/>
          <w:lang w:val="hy-AM" w:eastAsia="en-US"/>
        </w:rPr>
        <w:br w:type="page"/>
      </w:r>
    </w:p>
    <w:p w14:paraId="55600679" w14:textId="2E38A633" w:rsidR="00D471FC" w:rsidRPr="00A83C94" w:rsidRDefault="00D471FC" w:rsidP="00D471FC">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26" w:name="_Toc83996364"/>
      <w:r w:rsidRPr="00A83C94">
        <w:rPr>
          <w:rFonts w:eastAsia="Calibri" w:cs="GHEA Grapalat"/>
          <w:bCs/>
          <w:sz w:val="24"/>
          <w:szCs w:val="26"/>
          <w:lang w:val="af-ZA" w:eastAsia="en-US"/>
        </w:rPr>
        <w:t>ԾԱԽՍԵՐՆ ԸՍՏ ՏՆՏԵՍԱԳԻՏԱԿԱՆ ԴԱՍԱԿԱՐԳՄԱՆ</w:t>
      </w:r>
      <w:bookmarkEnd w:id="224"/>
      <w:bookmarkEnd w:id="226"/>
    </w:p>
    <w:p w14:paraId="5FE52659" w14:textId="77777777" w:rsidR="00D471FC" w:rsidRPr="00A83C94" w:rsidRDefault="00D471FC" w:rsidP="00D471FC">
      <w:pPr>
        <w:spacing w:before="0" w:line="276" w:lineRule="auto"/>
        <w:ind w:firstLine="720"/>
        <w:contextualSpacing w:val="0"/>
        <w:rPr>
          <w:b w:val="0"/>
          <w:szCs w:val="22"/>
          <w:lang w:val="af-ZA" w:eastAsia="en-US"/>
        </w:rPr>
      </w:pPr>
    </w:p>
    <w:p w14:paraId="472718FE" w14:textId="77777777" w:rsidR="00903212" w:rsidRPr="00A83C94" w:rsidRDefault="00903212" w:rsidP="00903212">
      <w:pPr>
        <w:spacing w:before="0" w:line="276" w:lineRule="auto"/>
        <w:ind w:firstLine="720"/>
        <w:contextualSpacing w:val="0"/>
        <w:rPr>
          <w:rFonts w:cs="Sylfaen"/>
          <w:b w:val="0"/>
          <w:szCs w:val="22"/>
          <w:lang w:val="hy-AM" w:eastAsia="en-US"/>
        </w:rPr>
      </w:pPr>
      <w:r w:rsidRPr="00A83C94">
        <w:rPr>
          <w:b w:val="0"/>
          <w:szCs w:val="22"/>
          <w:lang w:val="af-ZA" w:eastAsia="en-US"/>
        </w:rPr>
        <w:t>2022</w:t>
      </w:r>
      <w:r w:rsidRPr="00A83C94">
        <w:rPr>
          <w:b w:val="0"/>
          <w:szCs w:val="22"/>
          <w:lang w:val="hy-AM" w:eastAsia="en-US"/>
        </w:rPr>
        <w:t xml:space="preserve"> թվակա</w:t>
      </w:r>
      <w:r w:rsidRPr="00A83C94">
        <w:rPr>
          <w:rFonts w:cs="Sylfaen"/>
          <w:b w:val="0"/>
          <w:szCs w:val="22"/>
          <w:lang w:val="hy-AM" w:eastAsia="en-US"/>
        </w:rPr>
        <w:t>նի</w:t>
      </w:r>
      <w:r w:rsidRPr="00A83C94">
        <w:rPr>
          <w:b w:val="0"/>
          <w:szCs w:val="22"/>
          <w:lang w:val="af-ZA" w:eastAsia="en-US"/>
        </w:rPr>
        <w:t xml:space="preserve"> </w:t>
      </w:r>
      <w:r w:rsidRPr="00A83C94">
        <w:rPr>
          <w:rFonts w:cs="Sylfaen"/>
          <w:b w:val="0"/>
          <w:szCs w:val="22"/>
          <w:lang w:val="hy-AM" w:eastAsia="en-US"/>
        </w:rPr>
        <w:t>պետական</w:t>
      </w:r>
      <w:r w:rsidRPr="00A83C94">
        <w:rPr>
          <w:b w:val="0"/>
          <w:szCs w:val="22"/>
          <w:lang w:val="af-ZA" w:eastAsia="en-US"/>
        </w:rPr>
        <w:t xml:space="preserve"> </w:t>
      </w:r>
      <w:r w:rsidRPr="00A83C94">
        <w:rPr>
          <w:rFonts w:cs="Sylfaen"/>
          <w:b w:val="0"/>
          <w:szCs w:val="22"/>
          <w:lang w:val="hy-AM" w:eastAsia="en-US"/>
        </w:rPr>
        <w:t>բյուջեի</w:t>
      </w:r>
      <w:r w:rsidRPr="00A83C94">
        <w:rPr>
          <w:b w:val="0"/>
          <w:szCs w:val="22"/>
          <w:lang w:val="af-ZA" w:eastAsia="en-US"/>
        </w:rPr>
        <w:t xml:space="preserve"> </w:t>
      </w:r>
      <w:r w:rsidRPr="00A83C94">
        <w:rPr>
          <w:b w:val="0"/>
          <w:szCs w:val="22"/>
          <w:lang w:val="it-IT" w:eastAsia="en-US"/>
        </w:rPr>
        <w:t>ընթա</w:t>
      </w:r>
      <w:r w:rsidRPr="00A83C94">
        <w:rPr>
          <w:b w:val="0"/>
          <w:szCs w:val="22"/>
          <w:lang w:val="it-IT" w:eastAsia="en-US"/>
        </w:rPr>
        <w:softHyphen/>
        <w:t>ցիկ</w:t>
      </w:r>
      <w:r w:rsidRPr="00A83C94">
        <w:rPr>
          <w:b w:val="0"/>
          <w:szCs w:val="22"/>
          <w:lang w:val="af-ZA" w:eastAsia="en-US"/>
        </w:rPr>
        <w:t xml:space="preserve"> </w:t>
      </w:r>
      <w:r w:rsidRPr="00A83C94">
        <w:rPr>
          <w:rFonts w:cs="Sylfaen"/>
          <w:b w:val="0"/>
          <w:szCs w:val="22"/>
          <w:lang w:val="hy-AM" w:eastAsia="en-US"/>
        </w:rPr>
        <w:t>ծախ</w:t>
      </w:r>
      <w:r w:rsidRPr="00A83C94">
        <w:rPr>
          <w:rFonts w:cs="Sylfaen"/>
          <w:b w:val="0"/>
          <w:szCs w:val="22"/>
          <w:lang w:val="af-ZA" w:eastAsia="en-US"/>
        </w:rPr>
        <w:softHyphen/>
      </w:r>
      <w:r w:rsidRPr="00A83C94">
        <w:rPr>
          <w:rFonts w:cs="Sylfaen"/>
          <w:b w:val="0"/>
          <w:szCs w:val="22"/>
          <w:lang w:val="hy-AM" w:eastAsia="en-US"/>
        </w:rPr>
        <w:t>սերի</w:t>
      </w:r>
      <w:r w:rsidRPr="00A83C94">
        <w:rPr>
          <w:b w:val="0"/>
          <w:szCs w:val="22"/>
          <w:lang w:val="af-ZA" w:eastAsia="en-US"/>
        </w:rPr>
        <w:t xml:space="preserve"> </w:t>
      </w:r>
      <w:r w:rsidRPr="00A83C94">
        <w:rPr>
          <w:rFonts w:cs="Sylfaen"/>
          <w:b w:val="0"/>
          <w:szCs w:val="22"/>
          <w:lang w:val="hy-AM" w:eastAsia="en-US"/>
        </w:rPr>
        <w:t>հարա</w:t>
      </w:r>
      <w:r w:rsidRPr="00A83C94">
        <w:rPr>
          <w:rFonts w:cs="Sylfaen"/>
          <w:b w:val="0"/>
          <w:szCs w:val="22"/>
          <w:lang w:val="af-ZA" w:eastAsia="en-US"/>
        </w:rPr>
        <w:softHyphen/>
      </w:r>
      <w:r w:rsidRPr="00A83C94">
        <w:rPr>
          <w:rFonts w:cs="Sylfaen"/>
          <w:b w:val="0"/>
          <w:szCs w:val="22"/>
          <w:lang w:val="hy-AM" w:eastAsia="en-US"/>
        </w:rPr>
        <w:t>բերակցությունը</w:t>
      </w:r>
      <w:r w:rsidRPr="00A83C94">
        <w:rPr>
          <w:b w:val="0"/>
          <w:szCs w:val="22"/>
          <w:lang w:val="af-ZA" w:eastAsia="en-US"/>
        </w:rPr>
        <w:t xml:space="preserve"> </w:t>
      </w:r>
      <w:r w:rsidRPr="00A83C94">
        <w:rPr>
          <w:rFonts w:cs="Sylfaen"/>
          <w:b w:val="0"/>
          <w:szCs w:val="22"/>
          <w:lang w:val="hy-AM" w:eastAsia="en-US"/>
        </w:rPr>
        <w:t>ՀՆԱ</w:t>
      </w:r>
      <w:r w:rsidRPr="00A83C94">
        <w:rPr>
          <w:b w:val="0"/>
          <w:szCs w:val="22"/>
          <w:lang w:val="af-ZA" w:eastAsia="en-US"/>
        </w:rPr>
        <w:t>-</w:t>
      </w:r>
      <w:r w:rsidRPr="00A83C94">
        <w:rPr>
          <w:rFonts w:cs="Sylfaen"/>
          <w:b w:val="0"/>
          <w:szCs w:val="22"/>
          <w:lang w:val="hy-AM" w:eastAsia="en-US"/>
        </w:rPr>
        <w:t>ի</w:t>
      </w:r>
      <w:r w:rsidRPr="00A83C94">
        <w:rPr>
          <w:b w:val="0"/>
          <w:szCs w:val="22"/>
          <w:lang w:val="af-ZA" w:eastAsia="en-US"/>
        </w:rPr>
        <w:t xml:space="preserve"> </w:t>
      </w:r>
      <w:r w:rsidRPr="00A83C94">
        <w:rPr>
          <w:rFonts w:cs="Sylfaen"/>
          <w:b w:val="0"/>
          <w:szCs w:val="22"/>
          <w:lang w:val="hy-AM" w:eastAsia="en-US"/>
        </w:rPr>
        <w:t>նկատմամբ կազմում է 2</w:t>
      </w:r>
      <w:r w:rsidRPr="00A83C94">
        <w:rPr>
          <w:rFonts w:cs="Sylfaen"/>
          <w:b w:val="0"/>
          <w:szCs w:val="22"/>
          <w:lang w:val="af-ZA" w:eastAsia="en-US"/>
        </w:rPr>
        <w:t>3</w:t>
      </w:r>
      <w:r w:rsidRPr="00A83C94">
        <w:rPr>
          <w:rFonts w:cs="Sylfaen"/>
          <w:b w:val="0"/>
          <w:szCs w:val="22"/>
          <w:lang w:val="hy-AM" w:eastAsia="en-US"/>
        </w:rPr>
        <w:t>.</w:t>
      </w:r>
      <w:r w:rsidRPr="00A83C94">
        <w:rPr>
          <w:rFonts w:cs="Sylfaen"/>
          <w:b w:val="0"/>
          <w:szCs w:val="22"/>
          <w:lang w:val="af-ZA" w:eastAsia="en-US"/>
        </w:rPr>
        <w:t>4</w:t>
      </w:r>
      <w:r w:rsidRPr="00A83C94">
        <w:rPr>
          <w:rFonts w:cs="Sylfaen"/>
          <w:b w:val="0"/>
          <w:szCs w:val="22"/>
          <w:lang w:val="hy-AM" w:eastAsia="en-US"/>
        </w:rPr>
        <w:t xml:space="preserve"> %: Նույն ժա</w:t>
      </w:r>
      <w:r w:rsidRPr="00A83C94">
        <w:rPr>
          <w:rFonts w:cs="Sylfaen"/>
          <w:b w:val="0"/>
          <w:szCs w:val="22"/>
          <w:lang w:val="hy-AM" w:eastAsia="en-US"/>
        </w:rPr>
        <w:softHyphen/>
        <w:t>մա</w:t>
      </w:r>
      <w:r w:rsidRPr="00A83C94">
        <w:rPr>
          <w:rFonts w:cs="Sylfaen"/>
          <w:b w:val="0"/>
          <w:szCs w:val="22"/>
          <w:lang w:val="hy-AM" w:eastAsia="en-US"/>
        </w:rPr>
        <w:softHyphen/>
        <w:t>նա</w:t>
      </w:r>
      <w:r w:rsidRPr="00A83C94">
        <w:rPr>
          <w:rFonts w:cs="Sylfaen"/>
          <w:b w:val="0"/>
          <w:szCs w:val="22"/>
          <w:lang w:val="hy-AM" w:eastAsia="en-US"/>
        </w:rPr>
        <w:softHyphen/>
        <w:t>կա</w:t>
      </w:r>
      <w:r w:rsidRPr="00A83C94">
        <w:rPr>
          <w:rFonts w:cs="Sylfaen"/>
          <w:b w:val="0"/>
          <w:szCs w:val="22"/>
          <w:lang w:val="hy-AM" w:eastAsia="en-US"/>
        </w:rPr>
        <w:softHyphen/>
        <w:t>հատ</w:t>
      </w:r>
      <w:r w:rsidRPr="00A83C94">
        <w:rPr>
          <w:rFonts w:cs="Sylfaen"/>
          <w:b w:val="0"/>
          <w:szCs w:val="22"/>
          <w:lang w:val="hy-AM" w:eastAsia="en-US"/>
        </w:rPr>
        <w:softHyphen/>
        <w:t>վա</w:t>
      </w:r>
      <w:r w:rsidRPr="00A83C94">
        <w:rPr>
          <w:rFonts w:cs="Sylfaen"/>
          <w:b w:val="0"/>
          <w:szCs w:val="22"/>
          <w:lang w:val="hy-AM" w:eastAsia="en-US"/>
        </w:rPr>
        <w:softHyphen/>
        <w:t>ծում ոչ ֆինանսական ակտիվների գծով զուտ ծախ</w:t>
      </w:r>
      <w:r w:rsidRPr="00A83C94">
        <w:rPr>
          <w:rFonts w:cs="Sylfaen"/>
          <w:b w:val="0"/>
          <w:szCs w:val="22"/>
          <w:lang w:val="hy-AM" w:eastAsia="en-US"/>
        </w:rPr>
        <w:softHyphen/>
        <w:t>սերի հարա</w:t>
      </w:r>
      <w:r w:rsidRPr="00A83C94">
        <w:rPr>
          <w:rFonts w:cs="Sylfaen"/>
          <w:b w:val="0"/>
          <w:szCs w:val="22"/>
          <w:lang w:val="hy-AM" w:eastAsia="en-US"/>
        </w:rPr>
        <w:softHyphen/>
        <w:t>բե</w:t>
      </w:r>
      <w:r w:rsidRPr="00A83C94">
        <w:rPr>
          <w:rFonts w:cs="Sylfaen"/>
          <w:b w:val="0"/>
          <w:szCs w:val="22"/>
          <w:lang w:val="hy-AM" w:eastAsia="en-US"/>
        </w:rPr>
        <w:softHyphen/>
        <w:t>րակ</w:t>
      </w:r>
      <w:r w:rsidRPr="00A83C94">
        <w:rPr>
          <w:rFonts w:cs="Sylfaen"/>
          <w:b w:val="0"/>
          <w:szCs w:val="22"/>
          <w:lang w:val="hy-AM" w:eastAsia="en-US"/>
        </w:rPr>
        <w:softHyphen/>
        <w:t>ցությունները ՀՆԱ-ի նկատ</w:t>
      </w:r>
      <w:r w:rsidRPr="00A83C94">
        <w:rPr>
          <w:rFonts w:cs="Sylfaen"/>
          <w:b w:val="0"/>
          <w:szCs w:val="22"/>
          <w:lang w:val="hy-AM" w:eastAsia="en-US"/>
        </w:rPr>
        <w:softHyphen/>
        <w:t xml:space="preserve">մամբ կազմում է </w:t>
      </w:r>
      <w:r w:rsidRPr="00121056">
        <w:rPr>
          <w:rFonts w:cs="Sylfaen"/>
          <w:b w:val="0"/>
          <w:szCs w:val="22"/>
          <w:lang w:val="af-ZA" w:eastAsia="en-US"/>
        </w:rPr>
        <w:t>4.4</w:t>
      </w:r>
      <w:r w:rsidRPr="00A83C94">
        <w:rPr>
          <w:rFonts w:cs="Sylfaen"/>
          <w:b w:val="0"/>
          <w:szCs w:val="22"/>
          <w:lang w:val="hy-AM" w:eastAsia="en-US"/>
        </w:rPr>
        <w:t xml:space="preserve">%: </w:t>
      </w:r>
    </w:p>
    <w:p w14:paraId="2BB65B3B" w14:textId="68676F6F" w:rsidR="00903212" w:rsidRPr="005F516C" w:rsidRDefault="003F382C" w:rsidP="003F382C">
      <w:pPr>
        <w:pStyle w:val="Caption"/>
        <w:rPr>
          <w:lang w:val="af-ZA"/>
        </w:rPr>
      </w:pPr>
      <w:bookmarkStart w:id="227" w:name="_Toc57631761"/>
      <w:bookmarkStart w:id="228" w:name="_Toc83752674"/>
      <w:bookmarkStart w:id="229" w:name="_Toc83928946"/>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9</w:t>
      </w:r>
      <w:r>
        <w:fldChar w:fldCharType="end"/>
      </w:r>
      <w:r w:rsidR="00903212" w:rsidRPr="008150A1">
        <w:rPr>
          <w:rFonts w:ascii="Cambria Math" w:hAnsi="Cambria Math" w:cs="Cambria Math"/>
          <w:lang w:val="hy-AM"/>
        </w:rPr>
        <w:t>․</w:t>
      </w:r>
      <w:r w:rsidR="00903212" w:rsidRPr="005F516C">
        <w:rPr>
          <w:lang w:val="af-ZA"/>
        </w:rPr>
        <w:t xml:space="preserve"> </w:t>
      </w:r>
      <w:r w:rsidR="00903212" w:rsidRPr="005F516C">
        <w:rPr>
          <w:b/>
          <w:i/>
          <w:sz w:val="20"/>
          <w:szCs w:val="20"/>
          <w:lang w:val="af-ZA"/>
        </w:rPr>
        <w:t>2018-2022</w:t>
      </w:r>
      <w:r w:rsidR="00903212" w:rsidRPr="008B1D49">
        <w:rPr>
          <w:b/>
          <w:i/>
          <w:sz w:val="20"/>
          <w:szCs w:val="20"/>
          <w:lang w:val="hy-AM"/>
        </w:rPr>
        <w:t>թթ</w:t>
      </w:r>
      <w:r w:rsidR="00903212" w:rsidRPr="005F516C">
        <w:rPr>
          <w:b/>
          <w:i/>
          <w:sz w:val="20"/>
          <w:szCs w:val="20"/>
          <w:lang w:val="af-ZA"/>
        </w:rPr>
        <w:t xml:space="preserve"> </w:t>
      </w:r>
      <w:r w:rsidR="00903212" w:rsidRPr="008B1D49">
        <w:rPr>
          <w:b/>
          <w:i/>
          <w:sz w:val="20"/>
          <w:szCs w:val="20"/>
          <w:lang w:val="hy-AM"/>
        </w:rPr>
        <w:t>ընթացիկ</w:t>
      </w:r>
      <w:r w:rsidR="00903212" w:rsidRPr="005F516C">
        <w:rPr>
          <w:b/>
          <w:i/>
          <w:sz w:val="20"/>
          <w:szCs w:val="20"/>
          <w:lang w:val="af-ZA"/>
        </w:rPr>
        <w:t xml:space="preserve"> </w:t>
      </w:r>
      <w:r w:rsidR="00903212" w:rsidRPr="008B1D49">
        <w:rPr>
          <w:b/>
          <w:i/>
          <w:sz w:val="20"/>
          <w:szCs w:val="20"/>
          <w:lang w:val="hy-AM"/>
        </w:rPr>
        <w:t>և</w:t>
      </w:r>
      <w:r w:rsidR="00903212" w:rsidRPr="005F516C">
        <w:rPr>
          <w:b/>
          <w:i/>
          <w:sz w:val="20"/>
          <w:szCs w:val="20"/>
          <w:lang w:val="af-ZA"/>
        </w:rPr>
        <w:t xml:space="preserve"> </w:t>
      </w:r>
      <w:r w:rsidR="00903212" w:rsidRPr="008B1D49">
        <w:rPr>
          <w:b/>
          <w:i/>
          <w:sz w:val="20"/>
          <w:szCs w:val="20"/>
          <w:lang w:val="hy-AM"/>
        </w:rPr>
        <w:t>ոչ</w:t>
      </w:r>
      <w:r w:rsidR="00903212" w:rsidRPr="005F516C">
        <w:rPr>
          <w:b/>
          <w:i/>
          <w:sz w:val="20"/>
          <w:szCs w:val="20"/>
          <w:lang w:val="af-ZA"/>
        </w:rPr>
        <w:t xml:space="preserve"> </w:t>
      </w:r>
      <w:r w:rsidR="00903212" w:rsidRPr="008B1D49">
        <w:rPr>
          <w:b/>
          <w:i/>
          <w:sz w:val="20"/>
          <w:szCs w:val="20"/>
          <w:lang w:val="hy-AM"/>
        </w:rPr>
        <w:t>ֆինանսական</w:t>
      </w:r>
      <w:r w:rsidR="00903212" w:rsidRPr="005F516C">
        <w:rPr>
          <w:b/>
          <w:i/>
          <w:sz w:val="20"/>
          <w:szCs w:val="20"/>
          <w:lang w:val="af-ZA"/>
        </w:rPr>
        <w:t xml:space="preserve"> </w:t>
      </w:r>
      <w:r w:rsidR="00903212" w:rsidRPr="008B1D49">
        <w:rPr>
          <w:b/>
          <w:i/>
          <w:sz w:val="20"/>
          <w:szCs w:val="20"/>
          <w:lang w:val="hy-AM"/>
        </w:rPr>
        <w:t>ակտիվների</w:t>
      </w:r>
      <w:r w:rsidR="00903212" w:rsidRPr="005F516C">
        <w:rPr>
          <w:b/>
          <w:i/>
          <w:sz w:val="20"/>
          <w:szCs w:val="20"/>
          <w:lang w:val="af-ZA"/>
        </w:rPr>
        <w:t xml:space="preserve"> </w:t>
      </w:r>
      <w:r w:rsidR="00903212" w:rsidRPr="008B1D49">
        <w:rPr>
          <w:b/>
          <w:i/>
          <w:sz w:val="20"/>
          <w:szCs w:val="20"/>
          <w:lang w:val="hy-AM"/>
        </w:rPr>
        <w:t>գծով</w:t>
      </w:r>
      <w:r w:rsidR="00903212" w:rsidRPr="005F516C">
        <w:rPr>
          <w:b/>
          <w:i/>
          <w:sz w:val="20"/>
          <w:szCs w:val="20"/>
          <w:lang w:val="af-ZA"/>
        </w:rPr>
        <w:t xml:space="preserve"> </w:t>
      </w:r>
      <w:r w:rsidR="00903212" w:rsidRPr="008B1D49">
        <w:rPr>
          <w:b/>
          <w:i/>
          <w:sz w:val="20"/>
          <w:szCs w:val="20"/>
          <w:lang w:val="hy-AM"/>
        </w:rPr>
        <w:t>ծախսերի</w:t>
      </w:r>
      <w:r w:rsidR="00903212" w:rsidRPr="005F516C">
        <w:rPr>
          <w:b/>
          <w:i/>
          <w:sz w:val="20"/>
          <w:szCs w:val="20"/>
          <w:lang w:val="af-ZA"/>
        </w:rPr>
        <w:t xml:space="preserve"> </w:t>
      </w:r>
      <w:r w:rsidR="00903212" w:rsidRPr="008B1D49">
        <w:rPr>
          <w:b/>
          <w:i/>
          <w:sz w:val="20"/>
          <w:szCs w:val="20"/>
          <w:lang w:val="hy-AM"/>
        </w:rPr>
        <w:t>փոփոխության</w:t>
      </w:r>
      <w:r w:rsidR="00903212" w:rsidRPr="005F516C">
        <w:rPr>
          <w:b/>
          <w:i/>
          <w:sz w:val="20"/>
          <w:szCs w:val="20"/>
          <w:lang w:val="af-ZA"/>
        </w:rPr>
        <w:t xml:space="preserve"> </w:t>
      </w:r>
      <w:r w:rsidR="00903212" w:rsidRPr="008B1D49">
        <w:rPr>
          <w:b/>
          <w:i/>
          <w:sz w:val="20"/>
          <w:szCs w:val="20"/>
          <w:lang w:val="hy-AM"/>
        </w:rPr>
        <w:t>և</w:t>
      </w:r>
      <w:r w:rsidR="00903212" w:rsidRPr="005F516C">
        <w:rPr>
          <w:b/>
          <w:i/>
          <w:sz w:val="20"/>
          <w:szCs w:val="20"/>
          <w:lang w:val="af-ZA"/>
        </w:rPr>
        <w:t xml:space="preserve"> </w:t>
      </w:r>
      <w:r w:rsidR="00903212" w:rsidRPr="008B1D49">
        <w:rPr>
          <w:b/>
          <w:i/>
          <w:sz w:val="20"/>
          <w:szCs w:val="20"/>
          <w:lang w:val="hy-AM"/>
        </w:rPr>
        <w:t>հարաբերակցության</w:t>
      </w:r>
      <w:r w:rsidR="00903212" w:rsidRPr="005F516C">
        <w:rPr>
          <w:b/>
          <w:i/>
          <w:sz w:val="20"/>
          <w:szCs w:val="20"/>
          <w:lang w:val="af-ZA"/>
        </w:rPr>
        <w:t xml:space="preserve"> </w:t>
      </w:r>
      <w:r w:rsidR="00903212" w:rsidRPr="008B1D49">
        <w:rPr>
          <w:b/>
          <w:i/>
          <w:sz w:val="20"/>
          <w:szCs w:val="20"/>
          <w:lang w:val="hy-AM"/>
        </w:rPr>
        <w:t>միտումները</w:t>
      </w:r>
      <w:bookmarkEnd w:id="227"/>
      <w:bookmarkEnd w:id="228"/>
      <w:bookmarkEnd w:id="229"/>
    </w:p>
    <w:tbl>
      <w:tblPr>
        <w:tblW w:w="10633" w:type="dxa"/>
        <w:tblInd w:w="-436" w:type="dxa"/>
        <w:tblLayout w:type="fixed"/>
        <w:tblLook w:val="04A0" w:firstRow="1" w:lastRow="0" w:firstColumn="1" w:lastColumn="0" w:noHBand="0" w:noVBand="1"/>
      </w:tblPr>
      <w:tblGrid>
        <w:gridCol w:w="4048"/>
        <w:gridCol w:w="1210"/>
        <w:gridCol w:w="1210"/>
        <w:gridCol w:w="1285"/>
        <w:gridCol w:w="1604"/>
        <w:gridCol w:w="1276"/>
      </w:tblGrid>
      <w:tr w:rsidR="00903212" w:rsidRPr="00A83C94" w14:paraId="74B8B8D9" w14:textId="77777777" w:rsidTr="00733935">
        <w:trPr>
          <w:trHeight w:val="300"/>
        </w:trPr>
        <w:tc>
          <w:tcPr>
            <w:tcW w:w="4048"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14:paraId="0DD69E1C"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bookmarkStart w:id="230" w:name="RANGE!B6"/>
            <w:bookmarkStart w:id="231" w:name="_Toc52223577"/>
            <w:r w:rsidRPr="00A83C94">
              <w:rPr>
                <w:rFonts w:cs="Calibri"/>
                <w:b w:val="0"/>
                <w:color w:val="FFFFFF"/>
                <w:sz w:val="20"/>
                <w:szCs w:val="20"/>
                <w:lang w:val="en-US" w:eastAsia="en-US"/>
              </w:rPr>
              <w:t>Ցուցանիշներ</w:t>
            </w:r>
            <w:bookmarkEnd w:id="230"/>
          </w:p>
        </w:tc>
        <w:tc>
          <w:tcPr>
            <w:tcW w:w="1210" w:type="dxa"/>
            <w:tcBorders>
              <w:top w:val="single" w:sz="8" w:space="0" w:color="auto"/>
              <w:left w:val="nil"/>
              <w:bottom w:val="nil"/>
              <w:right w:val="single" w:sz="8" w:space="0" w:color="auto"/>
            </w:tcBorders>
            <w:shd w:val="clear" w:color="000000" w:fill="2E74B5"/>
            <w:vAlign w:val="center"/>
            <w:hideMark/>
          </w:tcPr>
          <w:p w14:paraId="7D7C4A12"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2018թ.</w:t>
            </w:r>
          </w:p>
        </w:tc>
        <w:tc>
          <w:tcPr>
            <w:tcW w:w="1210" w:type="dxa"/>
            <w:tcBorders>
              <w:top w:val="single" w:sz="8" w:space="0" w:color="auto"/>
              <w:left w:val="nil"/>
              <w:bottom w:val="nil"/>
              <w:right w:val="single" w:sz="8" w:space="0" w:color="auto"/>
            </w:tcBorders>
            <w:shd w:val="clear" w:color="000000" w:fill="2E74B5"/>
            <w:vAlign w:val="center"/>
            <w:hideMark/>
          </w:tcPr>
          <w:p w14:paraId="243293B2"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2019թ.</w:t>
            </w:r>
          </w:p>
        </w:tc>
        <w:tc>
          <w:tcPr>
            <w:tcW w:w="1285" w:type="dxa"/>
            <w:tcBorders>
              <w:top w:val="single" w:sz="8" w:space="0" w:color="auto"/>
              <w:left w:val="nil"/>
              <w:bottom w:val="nil"/>
              <w:right w:val="single" w:sz="8" w:space="0" w:color="auto"/>
            </w:tcBorders>
            <w:shd w:val="clear" w:color="000000" w:fill="2E74B5"/>
            <w:vAlign w:val="center"/>
            <w:hideMark/>
          </w:tcPr>
          <w:p w14:paraId="4358D095"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2020թ.</w:t>
            </w:r>
          </w:p>
        </w:tc>
        <w:tc>
          <w:tcPr>
            <w:tcW w:w="1604"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14:paraId="4146B175"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2021թ. հաստատված</w:t>
            </w:r>
          </w:p>
        </w:tc>
        <w:tc>
          <w:tcPr>
            <w:tcW w:w="1276" w:type="dxa"/>
            <w:tcBorders>
              <w:top w:val="single" w:sz="8" w:space="0" w:color="auto"/>
              <w:left w:val="nil"/>
              <w:bottom w:val="nil"/>
              <w:right w:val="single" w:sz="8" w:space="0" w:color="auto"/>
            </w:tcBorders>
            <w:shd w:val="clear" w:color="000000" w:fill="2E74B5"/>
            <w:vAlign w:val="center"/>
            <w:hideMark/>
          </w:tcPr>
          <w:p w14:paraId="50129A5D"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2022թ.</w:t>
            </w:r>
          </w:p>
        </w:tc>
      </w:tr>
      <w:tr w:rsidR="00903212" w:rsidRPr="00A83C94" w14:paraId="54C3ED85" w14:textId="77777777" w:rsidTr="00733935">
        <w:trPr>
          <w:trHeight w:val="555"/>
        </w:trPr>
        <w:tc>
          <w:tcPr>
            <w:tcW w:w="4048" w:type="dxa"/>
            <w:vMerge/>
            <w:tcBorders>
              <w:top w:val="single" w:sz="8" w:space="0" w:color="auto"/>
              <w:left w:val="single" w:sz="8" w:space="0" w:color="auto"/>
              <w:bottom w:val="single" w:sz="8" w:space="0" w:color="000000"/>
              <w:right w:val="single" w:sz="8" w:space="0" w:color="auto"/>
            </w:tcBorders>
            <w:vAlign w:val="center"/>
            <w:hideMark/>
          </w:tcPr>
          <w:p w14:paraId="6D985F94" w14:textId="77777777" w:rsidR="00903212" w:rsidRPr="00A83C94" w:rsidRDefault="00903212" w:rsidP="00733935">
            <w:pPr>
              <w:spacing w:before="0" w:line="240" w:lineRule="auto"/>
              <w:ind w:firstLine="0"/>
              <w:contextualSpacing w:val="0"/>
              <w:jc w:val="left"/>
              <w:rPr>
                <w:rFonts w:cs="Calibri"/>
                <w:b w:val="0"/>
                <w:color w:val="FFFFFF"/>
                <w:sz w:val="20"/>
                <w:szCs w:val="20"/>
                <w:lang w:val="en-US" w:eastAsia="en-US"/>
              </w:rPr>
            </w:pPr>
          </w:p>
        </w:tc>
        <w:tc>
          <w:tcPr>
            <w:tcW w:w="1210" w:type="dxa"/>
            <w:tcBorders>
              <w:top w:val="nil"/>
              <w:left w:val="nil"/>
              <w:bottom w:val="single" w:sz="8" w:space="0" w:color="auto"/>
              <w:right w:val="single" w:sz="8" w:space="0" w:color="auto"/>
            </w:tcBorders>
            <w:shd w:val="clear" w:color="000000" w:fill="2E74B5"/>
            <w:vAlign w:val="center"/>
            <w:hideMark/>
          </w:tcPr>
          <w:p w14:paraId="0997AF9F"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փաստացի</w:t>
            </w:r>
          </w:p>
        </w:tc>
        <w:tc>
          <w:tcPr>
            <w:tcW w:w="1210" w:type="dxa"/>
            <w:tcBorders>
              <w:top w:val="nil"/>
              <w:left w:val="nil"/>
              <w:bottom w:val="single" w:sz="8" w:space="0" w:color="auto"/>
              <w:right w:val="single" w:sz="8" w:space="0" w:color="auto"/>
            </w:tcBorders>
            <w:shd w:val="clear" w:color="000000" w:fill="2E74B5"/>
            <w:vAlign w:val="center"/>
            <w:hideMark/>
          </w:tcPr>
          <w:p w14:paraId="1B392E2C"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փաստացի</w:t>
            </w:r>
          </w:p>
        </w:tc>
        <w:tc>
          <w:tcPr>
            <w:tcW w:w="1285" w:type="dxa"/>
            <w:tcBorders>
              <w:top w:val="nil"/>
              <w:left w:val="nil"/>
              <w:bottom w:val="single" w:sz="8" w:space="0" w:color="auto"/>
              <w:right w:val="single" w:sz="8" w:space="0" w:color="auto"/>
            </w:tcBorders>
            <w:shd w:val="clear" w:color="000000" w:fill="2E74B5"/>
            <w:vAlign w:val="center"/>
            <w:hideMark/>
          </w:tcPr>
          <w:p w14:paraId="7BAD056E"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փաստացի</w:t>
            </w:r>
          </w:p>
        </w:tc>
        <w:tc>
          <w:tcPr>
            <w:tcW w:w="1604" w:type="dxa"/>
            <w:vMerge/>
            <w:tcBorders>
              <w:top w:val="single" w:sz="8" w:space="0" w:color="auto"/>
              <w:left w:val="single" w:sz="8" w:space="0" w:color="auto"/>
              <w:bottom w:val="single" w:sz="8" w:space="0" w:color="000000"/>
              <w:right w:val="single" w:sz="8" w:space="0" w:color="auto"/>
            </w:tcBorders>
            <w:vAlign w:val="center"/>
            <w:hideMark/>
          </w:tcPr>
          <w:p w14:paraId="37B636B0" w14:textId="77777777" w:rsidR="00903212" w:rsidRPr="00A83C94" w:rsidRDefault="00903212" w:rsidP="00733935">
            <w:pPr>
              <w:spacing w:before="0" w:line="240" w:lineRule="auto"/>
              <w:ind w:firstLine="0"/>
              <w:contextualSpacing w:val="0"/>
              <w:jc w:val="left"/>
              <w:rPr>
                <w:rFonts w:cs="Calibri"/>
                <w:b w:val="0"/>
                <w:color w:val="FFFFFF"/>
                <w:sz w:val="20"/>
                <w:szCs w:val="20"/>
                <w:lang w:val="en-US" w:eastAsia="en-US"/>
              </w:rPr>
            </w:pPr>
          </w:p>
        </w:tc>
        <w:tc>
          <w:tcPr>
            <w:tcW w:w="1276" w:type="dxa"/>
            <w:tcBorders>
              <w:top w:val="nil"/>
              <w:left w:val="nil"/>
              <w:bottom w:val="single" w:sz="8" w:space="0" w:color="auto"/>
              <w:right w:val="single" w:sz="8" w:space="0" w:color="auto"/>
            </w:tcBorders>
            <w:shd w:val="clear" w:color="000000" w:fill="2E74B5"/>
            <w:vAlign w:val="center"/>
            <w:hideMark/>
          </w:tcPr>
          <w:p w14:paraId="645CBCCD"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բյուջեի նախագիծ</w:t>
            </w:r>
          </w:p>
        </w:tc>
      </w:tr>
      <w:tr w:rsidR="00903212" w:rsidRPr="00A83C94" w14:paraId="3D0A395C" w14:textId="77777777" w:rsidTr="00733935">
        <w:trPr>
          <w:trHeight w:val="300"/>
        </w:trPr>
        <w:tc>
          <w:tcPr>
            <w:tcW w:w="4048" w:type="dxa"/>
            <w:tcBorders>
              <w:top w:val="nil"/>
              <w:left w:val="single" w:sz="8" w:space="0" w:color="auto"/>
              <w:bottom w:val="nil"/>
              <w:right w:val="single" w:sz="8" w:space="0" w:color="auto"/>
            </w:tcBorders>
            <w:shd w:val="clear" w:color="000000" w:fill="D5DCE4"/>
            <w:vAlign w:val="center"/>
            <w:hideMark/>
          </w:tcPr>
          <w:p w14:paraId="7B7BFA7A" w14:textId="77777777" w:rsidR="00903212" w:rsidRPr="00A83C94" w:rsidRDefault="00903212"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 xml:space="preserve">ԸՆԴԱՄԵՆԸ ԾԱԽՍԵՐ, </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5E45217D"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1,447,083</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1D22AC54"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1,629,437</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5639C5EA"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1,894,647</w:t>
            </w:r>
          </w:p>
        </w:tc>
        <w:tc>
          <w:tcPr>
            <w:tcW w:w="1604"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016A9314"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1,850,878</w:t>
            </w:r>
          </w:p>
        </w:tc>
        <w:tc>
          <w:tcPr>
            <w:tcW w:w="1276" w:type="dxa"/>
            <w:tcBorders>
              <w:top w:val="nil"/>
              <w:left w:val="nil"/>
              <w:bottom w:val="nil"/>
              <w:right w:val="single" w:sz="8" w:space="0" w:color="auto"/>
            </w:tcBorders>
            <w:shd w:val="clear" w:color="000000" w:fill="D5DCE4"/>
            <w:vAlign w:val="center"/>
          </w:tcPr>
          <w:p w14:paraId="70991D69" w14:textId="77777777" w:rsidR="00903212" w:rsidRPr="00774722" w:rsidRDefault="00903212" w:rsidP="00733935">
            <w:pPr>
              <w:spacing w:before="0" w:line="240" w:lineRule="auto"/>
              <w:ind w:firstLine="0"/>
              <w:contextualSpacing w:val="0"/>
              <w:jc w:val="center"/>
              <w:rPr>
                <w:rFonts w:cs="Calibri"/>
                <w:b w:val="0"/>
                <w:color w:val="000000"/>
                <w:sz w:val="18"/>
                <w:szCs w:val="18"/>
                <w:lang w:val="en-US" w:eastAsia="en-US"/>
              </w:rPr>
            </w:pPr>
          </w:p>
        </w:tc>
      </w:tr>
      <w:tr w:rsidR="00903212" w:rsidRPr="00A83C94" w14:paraId="107298F4" w14:textId="77777777" w:rsidTr="00733935">
        <w:trPr>
          <w:trHeight w:val="60"/>
        </w:trPr>
        <w:tc>
          <w:tcPr>
            <w:tcW w:w="4048" w:type="dxa"/>
            <w:tcBorders>
              <w:top w:val="nil"/>
              <w:left w:val="single" w:sz="8" w:space="0" w:color="auto"/>
              <w:bottom w:val="nil"/>
              <w:right w:val="single" w:sz="8" w:space="0" w:color="auto"/>
            </w:tcBorders>
            <w:shd w:val="clear" w:color="000000" w:fill="D5DCE4"/>
            <w:vAlign w:val="center"/>
            <w:hideMark/>
          </w:tcPr>
          <w:p w14:paraId="4C47594F" w14:textId="77777777" w:rsidR="00903212" w:rsidRPr="00A83C94" w:rsidRDefault="00903212"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(մլն դրամ)</w:t>
            </w:r>
          </w:p>
        </w:tc>
        <w:tc>
          <w:tcPr>
            <w:tcW w:w="1210" w:type="dxa"/>
            <w:vMerge/>
            <w:tcBorders>
              <w:top w:val="nil"/>
              <w:left w:val="single" w:sz="8" w:space="0" w:color="auto"/>
              <w:bottom w:val="single" w:sz="8" w:space="0" w:color="000000"/>
              <w:right w:val="single" w:sz="8" w:space="0" w:color="auto"/>
            </w:tcBorders>
            <w:vAlign w:val="center"/>
            <w:hideMark/>
          </w:tcPr>
          <w:p w14:paraId="683A1233" w14:textId="77777777" w:rsidR="00903212" w:rsidRPr="00A83C94" w:rsidRDefault="00903212" w:rsidP="00DB7001">
            <w:pPr>
              <w:spacing w:before="0" w:line="240" w:lineRule="auto"/>
              <w:ind w:firstLine="0"/>
              <w:contextualSpacing w:val="0"/>
              <w:jc w:val="center"/>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16D91AF4" w14:textId="77777777" w:rsidR="00903212" w:rsidRPr="00A83C94" w:rsidRDefault="00903212" w:rsidP="00DB7001">
            <w:pPr>
              <w:spacing w:before="0" w:line="240" w:lineRule="auto"/>
              <w:ind w:firstLine="0"/>
              <w:contextualSpacing w:val="0"/>
              <w:jc w:val="center"/>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hideMark/>
          </w:tcPr>
          <w:p w14:paraId="21EBAFC0" w14:textId="77777777" w:rsidR="00903212" w:rsidRPr="00A83C94" w:rsidRDefault="00903212" w:rsidP="00DB7001">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hideMark/>
          </w:tcPr>
          <w:p w14:paraId="69C21990" w14:textId="77777777" w:rsidR="00903212" w:rsidRPr="00A83C94" w:rsidRDefault="00903212" w:rsidP="00DB7001">
            <w:pPr>
              <w:spacing w:before="0" w:line="240" w:lineRule="auto"/>
              <w:ind w:firstLine="0"/>
              <w:contextualSpacing w:val="0"/>
              <w:jc w:val="center"/>
              <w:rPr>
                <w:rFonts w:cs="Calibri"/>
                <w:b w:val="0"/>
                <w:color w:val="000000"/>
                <w:sz w:val="18"/>
                <w:szCs w:val="18"/>
                <w:lang w:val="en-US" w:eastAsia="en-US"/>
              </w:rPr>
            </w:pPr>
          </w:p>
        </w:tc>
        <w:tc>
          <w:tcPr>
            <w:tcW w:w="1276" w:type="dxa"/>
            <w:tcBorders>
              <w:top w:val="nil"/>
              <w:left w:val="nil"/>
              <w:bottom w:val="nil"/>
              <w:right w:val="single" w:sz="8" w:space="0" w:color="auto"/>
            </w:tcBorders>
            <w:shd w:val="clear" w:color="000000" w:fill="D5DCE4"/>
            <w:vAlign w:val="center"/>
            <w:hideMark/>
          </w:tcPr>
          <w:p w14:paraId="565B87B9" w14:textId="77777777" w:rsidR="00903212" w:rsidRPr="00774722" w:rsidRDefault="00903212" w:rsidP="00DB7001">
            <w:pPr>
              <w:spacing w:before="0" w:line="240" w:lineRule="auto"/>
              <w:ind w:firstLine="0"/>
              <w:contextualSpacing w:val="0"/>
              <w:jc w:val="center"/>
              <w:rPr>
                <w:rFonts w:cs="Calibri"/>
                <w:b w:val="0"/>
                <w:color w:val="000000"/>
                <w:sz w:val="18"/>
                <w:szCs w:val="18"/>
                <w:lang w:val="en-US" w:eastAsia="en-US"/>
              </w:rPr>
            </w:pPr>
            <w:r w:rsidRPr="00774722">
              <w:rPr>
                <w:rFonts w:cs="Calibri"/>
                <w:b w:val="0"/>
                <w:color w:val="000000"/>
                <w:sz w:val="18"/>
                <w:szCs w:val="18"/>
                <w:lang w:val="en-US" w:eastAsia="en-US"/>
              </w:rPr>
              <w:t>2,189,228</w:t>
            </w:r>
          </w:p>
        </w:tc>
      </w:tr>
      <w:tr w:rsidR="00903212" w:rsidRPr="00A83C94" w14:paraId="13F2E9A0" w14:textId="77777777" w:rsidTr="00733935">
        <w:trPr>
          <w:trHeight w:val="225"/>
        </w:trPr>
        <w:tc>
          <w:tcPr>
            <w:tcW w:w="4048" w:type="dxa"/>
            <w:tcBorders>
              <w:top w:val="nil"/>
              <w:left w:val="single" w:sz="8" w:space="0" w:color="auto"/>
              <w:bottom w:val="single" w:sz="8" w:space="0" w:color="000000"/>
              <w:right w:val="single" w:sz="8" w:space="0" w:color="auto"/>
            </w:tcBorders>
            <w:shd w:val="clear" w:color="000000" w:fill="D5DCE4"/>
            <w:vAlign w:val="center"/>
            <w:hideMark/>
          </w:tcPr>
          <w:p w14:paraId="17628CD4" w14:textId="59CF998B" w:rsidR="00903212" w:rsidRPr="00A83C94" w:rsidRDefault="00903212" w:rsidP="00733935">
            <w:pPr>
              <w:spacing w:before="0" w:line="240" w:lineRule="auto"/>
              <w:ind w:firstLine="0"/>
              <w:contextualSpacing w:val="0"/>
              <w:jc w:val="left"/>
              <w:rPr>
                <w:rFonts w:ascii="Calibri" w:hAnsi="Calibri" w:cs="Calibri"/>
                <w:b w:val="0"/>
                <w:color w:val="000000"/>
                <w:szCs w:val="22"/>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3AC15FBB"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2782640C"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hideMark/>
          </w:tcPr>
          <w:p w14:paraId="5044F567"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hideMark/>
          </w:tcPr>
          <w:p w14:paraId="0087507B"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276" w:type="dxa"/>
            <w:tcBorders>
              <w:top w:val="nil"/>
              <w:left w:val="nil"/>
              <w:bottom w:val="single" w:sz="8" w:space="0" w:color="000000"/>
              <w:right w:val="single" w:sz="8" w:space="0" w:color="auto"/>
            </w:tcBorders>
            <w:shd w:val="clear" w:color="000000" w:fill="D5DCE4"/>
            <w:vAlign w:val="center"/>
          </w:tcPr>
          <w:p w14:paraId="62272CEA" w14:textId="77777777" w:rsidR="00903212" w:rsidRDefault="00903212" w:rsidP="00733935">
            <w:pPr>
              <w:rPr>
                <w:color w:val="000000"/>
                <w:sz w:val="18"/>
                <w:szCs w:val="18"/>
              </w:rPr>
            </w:pPr>
          </w:p>
        </w:tc>
      </w:tr>
      <w:tr w:rsidR="00903212" w:rsidRPr="00A83C94" w14:paraId="0844E9FF" w14:textId="77777777" w:rsidTr="00733935">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14:paraId="68F94B2E"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210" w:type="dxa"/>
            <w:tcBorders>
              <w:top w:val="nil"/>
              <w:left w:val="nil"/>
              <w:bottom w:val="single" w:sz="8" w:space="0" w:color="auto"/>
              <w:right w:val="single" w:sz="8" w:space="0" w:color="auto"/>
            </w:tcBorders>
            <w:shd w:val="clear" w:color="000000" w:fill="FFFFFF"/>
            <w:vAlign w:val="center"/>
            <w:hideMark/>
          </w:tcPr>
          <w:p w14:paraId="3EC61C6C" w14:textId="77777777" w:rsidR="00903212" w:rsidRPr="00A83C94" w:rsidRDefault="00903212" w:rsidP="00733935">
            <w:pPr>
              <w:spacing w:before="0" w:line="240" w:lineRule="auto"/>
              <w:ind w:firstLine="0"/>
              <w:contextualSpacing w:val="0"/>
              <w:jc w:val="center"/>
              <w:rPr>
                <w:rFonts w:ascii="Calibri" w:hAnsi="Calibri"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1210" w:type="dxa"/>
            <w:tcBorders>
              <w:top w:val="nil"/>
              <w:left w:val="nil"/>
              <w:bottom w:val="single" w:sz="8" w:space="0" w:color="auto"/>
              <w:right w:val="single" w:sz="8" w:space="0" w:color="auto"/>
            </w:tcBorders>
            <w:shd w:val="clear" w:color="000000" w:fill="FFFFFF"/>
            <w:vAlign w:val="center"/>
            <w:hideMark/>
          </w:tcPr>
          <w:p w14:paraId="513D269D" w14:textId="77777777" w:rsidR="00903212" w:rsidRPr="00A83C94" w:rsidRDefault="00903212" w:rsidP="00733935">
            <w:pPr>
              <w:spacing w:before="0" w:line="240" w:lineRule="auto"/>
              <w:ind w:firstLine="0"/>
              <w:contextualSpacing w:val="0"/>
              <w:jc w:val="center"/>
              <w:rPr>
                <w:rFonts w:ascii="Calibri" w:hAnsi="Calibri"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1285" w:type="dxa"/>
            <w:tcBorders>
              <w:top w:val="nil"/>
              <w:left w:val="nil"/>
              <w:bottom w:val="single" w:sz="8" w:space="0" w:color="auto"/>
              <w:right w:val="single" w:sz="8" w:space="0" w:color="auto"/>
            </w:tcBorders>
            <w:shd w:val="clear" w:color="000000" w:fill="FFFFFF"/>
            <w:vAlign w:val="center"/>
            <w:hideMark/>
          </w:tcPr>
          <w:p w14:paraId="31FF2489" w14:textId="77777777" w:rsidR="00903212" w:rsidRPr="00A83C94" w:rsidRDefault="00903212" w:rsidP="00733935">
            <w:pPr>
              <w:spacing w:before="0" w:line="240" w:lineRule="auto"/>
              <w:ind w:firstLine="0"/>
              <w:contextualSpacing w:val="0"/>
              <w:jc w:val="center"/>
              <w:rPr>
                <w:rFonts w:ascii="Calibri" w:hAnsi="Calibri"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1604" w:type="dxa"/>
            <w:tcBorders>
              <w:top w:val="nil"/>
              <w:left w:val="nil"/>
              <w:bottom w:val="single" w:sz="8" w:space="0" w:color="auto"/>
              <w:right w:val="single" w:sz="8" w:space="0" w:color="auto"/>
            </w:tcBorders>
            <w:shd w:val="clear" w:color="000000" w:fill="FFFFFF"/>
            <w:vAlign w:val="center"/>
            <w:hideMark/>
          </w:tcPr>
          <w:p w14:paraId="24296AE5" w14:textId="77777777" w:rsidR="00903212" w:rsidRPr="00A83C94" w:rsidRDefault="00903212" w:rsidP="00733935">
            <w:pPr>
              <w:jc w:val="center"/>
              <w:rPr>
                <w:rFonts w:ascii="Calibri" w:hAnsi="Calibri" w:cs="Calibri"/>
                <w:color w:val="000000"/>
                <w:sz w:val="20"/>
                <w:szCs w:val="20"/>
              </w:rPr>
            </w:pPr>
            <w:r w:rsidRPr="00A83C94">
              <w:rPr>
                <w:rFonts w:ascii="Calibri" w:hAnsi="Calibri" w:cs="Calibri"/>
                <w:color w:val="000000"/>
                <w:sz w:val="20"/>
                <w:szCs w:val="20"/>
              </w:rPr>
              <w:t> </w:t>
            </w:r>
          </w:p>
        </w:tc>
        <w:tc>
          <w:tcPr>
            <w:tcW w:w="1276" w:type="dxa"/>
            <w:tcBorders>
              <w:top w:val="nil"/>
              <w:left w:val="nil"/>
              <w:bottom w:val="single" w:sz="8" w:space="0" w:color="auto"/>
              <w:right w:val="single" w:sz="8" w:space="0" w:color="auto"/>
            </w:tcBorders>
            <w:shd w:val="clear" w:color="000000" w:fill="FFFFFF"/>
            <w:vAlign w:val="center"/>
            <w:hideMark/>
          </w:tcPr>
          <w:p w14:paraId="63F6A5D6" w14:textId="77777777" w:rsidR="00903212" w:rsidRDefault="00903212" w:rsidP="00733935">
            <w:pPr>
              <w:jc w:val="center"/>
              <w:rPr>
                <w:rFonts w:ascii="Calibri" w:hAnsi="Calibri" w:cs="Calibri"/>
                <w:color w:val="000000"/>
                <w:sz w:val="20"/>
                <w:szCs w:val="20"/>
              </w:rPr>
            </w:pPr>
            <w:r>
              <w:rPr>
                <w:rFonts w:ascii="Calibri" w:hAnsi="Calibri" w:cs="Calibri"/>
                <w:color w:val="000000"/>
                <w:sz w:val="20"/>
                <w:szCs w:val="20"/>
              </w:rPr>
              <w:t> </w:t>
            </w:r>
          </w:p>
        </w:tc>
      </w:tr>
      <w:tr w:rsidR="00903212" w:rsidRPr="00A83C94" w14:paraId="6B1E29DD" w14:textId="77777777" w:rsidTr="00733935">
        <w:trPr>
          <w:trHeight w:val="300"/>
        </w:trPr>
        <w:tc>
          <w:tcPr>
            <w:tcW w:w="4048"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56D19AA6"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ընթացիկ ծախսեր, (մլն դրամ)</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4226C94A"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1,298,978</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650506CE" w14:textId="77777777" w:rsidR="00903212" w:rsidRPr="00A83C94" w:rsidRDefault="00903212" w:rsidP="00733935">
            <w:pPr>
              <w:spacing w:before="0" w:line="240" w:lineRule="auto"/>
              <w:ind w:firstLine="0"/>
              <w:contextualSpacing w:val="0"/>
              <w:rPr>
                <w:rFonts w:cs="Calibri"/>
                <w:b w:val="0"/>
                <w:color w:val="000000"/>
                <w:sz w:val="18"/>
                <w:szCs w:val="18"/>
                <w:lang w:val="en-US" w:eastAsia="en-US"/>
              </w:rPr>
            </w:pPr>
            <w:r w:rsidRPr="00A83C94">
              <w:rPr>
                <w:rFonts w:cs="Calibri"/>
                <w:b w:val="0"/>
                <w:color w:val="000000"/>
                <w:sz w:val="18"/>
                <w:szCs w:val="18"/>
                <w:lang w:val="en-US" w:eastAsia="en-US"/>
              </w:rPr>
              <w:t>1,437,143</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0CE2EE65"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1,668,458</w:t>
            </w:r>
          </w:p>
        </w:tc>
        <w:tc>
          <w:tcPr>
            <w:tcW w:w="1604"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78E05F32"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1,634,559</w:t>
            </w:r>
          </w:p>
        </w:tc>
        <w:tc>
          <w:tcPr>
            <w:tcW w:w="1276"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52B0FE71" w14:textId="77777777" w:rsidR="00903212" w:rsidRPr="00774722" w:rsidRDefault="00903212" w:rsidP="00733935">
            <w:pPr>
              <w:spacing w:before="0" w:line="240" w:lineRule="auto"/>
              <w:ind w:firstLine="0"/>
              <w:contextualSpacing w:val="0"/>
              <w:jc w:val="center"/>
              <w:rPr>
                <w:rFonts w:cs="Calibri"/>
                <w:b w:val="0"/>
                <w:color w:val="000000"/>
                <w:sz w:val="18"/>
                <w:szCs w:val="18"/>
                <w:lang w:val="en-US" w:eastAsia="en-US"/>
              </w:rPr>
            </w:pPr>
            <w:r w:rsidRPr="00774722">
              <w:rPr>
                <w:rFonts w:cs="Calibri"/>
                <w:b w:val="0"/>
                <w:color w:val="000000"/>
                <w:sz w:val="18"/>
                <w:szCs w:val="18"/>
                <w:lang w:val="en-US" w:eastAsia="en-US"/>
              </w:rPr>
              <w:t>1,842,719</w:t>
            </w:r>
          </w:p>
        </w:tc>
      </w:tr>
      <w:tr w:rsidR="00903212" w:rsidRPr="00A83C94" w14:paraId="08EA67E6" w14:textId="77777777" w:rsidTr="00733935">
        <w:trPr>
          <w:trHeight w:val="482"/>
        </w:trPr>
        <w:tc>
          <w:tcPr>
            <w:tcW w:w="4048" w:type="dxa"/>
            <w:vMerge/>
            <w:tcBorders>
              <w:top w:val="nil"/>
              <w:left w:val="single" w:sz="8" w:space="0" w:color="auto"/>
              <w:bottom w:val="single" w:sz="8" w:space="0" w:color="000000"/>
              <w:right w:val="single" w:sz="8" w:space="0" w:color="auto"/>
            </w:tcBorders>
            <w:vAlign w:val="center"/>
            <w:hideMark/>
          </w:tcPr>
          <w:p w14:paraId="7F38E3F0" w14:textId="77777777" w:rsidR="00903212" w:rsidRPr="00A83C94" w:rsidRDefault="00903212" w:rsidP="00733935">
            <w:pPr>
              <w:spacing w:before="0" w:line="240" w:lineRule="auto"/>
              <w:ind w:firstLine="0"/>
              <w:contextualSpacing w:val="0"/>
              <w:jc w:val="left"/>
              <w:rPr>
                <w:rFonts w:cs="Calibri"/>
                <w:b w:val="0"/>
                <w:color w:val="000000"/>
                <w:sz w:val="20"/>
                <w:szCs w:val="20"/>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448D7AAE"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02A82EDF"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hideMark/>
          </w:tcPr>
          <w:p w14:paraId="091AC355"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hideMark/>
          </w:tcPr>
          <w:p w14:paraId="62C44EB3"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c>
          <w:tcPr>
            <w:tcW w:w="1276" w:type="dxa"/>
            <w:vMerge/>
            <w:tcBorders>
              <w:top w:val="nil"/>
              <w:left w:val="single" w:sz="8" w:space="0" w:color="auto"/>
              <w:bottom w:val="single" w:sz="8" w:space="0" w:color="000000"/>
              <w:right w:val="single" w:sz="8" w:space="0" w:color="auto"/>
            </w:tcBorders>
            <w:vAlign w:val="center"/>
            <w:hideMark/>
          </w:tcPr>
          <w:p w14:paraId="200C0A0D" w14:textId="77777777" w:rsidR="00903212" w:rsidRPr="00A83C94" w:rsidRDefault="00903212" w:rsidP="00733935">
            <w:pPr>
              <w:spacing w:before="0" w:line="240" w:lineRule="auto"/>
              <w:ind w:firstLine="0"/>
              <w:contextualSpacing w:val="0"/>
              <w:jc w:val="left"/>
              <w:rPr>
                <w:rFonts w:cs="Calibri"/>
                <w:b w:val="0"/>
                <w:color w:val="000000"/>
                <w:sz w:val="18"/>
                <w:szCs w:val="18"/>
                <w:lang w:val="en-US" w:eastAsia="en-US"/>
              </w:rPr>
            </w:pPr>
          </w:p>
        </w:tc>
      </w:tr>
      <w:tr w:rsidR="00903212" w:rsidRPr="00A83C94" w14:paraId="2CD69110" w14:textId="77777777" w:rsidTr="00733935">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14:paraId="23A0877F"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 %-ով՝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14:paraId="607ADBAA"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21.6%</w:t>
            </w:r>
          </w:p>
        </w:tc>
        <w:tc>
          <w:tcPr>
            <w:tcW w:w="1210" w:type="dxa"/>
            <w:tcBorders>
              <w:top w:val="nil"/>
              <w:left w:val="nil"/>
              <w:bottom w:val="single" w:sz="8" w:space="0" w:color="auto"/>
              <w:right w:val="single" w:sz="8" w:space="0" w:color="auto"/>
            </w:tcBorders>
            <w:shd w:val="clear" w:color="000000" w:fill="FFFFFF"/>
            <w:vAlign w:val="center"/>
            <w:hideMark/>
          </w:tcPr>
          <w:p w14:paraId="644A025D"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21.9%</w:t>
            </w:r>
          </w:p>
        </w:tc>
        <w:tc>
          <w:tcPr>
            <w:tcW w:w="1285" w:type="dxa"/>
            <w:tcBorders>
              <w:top w:val="nil"/>
              <w:left w:val="nil"/>
              <w:bottom w:val="single" w:sz="8" w:space="0" w:color="auto"/>
              <w:right w:val="single" w:sz="8" w:space="0" w:color="auto"/>
            </w:tcBorders>
            <w:shd w:val="clear" w:color="000000" w:fill="FFFFFF"/>
            <w:vAlign w:val="center"/>
            <w:hideMark/>
          </w:tcPr>
          <w:p w14:paraId="0649A26C"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27.0%</w:t>
            </w:r>
          </w:p>
        </w:tc>
        <w:tc>
          <w:tcPr>
            <w:tcW w:w="1604" w:type="dxa"/>
            <w:tcBorders>
              <w:top w:val="nil"/>
              <w:left w:val="nil"/>
              <w:bottom w:val="single" w:sz="8" w:space="0" w:color="auto"/>
              <w:right w:val="single" w:sz="8" w:space="0" w:color="auto"/>
            </w:tcBorders>
            <w:shd w:val="clear" w:color="000000" w:fill="FFFFFF"/>
            <w:vAlign w:val="center"/>
            <w:hideMark/>
          </w:tcPr>
          <w:p w14:paraId="51E8CDA5"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25.6%</w:t>
            </w:r>
          </w:p>
        </w:tc>
        <w:tc>
          <w:tcPr>
            <w:tcW w:w="1276" w:type="dxa"/>
            <w:tcBorders>
              <w:top w:val="nil"/>
              <w:left w:val="nil"/>
              <w:bottom w:val="single" w:sz="8" w:space="0" w:color="auto"/>
              <w:right w:val="single" w:sz="8" w:space="0" w:color="auto"/>
            </w:tcBorders>
            <w:shd w:val="clear" w:color="000000" w:fill="FFFFFF"/>
            <w:vAlign w:val="center"/>
            <w:hideMark/>
          </w:tcPr>
          <w:p w14:paraId="6B26068F" w14:textId="77777777" w:rsidR="00903212" w:rsidRPr="00774722" w:rsidRDefault="00903212" w:rsidP="00733935">
            <w:pPr>
              <w:spacing w:before="0" w:line="240" w:lineRule="auto"/>
              <w:ind w:firstLine="0"/>
              <w:contextualSpacing w:val="0"/>
              <w:jc w:val="center"/>
              <w:rPr>
                <w:rFonts w:cs="Calibri"/>
                <w:b w:val="0"/>
                <w:color w:val="000000"/>
                <w:sz w:val="20"/>
                <w:szCs w:val="20"/>
                <w:lang w:val="en-US" w:eastAsia="en-US"/>
              </w:rPr>
            </w:pPr>
            <w:r w:rsidRPr="00774722">
              <w:rPr>
                <w:rFonts w:cs="Calibri"/>
                <w:b w:val="0"/>
                <w:color w:val="000000"/>
                <w:sz w:val="20"/>
                <w:szCs w:val="20"/>
                <w:lang w:val="en-US" w:eastAsia="en-US"/>
              </w:rPr>
              <w:t>23.4%</w:t>
            </w:r>
          </w:p>
        </w:tc>
      </w:tr>
      <w:tr w:rsidR="00903212" w:rsidRPr="00A83C94" w14:paraId="1BD29E3D" w14:textId="77777777" w:rsidTr="00733935">
        <w:trPr>
          <w:trHeight w:val="555"/>
        </w:trPr>
        <w:tc>
          <w:tcPr>
            <w:tcW w:w="4048" w:type="dxa"/>
            <w:tcBorders>
              <w:top w:val="nil"/>
              <w:left w:val="single" w:sz="8" w:space="0" w:color="auto"/>
              <w:bottom w:val="single" w:sz="8" w:space="0" w:color="auto"/>
              <w:right w:val="single" w:sz="8" w:space="0" w:color="auto"/>
            </w:tcBorders>
            <w:shd w:val="clear" w:color="000000" w:fill="D5DCE4"/>
            <w:vAlign w:val="center"/>
            <w:hideMark/>
          </w:tcPr>
          <w:p w14:paraId="3E87E90E" w14:textId="77777777" w:rsidR="00903212" w:rsidRPr="00A83C94" w:rsidRDefault="00903212" w:rsidP="00733935">
            <w:pPr>
              <w:spacing w:before="0" w:line="240" w:lineRule="auto"/>
              <w:ind w:firstLine="0"/>
              <w:contextualSpacing w:val="0"/>
              <w:rPr>
                <w:rFonts w:cs="Calibri"/>
                <w:b w:val="0"/>
                <w:color w:val="000000"/>
                <w:sz w:val="20"/>
                <w:szCs w:val="20"/>
                <w:lang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ոչ</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ֆինանսական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ակտիվների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գծով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գործառնություններ</w:t>
            </w:r>
            <w:r w:rsidRPr="00A83C94">
              <w:rPr>
                <w:rFonts w:cs="Calibri"/>
                <w:b w:val="0"/>
                <w:color w:val="000000"/>
                <w:sz w:val="20"/>
                <w:szCs w:val="20"/>
                <w:lang w:eastAsia="en-US"/>
              </w:rPr>
              <w:t>, (</w:t>
            </w:r>
            <w:r w:rsidRPr="00A83C94">
              <w:rPr>
                <w:rFonts w:cs="Calibri"/>
                <w:b w:val="0"/>
                <w:color w:val="000000"/>
                <w:sz w:val="20"/>
                <w:szCs w:val="20"/>
                <w:lang w:val="en-US" w:eastAsia="en-US"/>
              </w:rPr>
              <w:t>մլն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դրամ</w:t>
            </w:r>
            <w:r w:rsidRPr="00A83C94">
              <w:rPr>
                <w:rFonts w:cs="Calibri"/>
                <w:b w:val="0"/>
                <w:color w:val="000000"/>
                <w:sz w:val="20"/>
                <w:szCs w:val="20"/>
                <w:lang w:eastAsia="en-US"/>
              </w:rPr>
              <w:t>)*</w:t>
            </w:r>
          </w:p>
        </w:tc>
        <w:tc>
          <w:tcPr>
            <w:tcW w:w="1210" w:type="dxa"/>
            <w:tcBorders>
              <w:top w:val="nil"/>
              <w:left w:val="nil"/>
              <w:bottom w:val="single" w:sz="8" w:space="0" w:color="auto"/>
              <w:right w:val="single" w:sz="8" w:space="0" w:color="auto"/>
            </w:tcBorders>
            <w:shd w:val="clear" w:color="000000" w:fill="D5DCE4"/>
            <w:vAlign w:val="center"/>
            <w:hideMark/>
          </w:tcPr>
          <w:p w14:paraId="7F049A8B"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148,105</w:t>
            </w:r>
          </w:p>
        </w:tc>
        <w:tc>
          <w:tcPr>
            <w:tcW w:w="1210" w:type="dxa"/>
            <w:tcBorders>
              <w:top w:val="nil"/>
              <w:left w:val="nil"/>
              <w:bottom w:val="single" w:sz="8" w:space="0" w:color="auto"/>
              <w:right w:val="single" w:sz="8" w:space="0" w:color="auto"/>
            </w:tcBorders>
            <w:shd w:val="clear" w:color="000000" w:fill="D5DCE4"/>
            <w:vAlign w:val="center"/>
            <w:hideMark/>
          </w:tcPr>
          <w:p w14:paraId="6EA9CC3E"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192,294</w:t>
            </w:r>
          </w:p>
        </w:tc>
        <w:tc>
          <w:tcPr>
            <w:tcW w:w="1285" w:type="dxa"/>
            <w:tcBorders>
              <w:top w:val="nil"/>
              <w:left w:val="nil"/>
              <w:bottom w:val="single" w:sz="8" w:space="0" w:color="auto"/>
              <w:right w:val="single" w:sz="8" w:space="0" w:color="auto"/>
            </w:tcBorders>
            <w:shd w:val="clear" w:color="000000" w:fill="D5DCE4"/>
            <w:vAlign w:val="center"/>
            <w:hideMark/>
          </w:tcPr>
          <w:p w14:paraId="030D4935"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226,189</w:t>
            </w:r>
          </w:p>
        </w:tc>
        <w:tc>
          <w:tcPr>
            <w:tcW w:w="1604" w:type="dxa"/>
            <w:tcBorders>
              <w:top w:val="nil"/>
              <w:left w:val="nil"/>
              <w:bottom w:val="single" w:sz="8" w:space="0" w:color="auto"/>
              <w:right w:val="single" w:sz="8" w:space="0" w:color="auto"/>
            </w:tcBorders>
            <w:shd w:val="clear" w:color="000000" w:fill="D5DCE4"/>
            <w:vAlign w:val="center"/>
            <w:hideMark/>
          </w:tcPr>
          <w:p w14:paraId="2FBE3246" w14:textId="77777777" w:rsidR="00903212" w:rsidRPr="00A83C94" w:rsidRDefault="00903212" w:rsidP="00733935">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216,319</w:t>
            </w:r>
          </w:p>
        </w:tc>
        <w:tc>
          <w:tcPr>
            <w:tcW w:w="1276" w:type="dxa"/>
            <w:tcBorders>
              <w:top w:val="nil"/>
              <w:left w:val="nil"/>
              <w:bottom w:val="single" w:sz="8" w:space="0" w:color="auto"/>
              <w:right w:val="single" w:sz="8" w:space="0" w:color="auto"/>
            </w:tcBorders>
            <w:shd w:val="clear" w:color="000000" w:fill="D5DCE4"/>
            <w:vAlign w:val="center"/>
            <w:hideMark/>
          </w:tcPr>
          <w:p w14:paraId="2E9B6DDE" w14:textId="77777777" w:rsidR="00903212" w:rsidRPr="00774722" w:rsidRDefault="00903212" w:rsidP="00733935">
            <w:pPr>
              <w:spacing w:before="0" w:line="240" w:lineRule="auto"/>
              <w:ind w:firstLine="0"/>
              <w:contextualSpacing w:val="0"/>
              <w:jc w:val="center"/>
              <w:rPr>
                <w:rFonts w:cs="Calibri"/>
                <w:b w:val="0"/>
                <w:color w:val="000000"/>
                <w:sz w:val="18"/>
                <w:szCs w:val="18"/>
                <w:lang w:val="en-US" w:eastAsia="en-US"/>
              </w:rPr>
            </w:pPr>
            <w:r w:rsidRPr="00774722">
              <w:rPr>
                <w:rFonts w:cs="Calibri"/>
                <w:b w:val="0"/>
                <w:color w:val="000000"/>
                <w:sz w:val="18"/>
                <w:szCs w:val="18"/>
                <w:lang w:val="en-US" w:eastAsia="en-US"/>
              </w:rPr>
              <w:t>346,509</w:t>
            </w:r>
          </w:p>
        </w:tc>
      </w:tr>
      <w:tr w:rsidR="00903212" w:rsidRPr="00A83C94" w14:paraId="20027AC7" w14:textId="77777777" w:rsidTr="00733935">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14:paraId="7A0D53A9"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14:paraId="6C4F81DD"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2.5%</w:t>
            </w:r>
          </w:p>
        </w:tc>
        <w:tc>
          <w:tcPr>
            <w:tcW w:w="1210" w:type="dxa"/>
            <w:tcBorders>
              <w:top w:val="nil"/>
              <w:left w:val="nil"/>
              <w:bottom w:val="single" w:sz="8" w:space="0" w:color="auto"/>
              <w:right w:val="single" w:sz="8" w:space="0" w:color="auto"/>
            </w:tcBorders>
            <w:shd w:val="clear" w:color="000000" w:fill="FFFFFF"/>
            <w:vAlign w:val="center"/>
            <w:hideMark/>
          </w:tcPr>
          <w:p w14:paraId="4135E4B6"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2.9%</w:t>
            </w:r>
          </w:p>
        </w:tc>
        <w:tc>
          <w:tcPr>
            <w:tcW w:w="1285" w:type="dxa"/>
            <w:tcBorders>
              <w:top w:val="nil"/>
              <w:left w:val="nil"/>
              <w:bottom w:val="single" w:sz="8" w:space="0" w:color="auto"/>
              <w:right w:val="single" w:sz="8" w:space="0" w:color="auto"/>
            </w:tcBorders>
            <w:shd w:val="clear" w:color="000000" w:fill="FFFFFF"/>
            <w:vAlign w:val="center"/>
            <w:hideMark/>
          </w:tcPr>
          <w:p w14:paraId="4B93E379"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3.7%</w:t>
            </w:r>
          </w:p>
        </w:tc>
        <w:tc>
          <w:tcPr>
            <w:tcW w:w="1604" w:type="dxa"/>
            <w:tcBorders>
              <w:top w:val="nil"/>
              <w:left w:val="nil"/>
              <w:bottom w:val="single" w:sz="8" w:space="0" w:color="auto"/>
              <w:right w:val="single" w:sz="8" w:space="0" w:color="auto"/>
            </w:tcBorders>
            <w:shd w:val="clear" w:color="000000" w:fill="FFFFFF"/>
            <w:vAlign w:val="center"/>
            <w:hideMark/>
          </w:tcPr>
          <w:p w14:paraId="038A6C22" w14:textId="77777777" w:rsidR="00903212" w:rsidRPr="00A83C94" w:rsidRDefault="00903212" w:rsidP="00733935">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3.4%</w:t>
            </w:r>
          </w:p>
        </w:tc>
        <w:tc>
          <w:tcPr>
            <w:tcW w:w="1276" w:type="dxa"/>
            <w:tcBorders>
              <w:top w:val="nil"/>
              <w:left w:val="nil"/>
              <w:bottom w:val="single" w:sz="8" w:space="0" w:color="auto"/>
              <w:right w:val="single" w:sz="8" w:space="0" w:color="auto"/>
            </w:tcBorders>
            <w:shd w:val="clear" w:color="000000" w:fill="FFFFFF"/>
            <w:vAlign w:val="center"/>
            <w:hideMark/>
          </w:tcPr>
          <w:p w14:paraId="7062F94A" w14:textId="77777777" w:rsidR="00903212" w:rsidRPr="00774722" w:rsidRDefault="00903212" w:rsidP="00733935">
            <w:pPr>
              <w:spacing w:before="0" w:line="240" w:lineRule="auto"/>
              <w:ind w:firstLine="0"/>
              <w:contextualSpacing w:val="0"/>
              <w:jc w:val="center"/>
              <w:rPr>
                <w:rFonts w:cs="Calibri"/>
                <w:b w:val="0"/>
                <w:color w:val="000000"/>
                <w:sz w:val="20"/>
                <w:szCs w:val="20"/>
                <w:lang w:val="en-US" w:eastAsia="en-US"/>
              </w:rPr>
            </w:pPr>
            <w:r w:rsidRPr="00774722">
              <w:rPr>
                <w:rFonts w:cs="Calibri"/>
                <w:b w:val="0"/>
                <w:color w:val="000000"/>
                <w:sz w:val="20"/>
                <w:szCs w:val="20"/>
                <w:lang w:val="en-US" w:eastAsia="en-US"/>
              </w:rPr>
              <w:t>4.4%</w:t>
            </w:r>
          </w:p>
        </w:tc>
      </w:tr>
    </w:tbl>
    <w:p w14:paraId="1A2CF78A" w14:textId="34B5FEF6" w:rsidR="00903212" w:rsidRPr="00A83C94" w:rsidRDefault="00903212" w:rsidP="00903212">
      <w:pPr>
        <w:pStyle w:val="Caption"/>
        <w:spacing w:before="0" w:after="0" w:line="240" w:lineRule="auto"/>
      </w:pPr>
      <w:r w:rsidRPr="00A83C94">
        <w:t>*</w:t>
      </w:r>
      <w:r w:rsidRPr="00A83C94">
        <w:rPr>
          <w:lang w:val="en-US"/>
        </w:rPr>
        <w:t>ոչ</w:t>
      </w:r>
      <w:r w:rsidRPr="00A83C94">
        <w:t xml:space="preserve"> </w:t>
      </w:r>
      <w:r w:rsidRPr="00A83C94">
        <w:rPr>
          <w:lang w:val="en-US"/>
        </w:rPr>
        <w:t>ֆինանսական</w:t>
      </w:r>
      <w:r w:rsidRPr="00A83C94">
        <w:t xml:space="preserve"> </w:t>
      </w:r>
      <w:r w:rsidRPr="00A83C94">
        <w:rPr>
          <w:lang w:val="en-US"/>
        </w:rPr>
        <w:t>ակտիվների</w:t>
      </w:r>
      <w:r w:rsidRPr="00A83C94">
        <w:t xml:space="preserve"> </w:t>
      </w:r>
      <w:r w:rsidRPr="00A83C94">
        <w:rPr>
          <w:lang w:val="en-US"/>
        </w:rPr>
        <w:t>գծով</w:t>
      </w:r>
      <w:r w:rsidRPr="00A83C94">
        <w:t xml:space="preserve"> </w:t>
      </w:r>
      <w:r w:rsidRPr="00A83C94">
        <w:rPr>
          <w:lang w:val="en-US"/>
        </w:rPr>
        <w:t>գործառնությունները</w:t>
      </w:r>
      <w:r w:rsidRPr="00A83C94">
        <w:t xml:space="preserve"> </w:t>
      </w:r>
      <w:r w:rsidRPr="00A83C94">
        <w:rPr>
          <w:lang w:val="en-US"/>
        </w:rPr>
        <w:t>հանրագումար</w:t>
      </w:r>
      <w:r w:rsidRPr="00A83C94">
        <w:t xml:space="preserve"> </w:t>
      </w:r>
      <w:r w:rsidRPr="00A83C94">
        <w:rPr>
          <w:lang w:val="en-US"/>
        </w:rPr>
        <w:t>են</w:t>
      </w:r>
      <w:r w:rsidRPr="00A83C94">
        <w:t xml:space="preserve"> ոչ ֆինանսական ակտիվների օտարումից մուտքեր</w:t>
      </w:r>
      <w:r w:rsidRPr="00A83C94">
        <w:rPr>
          <w:lang w:val="en-US"/>
        </w:rPr>
        <w:t>ի</w:t>
      </w:r>
      <w:r w:rsidRPr="00A83C94">
        <w:t xml:space="preserve"> </w:t>
      </w:r>
      <w:r w:rsidRPr="00A83C94">
        <w:rPr>
          <w:lang w:val="en-US"/>
        </w:rPr>
        <w:t>գծով</w:t>
      </w:r>
      <w:r w:rsidRPr="00A83C94">
        <w:t xml:space="preserve"> </w:t>
      </w:r>
      <w:r w:rsidRPr="00A83C94">
        <w:rPr>
          <w:lang w:val="en-US"/>
        </w:rPr>
        <w:t>ծախսերի</w:t>
      </w:r>
      <w:r w:rsidRPr="00A83C94">
        <w:t xml:space="preserve"> (-10,059.3 </w:t>
      </w:r>
      <w:r w:rsidRPr="00A83C94">
        <w:rPr>
          <w:lang w:val="en-US"/>
        </w:rPr>
        <w:t>մլն</w:t>
      </w:r>
      <w:r w:rsidRPr="00A83C94">
        <w:t xml:space="preserve"> </w:t>
      </w:r>
      <w:r w:rsidRPr="00A83C94">
        <w:rPr>
          <w:lang w:val="en-US"/>
        </w:rPr>
        <w:t>դրամ</w:t>
      </w:r>
      <w:r w:rsidRPr="00A83C94">
        <w:t xml:space="preserve">) </w:t>
      </w:r>
      <w:r w:rsidRPr="00A83C94">
        <w:rPr>
          <w:lang w:val="en-US"/>
        </w:rPr>
        <w:t>և</w:t>
      </w:r>
      <w:r w:rsidRPr="00A83C94">
        <w:t xml:space="preserve"> </w:t>
      </w:r>
      <w:r w:rsidRPr="00A83C94">
        <w:rPr>
          <w:lang w:val="en-US"/>
        </w:rPr>
        <w:t>ոչ</w:t>
      </w:r>
      <w:r w:rsidRPr="00A83C94">
        <w:t xml:space="preserve"> </w:t>
      </w:r>
      <w:r w:rsidRPr="00A83C94">
        <w:rPr>
          <w:lang w:val="en-US"/>
        </w:rPr>
        <w:t>ֆինանսական</w:t>
      </w:r>
      <w:r w:rsidRPr="00A83C94">
        <w:t xml:space="preserve"> </w:t>
      </w:r>
      <w:r w:rsidRPr="00A83C94">
        <w:rPr>
          <w:lang w:val="en-US"/>
        </w:rPr>
        <w:t>ակտիվների</w:t>
      </w:r>
      <w:r w:rsidRPr="00A83C94">
        <w:t xml:space="preserve"> </w:t>
      </w:r>
      <w:r w:rsidRPr="00A83C94">
        <w:rPr>
          <w:lang w:val="en-US"/>
        </w:rPr>
        <w:t>գծով</w:t>
      </w:r>
      <w:r w:rsidRPr="00A83C94">
        <w:t xml:space="preserve"> </w:t>
      </w:r>
      <w:r w:rsidRPr="00A83C94">
        <w:rPr>
          <w:lang w:val="en-US"/>
        </w:rPr>
        <w:t>ծախսերի</w:t>
      </w:r>
      <w:r w:rsidRPr="00A83C94">
        <w:t xml:space="preserve"> (</w:t>
      </w:r>
      <w:r>
        <w:t>35</w:t>
      </w:r>
      <w:r w:rsidRPr="00A83C94">
        <w:t>6,</w:t>
      </w:r>
      <w:r>
        <w:t>5</w:t>
      </w:r>
      <w:r w:rsidR="00F379C0">
        <w:rPr>
          <w:lang w:val="hy-AM"/>
        </w:rPr>
        <w:t>68</w:t>
      </w:r>
      <w:r w:rsidRPr="00A83C94">
        <w:t>.</w:t>
      </w:r>
      <w:r w:rsidR="00F379C0">
        <w:rPr>
          <w:lang w:val="hy-AM"/>
        </w:rPr>
        <w:t>5</w:t>
      </w:r>
      <w:bookmarkStart w:id="232" w:name="_GoBack"/>
      <w:bookmarkEnd w:id="232"/>
      <w:r w:rsidRPr="00A83C94">
        <w:t xml:space="preserve"> </w:t>
      </w:r>
      <w:r w:rsidRPr="00A83C94">
        <w:rPr>
          <w:lang w:val="en-US"/>
        </w:rPr>
        <w:t>մլն</w:t>
      </w:r>
      <w:r w:rsidRPr="00A83C94">
        <w:t xml:space="preserve"> </w:t>
      </w:r>
      <w:r w:rsidRPr="00A83C94">
        <w:rPr>
          <w:lang w:val="en-US"/>
        </w:rPr>
        <w:t>դրամ</w:t>
      </w:r>
      <w:r w:rsidRPr="00A83C94">
        <w:t>):</w:t>
      </w:r>
    </w:p>
    <w:p w14:paraId="46E4B86E" w14:textId="77777777" w:rsidR="000957ED" w:rsidRDefault="000957ED" w:rsidP="000957ED">
      <w:pPr>
        <w:pStyle w:val="Caption"/>
      </w:pPr>
      <w:bookmarkStart w:id="233" w:name="_Toc57631788"/>
      <w:bookmarkStart w:id="234" w:name="_Toc83752683"/>
    </w:p>
    <w:p w14:paraId="4A213B67" w14:textId="39496BC6" w:rsidR="00903212" w:rsidRPr="00A83C94" w:rsidRDefault="000957ED" w:rsidP="000957ED">
      <w:pPr>
        <w:pStyle w:val="Caption"/>
        <w:rPr>
          <w:rFonts w:cs="Sylfaen"/>
          <w:b/>
          <w:i/>
          <w:sz w:val="20"/>
          <w:szCs w:val="20"/>
          <w:lang w:val="hy-AM" w:eastAsia="en-US"/>
        </w:rPr>
      </w:pPr>
      <w:bookmarkStart w:id="235" w:name="_Toc83929499"/>
      <w:r>
        <w:t xml:space="preserve">Գծապատկեր </w:t>
      </w:r>
      <w:r>
        <w:fldChar w:fldCharType="begin"/>
      </w:r>
      <w:r>
        <w:instrText xml:space="preserve"> SEQ Գծապատկեր \* ARABIC </w:instrText>
      </w:r>
      <w:r>
        <w:fldChar w:fldCharType="separate"/>
      </w:r>
      <w:r w:rsidR="0077355D">
        <w:rPr>
          <w:noProof/>
        </w:rPr>
        <w:t>2</w:t>
      </w:r>
      <w:r>
        <w:fldChar w:fldCharType="end"/>
      </w:r>
      <w:r w:rsidR="00903212" w:rsidRPr="00A83C94">
        <w:rPr>
          <w:rFonts w:ascii="Cambria Math" w:hAnsi="Cambria Math"/>
          <w:lang w:val="hy-AM"/>
        </w:rPr>
        <w:t>․</w:t>
      </w:r>
      <w:r w:rsidR="00903212" w:rsidRPr="00A83C94">
        <w:rPr>
          <w:rFonts w:eastAsia="Calibri"/>
          <w:i/>
          <w:iCs/>
          <w:color w:val="000000"/>
          <w:sz w:val="20"/>
          <w:szCs w:val="20"/>
          <w:lang w:val="hy-AM" w:eastAsia="en-US"/>
        </w:rPr>
        <w:t xml:space="preserve"> </w:t>
      </w:r>
      <w:r w:rsidR="00903212" w:rsidRPr="00A83C94">
        <w:rPr>
          <w:b/>
          <w:i/>
          <w:sz w:val="20"/>
          <w:szCs w:val="20"/>
          <w:lang w:val="af-ZA" w:eastAsia="en-US"/>
        </w:rPr>
        <w:t>2018-2022</w:t>
      </w:r>
      <w:r w:rsidR="00903212" w:rsidRPr="00A83C94">
        <w:rPr>
          <w:b/>
          <w:i/>
          <w:sz w:val="20"/>
          <w:szCs w:val="20"/>
          <w:lang w:val="it-IT" w:eastAsia="en-US"/>
        </w:rPr>
        <w:t>թթ</w:t>
      </w:r>
      <w:r w:rsidR="00903212" w:rsidRPr="00A83C94">
        <w:rPr>
          <w:rFonts w:ascii="Cambria Math" w:hAnsi="Cambria Math"/>
          <w:b/>
          <w:i/>
          <w:sz w:val="20"/>
          <w:szCs w:val="20"/>
          <w:lang w:val="hy-AM" w:eastAsia="en-US"/>
        </w:rPr>
        <w:t>․</w:t>
      </w:r>
      <w:r w:rsidR="00903212" w:rsidRPr="00A83C94">
        <w:rPr>
          <w:b/>
          <w:i/>
          <w:sz w:val="20"/>
          <w:szCs w:val="20"/>
          <w:lang w:val="af-ZA" w:eastAsia="en-US"/>
        </w:rPr>
        <w:t xml:space="preserve"> </w:t>
      </w:r>
      <w:r w:rsidR="00903212" w:rsidRPr="00A83C94">
        <w:rPr>
          <w:rFonts w:cs="Sylfaen"/>
          <w:b/>
          <w:i/>
          <w:sz w:val="20"/>
          <w:szCs w:val="20"/>
          <w:lang w:val="hy-AM" w:eastAsia="en-US"/>
        </w:rPr>
        <w:t>ընթացիկ</w:t>
      </w:r>
      <w:r w:rsidR="00903212" w:rsidRPr="00A83C94">
        <w:rPr>
          <w:b/>
          <w:i/>
          <w:sz w:val="20"/>
          <w:szCs w:val="20"/>
          <w:lang w:val="af-ZA" w:eastAsia="en-US"/>
        </w:rPr>
        <w:t xml:space="preserve"> </w:t>
      </w:r>
      <w:r w:rsidR="00903212" w:rsidRPr="00A83C94">
        <w:rPr>
          <w:rFonts w:cs="Sylfaen"/>
          <w:b/>
          <w:i/>
          <w:sz w:val="20"/>
          <w:szCs w:val="20"/>
          <w:lang w:val="hy-AM" w:eastAsia="en-US"/>
        </w:rPr>
        <w:t>և</w:t>
      </w:r>
      <w:r w:rsidR="00903212" w:rsidRPr="00A83C94">
        <w:rPr>
          <w:b/>
          <w:i/>
          <w:sz w:val="20"/>
          <w:szCs w:val="20"/>
          <w:lang w:val="af-ZA" w:eastAsia="en-US"/>
        </w:rPr>
        <w:t xml:space="preserve"> </w:t>
      </w:r>
      <w:r w:rsidR="00903212" w:rsidRPr="00A83C94">
        <w:rPr>
          <w:rFonts w:cs="Sylfaen"/>
          <w:b/>
          <w:i/>
          <w:sz w:val="20"/>
          <w:szCs w:val="20"/>
          <w:lang w:val="hy-AM" w:eastAsia="en-US"/>
        </w:rPr>
        <w:t>ոչ</w:t>
      </w:r>
      <w:r w:rsidR="00903212" w:rsidRPr="00A83C94">
        <w:rPr>
          <w:rFonts w:cs="Sylfaen"/>
          <w:b/>
          <w:i/>
          <w:sz w:val="20"/>
          <w:szCs w:val="20"/>
          <w:lang w:val="af-ZA" w:eastAsia="en-US"/>
        </w:rPr>
        <w:t xml:space="preserve"> </w:t>
      </w:r>
      <w:r w:rsidR="00903212" w:rsidRPr="00A83C94">
        <w:rPr>
          <w:rFonts w:cs="Sylfaen"/>
          <w:b/>
          <w:i/>
          <w:sz w:val="20"/>
          <w:szCs w:val="20"/>
          <w:lang w:val="hy-AM" w:eastAsia="en-US"/>
        </w:rPr>
        <w:t>ֆինանսական</w:t>
      </w:r>
      <w:r w:rsidR="00903212" w:rsidRPr="00A83C94">
        <w:rPr>
          <w:rFonts w:cs="Sylfaen"/>
          <w:b/>
          <w:i/>
          <w:sz w:val="20"/>
          <w:szCs w:val="20"/>
          <w:lang w:val="af-ZA" w:eastAsia="en-US"/>
        </w:rPr>
        <w:t xml:space="preserve"> </w:t>
      </w:r>
      <w:r w:rsidR="00903212" w:rsidRPr="00A83C94">
        <w:rPr>
          <w:rFonts w:cs="Sylfaen"/>
          <w:b/>
          <w:i/>
          <w:sz w:val="20"/>
          <w:szCs w:val="20"/>
          <w:lang w:val="hy-AM" w:eastAsia="en-US"/>
        </w:rPr>
        <w:t>ակտիվների</w:t>
      </w:r>
      <w:r w:rsidR="00903212" w:rsidRPr="00A83C94">
        <w:rPr>
          <w:rFonts w:cs="Sylfaen"/>
          <w:b/>
          <w:i/>
          <w:sz w:val="20"/>
          <w:szCs w:val="20"/>
          <w:lang w:val="af-ZA" w:eastAsia="en-US"/>
        </w:rPr>
        <w:t xml:space="preserve"> </w:t>
      </w:r>
      <w:r w:rsidR="00903212" w:rsidRPr="00A83C94">
        <w:rPr>
          <w:rFonts w:cs="Sylfaen"/>
          <w:b/>
          <w:i/>
          <w:sz w:val="20"/>
          <w:szCs w:val="20"/>
          <w:lang w:val="hy-AM" w:eastAsia="en-US"/>
        </w:rPr>
        <w:t>գծով</w:t>
      </w:r>
      <w:r w:rsidR="00903212" w:rsidRPr="00A83C94">
        <w:rPr>
          <w:rFonts w:cs="Sylfaen"/>
          <w:b/>
          <w:i/>
          <w:sz w:val="20"/>
          <w:szCs w:val="20"/>
          <w:lang w:val="af-ZA" w:eastAsia="en-US"/>
        </w:rPr>
        <w:t xml:space="preserve"> </w:t>
      </w:r>
      <w:r w:rsidR="00903212" w:rsidRPr="00A83C94">
        <w:rPr>
          <w:rFonts w:cs="Sylfaen"/>
          <w:b/>
          <w:i/>
          <w:sz w:val="20"/>
          <w:szCs w:val="20"/>
          <w:lang w:val="en-US" w:eastAsia="en-US"/>
        </w:rPr>
        <w:t>գործառնությունների</w:t>
      </w:r>
      <w:r w:rsidR="00903212" w:rsidRPr="00A83C94">
        <w:rPr>
          <w:b/>
          <w:i/>
          <w:sz w:val="20"/>
          <w:szCs w:val="20"/>
          <w:lang w:val="af-ZA" w:eastAsia="en-US"/>
        </w:rPr>
        <w:t xml:space="preserve"> </w:t>
      </w:r>
      <w:r w:rsidR="00903212" w:rsidRPr="00A83C94">
        <w:rPr>
          <w:rFonts w:cs="Sylfaen"/>
          <w:b/>
          <w:i/>
          <w:sz w:val="20"/>
          <w:szCs w:val="20"/>
          <w:lang w:val="hy-AM" w:eastAsia="en-US"/>
        </w:rPr>
        <w:t>փոփոխության</w:t>
      </w:r>
      <w:r w:rsidR="00903212" w:rsidRPr="00A83C94">
        <w:rPr>
          <w:b/>
          <w:i/>
          <w:sz w:val="20"/>
          <w:szCs w:val="20"/>
          <w:lang w:val="af-ZA" w:eastAsia="en-US"/>
        </w:rPr>
        <w:t xml:space="preserve"> </w:t>
      </w:r>
      <w:r w:rsidR="00903212" w:rsidRPr="00A83C94">
        <w:rPr>
          <w:rFonts w:cs="Sylfaen"/>
          <w:b/>
          <w:i/>
          <w:sz w:val="20"/>
          <w:szCs w:val="20"/>
          <w:lang w:val="hy-AM" w:eastAsia="en-US"/>
        </w:rPr>
        <w:t>և</w:t>
      </w:r>
      <w:r w:rsidR="00903212" w:rsidRPr="00A83C94">
        <w:rPr>
          <w:b/>
          <w:i/>
          <w:sz w:val="20"/>
          <w:szCs w:val="20"/>
          <w:lang w:val="af-ZA" w:eastAsia="en-US"/>
        </w:rPr>
        <w:t xml:space="preserve"> </w:t>
      </w:r>
      <w:r w:rsidR="00903212" w:rsidRPr="00A83C94">
        <w:rPr>
          <w:rFonts w:cs="Sylfaen"/>
          <w:b/>
          <w:i/>
          <w:sz w:val="20"/>
          <w:szCs w:val="20"/>
          <w:lang w:val="hy-AM" w:eastAsia="en-US"/>
        </w:rPr>
        <w:t>հարաբերակցության</w:t>
      </w:r>
      <w:r w:rsidR="00903212" w:rsidRPr="00A83C94">
        <w:rPr>
          <w:b/>
          <w:i/>
          <w:sz w:val="20"/>
          <w:szCs w:val="20"/>
          <w:lang w:val="af-ZA" w:eastAsia="en-US"/>
        </w:rPr>
        <w:t xml:space="preserve"> </w:t>
      </w:r>
      <w:r w:rsidR="00903212" w:rsidRPr="00A83C94">
        <w:rPr>
          <w:rFonts w:cs="Sylfaen"/>
          <w:b/>
          <w:i/>
          <w:sz w:val="20"/>
          <w:szCs w:val="20"/>
          <w:lang w:val="hy-AM" w:eastAsia="en-US"/>
        </w:rPr>
        <w:t>միտումները</w:t>
      </w:r>
      <w:bookmarkEnd w:id="233"/>
      <w:bookmarkEnd w:id="234"/>
      <w:bookmarkEnd w:id="235"/>
    </w:p>
    <w:p w14:paraId="77F0C930" w14:textId="77777777" w:rsidR="00903212" w:rsidRPr="00A83C94" w:rsidRDefault="00903212" w:rsidP="00903212">
      <w:pPr>
        <w:pStyle w:val="Caption"/>
        <w:spacing w:before="0" w:after="0"/>
        <w:rPr>
          <w:b/>
          <w:szCs w:val="22"/>
          <w:lang w:val="hy-AM" w:eastAsia="en-US"/>
        </w:rPr>
      </w:pPr>
      <w:r w:rsidRPr="00A83C94">
        <w:rPr>
          <w:b/>
          <w:noProof/>
          <w:szCs w:val="22"/>
          <w:lang w:val="hy-AM" w:eastAsia="en-US"/>
        </w:rPr>
        <w:t xml:space="preserve"> </w:t>
      </w:r>
      <w:r w:rsidRPr="00A83C94">
        <w:rPr>
          <w:b/>
          <w:noProof/>
          <w:sz w:val="20"/>
          <w:szCs w:val="20"/>
          <w:lang w:val="en-US" w:eastAsia="en-US"/>
        </w:rPr>
        <w:drawing>
          <wp:inline distT="0" distB="0" distL="0" distR="0" wp14:anchorId="01C65A4F" wp14:editId="5E295B32">
            <wp:extent cx="6144260" cy="3114675"/>
            <wp:effectExtent l="0" t="0" r="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End w:id="231"/>
    </w:p>
    <w:p w14:paraId="6B63306B" w14:textId="77777777" w:rsidR="00903212" w:rsidRPr="00A83C94" w:rsidRDefault="00903212" w:rsidP="00903212">
      <w:pPr>
        <w:spacing w:before="0" w:line="276" w:lineRule="auto"/>
        <w:ind w:firstLine="480"/>
        <w:contextualSpacing w:val="0"/>
        <w:rPr>
          <w:rFonts w:cs="Sylfaen"/>
          <w:b w:val="0"/>
          <w:szCs w:val="22"/>
          <w:lang w:val="hy-AM" w:eastAsia="en-US"/>
        </w:rPr>
      </w:pPr>
    </w:p>
    <w:p w14:paraId="57456DFC" w14:textId="77777777" w:rsidR="00903212" w:rsidRPr="00A83C94" w:rsidRDefault="00903212" w:rsidP="00903212">
      <w:pPr>
        <w:spacing w:before="0" w:line="276" w:lineRule="auto"/>
        <w:ind w:firstLine="475"/>
        <w:contextualSpacing w:val="0"/>
        <w:rPr>
          <w:rFonts w:cs="Sylfaen"/>
          <w:b w:val="0"/>
          <w:szCs w:val="22"/>
          <w:lang w:val="hy-AM" w:eastAsia="en-US"/>
        </w:rPr>
      </w:pPr>
      <w:r w:rsidRPr="00A83C94">
        <w:rPr>
          <w:rFonts w:cs="Sylfaen"/>
          <w:b w:val="0"/>
          <w:szCs w:val="22"/>
          <w:lang w:val="hy-AM" w:eastAsia="en-US"/>
        </w:rPr>
        <w:t>2022 թվականի ծախսերի ընդհանուր ծավալի միջին տարեկանի շուրջ 8</w:t>
      </w:r>
      <w:r w:rsidRPr="00AC1D0B">
        <w:rPr>
          <w:rFonts w:cs="Sylfaen"/>
          <w:b w:val="0"/>
          <w:szCs w:val="22"/>
          <w:lang w:val="hy-AM" w:eastAsia="en-US"/>
        </w:rPr>
        <w:t>4</w:t>
      </w:r>
      <w:r w:rsidRPr="00A83C94">
        <w:rPr>
          <w:rFonts w:cs="Sylfaen"/>
          <w:b w:val="0"/>
          <w:szCs w:val="22"/>
          <w:lang w:val="hy-AM" w:eastAsia="en-US"/>
        </w:rPr>
        <w:t>.</w:t>
      </w:r>
      <w:r w:rsidRPr="00AC1D0B">
        <w:rPr>
          <w:rFonts w:cs="Sylfaen"/>
          <w:b w:val="0"/>
          <w:szCs w:val="22"/>
          <w:lang w:val="hy-AM" w:eastAsia="en-US"/>
        </w:rPr>
        <w:t>2</w:t>
      </w:r>
      <w:r w:rsidRPr="00A83C94">
        <w:rPr>
          <w:rFonts w:cs="Sylfaen"/>
          <w:b w:val="0"/>
          <w:szCs w:val="22"/>
          <w:lang w:val="hy-AM" w:eastAsia="en-US"/>
        </w:rPr>
        <w:t xml:space="preserve">%-ը կկազմեն </w:t>
      </w:r>
      <w:r w:rsidRPr="00A83C94">
        <w:rPr>
          <w:rFonts w:cs="Sylfaen"/>
          <w:szCs w:val="22"/>
          <w:lang w:val="hy-AM" w:eastAsia="en-US"/>
        </w:rPr>
        <w:t>ընթացիկ ծախսերը</w:t>
      </w:r>
      <w:r w:rsidRPr="00A83C94">
        <w:rPr>
          <w:rFonts w:cs="Sylfaen"/>
          <w:b w:val="0"/>
          <w:szCs w:val="22"/>
          <w:lang w:val="hy-AM" w:eastAsia="en-US"/>
        </w:rPr>
        <w:t xml:space="preserve">,  (2021 թվականին այդ ցուցանիշը ծրագրվել է 88.3%): </w:t>
      </w:r>
    </w:p>
    <w:p w14:paraId="1D9932CB" w14:textId="77777777" w:rsidR="00903212" w:rsidRPr="00A83C94" w:rsidRDefault="00903212" w:rsidP="00903212">
      <w:pPr>
        <w:spacing w:before="0" w:line="276" w:lineRule="auto"/>
        <w:ind w:firstLine="475"/>
        <w:contextualSpacing w:val="0"/>
        <w:rPr>
          <w:rFonts w:cs="Sylfaen"/>
          <w:b w:val="0"/>
          <w:szCs w:val="22"/>
          <w:lang w:val="hy-AM" w:eastAsia="en-US"/>
        </w:rPr>
      </w:pPr>
      <w:r w:rsidRPr="00A83C94">
        <w:rPr>
          <w:rFonts w:cs="Sylfaen"/>
          <w:b w:val="0"/>
          <w:szCs w:val="22"/>
          <w:lang w:val="hy-AM" w:eastAsia="en-US"/>
        </w:rPr>
        <w:t>Դիտարկվող ժամանակահատվածում ընթացիկ ծախսերն ուղղված կլի</w:t>
      </w:r>
      <w:r w:rsidRPr="00A83C94">
        <w:rPr>
          <w:rFonts w:cs="Sylfaen"/>
          <w:b w:val="0"/>
          <w:szCs w:val="22"/>
          <w:lang w:val="hy-AM" w:eastAsia="en-US"/>
        </w:rPr>
        <w:softHyphen/>
        <w:t xml:space="preserve">նի ծառայությունների մատուցման, տրանսֆերտների տրամադրման, ֆինանսավորման ծախսերի իրականացման և հանրության կողմից անմիջականորեն օգտագործվող ակտիվների հետ կապված միջոցառումներին: </w:t>
      </w:r>
    </w:p>
    <w:p w14:paraId="193E4BD9" w14:textId="77777777" w:rsidR="00903212" w:rsidRPr="00A83C94" w:rsidRDefault="00903212" w:rsidP="00903212">
      <w:pPr>
        <w:spacing w:before="0" w:line="276" w:lineRule="auto"/>
        <w:ind w:firstLine="475"/>
        <w:contextualSpacing w:val="0"/>
        <w:rPr>
          <w:rFonts w:cs="Sylfaen"/>
          <w:b w:val="0"/>
          <w:szCs w:val="22"/>
          <w:lang w:val="hy-AM" w:eastAsia="en-US"/>
        </w:rPr>
      </w:pPr>
      <w:r w:rsidRPr="00A83C94">
        <w:rPr>
          <w:rFonts w:cs="Sylfaen"/>
          <w:b w:val="0"/>
          <w:szCs w:val="22"/>
          <w:lang w:val="hy-AM" w:eastAsia="en-US"/>
        </w:rPr>
        <w:t>2022թ. ընթացիկ ծախսերի ֆինանսավորման ըստ տնտեսագիտական դասակարգման կառուցվածքի ծախ</w:t>
      </w:r>
      <w:r w:rsidRPr="00A83C94">
        <w:rPr>
          <w:rFonts w:cs="Sylfaen"/>
          <w:b w:val="0"/>
          <w:szCs w:val="22"/>
          <w:lang w:val="hy-AM" w:eastAsia="en-US"/>
        </w:rPr>
        <w:softHyphen/>
        <w:t>սերի հարա</w:t>
      </w:r>
      <w:r w:rsidRPr="00A83C94">
        <w:rPr>
          <w:rFonts w:cs="Sylfaen"/>
          <w:b w:val="0"/>
          <w:szCs w:val="22"/>
          <w:lang w:val="hy-AM" w:eastAsia="en-US"/>
        </w:rPr>
        <w:softHyphen/>
        <w:t>բերակցությունը ՀՆԱ-ի նկատմամբ ներկայացված է ստորև:</w:t>
      </w:r>
    </w:p>
    <w:p w14:paraId="05F07CDB" w14:textId="77777777" w:rsidR="00903212" w:rsidRPr="00A83C94" w:rsidRDefault="00903212" w:rsidP="00903212">
      <w:pPr>
        <w:pStyle w:val="Caption"/>
        <w:spacing w:before="0" w:after="0"/>
        <w:rPr>
          <w:lang w:val="hy-AM"/>
        </w:rPr>
      </w:pPr>
      <w:bookmarkStart w:id="236" w:name="_Toc52223578"/>
      <w:bookmarkStart w:id="237" w:name="_Toc57631789"/>
    </w:p>
    <w:p w14:paraId="75F299CC" w14:textId="5A218587" w:rsidR="00903212" w:rsidRPr="00A83C94" w:rsidRDefault="000957ED" w:rsidP="000957ED">
      <w:pPr>
        <w:pStyle w:val="Caption"/>
        <w:rPr>
          <w:rFonts w:cs="Sylfaen"/>
          <w:b/>
          <w:szCs w:val="22"/>
          <w:lang w:val="hy-AM" w:eastAsia="en-US"/>
        </w:rPr>
      </w:pPr>
      <w:bookmarkStart w:id="238" w:name="_Toc83752684"/>
      <w:bookmarkStart w:id="239" w:name="_Toc83929500"/>
      <w:r w:rsidRPr="008B1D49">
        <w:rPr>
          <w:lang w:val="hy-AM"/>
        </w:rPr>
        <w:t xml:space="preserve">Գծապատկեր </w:t>
      </w:r>
      <w:r>
        <w:fldChar w:fldCharType="begin"/>
      </w:r>
      <w:r w:rsidRPr="008B1D49">
        <w:rPr>
          <w:lang w:val="hy-AM"/>
        </w:rPr>
        <w:instrText xml:space="preserve"> SEQ Գծապատկեր \* ARABIC </w:instrText>
      </w:r>
      <w:r>
        <w:fldChar w:fldCharType="separate"/>
      </w:r>
      <w:r w:rsidR="0077355D">
        <w:rPr>
          <w:noProof/>
          <w:lang w:val="hy-AM"/>
        </w:rPr>
        <w:t>3</w:t>
      </w:r>
      <w:r>
        <w:fldChar w:fldCharType="end"/>
      </w:r>
      <w:r w:rsidR="00903212" w:rsidRPr="00A83C94">
        <w:rPr>
          <w:rFonts w:ascii="Cambria Math" w:hAnsi="Cambria Math"/>
          <w:lang w:val="hy-AM"/>
        </w:rPr>
        <w:t xml:space="preserve">․ </w:t>
      </w:r>
      <w:r w:rsidR="00903212" w:rsidRPr="00A83C94">
        <w:rPr>
          <w:rFonts w:cs="Sylfaen"/>
          <w:b/>
          <w:i/>
          <w:sz w:val="20"/>
          <w:szCs w:val="20"/>
          <w:lang w:val="hy-AM" w:eastAsia="en-US"/>
        </w:rPr>
        <w:t>2017-2021թթ</w:t>
      </w:r>
      <w:r w:rsidR="00903212" w:rsidRPr="00A83C94">
        <w:rPr>
          <w:rFonts w:ascii="Cambria Math" w:hAnsi="Cambria Math" w:cs="Sylfaen"/>
          <w:b/>
          <w:i/>
          <w:sz w:val="20"/>
          <w:szCs w:val="20"/>
          <w:lang w:val="hy-AM" w:eastAsia="en-US"/>
        </w:rPr>
        <w:t xml:space="preserve">․ </w:t>
      </w:r>
      <w:r w:rsidR="00903212" w:rsidRPr="00A83C94">
        <w:rPr>
          <w:rFonts w:cs="Sylfaen"/>
          <w:b/>
          <w:i/>
          <w:sz w:val="20"/>
          <w:szCs w:val="20"/>
          <w:lang w:val="hy-AM" w:eastAsia="en-US"/>
        </w:rPr>
        <w:t>ընթացիկ ծախսերի ֆինանսավորման ըստ տնտեսագիտական դասակարգման կառուցվածքի ծախ</w:t>
      </w:r>
      <w:r w:rsidR="00903212" w:rsidRPr="00A83C94">
        <w:rPr>
          <w:rFonts w:cs="Sylfaen"/>
          <w:b/>
          <w:i/>
          <w:sz w:val="20"/>
          <w:szCs w:val="20"/>
          <w:lang w:val="hy-AM" w:eastAsia="en-US"/>
        </w:rPr>
        <w:softHyphen/>
        <w:t>սերի հարա</w:t>
      </w:r>
      <w:r w:rsidR="00903212" w:rsidRPr="00A83C94">
        <w:rPr>
          <w:rFonts w:cs="Sylfaen"/>
          <w:b/>
          <w:i/>
          <w:sz w:val="20"/>
          <w:szCs w:val="20"/>
          <w:lang w:val="hy-AM" w:eastAsia="en-US"/>
        </w:rPr>
        <w:softHyphen/>
        <w:t>բերակցությունը ՀՆԱ-ի նկատմամբ</w:t>
      </w:r>
      <w:bookmarkEnd w:id="236"/>
      <w:bookmarkEnd w:id="237"/>
      <w:bookmarkEnd w:id="238"/>
      <w:bookmarkEnd w:id="239"/>
    </w:p>
    <w:p w14:paraId="770328CF" w14:textId="77777777" w:rsidR="00903212" w:rsidRPr="00A83C94" w:rsidRDefault="00903212" w:rsidP="00903212">
      <w:pPr>
        <w:spacing w:before="0" w:line="276" w:lineRule="auto"/>
        <w:ind w:firstLine="475"/>
        <w:contextualSpacing w:val="0"/>
        <w:rPr>
          <w:b w:val="0"/>
          <w:szCs w:val="22"/>
          <w:lang w:val="hy-AM" w:eastAsia="en-US"/>
        </w:rPr>
      </w:pPr>
    </w:p>
    <w:p w14:paraId="4F417739" w14:textId="77777777" w:rsidR="00903212" w:rsidRPr="00A83C94" w:rsidRDefault="00903212" w:rsidP="00903212">
      <w:pPr>
        <w:spacing w:before="0" w:line="276" w:lineRule="auto"/>
        <w:ind w:firstLine="480"/>
        <w:contextualSpacing w:val="0"/>
        <w:rPr>
          <w:b w:val="0"/>
          <w:szCs w:val="22"/>
          <w:lang w:val="af-ZA" w:eastAsia="en-US"/>
        </w:rPr>
      </w:pPr>
      <w:r w:rsidRPr="00A83C94">
        <w:rPr>
          <w:b w:val="0"/>
          <w:noProof/>
          <w:szCs w:val="22"/>
          <w:lang w:val="en-US" w:eastAsia="en-US"/>
        </w:rPr>
        <mc:AlternateContent>
          <mc:Choice Requires="wps">
            <w:drawing>
              <wp:anchor distT="0" distB="0" distL="114300" distR="114300" simplePos="0" relativeHeight="251852800" behindDoc="0" locked="0" layoutInCell="1" allowOverlap="1" wp14:anchorId="13FE6CA3" wp14:editId="229A5533">
                <wp:simplePos x="0" y="0"/>
                <wp:positionH relativeFrom="column">
                  <wp:posOffset>3147060</wp:posOffset>
                </wp:positionH>
                <wp:positionV relativeFrom="paragraph">
                  <wp:posOffset>420371</wp:posOffset>
                </wp:positionV>
                <wp:extent cx="190500" cy="2641600"/>
                <wp:effectExtent l="38100" t="0" r="19050" b="25400"/>
                <wp:wrapNone/>
                <wp:docPr id="33" name="Lef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641600"/>
                        </a:xfrm>
                        <a:prstGeom prst="leftBrace">
                          <a:avLst>
                            <a:gd name="adj1" fmla="val 89859"/>
                            <a:gd name="adj2" fmla="val 50000"/>
                          </a:avLst>
                        </a:prstGeom>
                        <a:noFill/>
                        <a:ln w="22225" cap="flat" cmpd="sng" algn="ctr">
                          <a:solidFill>
                            <a:srgbClr val="44546A">
                              <a:lumMod val="75000"/>
                            </a:srgb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shapetype w14:anchorId="057B2A7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247.8pt;margin-top:33.1pt;width:15pt;height:20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" adj="1400" strokecolor="#333f50" strokeweight="1.75pt">
                <v:stroke joinstyle="miter"/>
              </v:shape>
            </w:pict>
          </mc:Fallback>
        </mc:AlternateContent>
      </w:r>
      <w:r w:rsidRPr="00A83C94">
        <w:rPr>
          <w:b w:val="0"/>
          <w:noProof/>
          <w:szCs w:val="22"/>
          <w:lang w:val="en-US" w:eastAsia="en-US"/>
        </w:rPr>
        <w:drawing>
          <wp:inline distT="0" distB="0" distL="0" distR="0" wp14:anchorId="15C350E8" wp14:editId="0103A3C9">
            <wp:extent cx="5924550" cy="461010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D87A073" w14:textId="77777777" w:rsidR="00903212" w:rsidRPr="00A83C94" w:rsidRDefault="00903212" w:rsidP="00903212">
      <w:pPr>
        <w:spacing w:before="0" w:line="276" w:lineRule="auto"/>
        <w:contextualSpacing w:val="0"/>
        <w:rPr>
          <w:rFonts w:cs="Sylfaen"/>
          <w:b w:val="0"/>
          <w:sz w:val="20"/>
          <w:szCs w:val="20"/>
          <w:lang w:val="hy-AM" w:eastAsia="en-US"/>
        </w:rPr>
      </w:pPr>
    </w:p>
    <w:p w14:paraId="77230DFA" w14:textId="77777777" w:rsidR="00903212" w:rsidRPr="00A83C94" w:rsidRDefault="00903212" w:rsidP="00903212">
      <w:pPr>
        <w:spacing w:before="0" w:line="276" w:lineRule="auto"/>
        <w:contextualSpacing w:val="0"/>
        <w:rPr>
          <w:b w:val="0"/>
          <w:szCs w:val="22"/>
          <w:lang w:val="hy-AM" w:eastAsia="en-US"/>
        </w:rPr>
      </w:pPr>
      <w:r w:rsidRPr="00A83C94">
        <w:rPr>
          <w:b w:val="0"/>
          <w:szCs w:val="22"/>
          <w:lang w:val="hy-AM" w:eastAsia="en-US"/>
        </w:rPr>
        <w:t>2022թ. պետական բյուջեից աշխատավարձերին ուղղվող ծախսերը կկազի 18</w:t>
      </w:r>
      <w:r w:rsidRPr="00121056">
        <w:rPr>
          <w:b w:val="0"/>
          <w:szCs w:val="22"/>
          <w:lang w:val="hy-AM" w:eastAsia="en-US"/>
        </w:rPr>
        <w:t>5</w:t>
      </w:r>
      <w:r w:rsidRPr="00A83C94">
        <w:rPr>
          <w:b w:val="0"/>
          <w:szCs w:val="22"/>
          <w:lang w:val="hy-AM" w:eastAsia="en-US"/>
        </w:rPr>
        <w:t>.</w:t>
      </w:r>
      <w:r w:rsidRPr="00121056">
        <w:rPr>
          <w:b w:val="0"/>
          <w:szCs w:val="22"/>
          <w:lang w:val="hy-AM" w:eastAsia="en-US"/>
        </w:rPr>
        <w:t>0</w:t>
      </w:r>
      <w:r w:rsidRPr="00A83C94">
        <w:rPr>
          <w:b w:val="0"/>
          <w:szCs w:val="22"/>
          <w:lang w:val="hy-AM" w:eastAsia="en-US"/>
        </w:rPr>
        <w:t xml:space="preserve"> մլրդ դրամ: Այս ծախսը 2021 թվականի հաստատված բյուջեի նույն ցուցանիշի համեմատ ավել է  2.</w:t>
      </w:r>
      <w:r w:rsidRPr="00AC1D0B">
        <w:rPr>
          <w:b w:val="0"/>
          <w:szCs w:val="22"/>
          <w:lang w:val="hy-AM" w:eastAsia="en-US"/>
        </w:rPr>
        <w:t>2</w:t>
      </w:r>
      <w:r w:rsidRPr="00A83C94">
        <w:rPr>
          <w:b w:val="0"/>
          <w:szCs w:val="22"/>
          <w:lang w:val="hy-AM" w:eastAsia="en-US"/>
        </w:rPr>
        <w:t xml:space="preserve"> տոկոսով կամ 3.</w:t>
      </w:r>
      <w:r w:rsidRPr="00AC1D0B">
        <w:rPr>
          <w:b w:val="0"/>
          <w:szCs w:val="22"/>
          <w:lang w:val="hy-AM" w:eastAsia="en-US"/>
        </w:rPr>
        <w:t>9</w:t>
      </w:r>
      <w:r w:rsidRPr="00A83C94">
        <w:rPr>
          <w:b w:val="0"/>
          <w:szCs w:val="22"/>
          <w:lang w:val="hy-AM" w:eastAsia="en-US"/>
        </w:rPr>
        <w:t xml:space="preserve"> մլրդ դրամի չափով:</w:t>
      </w:r>
    </w:p>
    <w:p w14:paraId="16DC247D" w14:textId="77777777" w:rsidR="00903212" w:rsidRPr="00A83C94" w:rsidRDefault="00903212" w:rsidP="00903212">
      <w:pPr>
        <w:spacing w:before="0" w:line="276" w:lineRule="auto"/>
        <w:contextualSpacing w:val="0"/>
        <w:rPr>
          <w:b w:val="0"/>
          <w:szCs w:val="22"/>
          <w:lang w:val="hy-AM" w:eastAsia="en-US"/>
        </w:rPr>
      </w:pPr>
      <w:r w:rsidRPr="00A83C94">
        <w:rPr>
          <w:b w:val="0"/>
          <w:szCs w:val="22"/>
          <w:lang w:val="hy-AM" w:eastAsia="en-US"/>
        </w:rPr>
        <w:t>2022թ. տոկոսավճարների գծով ծախսը կազմում է 21</w:t>
      </w:r>
      <w:r w:rsidRPr="00121056">
        <w:rPr>
          <w:b w:val="0"/>
          <w:szCs w:val="22"/>
          <w:lang w:val="hy-AM" w:eastAsia="en-US"/>
        </w:rPr>
        <w:t>4</w:t>
      </w:r>
      <w:r w:rsidRPr="00A83C94">
        <w:rPr>
          <w:b w:val="0"/>
          <w:szCs w:val="22"/>
          <w:lang w:val="hy-AM" w:eastAsia="en-US"/>
        </w:rPr>
        <w:t>.</w:t>
      </w:r>
      <w:r w:rsidRPr="00121056">
        <w:rPr>
          <w:b w:val="0"/>
          <w:szCs w:val="22"/>
          <w:lang w:val="hy-AM" w:eastAsia="en-US"/>
        </w:rPr>
        <w:t>4</w:t>
      </w:r>
      <w:r w:rsidRPr="00A83C94">
        <w:rPr>
          <w:b w:val="0"/>
          <w:szCs w:val="22"/>
          <w:lang w:val="hy-AM" w:eastAsia="en-US"/>
        </w:rPr>
        <w:t xml:space="preserve"> մլրդ դրամ: 2022թ. պետական բյուջեից կազմակերպություններին նախատեսվում է տրամադրել 141.1 մլրդ դրամի սուբսիդիաներ, որը 2021 թվականի հաստատված բյուջեի համեմատ սուբսիդիաների գծով ծախսն ավել է կանխատեսվել 15.3 տոկոսով կամ 18.7 մլրդ դրամով:</w:t>
      </w:r>
    </w:p>
    <w:p w14:paraId="16707BD8" w14:textId="77777777" w:rsidR="00903212" w:rsidRPr="00A83C94" w:rsidRDefault="00903212" w:rsidP="00903212">
      <w:pPr>
        <w:spacing w:before="0" w:line="276" w:lineRule="auto"/>
        <w:contextualSpacing w:val="0"/>
        <w:rPr>
          <w:b w:val="0"/>
          <w:szCs w:val="22"/>
          <w:lang w:val="hy-AM" w:eastAsia="en-US"/>
        </w:rPr>
      </w:pPr>
      <w:r w:rsidRPr="00A83C94">
        <w:rPr>
          <w:b w:val="0"/>
          <w:szCs w:val="22"/>
          <w:lang w:val="hy-AM" w:eastAsia="en-US"/>
        </w:rPr>
        <w:t xml:space="preserve">2022թ. ընթացիկ ծախսերի աճը մեծապես ապահովվելու է սոցիալական նպաստների և կենսաթոշակների վճարների գծով պետական բյուջեի ծախսերի ավելացման հաշվին, որոնք 2021 թվականի հաստատված բյուջեի նկատմամբ ավելացել է </w:t>
      </w:r>
      <w:r>
        <w:rPr>
          <w:b w:val="0"/>
          <w:szCs w:val="22"/>
          <w:lang w:val="hy-AM" w:eastAsia="en-US"/>
        </w:rPr>
        <w:t>8.</w:t>
      </w:r>
      <w:r w:rsidRPr="00AC1D0B">
        <w:rPr>
          <w:b w:val="0"/>
          <w:szCs w:val="22"/>
          <w:lang w:val="hy-AM" w:eastAsia="en-US"/>
        </w:rPr>
        <w:t>3</w:t>
      </w:r>
      <w:r w:rsidRPr="00A83C94">
        <w:rPr>
          <w:b w:val="0"/>
          <w:szCs w:val="22"/>
          <w:lang w:val="hy-AM" w:eastAsia="en-US"/>
        </w:rPr>
        <w:t xml:space="preserve"> տոկոսով կամ 4</w:t>
      </w:r>
      <w:r>
        <w:rPr>
          <w:b w:val="0"/>
          <w:szCs w:val="22"/>
          <w:lang w:val="hy-AM" w:eastAsia="en-US"/>
        </w:rPr>
        <w:t>4.</w:t>
      </w:r>
      <w:r w:rsidRPr="00AC1D0B">
        <w:rPr>
          <w:b w:val="0"/>
          <w:szCs w:val="22"/>
          <w:lang w:val="hy-AM" w:eastAsia="en-US"/>
        </w:rPr>
        <w:t>0</w:t>
      </w:r>
      <w:r w:rsidRPr="00A83C94">
        <w:rPr>
          <w:b w:val="0"/>
          <w:szCs w:val="22"/>
          <w:lang w:val="hy-AM" w:eastAsia="en-US"/>
        </w:rPr>
        <w:t xml:space="preserve"> մլրդ դրամով: </w:t>
      </w:r>
    </w:p>
    <w:p w14:paraId="744BDC4A" w14:textId="77777777" w:rsidR="00903212" w:rsidRPr="00A83C94" w:rsidRDefault="00903212" w:rsidP="00903212">
      <w:pPr>
        <w:spacing w:before="0" w:line="276" w:lineRule="auto"/>
        <w:contextualSpacing w:val="0"/>
        <w:rPr>
          <w:b w:val="0"/>
          <w:szCs w:val="22"/>
          <w:lang w:val="hy-AM" w:eastAsia="en-US"/>
        </w:rPr>
      </w:pPr>
      <w:r w:rsidRPr="00A83C94">
        <w:rPr>
          <w:b w:val="0"/>
          <w:szCs w:val="22"/>
          <w:lang w:val="hy-AM" w:eastAsia="en-US"/>
        </w:rPr>
        <w:t>2022թ պետական բյուջեից նախատեսվում է տրամադրել դրամաշնորհներ 2021 թվականի հաստատված բյու</w:t>
      </w:r>
      <w:r>
        <w:rPr>
          <w:b w:val="0"/>
          <w:szCs w:val="22"/>
          <w:lang w:val="hy-AM" w:eastAsia="en-US"/>
        </w:rPr>
        <w:t>ջեի նկատմամբ համապատասխանաբար 65</w:t>
      </w:r>
      <w:r w:rsidRPr="00A83C94">
        <w:rPr>
          <w:b w:val="0"/>
          <w:szCs w:val="22"/>
          <w:lang w:val="hy-AM" w:eastAsia="en-US"/>
        </w:rPr>
        <w:t>.</w:t>
      </w:r>
      <w:r w:rsidRPr="00AC1D0B">
        <w:rPr>
          <w:b w:val="0"/>
          <w:szCs w:val="22"/>
          <w:lang w:val="hy-AM" w:eastAsia="en-US"/>
        </w:rPr>
        <w:t>4</w:t>
      </w:r>
      <w:r w:rsidRPr="00A83C94">
        <w:rPr>
          <w:b w:val="0"/>
          <w:szCs w:val="22"/>
          <w:lang w:val="hy-AM" w:eastAsia="en-US"/>
        </w:rPr>
        <w:t xml:space="preserve"> մլրդ դրամով կամ 4</w:t>
      </w:r>
      <w:r w:rsidRPr="00AC1D0B">
        <w:rPr>
          <w:b w:val="0"/>
          <w:szCs w:val="22"/>
          <w:lang w:val="hy-AM" w:eastAsia="en-US"/>
        </w:rPr>
        <w:t>0</w:t>
      </w:r>
      <w:r w:rsidRPr="00A83C94">
        <w:rPr>
          <w:b w:val="0"/>
          <w:szCs w:val="22"/>
          <w:lang w:val="hy-AM" w:eastAsia="en-US"/>
        </w:rPr>
        <w:t xml:space="preserve">.1 տոկոսով ավել, որը պայմանավորված էր դրոշմանիշային վճարների 2022թ. բյուջեում եկամուտների և ծախսերի նախատեսմամբ, ինչպես նաև ԵՄ աջակցությամբ ծրագրերով նախատեսմամբ: </w:t>
      </w:r>
    </w:p>
    <w:p w14:paraId="1D4F0662" w14:textId="77777777" w:rsidR="00903212" w:rsidRPr="00A83C94" w:rsidRDefault="00903212" w:rsidP="00903212">
      <w:pPr>
        <w:spacing w:before="0" w:line="276" w:lineRule="auto"/>
        <w:contextualSpacing w:val="0"/>
        <w:rPr>
          <w:b w:val="0"/>
          <w:szCs w:val="22"/>
          <w:lang w:val="hy-AM" w:eastAsia="en-US"/>
        </w:rPr>
      </w:pPr>
      <w:r w:rsidRPr="00A83C94">
        <w:rPr>
          <w:b w:val="0"/>
          <w:szCs w:val="22"/>
          <w:lang w:val="hy-AM" w:eastAsia="en-US"/>
        </w:rPr>
        <w:t>2022թ պետական բյուջեից նախատեսվում է տրամադրել ծառայությունների, ապրանքների ձեռքբերման և այլ ծախսերի գծով 2021 թվականի հաստատված բյուջեի նկատմամբ 5</w:t>
      </w:r>
      <w:r w:rsidRPr="00121056">
        <w:rPr>
          <w:b w:val="0"/>
          <w:szCs w:val="22"/>
          <w:lang w:val="hy-AM" w:eastAsia="en-US"/>
        </w:rPr>
        <w:t>6</w:t>
      </w:r>
      <w:r w:rsidRPr="00A83C94">
        <w:rPr>
          <w:b w:val="0"/>
          <w:szCs w:val="22"/>
          <w:lang w:val="hy-AM" w:eastAsia="en-US"/>
        </w:rPr>
        <w:t>.</w:t>
      </w:r>
      <w:r w:rsidRPr="00121056">
        <w:rPr>
          <w:b w:val="0"/>
          <w:szCs w:val="22"/>
          <w:lang w:val="hy-AM" w:eastAsia="en-US"/>
        </w:rPr>
        <w:t>4</w:t>
      </w:r>
      <w:r w:rsidRPr="00A83C94">
        <w:rPr>
          <w:b w:val="0"/>
          <w:szCs w:val="22"/>
          <w:lang w:val="hy-AM" w:eastAsia="en-US"/>
        </w:rPr>
        <w:t xml:space="preserve"> մլրդ դրամով կամ 1</w:t>
      </w:r>
      <w:r w:rsidRPr="00121056">
        <w:rPr>
          <w:b w:val="0"/>
          <w:szCs w:val="22"/>
          <w:lang w:val="hy-AM" w:eastAsia="en-US"/>
        </w:rPr>
        <w:t>2</w:t>
      </w:r>
      <w:r w:rsidRPr="00AC1D0B">
        <w:rPr>
          <w:b w:val="0"/>
          <w:szCs w:val="22"/>
          <w:lang w:val="hy-AM" w:eastAsia="en-US"/>
        </w:rPr>
        <w:t>.</w:t>
      </w:r>
      <w:r w:rsidRPr="00121056">
        <w:rPr>
          <w:b w:val="0"/>
          <w:szCs w:val="22"/>
          <w:lang w:val="hy-AM" w:eastAsia="en-US"/>
        </w:rPr>
        <w:t>7</w:t>
      </w:r>
      <w:r w:rsidRPr="00A83C94">
        <w:rPr>
          <w:b w:val="0"/>
          <w:szCs w:val="22"/>
          <w:lang w:val="hy-AM" w:eastAsia="en-US"/>
        </w:rPr>
        <w:t xml:space="preserve"> տոկոսով ավել: </w:t>
      </w:r>
    </w:p>
    <w:p w14:paraId="7BB4AF0C" w14:textId="77777777" w:rsidR="00903212" w:rsidRPr="00A83C94" w:rsidRDefault="00903212" w:rsidP="00903212">
      <w:pPr>
        <w:spacing w:before="0" w:line="276" w:lineRule="auto"/>
        <w:contextualSpacing w:val="0"/>
        <w:rPr>
          <w:b w:val="0"/>
          <w:szCs w:val="22"/>
          <w:lang w:val="hy-AM" w:eastAsia="en-US"/>
        </w:rPr>
      </w:pPr>
    </w:p>
    <w:p w14:paraId="5DAC4A35" w14:textId="7B35EBF1" w:rsidR="00903212" w:rsidRPr="005F516C" w:rsidRDefault="003F382C" w:rsidP="00E0510E">
      <w:pPr>
        <w:pStyle w:val="Caption"/>
        <w:spacing w:before="0" w:after="0" w:line="240" w:lineRule="auto"/>
        <w:rPr>
          <w:b/>
          <w:i/>
          <w:sz w:val="20"/>
          <w:szCs w:val="20"/>
          <w:lang w:val="hy-AM"/>
        </w:rPr>
      </w:pPr>
      <w:bookmarkStart w:id="240" w:name="_Toc57631762"/>
      <w:bookmarkStart w:id="241" w:name="_Toc83752675"/>
      <w:bookmarkStart w:id="242" w:name="_Toc83928947"/>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10</w:t>
      </w:r>
      <w:r>
        <w:fldChar w:fldCharType="end"/>
      </w:r>
      <w:r w:rsidR="00903212" w:rsidRPr="008150A1">
        <w:rPr>
          <w:rFonts w:ascii="Cambria Math" w:hAnsi="Cambria Math" w:cs="Cambria Math"/>
          <w:lang w:val="hy-AM"/>
        </w:rPr>
        <w:t>․</w:t>
      </w:r>
      <w:r w:rsidR="00903212" w:rsidRPr="005F516C">
        <w:rPr>
          <w:lang w:val="hy-AM"/>
        </w:rPr>
        <w:t xml:space="preserve"> </w:t>
      </w:r>
      <w:r w:rsidR="00903212" w:rsidRPr="005F516C">
        <w:rPr>
          <w:b/>
          <w:i/>
          <w:sz w:val="20"/>
          <w:szCs w:val="20"/>
          <w:lang w:val="hy-AM"/>
        </w:rPr>
        <w:t>2018-2022թթ ընթացիկ ծախսերի ֆինանսավորման կառուցվածը ըստ տնտեսագիտական դասակարգման</w:t>
      </w:r>
      <w:bookmarkEnd w:id="240"/>
      <w:bookmarkEnd w:id="241"/>
      <w:bookmarkEnd w:id="242"/>
    </w:p>
    <w:p w14:paraId="35A7ADFE" w14:textId="77777777" w:rsidR="00903212" w:rsidRPr="00A83C94" w:rsidRDefault="00903212" w:rsidP="00E0510E">
      <w:pPr>
        <w:spacing w:before="0" w:line="240" w:lineRule="auto"/>
        <w:ind w:firstLine="562"/>
        <w:contextualSpacing w:val="0"/>
        <w:jc w:val="center"/>
        <w:rPr>
          <w:b w:val="0"/>
          <w:sz w:val="20"/>
          <w:szCs w:val="20"/>
          <w:lang w:val="hy-AM" w:eastAsia="en-US"/>
        </w:rPr>
      </w:pPr>
      <w:r w:rsidRPr="00A83C94">
        <w:rPr>
          <w:b w:val="0"/>
          <w:sz w:val="20"/>
          <w:szCs w:val="20"/>
          <w:lang w:val="hy-AM" w:eastAsia="en-US"/>
        </w:rPr>
        <w:t xml:space="preserve">                                                                                                                                     մլն դրամ                                                                 </w:t>
      </w:r>
    </w:p>
    <w:tbl>
      <w:tblPr>
        <w:tblW w:w="10000" w:type="dxa"/>
        <w:tblLook w:val="04A0" w:firstRow="1" w:lastRow="0" w:firstColumn="1" w:lastColumn="0" w:noHBand="0" w:noVBand="1"/>
      </w:tblPr>
      <w:tblGrid>
        <w:gridCol w:w="3582"/>
        <w:gridCol w:w="1235"/>
        <w:gridCol w:w="1235"/>
        <w:gridCol w:w="1235"/>
        <w:gridCol w:w="1480"/>
        <w:gridCol w:w="1233"/>
      </w:tblGrid>
      <w:tr w:rsidR="00903212" w:rsidRPr="00A83C94" w14:paraId="6E78BAD1" w14:textId="77777777" w:rsidTr="00733935">
        <w:trPr>
          <w:trHeight w:val="825"/>
        </w:trPr>
        <w:tc>
          <w:tcPr>
            <w:tcW w:w="3582" w:type="dxa"/>
            <w:tcBorders>
              <w:top w:val="single" w:sz="8" w:space="0" w:color="auto"/>
              <w:left w:val="single" w:sz="8" w:space="0" w:color="auto"/>
              <w:bottom w:val="single" w:sz="8" w:space="0" w:color="auto"/>
              <w:right w:val="single" w:sz="8" w:space="0" w:color="auto"/>
            </w:tcBorders>
            <w:shd w:val="clear" w:color="000000" w:fill="2E74B5"/>
            <w:vAlign w:val="center"/>
            <w:hideMark/>
          </w:tcPr>
          <w:p w14:paraId="7CCAC1D6"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Ցուցանիշներ</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14:paraId="097B2369"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2018թ փաստացի</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14:paraId="540A1F93"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2019թ փաստացի</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14:paraId="236A3F98"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2020թ փաստացի</w:t>
            </w:r>
          </w:p>
        </w:tc>
        <w:tc>
          <w:tcPr>
            <w:tcW w:w="1480" w:type="dxa"/>
            <w:tcBorders>
              <w:top w:val="single" w:sz="8" w:space="0" w:color="auto"/>
              <w:left w:val="nil"/>
              <w:bottom w:val="single" w:sz="8" w:space="0" w:color="auto"/>
              <w:right w:val="single" w:sz="8" w:space="0" w:color="auto"/>
            </w:tcBorders>
            <w:shd w:val="clear" w:color="000000" w:fill="2E74B5"/>
            <w:vAlign w:val="center"/>
            <w:hideMark/>
          </w:tcPr>
          <w:p w14:paraId="3E1660FE"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2021թ  հաստատված</w:t>
            </w:r>
          </w:p>
        </w:tc>
        <w:tc>
          <w:tcPr>
            <w:tcW w:w="1233" w:type="dxa"/>
            <w:tcBorders>
              <w:top w:val="single" w:sz="8" w:space="0" w:color="auto"/>
              <w:left w:val="nil"/>
              <w:bottom w:val="single" w:sz="8" w:space="0" w:color="auto"/>
              <w:right w:val="single" w:sz="8" w:space="0" w:color="auto"/>
            </w:tcBorders>
            <w:shd w:val="clear" w:color="000000" w:fill="2E74B5"/>
            <w:vAlign w:val="center"/>
            <w:hideMark/>
          </w:tcPr>
          <w:p w14:paraId="7B93C1A4" w14:textId="77777777" w:rsidR="00903212" w:rsidRPr="00A83C94" w:rsidRDefault="00903212" w:rsidP="00733935">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2022թ. բյուջե</w:t>
            </w:r>
          </w:p>
        </w:tc>
      </w:tr>
      <w:tr w:rsidR="00903212" w:rsidRPr="00A83C94" w14:paraId="2213EC92" w14:textId="77777777" w:rsidTr="00733935">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28A3E913" w14:textId="77777777" w:rsidR="00903212" w:rsidRPr="00A83C94" w:rsidRDefault="00903212" w:rsidP="00733935">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ԸՆԹԱՑԻԿ ԾԱԽՍԵՐ</w:t>
            </w:r>
          </w:p>
        </w:tc>
        <w:tc>
          <w:tcPr>
            <w:tcW w:w="1235" w:type="dxa"/>
            <w:tcBorders>
              <w:top w:val="nil"/>
              <w:left w:val="nil"/>
              <w:bottom w:val="single" w:sz="8" w:space="0" w:color="auto"/>
              <w:right w:val="single" w:sz="8" w:space="0" w:color="auto"/>
            </w:tcBorders>
            <w:shd w:val="clear" w:color="000000" w:fill="D5DCE4"/>
            <w:noWrap/>
            <w:vAlign w:val="center"/>
            <w:hideMark/>
          </w:tcPr>
          <w:p w14:paraId="33314F33" w14:textId="77777777" w:rsidR="00903212" w:rsidRPr="00A83C94" w:rsidRDefault="00903212" w:rsidP="00733935">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1,298,978</w:t>
            </w:r>
          </w:p>
        </w:tc>
        <w:tc>
          <w:tcPr>
            <w:tcW w:w="1235" w:type="dxa"/>
            <w:tcBorders>
              <w:top w:val="nil"/>
              <w:left w:val="nil"/>
              <w:bottom w:val="single" w:sz="8" w:space="0" w:color="auto"/>
              <w:right w:val="single" w:sz="8" w:space="0" w:color="auto"/>
            </w:tcBorders>
            <w:shd w:val="clear" w:color="000000" w:fill="D5DCE4"/>
            <w:noWrap/>
            <w:vAlign w:val="center"/>
            <w:hideMark/>
          </w:tcPr>
          <w:p w14:paraId="05B83471" w14:textId="77777777" w:rsidR="00903212" w:rsidRPr="00A83C94" w:rsidRDefault="00903212" w:rsidP="00733935">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1,437,143</w:t>
            </w:r>
          </w:p>
        </w:tc>
        <w:tc>
          <w:tcPr>
            <w:tcW w:w="1235" w:type="dxa"/>
            <w:tcBorders>
              <w:top w:val="nil"/>
              <w:left w:val="nil"/>
              <w:bottom w:val="single" w:sz="8" w:space="0" w:color="auto"/>
              <w:right w:val="single" w:sz="8" w:space="0" w:color="auto"/>
            </w:tcBorders>
            <w:shd w:val="clear" w:color="000000" w:fill="D5DCE4"/>
            <w:noWrap/>
            <w:vAlign w:val="center"/>
            <w:hideMark/>
          </w:tcPr>
          <w:p w14:paraId="06C08F86" w14:textId="77777777" w:rsidR="00903212" w:rsidRPr="00A83C94" w:rsidRDefault="00903212" w:rsidP="00733935">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1,668,458</w:t>
            </w:r>
          </w:p>
        </w:tc>
        <w:tc>
          <w:tcPr>
            <w:tcW w:w="1480" w:type="dxa"/>
            <w:tcBorders>
              <w:top w:val="nil"/>
              <w:left w:val="nil"/>
              <w:bottom w:val="single" w:sz="8" w:space="0" w:color="auto"/>
              <w:right w:val="single" w:sz="8" w:space="0" w:color="auto"/>
            </w:tcBorders>
            <w:shd w:val="clear" w:color="000000" w:fill="D5DCE4"/>
            <w:noWrap/>
            <w:vAlign w:val="center"/>
            <w:hideMark/>
          </w:tcPr>
          <w:p w14:paraId="244EAB33" w14:textId="77777777" w:rsidR="00903212" w:rsidRPr="00A83C94" w:rsidRDefault="00903212" w:rsidP="00733935">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1,634,559</w:t>
            </w:r>
          </w:p>
        </w:tc>
        <w:tc>
          <w:tcPr>
            <w:tcW w:w="1233" w:type="dxa"/>
            <w:tcBorders>
              <w:top w:val="nil"/>
              <w:left w:val="nil"/>
              <w:bottom w:val="single" w:sz="8" w:space="0" w:color="auto"/>
              <w:right w:val="single" w:sz="8" w:space="0" w:color="auto"/>
            </w:tcBorders>
            <w:shd w:val="clear" w:color="000000" w:fill="D5DCE4"/>
            <w:noWrap/>
            <w:vAlign w:val="center"/>
            <w:hideMark/>
          </w:tcPr>
          <w:p w14:paraId="790A7ABF" w14:textId="77777777" w:rsidR="00903212" w:rsidRPr="00121056" w:rsidRDefault="00903212" w:rsidP="00733935">
            <w:pPr>
              <w:spacing w:before="0" w:line="240" w:lineRule="auto"/>
              <w:ind w:firstLine="0"/>
              <w:contextualSpacing w:val="0"/>
              <w:jc w:val="center"/>
              <w:rPr>
                <w:rFonts w:ascii="Arial" w:hAnsi="Arial" w:cs="Arial"/>
                <w:bCs/>
                <w:color w:val="000000"/>
                <w:sz w:val="20"/>
                <w:szCs w:val="20"/>
                <w:lang w:val="en-US" w:eastAsia="en-US"/>
              </w:rPr>
            </w:pPr>
            <w:r w:rsidRPr="00121056">
              <w:rPr>
                <w:rFonts w:ascii="Arial" w:hAnsi="Arial" w:cs="Arial"/>
                <w:bCs/>
                <w:color w:val="000000"/>
                <w:sz w:val="20"/>
                <w:szCs w:val="20"/>
                <w:lang w:val="en-US" w:eastAsia="en-US"/>
              </w:rPr>
              <w:t>1,842,719</w:t>
            </w:r>
          </w:p>
        </w:tc>
      </w:tr>
      <w:tr w:rsidR="00903212" w:rsidRPr="00A83C94" w14:paraId="0C54D878" w14:textId="77777777" w:rsidTr="00733935">
        <w:trPr>
          <w:trHeight w:val="31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71676830"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235" w:type="dxa"/>
            <w:tcBorders>
              <w:top w:val="nil"/>
              <w:left w:val="nil"/>
              <w:bottom w:val="single" w:sz="8" w:space="0" w:color="auto"/>
              <w:right w:val="single" w:sz="8" w:space="0" w:color="auto"/>
            </w:tcBorders>
            <w:shd w:val="clear" w:color="000000" w:fill="FFFFFF"/>
            <w:noWrap/>
            <w:vAlign w:val="center"/>
            <w:hideMark/>
          </w:tcPr>
          <w:p w14:paraId="271500C3" w14:textId="77777777" w:rsidR="00903212" w:rsidRPr="00A83C94" w:rsidRDefault="00903212"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235" w:type="dxa"/>
            <w:tcBorders>
              <w:top w:val="nil"/>
              <w:left w:val="nil"/>
              <w:bottom w:val="single" w:sz="8" w:space="0" w:color="auto"/>
              <w:right w:val="single" w:sz="8" w:space="0" w:color="auto"/>
            </w:tcBorders>
            <w:shd w:val="clear" w:color="000000" w:fill="FFFFFF"/>
            <w:noWrap/>
            <w:vAlign w:val="center"/>
            <w:hideMark/>
          </w:tcPr>
          <w:p w14:paraId="6BCAEE1D" w14:textId="77777777" w:rsidR="00903212" w:rsidRPr="00A83C94" w:rsidRDefault="00903212"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235" w:type="dxa"/>
            <w:tcBorders>
              <w:top w:val="nil"/>
              <w:left w:val="nil"/>
              <w:bottom w:val="single" w:sz="8" w:space="0" w:color="auto"/>
              <w:right w:val="single" w:sz="8" w:space="0" w:color="auto"/>
            </w:tcBorders>
            <w:shd w:val="clear" w:color="000000" w:fill="FFFFFF"/>
            <w:noWrap/>
            <w:vAlign w:val="center"/>
            <w:hideMark/>
          </w:tcPr>
          <w:p w14:paraId="631DADFE" w14:textId="77777777" w:rsidR="00903212" w:rsidRPr="00A83C94" w:rsidRDefault="00903212"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04A8D300" w14:textId="77777777" w:rsidR="00903212" w:rsidRPr="00A83C94" w:rsidRDefault="00903212" w:rsidP="00733935">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233" w:type="dxa"/>
            <w:tcBorders>
              <w:top w:val="nil"/>
              <w:left w:val="nil"/>
              <w:bottom w:val="single" w:sz="8" w:space="0" w:color="auto"/>
              <w:right w:val="single" w:sz="8" w:space="0" w:color="auto"/>
            </w:tcBorders>
            <w:shd w:val="clear" w:color="000000" w:fill="FFFFFF"/>
            <w:noWrap/>
            <w:vAlign w:val="center"/>
            <w:hideMark/>
          </w:tcPr>
          <w:p w14:paraId="5BB365CA" w14:textId="77777777" w:rsidR="00903212" w:rsidRDefault="00903212" w:rsidP="00733935">
            <w:pPr>
              <w:jc w:val="left"/>
              <w:rPr>
                <w:rFonts w:ascii="Calibri" w:hAnsi="Calibri"/>
                <w:b w:val="0"/>
                <w:color w:val="000000"/>
                <w:szCs w:val="22"/>
              </w:rPr>
            </w:pPr>
            <w:r>
              <w:rPr>
                <w:rFonts w:ascii="Calibri" w:hAnsi="Calibri"/>
                <w:color w:val="000000"/>
                <w:szCs w:val="22"/>
              </w:rPr>
              <w:t> </w:t>
            </w:r>
          </w:p>
        </w:tc>
      </w:tr>
      <w:tr w:rsidR="00903212" w:rsidRPr="00A83C94" w14:paraId="0DFBC708" w14:textId="77777777" w:rsidTr="00733935">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2E011E28"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ԱՇԽԱՏԱՆՔԻ ՎԱՐՁԱՏՐՈՒԹՅՈՒՆ</w:t>
            </w:r>
          </w:p>
        </w:tc>
        <w:tc>
          <w:tcPr>
            <w:tcW w:w="1235" w:type="dxa"/>
            <w:tcBorders>
              <w:top w:val="nil"/>
              <w:left w:val="nil"/>
              <w:bottom w:val="single" w:sz="8" w:space="0" w:color="auto"/>
              <w:right w:val="single" w:sz="8" w:space="0" w:color="auto"/>
            </w:tcBorders>
            <w:shd w:val="clear" w:color="000000" w:fill="D5DCE4"/>
            <w:noWrap/>
            <w:vAlign w:val="center"/>
            <w:hideMark/>
          </w:tcPr>
          <w:p w14:paraId="7BEE9E99"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152,755</w:t>
            </w:r>
          </w:p>
        </w:tc>
        <w:tc>
          <w:tcPr>
            <w:tcW w:w="1235" w:type="dxa"/>
            <w:tcBorders>
              <w:top w:val="nil"/>
              <w:left w:val="nil"/>
              <w:bottom w:val="single" w:sz="8" w:space="0" w:color="auto"/>
              <w:right w:val="single" w:sz="8" w:space="0" w:color="auto"/>
            </w:tcBorders>
            <w:shd w:val="clear" w:color="000000" w:fill="D5DCE4"/>
            <w:noWrap/>
            <w:vAlign w:val="center"/>
            <w:hideMark/>
          </w:tcPr>
          <w:p w14:paraId="0C474B05"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172,579</w:t>
            </w:r>
          </w:p>
        </w:tc>
        <w:tc>
          <w:tcPr>
            <w:tcW w:w="1235" w:type="dxa"/>
            <w:tcBorders>
              <w:top w:val="nil"/>
              <w:left w:val="nil"/>
              <w:bottom w:val="single" w:sz="8" w:space="0" w:color="auto"/>
              <w:right w:val="single" w:sz="8" w:space="0" w:color="auto"/>
            </w:tcBorders>
            <w:shd w:val="clear" w:color="000000" w:fill="D5DCE4"/>
            <w:noWrap/>
            <w:vAlign w:val="center"/>
            <w:hideMark/>
          </w:tcPr>
          <w:p w14:paraId="2615C6F9"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176,101</w:t>
            </w:r>
          </w:p>
        </w:tc>
        <w:tc>
          <w:tcPr>
            <w:tcW w:w="1480" w:type="dxa"/>
            <w:tcBorders>
              <w:top w:val="nil"/>
              <w:left w:val="nil"/>
              <w:bottom w:val="single" w:sz="8" w:space="0" w:color="auto"/>
              <w:right w:val="single" w:sz="8" w:space="0" w:color="auto"/>
            </w:tcBorders>
            <w:shd w:val="clear" w:color="000000" w:fill="D5DCE4"/>
            <w:noWrap/>
            <w:vAlign w:val="center"/>
            <w:hideMark/>
          </w:tcPr>
          <w:p w14:paraId="2C7F153A"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181,075</w:t>
            </w:r>
          </w:p>
        </w:tc>
        <w:tc>
          <w:tcPr>
            <w:tcW w:w="1233" w:type="dxa"/>
            <w:tcBorders>
              <w:top w:val="nil"/>
              <w:left w:val="nil"/>
              <w:bottom w:val="single" w:sz="8" w:space="0" w:color="auto"/>
              <w:right w:val="single" w:sz="8" w:space="0" w:color="auto"/>
            </w:tcBorders>
            <w:shd w:val="clear" w:color="000000" w:fill="D5DCE4"/>
            <w:noWrap/>
            <w:vAlign w:val="center"/>
            <w:hideMark/>
          </w:tcPr>
          <w:p w14:paraId="225E1296" w14:textId="77777777" w:rsidR="00903212" w:rsidRPr="00121056"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184,989</w:t>
            </w:r>
          </w:p>
        </w:tc>
      </w:tr>
      <w:tr w:rsidR="00903212" w:rsidRPr="00A83C94" w14:paraId="50AA924B" w14:textId="77777777" w:rsidTr="00733935">
        <w:trPr>
          <w:trHeight w:val="55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0F0F3CC6" w14:textId="77777777" w:rsidR="00903212" w:rsidRPr="00A83C94" w:rsidRDefault="00903212" w:rsidP="00733935">
            <w:pPr>
              <w:spacing w:before="0" w:line="240"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ԾԱՌԱՅՈՒԹՅՈՒՆՆԵՐԻ ԵՎ ԱՊՐԱՆՔՆԵՐԻ  ՁԵՌՔԲԵՐՈՒՄ</w:t>
            </w:r>
          </w:p>
        </w:tc>
        <w:tc>
          <w:tcPr>
            <w:tcW w:w="1235" w:type="dxa"/>
            <w:tcBorders>
              <w:top w:val="nil"/>
              <w:left w:val="nil"/>
              <w:bottom w:val="single" w:sz="8" w:space="0" w:color="auto"/>
              <w:right w:val="single" w:sz="8" w:space="0" w:color="auto"/>
            </w:tcBorders>
            <w:shd w:val="clear" w:color="000000" w:fill="FFFFFF"/>
            <w:noWrap/>
            <w:vAlign w:val="center"/>
            <w:hideMark/>
          </w:tcPr>
          <w:p w14:paraId="569B3A9D"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155,647</w:t>
            </w:r>
          </w:p>
        </w:tc>
        <w:tc>
          <w:tcPr>
            <w:tcW w:w="1235" w:type="dxa"/>
            <w:tcBorders>
              <w:top w:val="nil"/>
              <w:left w:val="nil"/>
              <w:bottom w:val="single" w:sz="8" w:space="0" w:color="auto"/>
              <w:right w:val="single" w:sz="8" w:space="0" w:color="auto"/>
            </w:tcBorders>
            <w:shd w:val="clear" w:color="000000" w:fill="FFFFFF"/>
            <w:noWrap/>
            <w:vAlign w:val="center"/>
            <w:hideMark/>
          </w:tcPr>
          <w:p w14:paraId="1C248C34"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192,121</w:t>
            </w:r>
          </w:p>
        </w:tc>
        <w:tc>
          <w:tcPr>
            <w:tcW w:w="1235" w:type="dxa"/>
            <w:tcBorders>
              <w:top w:val="nil"/>
              <w:left w:val="nil"/>
              <w:bottom w:val="single" w:sz="8" w:space="0" w:color="auto"/>
              <w:right w:val="single" w:sz="8" w:space="0" w:color="auto"/>
            </w:tcBorders>
            <w:shd w:val="clear" w:color="000000" w:fill="FFFFFF"/>
            <w:noWrap/>
            <w:vAlign w:val="center"/>
            <w:hideMark/>
          </w:tcPr>
          <w:p w14:paraId="41236156"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179,162</w:t>
            </w:r>
          </w:p>
        </w:tc>
        <w:tc>
          <w:tcPr>
            <w:tcW w:w="1480" w:type="dxa"/>
            <w:tcBorders>
              <w:top w:val="nil"/>
              <w:left w:val="nil"/>
              <w:bottom w:val="single" w:sz="8" w:space="0" w:color="auto"/>
              <w:right w:val="single" w:sz="8" w:space="0" w:color="auto"/>
            </w:tcBorders>
            <w:shd w:val="clear" w:color="000000" w:fill="FFFFFF"/>
            <w:noWrap/>
            <w:vAlign w:val="center"/>
            <w:hideMark/>
          </w:tcPr>
          <w:p w14:paraId="0559EDCC"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169,135</w:t>
            </w:r>
          </w:p>
        </w:tc>
        <w:tc>
          <w:tcPr>
            <w:tcW w:w="1233" w:type="dxa"/>
            <w:tcBorders>
              <w:top w:val="nil"/>
              <w:left w:val="nil"/>
              <w:bottom w:val="single" w:sz="8" w:space="0" w:color="auto"/>
              <w:right w:val="single" w:sz="8" w:space="0" w:color="auto"/>
            </w:tcBorders>
            <w:shd w:val="clear" w:color="000000" w:fill="FFFFFF"/>
            <w:noWrap/>
            <w:vAlign w:val="center"/>
            <w:hideMark/>
          </w:tcPr>
          <w:p w14:paraId="66045E82" w14:textId="77777777" w:rsidR="00903212" w:rsidRPr="00121056"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172,432</w:t>
            </w:r>
          </w:p>
        </w:tc>
      </w:tr>
      <w:tr w:rsidR="00903212" w:rsidRPr="00A83C94" w14:paraId="3A61EAF7" w14:textId="77777777" w:rsidTr="00733935">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3ABB24C2"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ՏՈԿՈՍԱՎՃԱՐՆԵՐ</w:t>
            </w:r>
          </w:p>
        </w:tc>
        <w:tc>
          <w:tcPr>
            <w:tcW w:w="1235" w:type="dxa"/>
            <w:tcBorders>
              <w:top w:val="nil"/>
              <w:left w:val="nil"/>
              <w:bottom w:val="single" w:sz="8" w:space="0" w:color="auto"/>
              <w:right w:val="single" w:sz="8" w:space="0" w:color="auto"/>
            </w:tcBorders>
            <w:shd w:val="clear" w:color="000000" w:fill="D5DCE4"/>
            <w:noWrap/>
            <w:vAlign w:val="center"/>
            <w:hideMark/>
          </w:tcPr>
          <w:p w14:paraId="387DF454"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139,015</w:t>
            </w:r>
          </w:p>
        </w:tc>
        <w:tc>
          <w:tcPr>
            <w:tcW w:w="1235" w:type="dxa"/>
            <w:tcBorders>
              <w:top w:val="nil"/>
              <w:left w:val="nil"/>
              <w:bottom w:val="single" w:sz="8" w:space="0" w:color="auto"/>
              <w:right w:val="single" w:sz="8" w:space="0" w:color="auto"/>
            </w:tcBorders>
            <w:shd w:val="clear" w:color="000000" w:fill="D5DCE4"/>
            <w:noWrap/>
            <w:vAlign w:val="center"/>
            <w:hideMark/>
          </w:tcPr>
          <w:p w14:paraId="531309CA"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157,553</w:t>
            </w:r>
          </w:p>
        </w:tc>
        <w:tc>
          <w:tcPr>
            <w:tcW w:w="1235" w:type="dxa"/>
            <w:tcBorders>
              <w:top w:val="nil"/>
              <w:left w:val="nil"/>
              <w:bottom w:val="single" w:sz="8" w:space="0" w:color="auto"/>
              <w:right w:val="single" w:sz="8" w:space="0" w:color="auto"/>
            </w:tcBorders>
            <w:shd w:val="clear" w:color="000000" w:fill="D5DCE4"/>
            <w:noWrap/>
            <w:vAlign w:val="center"/>
            <w:hideMark/>
          </w:tcPr>
          <w:p w14:paraId="1C6B6AF8"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164,767</w:t>
            </w:r>
          </w:p>
        </w:tc>
        <w:tc>
          <w:tcPr>
            <w:tcW w:w="1480" w:type="dxa"/>
            <w:tcBorders>
              <w:top w:val="nil"/>
              <w:left w:val="nil"/>
              <w:bottom w:val="single" w:sz="8" w:space="0" w:color="auto"/>
              <w:right w:val="single" w:sz="8" w:space="0" w:color="auto"/>
            </w:tcBorders>
            <w:shd w:val="clear" w:color="000000" w:fill="D5DCE4"/>
            <w:noWrap/>
            <w:vAlign w:val="center"/>
            <w:hideMark/>
          </w:tcPr>
          <w:p w14:paraId="5FF364BD"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194,700</w:t>
            </w:r>
          </w:p>
        </w:tc>
        <w:tc>
          <w:tcPr>
            <w:tcW w:w="1233" w:type="dxa"/>
            <w:tcBorders>
              <w:top w:val="nil"/>
              <w:left w:val="nil"/>
              <w:bottom w:val="single" w:sz="8" w:space="0" w:color="auto"/>
              <w:right w:val="single" w:sz="8" w:space="0" w:color="auto"/>
            </w:tcBorders>
            <w:shd w:val="clear" w:color="000000" w:fill="D5DCE4"/>
            <w:noWrap/>
            <w:vAlign w:val="center"/>
            <w:hideMark/>
          </w:tcPr>
          <w:p w14:paraId="176C8CCA" w14:textId="77777777" w:rsidR="00903212" w:rsidRPr="00121056"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214,416</w:t>
            </w:r>
          </w:p>
        </w:tc>
      </w:tr>
      <w:tr w:rsidR="00903212" w:rsidRPr="00A83C94" w14:paraId="5A467F6B" w14:textId="77777777" w:rsidTr="00733935">
        <w:trPr>
          <w:trHeight w:val="31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597FC771"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ՍՈՒԲՍԻԴԻԱՆԵՐ</w:t>
            </w:r>
          </w:p>
        </w:tc>
        <w:tc>
          <w:tcPr>
            <w:tcW w:w="1235" w:type="dxa"/>
            <w:tcBorders>
              <w:top w:val="nil"/>
              <w:left w:val="nil"/>
              <w:bottom w:val="single" w:sz="8" w:space="0" w:color="auto"/>
              <w:right w:val="single" w:sz="8" w:space="0" w:color="auto"/>
            </w:tcBorders>
            <w:shd w:val="clear" w:color="000000" w:fill="FFFFFF"/>
            <w:noWrap/>
            <w:vAlign w:val="center"/>
            <w:hideMark/>
          </w:tcPr>
          <w:p w14:paraId="16131F5B"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111,226</w:t>
            </w:r>
          </w:p>
        </w:tc>
        <w:tc>
          <w:tcPr>
            <w:tcW w:w="1235" w:type="dxa"/>
            <w:tcBorders>
              <w:top w:val="nil"/>
              <w:left w:val="nil"/>
              <w:bottom w:val="single" w:sz="8" w:space="0" w:color="auto"/>
              <w:right w:val="single" w:sz="8" w:space="0" w:color="auto"/>
            </w:tcBorders>
            <w:shd w:val="clear" w:color="000000" w:fill="FFFFFF"/>
            <w:noWrap/>
            <w:vAlign w:val="center"/>
            <w:hideMark/>
          </w:tcPr>
          <w:p w14:paraId="76A6AFB6"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113,376</w:t>
            </w:r>
          </w:p>
        </w:tc>
        <w:tc>
          <w:tcPr>
            <w:tcW w:w="1235" w:type="dxa"/>
            <w:tcBorders>
              <w:top w:val="nil"/>
              <w:left w:val="nil"/>
              <w:bottom w:val="single" w:sz="8" w:space="0" w:color="auto"/>
              <w:right w:val="single" w:sz="8" w:space="0" w:color="auto"/>
            </w:tcBorders>
            <w:shd w:val="clear" w:color="000000" w:fill="FFFFFF"/>
            <w:noWrap/>
            <w:vAlign w:val="center"/>
            <w:hideMark/>
          </w:tcPr>
          <w:p w14:paraId="73AFC828"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119,079</w:t>
            </w:r>
          </w:p>
        </w:tc>
        <w:tc>
          <w:tcPr>
            <w:tcW w:w="1480" w:type="dxa"/>
            <w:tcBorders>
              <w:top w:val="nil"/>
              <w:left w:val="nil"/>
              <w:bottom w:val="single" w:sz="8" w:space="0" w:color="auto"/>
              <w:right w:val="single" w:sz="8" w:space="0" w:color="auto"/>
            </w:tcBorders>
            <w:shd w:val="clear" w:color="000000" w:fill="FFFFFF"/>
            <w:noWrap/>
            <w:vAlign w:val="center"/>
            <w:hideMark/>
          </w:tcPr>
          <w:p w14:paraId="399EAE3A"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122,370</w:t>
            </w:r>
          </w:p>
        </w:tc>
        <w:tc>
          <w:tcPr>
            <w:tcW w:w="1233" w:type="dxa"/>
            <w:tcBorders>
              <w:top w:val="nil"/>
              <w:left w:val="nil"/>
              <w:bottom w:val="single" w:sz="8" w:space="0" w:color="auto"/>
              <w:right w:val="single" w:sz="8" w:space="0" w:color="auto"/>
            </w:tcBorders>
            <w:shd w:val="clear" w:color="000000" w:fill="FFFFFF"/>
            <w:noWrap/>
            <w:vAlign w:val="center"/>
            <w:hideMark/>
          </w:tcPr>
          <w:p w14:paraId="178EBF1D" w14:textId="77777777" w:rsidR="00903212" w:rsidRPr="00121056"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141,104</w:t>
            </w:r>
          </w:p>
        </w:tc>
      </w:tr>
      <w:tr w:rsidR="00903212" w:rsidRPr="00A83C94" w14:paraId="343433C2" w14:textId="77777777" w:rsidTr="00733935">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5D931B70"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ԴՐԱՄԱՇՆՈՐՀՆԵՐ</w:t>
            </w:r>
          </w:p>
        </w:tc>
        <w:tc>
          <w:tcPr>
            <w:tcW w:w="1235" w:type="dxa"/>
            <w:tcBorders>
              <w:top w:val="nil"/>
              <w:left w:val="nil"/>
              <w:bottom w:val="single" w:sz="8" w:space="0" w:color="auto"/>
              <w:right w:val="single" w:sz="8" w:space="0" w:color="auto"/>
            </w:tcBorders>
            <w:shd w:val="clear" w:color="000000" w:fill="D5DCE4"/>
            <w:noWrap/>
            <w:vAlign w:val="center"/>
            <w:hideMark/>
          </w:tcPr>
          <w:p w14:paraId="6F908348"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126,318</w:t>
            </w:r>
          </w:p>
        </w:tc>
        <w:tc>
          <w:tcPr>
            <w:tcW w:w="1235" w:type="dxa"/>
            <w:tcBorders>
              <w:top w:val="nil"/>
              <w:left w:val="nil"/>
              <w:bottom w:val="single" w:sz="8" w:space="0" w:color="auto"/>
              <w:right w:val="single" w:sz="8" w:space="0" w:color="auto"/>
            </w:tcBorders>
            <w:shd w:val="clear" w:color="000000" w:fill="D5DCE4"/>
            <w:noWrap/>
            <w:vAlign w:val="center"/>
            <w:hideMark/>
          </w:tcPr>
          <w:p w14:paraId="16095B11"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150,000</w:t>
            </w:r>
          </w:p>
        </w:tc>
        <w:tc>
          <w:tcPr>
            <w:tcW w:w="1235" w:type="dxa"/>
            <w:tcBorders>
              <w:top w:val="nil"/>
              <w:left w:val="nil"/>
              <w:bottom w:val="single" w:sz="8" w:space="0" w:color="auto"/>
              <w:right w:val="single" w:sz="8" w:space="0" w:color="auto"/>
            </w:tcBorders>
            <w:shd w:val="clear" w:color="000000" w:fill="D5DCE4"/>
            <w:noWrap/>
            <w:vAlign w:val="center"/>
            <w:hideMark/>
          </w:tcPr>
          <w:p w14:paraId="7FF76307"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186,854</w:t>
            </w:r>
          </w:p>
        </w:tc>
        <w:tc>
          <w:tcPr>
            <w:tcW w:w="1480" w:type="dxa"/>
            <w:tcBorders>
              <w:top w:val="nil"/>
              <w:left w:val="nil"/>
              <w:bottom w:val="single" w:sz="8" w:space="0" w:color="auto"/>
              <w:right w:val="single" w:sz="8" w:space="0" w:color="auto"/>
            </w:tcBorders>
            <w:shd w:val="clear" w:color="000000" w:fill="D5DCE4"/>
            <w:noWrap/>
            <w:vAlign w:val="center"/>
            <w:hideMark/>
          </w:tcPr>
          <w:p w14:paraId="509F0B2A"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162,913</w:t>
            </w:r>
          </w:p>
        </w:tc>
        <w:tc>
          <w:tcPr>
            <w:tcW w:w="1233" w:type="dxa"/>
            <w:tcBorders>
              <w:top w:val="nil"/>
              <w:left w:val="nil"/>
              <w:bottom w:val="single" w:sz="8" w:space="0" w:color="auto"/>
              <w:right w:val="single" w:sz="8" w:space="0" w:color="auto"/>
            </w:tcBorders>
            <w:shd w:val="clear" w:color="000000" w:fill="D5DCE4"/>
            <w:noWrap/>
            <w:vAlign w:val="center"/>
            <w:hideMark/>
          </w:tcPr>
          <w:p w14:paraId="007C1B69" w14:textId="77777777" w:rsidR="00903212" w:rsidRPr="00121056"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228,319</w:t>
            </w:r>
          </w:p>
        </w:tc>
      </w:tr>
      <w:tr w:rsidR="00903212" w:rsidRPr="00A83C94" w14:paraId="6A2C2220" w14:textId="77777777" w:rsidTr="00733935">
        <w:trPr>
          <w:trHeight w:val="55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51B25E30" w14:textId="77777777" w:rsidR="00903212" w:rsidRPr="00A83C94" w:rsidRDefault="00903212" w:rsidP="00733935">
            <w:pPr>
              <w:spacing w:before="0" w:line="240"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ՍՈՑԻԱԼԱԿԱՆ  ՆՊԱՍՏՆԵՐ ԵՎ ԿԵՆՍԱԹՈՇԱԿՆԵՐ</w:t>
            </w:r>
          </w:p>
        </w:tc>
        <w:tc>
          <w:tcPr>
            <w:tcW w:w="1235" w:type="dxa"/>
            <w:tcBorders>
              <w:top w:val="nil"/>
              <w:left w:val="nil"/>
              <w:bottom w:val="single" w:sz="8" w:space="0" w:color="auto"/>
              <w:right w:val="single" w:sz="8" w:space="0" w:color="auto"/>
            </w:tcBorders>
            <w:shd w:val="clear" w:color="000000" w:fill="FFFFFF"/>
            <w:noWrap/>
            <w:vAlign w:val="center"/>
            <w:hideMark/>
          </w:tcPr>
          <w:p w14:paraId="42D42C12"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425,479</w:t>
            </w:r>
          </w:p>
        </w:tc>
        <w:tc>
          <w:tcPr>
            <w:tcW w:w="1235" w:type="dxa"/>
            <w:tcBorders>
              <w:top w:val="nil"/>
              <w:left w:val="nil"/>
              <w:bottom w:val="single" w:sz="8" w:space="0" w:color="auto"/>
              <w:right w:val="single" w:sz="8" w:space="0" w:color="auto"/>
            </w:tcBorders>
            <w:shd w:val="clear" w:color="000000" w:fill="FFFFFF"/>
            <w:noWrap/>
            <w:vAlign w:val="center"/>
            <w:hideMark/>
          </w:tcPr>
          <w:p w14:paraId="60AB7B6A"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453,219</w:t>
            </w:r>
          </w:p>
        </w:tc>
        <w:tc>
          <w:tcPr>
            <w:tcW w:w="1235" w:type="dxa"/>
            <w:tcBorders>
              <w:top w:val="nil"/>
              <w:left w:val="nil"/>
              <w:bottom w:val="single" w:sz="8" w:space="0" w:color="auto"/>
              <w:right w:val="single" w:sz="8" w:space="0" w:color="auto"/>
            </w:tcBorders>
            <w:shd w:val="clear" w:color="000000" w:fill="FFFFFF"/>
            <w:noWrap/>
            <w:vAlign w:val="center"/>
            <w:hideMark/>
          </w:tcPr>
          <w:p w14:paraId="2DAA7949"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559,072</w:t>
            </w:r>
          </w:p>
        </w:tc>
        <w:tc>
          <w:tcPr>
            <w:tcW w:w="1480" w:type="dxa"/>
            <w:tcBorders>
              <w:top w:val="nil"/>
              <w:left w:val="nil"/>
              <w:bottom w:val="single" w:sz="8" w:space="0" w:color="auto"/>
              <w:right w:val="single" w:sz="8" w:space="0" w:color="auto"/>
            </w:tcBorders>
            <w:shd w:val="clear" w:color="000000" w:fill="FFFFFF"/>
            <w:noWrap/>
            <w:vAlign w:val="center"/>
            <w:hideMark/>
          </w:tcPr>
          <w:p w14:paraId="7FFBAEF2"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527,873</w:t>
            </w:r>
          </w:p>
        </w:tc>
        <w:tc>
          <w:tcPr>
            <w:tcW w:w="1233" w:type="dxa"/>
            <w:tcBorders>
              <w:top w:val="nil"/>
              <w:left w:val="nil"/>
              <w:bottom w:val="single" w:sz="8" w:space="0" w:color="auto"/>
              <w:right w:val="single" w:sz="8" w:space="0" w:color="auto"/>
            </w:tcBorders>
            <w:shd w:val="clear" w:color="000000" w:fill="FFFFFF"/>
            <w:noWrap/>
            <w:vAlign w:val="center"/>
            <w:hideMark/>
          </w:tcPr>
          <w:p w14:paraId="75737A6A" w14:textId="77777777" w:rsidR="00903212" w:rsidRPr="00121056"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571,844</w:t>
            </w:r>
          </w:p>
        </w:tc>
      </w:tr>
      <w:tr w:rsidR="00903212" w:rsidRPr="00A83C94" w14:paraId="78B9E58F" w14:textId="77777777" w:rsidTr="00733935">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3A261BF0" w14:textId="77777777" w:rsidR="00903212" w:rsidRPr="00A83C94" w:rsidRDefault="00903212" w:rsidP="00733935">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ԱՅԼ  ԾԱԽՍԵՐ</w:t>
            </w:r>
          </w:p>
        </w:tc>
        <w:tc>
          <w:tcPr>
            <w:tcW w:w="1235" w:type="dxa"/>
            <w:tcBorders>
              <w:top w:val="nil"/>
              <w:left w:val="nil"/>
              <w:bottom w:val="single" w:sz="8" w:space="0" w:color="auto"/>
              <w:right w:val="single" w:sz="8" w:space="0" w:color="auto"/>
            </w:tcBorders>
            <w:shd w:val="clear" w:color="000000" w:fill="D5DCE4"/>
            <w:noWrap/>
            <w:vAlign w:val="center"/>
            <w:hideMark/>
          </w:tcPr>
          <w:p w14:paraId="630A98C2"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188,538</w:t>
            </w:r>
          </w:p>
        </w:tc>
        <w:tc>
          <w:tcPr>
            <w:tcW w:w="1235" w:type="dxa"/>
            <w:tcBorders>
              <w:top w:val="nil"/>
              <w:left w:val="nil"/>
              <w:bottom w:val="single" w:sz="8" w:space="0" w:color="auto"/>
              <w:right w:val="single" w:sz="8" w:space="0" w:color="auto"/>
            </w:tcBorders>
            <w:shd w:val="clear" w:color="000000" w:fill="D5DCE4"/>
            <w:noWrap/>
            <w:vAlign w:val="center"/>
            <w:hideMark/>
          </w:tcPr>
          <w:p w14:paraId="28932AC3"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198,296</w:t>
            </w:r>
          </w:p>
        </w:tc>
        <w:tc>
          <w:tcPr>
            <w:tcW w:w="1235" w:type="dxa"/>
            <w:tcBorders>
              <w:top w:val="nil"/>
              <w:left w:val="nil"/>
              <w:bottom w:val="single" w:sz="8" w:space="0" w:color="auto"/>
              <w:right w:val="single" w:sz="8" w:space="0" w:color="auto"/>
            </w:tcBorders>
            <w:shd w:val="clear" w:color="000000" w:fill="D5DCE4"/>
            <w:noWrap/>
            <w:vAlign w:val="center"/>
            <w:hideMark/>
          </w:tcPr>
          <w:p w14:paraId="30DC3DFA"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283,422</w:t>
            </w:r>
          </w:p>
        </w:tc>
        <w:tc>
          <w:tcPr>
            <w:tcW w:w="1480" w:type="dxa"/>
            <w:tcBorders>
              <w:top w:val="nil"/>
              <w:left w:val="nil"/>
              <w:bottom w:val="single" w:sz="8" w:space="0" w:color="auto"/>
              <w:right w:val="single" w:sz="8" w:space="0" w:color="auto"/>
            </w:tcBorders>
            <w:shd w:val="clear" w:color="000000" w:fill="D5DCE4"/>
            <w:noWrap/>
            <w:vAlign w:val="center"/>
            <w:hideMark/>
          </w:tcPr>
          <w:p w14:paraId="0C427012" w14:textId="77777777" w:rsidR="00903212" w:rsidRPr="00A83C94"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276,491</w:t>
            </w:r>
          </w:p>
        </w:tc>
        <w:tc>
          <w:tcPr>
            <w:tcW w:w="1233" w:type="dxa"/>
            <w:tcBorders>
              <w:top w:val="nil"/>
              <w:left w:val="nil"/>
              <w:bottom w:val="single" w:sz="8" w:space="0" w:color="auto"/>
              <w:right w:val="single" w:sz="8" w:space="0" w:color="auto"/>
            </w:tcBorders>
            <w:shd w:val="clear" w:color="000000" w:fill="D5DCE4"/>
            <w:noWrap/>
            <w:vAlign w:val="center"/>
            <w:hideMark/>
          </w:tcPr>
          <w:p w14:paraId="6BD22A9E" w14:textId="77777777" w:rsidR="00903212" w:rsidRPr="00121056" w:rsidRDefault="00903212" w:rsidP="00733935">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329,615</w:t>
            </w:r>
          </w:p>
        </w:tc>
      </w:tr>
    </w:tbl>
    <w:p w14:paraId="0EA88A06" w14:textId="77777777" w:rsidR="00903212" w:rsidRPr="00A83C94" w:rsidRDefault="00903212" w:rsidP="00903212">
      <w:pPr>
        <w:spacing w:before="0" w:line="276" w:lineRule="auto"/>
        <w:contextualSpacing w:val="0"/>
        <w:jc w:val="center"/>
        <w:rPr>
          <w:b w:val="0"/>
          <w:szCs w:val="22"/>
          <w:lang w:val="af-ZA" w:eastAsia="en-US"/>
        </w:rPr>
      </w:pPr>
    </w:p>
    <w:p w14:paraId="5D448832" w14:textId="34237E6D" w:rsidR="00903212" w:rsidRDefault="00903212" w:rsidP="00903212">
      <w:pPr>
        <w:spacing w:before="0" w:line="276" w:lineRule="auto"/>
        <w:ind w:firstLine="475"/>
        <w:contextualSpacing w:val="0"/>
        <w:rPr>
          <w:rFonts w:cs="Sylfaen"/>
          <w:b w:val="0"/>
          <w:szCs w:val="22"/>
          <w:lang w:val="af-ZA" w:eastAsia="en-US"/>
        </w:rPr>
      </w:pPr>
    </w:p>
    <w:p w14:paraId="2929E013" w14:textId="77777777" w:rsidR="00903212" w:rsidRDefault="00903212" w:rsidP="00903212">
      <w:pPr>
        <w:spacing w:before="0" w:line="276" w:lineRule="auto"/>
        <w:ind w:firstLine="475"/>
        <w:contextualSpacing w:val="0"/>
        <w:rPr>
          <w:rFonts w:cs="Sylfaen"/>
          <w:b w:val="0"/>
          <w:szCs w:val="22"/>
          <w:lang w:val="af-ZA" w:eastAsia="en-US"/>
        </w:rPr>
      </w:pPr>
    </w:p>
    <w:p w14:paraId="468600AF" w14:textId="77777777" w:rsidR="00903212" w:rsidRPr="00A83C94" w:rsidRDefault="00903212" w:rsidP="00903212">
      <w:pPr>
        <w:spacing w:before="0" w:line="276" w:lineRule="auto"/>
        <w:ind w:firstLine="475"/>
        <w:contextualSpacing w:val="0"/>
        <w:rPr>
          <w:b w:val="0"/>
          <w:szCs w:val="22"/>
          <w:lang w:val="hy-AM" w:eastAsia="en-US"/>
        </w:rPr>
      </w:pPr>
      <w:r w:rsidRPr="00A83C94">
        <w:rPr>
          <w:rFonts w:cs="Sylfaen"/>
          <w:b w:val="0"/>
          <w:szCs w:val="22"/>
          <w:lang w:val="af-ZA" w:eastAsia="en-US"/>
        </w:rPr>
        <w:t xml:space="preserve">2022 </w:t>
      </w:r>
      <w:r w:rsidRPr="00A83C94">
        <w:rPr>
          <w:b w:val="0"/>
          <w:szCs w:val="22"/>
          <w:lang w:val="hy-AM" w:eastAsia="en-US"/>
        </w:rPr>
        <w:t>թվակա</w:t>
      </w:r>
      <w:r w:rsidRPr="00A83C94">
        <w:rPr>
          <w:rFonts w:cs="Sylfaen"/>
          <w:b w:val="0"/>
          <w:szCs w:val="22"/>
          <w:lang w:val="hy-AM" w:eastAsia="en-US"/>
        </w:rPr>
        <w:t>նի</w:t>
      </w:r>
      <w:r w:rsidRPr="00A83C94">
        <w:rPr>
          <w:rFonts w:cs="Sylfaen"/>
          <w:b w:val="0"/>
          <w:szCs w:val="22"/>
          <w:lang w:val="af-ZA" w:eastAsia="en-US"/>
        </w:rPr>
        <w:t xml:space="preserve"> </w:t>
      </w:r>
      <w:r w:rsidRPr="00A83C94">
        <w:rPr>
          <w:rFonts w:cs="Sylfaen"/>
          <w:b w:val="0"/>
          <w:szCs w:val="22"/>
          <w:lang w:val="hy-AM" w:eastAsia="en-US"/>
        </w:rPr>
        <w:t>պետական</w:t>
      </w:r>
      <w:r w:rsidRPr="00A83C94">
        <w:rPr>
          <w:rFonts w:cs="Sylfaen"/>
          <w:b w:val="0"/>
          <w:szCs w:val="22"/>
          <w:lang w:val="af-ZA" w:eastAsia="en-US"/>
        </w:rPr>
        <w:t xml:space="preserve"> </w:t>
      </w:r>
      <w:r w:rsidRPr="00A83C94">
        <w:rPr>
          <w:rFonts w:cs="Sylfaen"/>
          <w:b w:val="0"/>
          <w:szCs w:val="22"/>
          <w:lang w:val="hy-AM" w:eastAsia="en-US"/>
        </w:rPr>
        <w:t>բյուջեից</w:t>
      </w:r>
      <w:r w:rsidRPr="00A83C94">
        <w:rPr>
          <w:rFonts w:cs="Sylfaen"/>
          <w:b w:val="0"/>
          <w:szCs w:val="22"/>
          <w:lang w:val="af-ZA" w:eastAsia="en-US"/>
        </w:rPr>
        <w:t xml:space="preserve"> </w:t>
      </w:r>
      <w:r w:rsidRPr="00A83C94">
        <w:rPr>
          <w:rFonts w:cs="Sylfaen"/>
          <w:b w:val="0"/>
          <w:szCs w:val="22"/>
          <w:lang w:val="hy-AM" w:eastAsia="en-US"/>
        </w:rPr>
        <w:t>նախատեսվում</w:t>
      </w:r>
      <w:r w:rsidRPr="00A83C94">
        <w:rPr>
          <w:rFonts w:cs="Sylfaen"/>
          <w:b w:val="0"/>
          <w:szCs w:val="22"/>
          <w:lang w:val="af-ZA" w:eastAsia="en-US"/>
        </w:rPr>
        <w:t xml:space="preserve"> </w:t>
      </w:r>
      <w:r w:rsidRPr="00A83C94">
        <w:rPr>
          <w:rFonts w:cs="Sylfaen"/>
          <w:b w:val="0"/>
          <w:szCs w:val="22"/>
          <w:lang w:val="hy-AM" w:eastAsia="en-US"/>
        </w:rPr>
        <w:t>է</w:t>
      </w:r>
      <w:r w:rsidRPr="00A83C94">
        <w:rPr>
          <w:rFonts w:cs="Sylfaen"/>
          <w:b w:val="0"/>
          <w:szCs w:val="22"/>
          <w:lang w:val="af-ZA" w:eastAsia="en-US"/>
        </w:rPr>
        <w:t xml:space="preserve"> </w:t>
      </w:r>
      <w:r w:rsidRPr="00A83C94">
        <w:rPr>
          <w:rFonts w:cs="Sylfaen"/>
          <w:b w:val="0"/>
          <w:szCs w:val="22"/>
          <w:lang w:val="hy-AM" w:eastAsia="en-US"/>
        </w:rPr>
        <w:t>տրամադրել</w:t>
      </w:r>
      <w:r w:rsidRPr="00A83C94">
        <w:rPr>
          <w:rFonts w:cs="Sylfaen"/>
          <w:b w:val="0"/>
          <w:szCs w:val="22"/>
          <w:lang w:val="af-ZA" w:eastAsia="en-US"/>
        </w:rPr>
        <w:t xml:space="preserve"> </w:t>
      </w:r>
      <w:r w:rsidRPr="00A83C94">
        <w:rPr>
          <w:rFonts w:cs="Sylfaen"/>
          <w:szCs w:val="22"/>
          <w:lang w:val="hy-AM" w:eastAsia="en-US"/>
        </w:rPr>
        <w:t>հատկացումներ</w:t>
      </w:r>
      <w:r w:rsidRPr="00A83C94">
        <w:rPr>
          <w:rFonts w:cs="Sylfaen"/>
          <w:szCs w:val="22"/>
          <w:lang w:val="af-ZA" w:eastAsia="en-US"/>
        </w:rPr>
        <w:t xml:space="preserve"> </w:t>
      </w:r>
      <w:r w:rsidRPr="00A83C94">
        <w:rPr>
          <w:rFonts w:cs="Sylfaen"/>
          <w:szCs w:val="22"/>
          <w:lang w:val="hy-AM" w:eastAsia="en-US"/>
        </w:rPr>
        <w:t>ՀՀ</w:t>
      </w:r>
      <w:r w:rsidRPr="00A83C94">
        <w:rPr>
          <w:rFonts w:cs="Sylfaen"/>
          <w:szCs w:val="22"/>
          <w:lang w:val="af-ZA" w:eastAsia="en-US"/>
        </w:rPr>
        <w:t xml:space="preserve"> </w:t>
      </w:r>
      <w:r w:rsidRPr="00A83C94">
        <w:rPr>
          <w:rFonts w:cs="Sylfaen"/>
          <w:szCs w:val="22"/>
          <w:lang w:val="hy-AM" w:eastAsia="en-US"/>
        </w:rPr>
        <w:t>համայնքներին</w:t>
      </w:r>
      <w:r w:rsidRPr="00A83C94">
        <w:rPr>
          <w:rFonts w:cs="Sylfaen"/>
          <w:b w:val="0"/>
          <w:szCs w:val="22"/>
          <w:lang w:val="af-ZA" w:eastAsia="en-US"/>
        </w:rPr>
        <w:t xml:space="preserve">, </w:t>
      </w:r>
      <w:r w:rsidRPr="00A83C94">
        <w:rPr>
          <w:rFonts w:cs="Sylfaen"/>
          <w:b w:val="0"/>
          <w:szCs w:val="22"/>
          <w:lang w:val="hy-AM" w:eastAsia="en-US"/>
        </w:rPr>
        <w:t>որը</w:t>
      </w:r>
      <w:r w:rsidRPr="00A83C94">
        <w:rPr>
          <w:rFonts w:cs="Sylfaen"/>
          <w:b w:val="0"/>
          <w:szCs w:val="22"/>
          <w:lang w:val="af-ZA" w:eastAsia="en-US"/>
        </w:rPr>
        <w:t xml:space="preserve"> </w:t>
      </w:r>
      <w:r w:rsidRPr="00A83C94">
        <w:rPr>
          <w:rFonts w:cs="Sylfaen"/>
          <w:b w:val="0"/>
          <w:szCs w:val="22"/>
          <w:lang w:val="hy-AM" w:eastAsia="en-US"/>
        </w:rPr>
        <w:t xml:space="preserve">կազմել է </w:t>
      </w:r>
      <w:r w:rsidRPr="00A83C94">
        <w:rPr>
          <w:rFonts w:cs="Sylfaen"/>
          <w:b w:val="0"/>
          <w:szCs w:val="22"/>
          <w:lang w:val="af-ZA" w:eastAsia="en-US"/>
        </w:rPr>
        <w:t>91.</w:t>
      </w:r>
      <w:r w:rsidRPr="00A83C94">
        <w:rPr>
          <w:rFonts w:cs="Sylfaen"/>
          <w:b w:val="0"/>
          <w:szCs w:val="22"/>
          <w:lang w:val="hy-AM" w:eastAsia="en-US"/>
        </w:rPr>
        <w:t>2 մլրդ դրամ (</w:t>
      </w:r>
      <w:r w:rsidRPr="00A83C94">
        <w:rPr>
          <w:rFonts w:cs="Sylfaen"/>
          <w:b w:val="0"/>
          <w:szCs w:val="22"/>
          <w:lang w:val="af-ZA" w:eastAsia="en-US"/>
        </w:rPr>
        <w:t xml:space="preserve">2021 </w:t>
      </w:r>
      <w:r w:rsidRPr="00A83C94">
        <w:rPr>
          <w:rFonts w:cs="Sylfaen"/>
          <w:b w:val="0"/>
          <w:szCs w:val="22"/>
          <w:lang w:val="hy-AM" w:eastAsia="en-US"/>
        </w:rPr>
        <w:t>թվականին</w:t>
      </w:r>
      <w:r w:rsidRPr="00A83C94">
        <w:rPr>
          <w:rFonts w:cs="Sylfaen"/>
          <w:b w:val="0"/>
          <w:szCs w:val="22"/>
          <w:lang w:val="af-ZA" w:eastAsia="en-US"/>
        </w:rPr>
        <w:t xml:space="preserve"> </w:t>
      </w:r>
      <w:r w:rsidRPr="00A83C94">
        <w:rPr>
          <w:rFonts w:cs="Sylfaen"/>
          <w:b w:val="0"/>
          <w:szCs w:val="22"/>
          <w:lang w:val="hy-AM" w:eastAsia="en-US"/>
        </w:rPr>
        <w:t>այն</w:t>
      </w:r>
      <w:r w:rsidRPr="00A83C94">
        <w:rPr>
          <w:rFonts w:cs="Sylfaen"/>
          <w:b w:val="0"/>
          <w:szCs w:val="22"/>
          <w:lang w:val="af-ZA" w:eastAsia="en-US"/>
        </w:rPr>
        <w:t xml:space="preserve"> </w:t>
      </w:r>
      <w:r w:rsidRPr="00A83C94">
        <w:rPr>
          <w:rFonts w:cs="Sylfaen"/>
          <w:b w:val="0"/>
          <w:szCs w:val="22"/>
          <w:lang w:val="hy-AM" w:eastAsia="en-US"/>
        </w:rPr>
        <w:t>կազմել</w:t>
      </w:r>
      <w:r w:rsidRPr="00A83C94">
        <w:rPr>
          <w:rFonts w:cs="Sylfaen"/>
          <w:b w:val="0"/>
          <w:szCs w:val="22"/>
          <w:lang w:val="af-ZA" w:eastAsia="en-US"/>
        </w:rPr>
        <w:t xml:space="preserve"> </w:t>
      </w:r>
      <w:r w:rsidRPr="00A83C94">
        <w:rPr>
          <w:rFonts w:cs="Sylfaen"/>
          <w:b w:val="0"/>
          <w:szCs w:val="22"/>
          <w:lang w:val="hy-AM" w:eastAsia="en-US"/>
        </w:rPr>
        <w:t>է՝</w:t>
      </w:r>
      <w:r w:rsidRPr="00A83C94">
        <w:rPr>
          <w:rFonts w:cs="Sylfaen"/>
          <w:b w:val="0"/>
          <w:szCs w:val="22"/>
          <w:lang w:val="af-ZA" w:eastAsia="en-US"/>
        </w:rPr>
        <w:t xml:space="preserve"> 82</w:t>
      </w:r>
      <w:r w:rsidRPr="00A83C94">
        <w:rPr>
          <w:rFonts w:cs="Sylfaen"/>
          <w:b w:val="0"/>
          <w:szCs w:val="22"/>
          <w:lang w:val="hy-AM" w:eastAsia="en-US"/>
        </w:rPr>
        <w:t>.</w:t>
      </w:r>
      <w:r w:rsidRPr="00A83C94">
        <w:rPr>
          <w:rFonts w:cs="Sylfaen"/>
          <w:b w:val="0"/>
          <w:szCs w:val="22"/>
          <w:lang w:val="af-ZA" w:eastAsia="en-US"/>
        </w:rPr>
        <w:t xml:space="preserve">5 </w:t>
      </w:r>
      <w:r w:rsidRPr="00A83C94">
        <w:rPr>
          <w:rFonts w:cs="Sylfaen"/>
          <w:b w:val="0"/>
          <w:szCs w:val="22"/>
          <w:lang w:val="hy-AM" w:eastAsia="en-US"/>
        </w:rPr>
        <w:t>մլրդ</w:t>
      </w:r>
      <w:r w:rsidRPr="00A83C94">
        <w:rPr>
          <w:rFonts w:cs="Sylfaen"/>
          <w:b w:val="0"/>
          <w:szCs w:val="22"/>
          <w:lang w:val="af-ZA" w:eastAsia="en-US"/>
        </w:rPr>
        <w:t xml:space="preserve"> </w:t>
      </w:r>
      <w:r w:rsidRPr="00A83C94">
        <w:rPr>
          <w:rFonts w:cs="Sylfaen"/>
          <w:b w:val="0"/>
          <w:szCs w:val="22"/>
          <w:lang w:val="hy-AM" w:eastAsia="en-US"/>
        </w:rPr>
        <w:t>դրամ)</w:t>
      </w:r>
      <w:r w:rsidRPr="00A83C94">
        <w:rPr>
          <w:rFonts w:cs="Sylfaen"/>
          <w:b w:val="0"/>
          <w:szCs w:val="22"/>
          <w:lang w:val="af-ZA" w:eastAsia="en-US"/>
        </w:rPr>
        <w:t xml:space="preserve"> </w:t>
      </w:r>
      <w:r w:rsidRPr="00A83C94">
        <w:rPr>
          <w:rFonts w:cs="Sylfaen"/>
          <w:b w:val="0"/>
          <w:szCs w:val="22"/>
          <w:lang w:val="hy-AM" w:eastAsia="en-US"/>
        </w:rPr>
        <w:t>կամ</w:t>
      </w:r>
      <w:r w:rsidRPr="00A83C94">
        <w:rPr>
          <w:rFonts w:cs="Sylfaen"/>
          <w:b w:val="0"/>
          <w:szCs w:val="22"/>
          <w:lang w:val="af-ZA" w:eastAsia="en-US"/>
        </w:rPr>
        <w:t xml:space="preserve"> </w:t>
      </w:r>
      <w:r w:rsidRPr="00A83C94">
        <w:rPr>
          <w:rFonts w:cs="Sylfaen"/>
          <w:b w:val="0"/>
          <w:szCs w:val="22"/>
          <w:lang w:val="hy-AM" w:eastAsia="en-US"/>
        </w:rPr>
        <w:t>ընդհանուր</w:t>
      </w:r>
      <w:r w:rsidRPr="00A83C94">
        <w:rPr>
          <w:rFonts w:cs="Sylfaen"/>
          <w:b w:val="0"/>
          <w:szCs w:val="22"/>
          <w:lang w:val="af-ZA" w:eastAsia="en-US"/>
        </w:rPr>
        <w:t xml:space="preserve"> </w:t>
      </w:r>
      <w:r w:rsidRPr="00A83C94">
        <w:rPr>
          <w:rFonts w:cs="Sylfaen"/>
          <w:b w:val="0"/>
          <w:szCs w:val="22"/>
          <w:lang w:val="hy-AM" w:eastAsia="en-US"/>
        </w:rPr>
        <w:t>բյուջետային</w:t>
      </w:r>
      <w:r w:rsidRPr="00A83C94">
        <w:rPr>
          <w:rFonts w:cs="Sylfaen"/>
          <w:b w:val="0"/>
          <w:szCs w:val="22"/>
          <w:lang w:val="af-ZA" w:eastAsia="en-US"/>
        </w:rPr>
        <w:t xml:space="preserve"> </w:t>
      </w:r>
      <w:r w:rsidRPr="00A83C94">
        <w:rPr>
          <w:rFonts w:cs="Sylfaen"/>
          <w:b w:val="0"/>
          <w:szCs w:val="22"/>
          <w:lang w:val="hy-AM" w:eastAsia="en-US"/>
        </w:rPr>
        <w:t>ծախսերի</w:t>
      </w:r>
      <w:r w:rsidRPr="00A83C94">
        <w:rPr>
          <w:rFonts w:cs="Sylfaen"/>
          <w:b w:val="0"/>
          <w:szCs w:val="22"/>
          <w:lang w:val="af-ZA" w:eastAsia="en-US"/>
        </w:rPr>
        <w:t xml:space="preserve"> 4</w:t>
      </w:r>
      <w:r w:rsidRPr="00A83C94">
        <w:rPr>
          <w:rFonts w:cs="Sylfaen"/>
          <w:b w:val="0"/>
          <w:szCs w:val="22"/>
          <w:lang w:val="hy-AM" w:eastAsia="en-US"/>
        </w:rPr>
        <w:t>.</w:t>
      </w:r>
      <w:r w:rsidRPr="00A83C94">
        <w:rPr>
          <w:rFonts w:cs="Sylfaen"/>
          <w:b w:val="0"/>
          <w:szCs w:val="22"/>
          <w:lang w:val="af-ZA" w:eastAsia="en-US"/>
        </w:rPr>
        <w:t xml:space="preserve">1 </w:t>
      </w:r>
      <w:r w:rsidRPr="00A83C94">
        <w:rPr>
          <w:b w:val="0"/>
          <w:szCs w:val="22"/>
          <w:lang w:val="af-ZA" w:eastAsia="en-US"/>
        </w:rPr>
        <w:t>%</w:t>
      </w:r>
      <w:r w:rsidRPr="00A83C94">
        <w:rPr>
          <w:b w:val="0"/>
          <w:szCs w:val="22"/>
          <w:lang w:val="hy-AM" w:eastAsia="en-US"/>
        </w:rPr>
        <w:t xml:space="preserve"> </w:t>
      </w:r>
      <w:r w:rsidRPr="00A83C94">
        <w:rPr>
          <w:rFonts w:cs="Sylfaen"/>
          <w:b w:val="0"/>
          <w:szCs w:val="22"/>
          <w:lang w:val="hy-AM" w:eastAsia="en-US"/>
        </w:rPr>
        <w:t>և</w:t>
      </w:r>
      <w:r w:rsidRPr="00A83C94">
        <w:rPr>
          <w:rFonts w:cs="Sylfaen"/>
          <w:b w:val="0"/>
          <w:szCs w:val="22"/>
          <w:lang w:val="af-ZA" w:eastAsia="en-US"/>
        </w:rPr>
        <w:t xml:space="preserve"> </w:t>
      </w:r>
      <w:r w:rsidRPr="00A83C94">
        <w:rPr>
          <w:rFonts w:cs="Sylfaen"/>
          <w:b w:val="0"/>
          <w:szCs w:val="22"/>
          <w:lang w:val="hy-AM" w:eastAsia="en-US"/>
        </w:rPr>
        <w:t>ՀՆԱ</w:t>
      </w:r>
      <w:r w:rsidRPr="00A83C94">
        <w:rPr>
          <w:rFonts w:cs="Sylfaen"/>
          <w:b w:val="0"/>
          <w:szCs w:val="22"/>
          <w:lang w:val="af-ZA" w:eastAsia="en-US"/>
        </w:rPr>
        <w:t>-</w:t>
      </w:r>
      <w:r w:rsidRPr="00A83C94">
        <w:rPr>
          <w:rFonts w:cs="Sylfaen"/>
          <w:b w:val="0"/>
          <w:szCs w:val="22"/>
          <w:lang w:val="hy-AM" w:eastAsia="en-US"/>
        </w:rPr>
        <w:t>ի</w:t>
      </w:r>
      <w:r w:rsidRPr="00A83C94">
        <w:rPr>
          <w:rFonts w:cs="Sylfaen"/>
          <w:b w:val="0"/>
          <w:szCs w:val="22"/>
          <w:lang w:val="af-ZA" w:eastAsia="en-US"/>
        </w:rPr>
        <w:t xml:space="preserve"> 1.2</w:t>
      </w:r>
      <w:r w:rsidRPr="00A83C94">
        <w:rPr>
          <w:b w:val="0"/>
          <w:szCs w:val="22"/>
          <w:lang w:val="af-ZA" w:eastAsia="en-US"/>
        </w:rPr>
        <w:t xml:space="preserve"> %</w:t>
      </w:r>
      <w:r w:rsidRPr="00A83C94">
        <w:rPr>
          <w:rFonts w:cs="Sylfaen"/>
          <w:b w:val="0"/>
          <w:szCs w:val="22"/>
          <w:lang w:val="af-ZA" w:eastAsia="en-US"/>
        </w:rPr>
        <w:t xml:space="preserve">: </w:t>
      </w:r>
    </w:p>
    <w:p w14:paraId="1DD513DD" w14:textId="77777777" w:rsidR="00903212" w:rsidRPr="00A83C94" w:rsidRDefault="00903212" w:rsidP="00903212">
      <w:pPr>
        <w:spacing w:before="0" w:line="276" w:lineRule="auto"/>
        <w:ind w:firstLine="475"/>
        <w:contextualSpacing w:val="0"/>
        <w:rPr>
          <w:rFonts w:cs="Sylfaen"/>
          <w:b w:val="0"/>
          <w:szCs w:val="22"/>
          <w:lang w:val="hy-AM" w:eastAsia="en-US"/>
        </w:rPr>
      </w:pPr>
    </w:p>
    <w:p w14:paraId="2004E21C" w14:textId="77777777" w:rsidR="00E0510E" w:rsidRPr="008B1D49" w:rsidRDefault="00E0510E" w:rsidP="003F382C">
      <w:pPr>
        <w:pStyle w:val="Caption"/>
        <w:rPr>
          <w:lang w:val="af-ZA"/>
        </w:rPr>
      </w:pPr>
      <w:bookmarkStart w:id="243" w:name="_Toc83752676"/>
      <w:bookmarkStart w:id="244" w:name="_Toc83928948"/>
    </w:p>
    <w:p w14:paraId="54B00580" w14:textId="77777777" w:rsidR="00E0510E" w:rsidRPr="008B1D49" w:rsidRDefault="00E0510E" w:rsidP="003F382C">
      <w:pPr>
        <w:pStyle w:val="Caption"/>
        <w:rPr>
          <w:lang w:val="af-ZA"/>
        </w:rPr>
      </w:pPr>
    </w:p>
    <w:p w14:paraId="238895AB" w14:textId="77777777" w:rsidR="00E0510E" w:rsidRPr="008B1D49" w:rsidRDefault="00E0510E" w:rsidP="003F382C">
      <w:pPr>
        <w:pStyle w:val="Caption"/>
        <w:rPr>
          <w:lang w:val="af-ZA"/>
        </w:rPr>
      </w:pPr>
    </w:p>
    <w:p w14:paraId="1CDF15B3" w14:textId="77777777" w:rsidR="00E0510E" w:rsidRPr="008B1D49" w:rsidRDefault="00E0510E" w:rsidP="003F382C">
      <w:pPr>
        <w:pStyle w:val="Caption"/>
        <w:rPr>
          <w:lang w:val="af-ZA"/>
        </w:rPr>
      </w:pPr>
    </w:p>
    <w:p w14:paraId="181C1FEA" w14:textId="77777777" w:rsidR="00E0510E" w:rsidRPr="008B1D49" w:rsidRDefault="00E0510E" w:rsidP="003F382C">
      <w:pPr>
        <w:pStyle w:val="Caption"/>
        <w:rPr>
          <w:lang w:val="af-ZA"/>
        </w:rPr>
      </w:pPr>
    </w:p>
    <w:p w14:paraId="445257A7" w14:textId="0C708C7F" w:rsidR="00903212" w:rsidRPr="00FC690A" w:rsidRDefault="003F382C" w:rsidP="003F382C">
      <w:pPr>
        <w:pStyle w:val="Caption"/>
        <w:rPr>
          <w:lang w:val="af-ZA"/>
        </w:rPr>
      </w:pPr>
      <w:r>
        <w:t>Աղյուսակ</w:t>
      </w:r>
      <w:r w:rsidRPr="008B1D49">
        <w:rPr>
          <w:lang w:val="af-ZA"/>
        </w:rPr>
        <w:t xml:space="preserve"> </w:t>
      </w:r>
      <w:r>
        <w:fldChar w:fldCharType="begin"/>
      </w:r>
      <w:r w:rsidRPr="008B1D49">
        <w:rPr>
          <w:lang w:val="af-ZA"/>
        </w:rPr>
        <w:instrText xml:space="preserve"> SEQ </w:instrText>
      </w:r>
      <w:r>
        <w:instrText>Աղյուսակ</w:instrText>
      </w:r>
      <w:r w:rsidRPr="008B1D49">
        <w:rPr>
          <w:lang w:val="af-ZA"/>
        </w:rPr>
        <w:instrText xml:space="preserve"> \* ARABIC </w:instrText>
      </w:r>
      <w:r>
        <w:fldChar w:fldCharType="separate"/>
      </w:r>
      <w:r w:rsidR="0077355D">
        <w:rPr>
          <w:noProof/>
          <w:lang w:val="af-ZA"/>
        </w:rPr>
        <w:t>11</w:t>
      </w:r>
      <w:r>
        <w:fldChar w:fldCharType="end"/>
      </w:r>
      <w:r w:rsidR="00903212" w:rsidRPr="008150A1">
        <w:rPr>
          <w:rFonts w:ascii="Cambria Math" w:hAnsi="Cambria Math" w:cs="Cambria Math"/>
          <w:lang w:val="hy-AM"/>
        </w:rPr>
        <w:t>․</w:t>
      </w:r>
      <w:r w:rsidR="00903212" w:rsidRPr="00FC690A">
        <w:rPr>
          <w:lang w:val="af-ZA"/>
        </w:rPr>
        <w:t xml:space="preserve"> </w:t>
      </w:r>
      <w:r w:rsidR="00903212" w:rsidRPr="0089541F">
        <w:rPr>
          <w:b/>
          <w:i/>
          <w:sz w:val="20"/>
          <w:szCs w:val="20"/>
        </w:rPr>
        <w:t>ՀՀ</w:t>
      </w:r>
      <w:r w:rsidR="00903212" w:rsidRPr="0089541F">
        <w:rPr>
          <w:b/>
          <w:i/>
          <w:sz w:val="20"/>
          <w:szCs w:val="20"/>
          <w:lang w:val="af-ZA"/>
        </w:rPr>
        <w:t xml:space="preserve"> </w:t>
      </w:r>
      <w:r w:rsidR="00903212" w:rsidRPr="0089541F">
        <w:rPr>
          <w:b/>
          <w:i/>
          <w:sz w:val="20"/>
          <w:szCs w:val="20"/>
        </w:rPr>
        <w:t>պետական</w:t>
      </w:r>
      <w:r w:rsidR="00903212" w:rsidRPr="0089541F">
        <w:rPr>
          <w:b/>
          <w:i/>
          <w:sz w:val="20"/>
          <w:szCs w:val="20"/>
          <w:lang w:val="af-ZA"/>
        </w:rPr>
        <w:t xml:space="preserve"> </w:t>
      </w:r>
      <w:r w:rsidR="00903212" w:rsidRPr="0089541F">
        <w:rPr>
          <w:b/>
          <w:i/>
          <w:sz w:val="20"/>
          <w:szCs w:val="20"/>
        </w:rPr>
        <w:t>բյուջեից</w:t>
      </w:r>
      <w:r w:rsidR="00903212" w:rsidRPr="0089541F">
        <w:rPr>
          <w:b/>
          <w:i/>
          <w:sz w:val="20"/>
          <w:szCs w:val="20"/>
          <w:lang w:val="af-ZA"/>
        </w:rPr>
        <w:t xml:space="preserve"> </w:t>
      </w:r>
      <w:r w:rsidR="00903212" w:rsidRPr="0089541F">
        <w:rPr>
          <w:b/>
          <w:i/>
          <w:sz w:val="20"/>
          <w:szCs w:val="20"/>
        </w:rPr>
        <w:t>համայնքներին</w:t>
      </w:r>
      <w:r w:rsidR="00903212" w:rsidRPr="0089541F">
        <w:rPr>
          <w:b/>
          <w:i/>
          <w:sz w:val="20"/>
          <w:szCs w:val="20"/>
          <w:lang w:val="af-ZA"/>
        </w:rPr>
        <w:t xml:space="preserve"> </w:t>
      </w:r>
      <w:r w:rsidR="00903212" w:rsidRPr="0089541F">
        <w:rPr>
          <w:b/>
          <w:i/>
          <w:sz w:val="20"/>
          <w:szCs w:val="20"/>
        </w:rPr>
        <w:t>տրվող</w:t>
      </w:r>
      <w:r w:rsidR="00903212" w:rsidRPr="0089541F">
        <w:rPr>
          <w:b/>
          <w:i/>
          <w:sz w:val="20"/>
          <w:szCs w:val="20"/>
          <w:lang w:val="af-ZA"/>
        </w:rPr>
        <w:t xml:space="preserve"> </w:t>
      </w:r>
      <w:r w:rsidR="00903212" w:rsidRPr="0089541F">
        <w:rPr>
          <w:b/>
          <w:i/>
          <w:sz w:val="20"/>
          <w:szCs w:val="20"/>
        </w:rPr>
        <w:t>հատկացումների</w:t>
      </w:r>
      <w:r w:rsidR="00903212" w:rsidRPr="0089541F">
        <w:rPr>
          <w:b/>
          <w:i/>
          <w:sz w:val="20"/>
          <w:szCs w:val="20"/>
          <w:lang w:val="af-ZA"/>
        </w:rPr>
        <w:t xml:space="preserve"> </w:t>
      </w:r>
      <w:r w:rsidR="00903212" w:rsidRPr="0089541F">
        <w:rPr>
          <w:b/>
          <w:i/>
          <w:sz w:val="20"/>
          <w:szCs w:val="20"/>
        </w:rPr>
        <w:t>վերաբերյալ</w:t>
      </w:r>
      <w:bookmarkEnd w:id="243"/>
      <w:bookmarkEnd w:id="244"/>
    </w:p>
    <w:p w14:paraId="25F96E79" w14:textId="77777777" w:rsidR="00903212" w:rsidRPr="00A83C94" w:rsidRDefault="00903212" w:rsidP="00903212">
      <w:pPr>
        <w:spacing w:before="0"/>
        <w:jc w:val="right"/>
        <w:rPr>
          <w:lang w:val="hy-AM" w:eastAsia="en-US"/>
        </w:rPr>
      </w:pPr>
      <w:r w:rsidRPr="00A83C94">
        <w:rPr>
          <w:i/>
          <w:iCs/>
          <w:sz w:val="18"/>
          <w:szCs w:val="18"/>
        </w:rPr>
        <w:t>հ</w:t>
      </w:r>
      <w:r w:rsidRPr="00A83C94">
        <w:rPr>
          <w:i/>
          <w:iCs/>
          <w:sz w:val="18"/>
          <w:szCs w:val="18"/>
          <w:lang w:val="hy-AM"/>
        </w:rPr>
        <w:t>ազ</w:t>
      </w:r>
      <w:r w:rsidRPr="00A83C94">
        <w:rPr>
          <w:rFonts w:ascii="MS Mincho" w:eastAsia="MS Mincho" w:hAnsi="MS Mincho" w:cs="MS Mincho"/>
          <w:i/>
          <w:iCs/>
          <w:sz w:val="18"/>
          <w:szCs w:val="18"/>
          <w:lang w:val="hy-AM"/>
        </w:rPr>
        <w:t>.</w:t>
      </w:r>
      <w:r w:rsidRPr="00A83C94">
        <w:rPr>
          <w:i/>
          <w:iCs/>
          <w:sz w:val="18"/>
          <w:szCs w:val="18"/>
          <w:lang w:val="hy-AM"/>
        </w:rPr>
        <w:t xml:space="preserve"> </w:t>
      </w:r>
      <w:r w:rsidRPr="00A83C94">
        <w:rPr>
          <w:rFonts w:cs="GHEA Grapalat"/>
          <w:i/>
          <w:iCs/>
          <w:sz w:val="18"/>
          <w:szCs w:val="18"/>
          <w:lang w:val="hy-AM"/>
        </w:rPr>
        <w:t>դրա</w:t>
      </w:r>
      <w:r w:rsidRPr="00A83C94">
        <w:rPr>
          <w:i/>
          <w:iCs/>
          <w:sz w:val="18"/>
          <w:szCs w:val="18"/>
          <w:lang w:val="hy-AM"/>
        </w:rPr>
        <w:t>մ</w:t>
      </w:r>
    </w:p>
    <w:tbl>
      <w:tblPr>
        <w:tblW w:w="9998" w:type="dxa"/>
        <w:tblLook w:val="04A0" w:firstRow="1" w:lastRow="0" w:firstColumn="1" w:lastColumn="0" w:noHBand="0" w:noVBand="1"/>
      </w:tblPr>
      <w:tblGrid>
        <w:gridCol w:w="2960"/>
        <w:gridCol w:w="1363"/>
        <w:gridCol w:w="1423"/>
        <w:gridCol w:w="1377"/>
        <w:gridCol w:w="1421"/>
        <w:gridCol w:w="1454"/>
      </w:tblGrid>
      <w:tr w:rsidR="00903212" w:rsidRPr="00A83C94" w14:paraId="379B3344" w14:textId="77777777" w:rsidTr="00733935">
        <w:trPr>
          <w:trHeight w:val="960"/>
        </w:trPr>
        <w:tc>
          <w:tcPr>
            <w:tcW w:w="2960" w:type="dxa"/>
            <w:tcBorders>
              <w:top w:val="single" w:sz="8" w:space="0" w:color="auto"/>
              <w:left w:val="single" w:sz="8" w:space="0" w:color="auto"/>
              <w:bottom w:val="single" w:sz="8" w:space="0" w:color="auto"/>
              <w:right w:val="single" w:sz="4" w:space="0" w:color="auto"/>
            </w:tcBorders>
            <w:shd w:val="clear" w:color="auto" w:fill="4F81BD" w:themeFill="accent1"/>
            <w:noWrap/>
            <w:hideMark/>
          </w:tcPr>
          <w:p w14:paraId="6D0FD266" w14:textId="77777777" w:rsidR="00903212" w:rsidRPr="00A83C94" w:rsidRDefault="00903212" w:rsidP="00733935">
            <w:pPr>
              <w:spacing w:before="0" w:line="276" w:lineRule="auto"/>
              <w:ind w:firstLine="0"/>
              <w:jc w:val="center"/>
              <w:rPr>
                <w:rFonts w:ascii="Calibri" w:hAnsi="Calibri" w:cs="Calibri"/>
                <w:bCs/>
                <w:color w:val="000000"/>
                <w:sz w:val="18"/>
                <w:szCs w:val="18"/>
                <w:lang w:val="hy-AM"/>
              </w:rPr>
            </w:pPr>
            <w:r w:rsidRPr="00A83C94">
              <w:rPr>
                <w:rFonts w:ascii="Calibri" w:hAnsi="Calibri" w:cs="Calibri"/>
                <w:bCs/>
                <w:color w:val="000000"/>
                <w:sz w:val="18"/>
                <w:szCs w:val="18"/>
                <w:lang w:val="hy-AM"/>
              </w:rPr>
              <w:t> </w:t>
            </w:r>
          </w:p>
          <w:p w14:paraId="130786F9" w14:textId="77777777" w:rsidR="00903212" w:rsidRPr="00A83C94" w:rsidRDefault="00903212" w:rsidP="00733935">
            <w:pPr>
              <w:spacing w:before="0" w:line="276" w:lineRule="auto"/>
              <w:ind w:firstLine="0"/>
              <w:jc w:val="center"/>
              <w:rPr>
                <w:b w:val="0"/>
                <w:bCs/>
                <w:color w:val="000000"/>
                <w:sz w:val="18"/>
                <w:szCs w:val="18"/>
                <w:lang w:val="hy-AM"/>
              </w:rPr>
            </w:pPr>
            <w:r w:rsidRPr="00A83C94">
              <w:rPr>
                <w:rFonts w:cs="Sylfaen"/>
                <w:color w:val="FFFFFF" w:themeColor="background1"/>
                <w:sz w:val="20"/>
                <w:lang w:val="hy-AM"/>
              </w:rPr>
              <w:t>Ցուցանիշներ</w:t>
            </w:r>
          </w:p>
        </w:tc>
        <w:tc>
          <w:tcPr>
            <w:tcW w:w="1363" w:type="dxa"/>
            <w:tcBorders>
              <w:top w:val="single" w:sz="8" w:space="0" w:color="auto"/>
              <w:left w:val="nil"/>
              <w:bottom w:val="single" w:sz="8" w:space="0" w:color="auto"/>
              <w:right w:val="single" w:sz="4" w:space="0" w:color="auto"/>
            </w:tcBorders>
            <w:shd w:val="clear" w:color="auto" w:fill="4F81BD" w:themeFill="accent1"/>
            <w:vAlign w:val="center"/>
          </w:tcPr>
          <w:p w14:paraId="22D1B1EF" w14:textId="77777777" w:rsidR="00903212" w:rsidRPr="00A83C94" w:rsidRDefault="00903212" w:rsidP="00733935">
            <w:pPr>
              <w:spacing w:before="0" w:line="276" w:lineRule="auto"/>
              <w:ind w:firstLine="0"/>
              <w:jc w:val="center"/>
              <w:rPr>
                <w:b w:val="0"/>
                <w:bCs/>
                <w:color w:val="FFFFFF" w:themeColor="background1"/>
                <w:sz w:val="18"/>
                <w:szCs w:val="18"/>
                <w:lang w:val="hy-AM"/>
              </w:rPr>
            </w:pPr>
            <w:r w:rsidRPr="00A83C94">
              <w:rPr>
                <w:bCs/>
                <w:color w:val="FFFFFF" w:themeColor="background1"/>
                <w:sz w:val="18"/>
                <w:szCs w:val="18"/>
                <w:lang w:val="hy-AM"/>
              </w:rPr>
              <w:t>2018 թվական փաստայի</w:t>
            </w:r>
          </w:p>
        </w:tc>
        <w:tc>
          <w:tcPr>
            <w:tcW w:w="1423" w:type="dxa"/>
            <w:tcBorders>
              <w:top w:val="single" w:sz="8" w:space="0" w:color="auto"/>
              <w:left w:val="nil"/>
              <w:bottom w:val="single" w:sz="8" w:space="0" w:color="auto"/>
              <w:right w:val="single" w:sz="4" w:space="0" w:color="auto"/>
            </w:tcBorders>
            <w:shd w:val="clear" w:color="auto" w:fill="4F81BD" w:themeFill="accent1"/>
            <w:vAlign w:val="center"/>
          </w:tcPr>
          <w:p w14:paraId="61A3EF7F" w14:textId="77777777" w:rsidR="00903212" w:rsidRPr="00A83C94" w:rsidRDefault="00903212" w:rsidP="00733935">
            <w:pPr>
              <w:spacing w:before="0" w:line="276" w:lineRule="auto"/>
              <w:ind w:firstLine="0"/>
              <w:jc w:val="center"/>
              <w:rPr>
                <w:b w:val="0"/>
                <w:bCs/>
                <w:color w:val="FFFFFF" w:themeColor="background1"/>
                <w:sz w:val="18"/>
                <w:szCs w:val="18"/>
                <w:lang w:val="hy-AM"/>
              </w:rPr>
            </w:pPr>
            <w:r w:rsidRPr="00A83C94">
              <w:rPr>
                <w:bCs/>
                <w:color w:val="FFFFFF" w:themeColor="background1"/>
                <w:sz w:val="18"/>
                <w:szCs w:val="18"/>
                <w:lang w:val="hy-AM"/>
              </w:rPr>
              <w:t>2019 թվական փաստայի</w:t>
            </w:r>
          </w:p>
        </w:tc>
        <w:tc>
          <w:tcPr>
            <w:tcW w:w="1377" w:type="dxa"/>
            <w:tcBorders>
              <w:top w:val="single" w:sz="8" w:space="0" w:color="auto"/>
              <w:left w:val="nil"/>
              <w:bottom w:val="single" w:sz="8" w:space="0" w:color="auto"/>
              <w:right w:val="single" w:sz="4" w:space="0" w:color="auto"/>
            </w:tcBorders>
            <w:shd w:val="clear" w:color="auto" w:fill="4F81BD" w:themeFill="accent1"/>
            <w:vAlign w:val="center"/>
          </w:tcPr>
          <w:p w14:paraId="6927B486" w14:textId="77777777" w:rsidR="00903212" w:rsidRPr="00A83C94" w:rsidRDefault="00903212" w:rsidP="00733935">
            <w:pPr>
              <w:spacing w:before="0" w:line="276" w:lineRule="auto"/>
              <w:ind w:firstLine="0"/>
              <w:jc w:val="center"/>
              <w:rPr>
                <w:b w:val="0"/>
                <w:bCs/>
                <w:color w:val="FFFFFF" w:themeColor="background1"/>
                <w:sz w:val="18"/>
                <w:szCs w:val="18"/>
                <w:lang w:val="en-US"/>
              </w:rPr>
            </w:pPr>
            <w:r w:rsidRPr="00A83C94">
              <w:rPr>
                <w:bCs/>
                <w:color w:val="FFFFFF" w:themeColor="background1"/>
                <w:sz w:val="18"/>
                <w:szCs w:val="18"/>
                <w:lang w:val="hy-AM"/>
              </w:rPr>
              <w:t xml:space="preserve">2020 թվական </w:t>
            </w:r>
            <w:r w:rsidRPr="00A83C94">
              <w:rPr>
                <w:bCs/>
                <w:color w:val="FFFFFF" w:themeColor="background1"/>
                <w:sz w:val="18"/>
                <w:szCs w:val="18"/>
                <w:lang w:val="en-US"/>
              </w:rPr>
              <w:t>փաստացի</w:t>
            </w:r>
          </w:p>
        </w:tc>
        <w:tc>
          <w:tcPr>
            <w:tcW w:w="1421" w:type="dxa"/>
            <w:tcBorders>
              <w:top w:val="single" w:sz="8" w:space="0" w:color="auto"/>
              <w:left w:val="nil"/>
              <w:bottom w:val="single" w:sz="8" w:space="0" w:color="auto"/>
              <w:right w:val="single" w:sz="4" w:space="0" w:color="auto"/>
            </w:tcBorders>
            <w:shd w:val="clear" w:color="auto" w:fill="4F81BD" w:themeFill="accent1"/>
            <w:vAlign w:val="center"/>
          </w:tcPr>
          <w:p w14:paraId="33456D45" w14:textId="77777777" w:rsidR="00903212" w:rsidRPr="00A83C94" w:rsidRDefault="00903212" w:rsidP="00733935">
            <w:pPr>
              <w:spacing w:before="0" w:line="276" w:lineRule="auto"/>
              <w:ind w:firstLine="0"/>
              <w:jc w:val="center"/>
              <w:rPr>
                <w:b w:val="0"/>
                <w:bCs/>
                <w:color w:val="FFFFFF" w:themeColor="background1"/>
                <w:sz w:val="18"/>
                <w:szCs w:val="18"/>
                <w:lang w:val="en-US"/>
              </w:rPr>
            </w:pPr>
            <w:r w:rsidRPr="00A83C94">
              <w:rPr>
                <w:bCs/>
                <w:color w:val="FFFFFF" w:themeColor="background1"/>
                <w:sz w:val="18"/>
                <w:szCs w:val="18"/>
                <w:lang w:val="hy-AM"/>
              </w:rPr>
              <w:t xml:space="preserve">2021 թվական </w:t>
            </w:r>
            <w:r w:rsidRPr="00A83C94">
              <w:rPr>
                <w:bCs/>
                <w:color w:val="FFFFFF" w:themeColor="background1"/>
                <w:sz w:val="18"/>
                <w:szCs w:val="18"/>
                <w:lang w:val="en-US"/>
              </w:rPr>
              <w:t>հաստատված</w:t>
            </w:r>
          </w:p>
        </w:tc>
        <w:tc>
          <w:tcPr>
            <w:tcW w:w="1454" w:type="dxa"/>
            <w:tcBorders>
              <w:top w:val="single" w:sz="8" w:space="0" w:color="auto"/>
              <w:left w:val="nil"/>
              <w:bottom w:val="single" w:sz="8" w:space="0" w:color="auto"/>
              <w:right w:val="single" w:sz="8" w:space="0" w:color="auto"/>
            </w:tcBorders>
            <w:shd w:val="clear" w:color="auto" w:fill="4F81BD" w:themeFill="accent1"/>
            <w:vAlign w:val="center"/>
          </w:tcPr>
          <w:p w14:paraId="097DBBD3" w14:textId="77777777" w:rsidR="00903212" w:rsidRPr="00A83C94" w:rsidRDefault="00903212" w:rsidP="00733935">
            <w:pPr>
              <w:spacing w:before="0" w:line="276" w:lineRule="auto"/>
              <w:ind w:firstLine="0"/>
              <w:jc w:val="center"/>
              <w:rPr>
                <w:b w:val="0"/>
                <w:bCs/>
                <w:color w:val="FFFFFF" w:themeColor="background1"/>
                <w:sz w:val="18"/>
                <w:szCs w:val="18"/>
                <w:lang w:val="hy-AM"/>
              </w:rPr>
            </w:pPr>
            <w:r w:rsidRPr="00A83C94">
              <w:rPr>
                <w:bCs/>
                <w:color w:val="FFFFFF" w:themeColor="background1"/>
                <w:sz w:val="18"/>
                <w:szCs w:val="18"/>
                <w:lang w:val="hy-AM"/>
              </w:rPr>
              <w:t>202</w:t>
            </w:r>
            <w:r w:rsidRPr="00A83C94">
              <w:rPr>
                <w:bCs/>
                <w:color w:val="FFFFFF" w:themeColor="background1"/>
                <w:sz w:val="18"/>
                <w:szCs w:val="18"/>
                <w:lang w:val="en-US"/>
              </w:rPr>
              <w:t>2</w:t>
            </w:r>
            <w:r w:rsidRPr="00A83C94">
              <w:rPr>
                <w:bCs/>
                <w:color w:val="FFFFFF" w:themeColor="background1"/>
                <w:sz w:val="18"/>
                <w:szCs w:val="18"/>
                <w:lang w:val="hy-AM"/>
              </w:rPr>
              <w:t xml:space="preserve"> թվական նախագիծ</w:t>
            </w:r>
          </w:p>
        </w:tc>
      </w:tr>
      <w:tr w:rsidR="00903212" w:rsidRPr="00A83C94" w14:paraId="6DF49D35" w14:textId="77777777" w:rsidTr="00733935">
        <w:trPr>
          <w:trHeight w:val="420"/>
        </w:trPr>
        <w:tc>
          <w:tcPr>
            <w:tcW w:w="2960"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14:paraId="580A9896" w14:textId="77777777" w:rsidR="00903212" w:rsidRPr="00A83C94" w:rsidRDefault="00903212" w:rsidP="00733935">
            <w:pPr>
              <w:spacing w:before="0" w:line="276" w:lineRule="auto"/>
              <w:ind w:firstLine="0"/>
              <w:jc w:val="left"/>
              <w:rPr>
                <w:b w:val="0"/>
                <w:bCs/>
                <w:color w:val="000000"/>
                <w:sz w:val="20"/>
                <w:szCs w:val="20"/>
                <w:lang w:val="hy-AM"/>
              </w:rPr>
            </w:pPr>
            <w:r w:rsidRPr="00A83C94">
              <w:rPr>
                <w:bCs/>
                <w:color w:val="000000"/>
                <w:sz w:val="20"/>
                <w:szCs w:val="20"/>
                <w:lang w:val="hy-AM"/>
              </w:rPr>
              <w:t>ԸՆԴԱՄԵՆԸ</w:t>
            </w:r>
          </w:p>
        </w:tc>
        <w:tc>
          <w:tcPr>
            <w:tcW w:w="1363" w:type="dxa"/>
            <w:tcBorders>
              <w:top w:val="nil"/>
              <w:left w:val="nil"/>
              <w:bottom w:val="single" w:sz="4" w:space="0" w:color="auto"/>
              <w:right w:val="single" w:sz="4" w:space="0" w:color="auto"/>
            </w:tcBorders>
            <w:shd w:val="clear" w:color="auto" w:fill="DBE5F1" w:themeFill="accent1" w:themeFillTint="33"/>
            <w:vAlign w:val="center"/>
          </w:tcPr>
          <w:p w14:paraId="298C8703"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 xml:space="preserve">60,167,365.9 </w:t>
            </w:r>
          </w:p>
        </w:tc>
        <w:tc>
          <w:tcPr>
            <w:tcW w:w="1423" w:type="dxa"/>
            <w:tcBorders>
              <w:top w:val="nil"/>
              <w:left w:val="nil"/>
              <w:bottom w:val="single" w:sz="4" w:space="0" w:color="auto"/>
              <w:right w:val="single" w:sz="4" w:space="0" w:color="auto"/>
            </w:tcBorders>
            <w:shd w:val="clear" w:color="auto" w:fill="DBE5F1" w:themeFill="accent1" w:themeFillTint="33"/>
            <w:vAlign w:val="center"/>
          </w:tcPr>
          <w:p w14:paraId="0F2453BC"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 xml:space="preserve">67,606,297.1 </w:t>
            </w:r>
          </w:p>
        </w:tc>
        <w:tc>
          <w:tcPr>
            <w:tcW w:w="1377" w:type="dxa"/>
            <w:tcBorders>
              <w:top w:val="nil"/>
              <w:left w:val="nil"/>
              <w:bottom w:val="single" w:sz="4" w:space="0" w:color="auto"/>
              <w:right w:val="single" w:sz="4" w:space="0" w:color="auto"/>
            </w:tcBorders>
            <w:shd w:val="clear" w:color="auto" w:fill="DBE5F1" w:themeFill="accent1" w:themeFillTint="33"/>
            <w:vAlign w:val="center"/>
          </w:tcPr>
          <w:p w14:paraId="7FAD1E5F"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82,364,940.</w:t>
            </w:r>
            <w:r w:rsidRPr="00A83C94">
              <w:rPr>
                <w:bCs/>
                <w:color w:val="000000"/>
                <w:sz w:val="18"/>
                <w:szCs w:val="18"/>
                <w:lang w:val="en-US"/>
              </w:rPr>
              <w:t>5</w:t>
            </w:r>
            <w:r w:rsidRPr="00A83C94">
              <w:rPr>
                <w:bCs/>
                <w:color w:val="000000"/>
                <w:sz w:val="18"/>
                <w:szCs w:val="18"/>
              </w:rPr>
              <w:t xml:space="preserve"> </w:t>
            </w:r>
          </w:p>
        </w:tc>
        <w:tc>
          <w:tcPr>
            <w:tcW w:w="1421" w:type="dxa"/>
            <w:tcBorders>
              <w:top w:val="nil"/>
              <w:left w:val="nil"/>
              <w:bottom w:val="single" w:sz="4" w:space="0" w:color="auto"/>
              <w:right w:val="single" w:sz="4" w:space="0" w:color="auto"/>
            </w:tcBorders>
            <w:shd w:val="clear" w:color="auto" w:fill="DBE5F1" w:themeFill="accent1" w:themeFillTint="33"/>
            <w:vAlign w:val="center"/>
          </w:tcPr>
          <w:p w14:paraId="2F7322DD"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82,519,</w:t>
            </w:r>
            <w:r w:rsidRPr="00A83C94">
              <w:rPr>
                <w:bCs/>
                <w:color w:val="000000"/>
                <w:sz w:val="18"/>
                <w:szCs w:val="18"/>
                <w:lang w:val="en-US"/>
              </w:rPr>
              <w:t>712</w:t>
            </w:r>
            <w:r w:rsidRPr="00A83C94">
              <w:rPr>
                <w:bCs/>
                <w:color w:val="000000"/>
                <w:sz w:val="18"/>
                <w:szCs w:val="18"/>
              </w:rPr>
              <w:t>.</w:t>
            </w:r>
            <w:r w:rsidRPr="00A83C94">
              <w:rPr>
                <w:bCs/>
                <w:color w:val="000000"/>
                <w:sz w:val="18"/>
                <w:szCs w:val="18"/>
                <w:lang w:val="en-US"/>
              </w:rPr>
              <w:t>5</w:t>
            </w:r>
            <w:r w:rsidRPr="00A83C94">
              <w:rPr>
                <w:bCs/>
                <w:color w:val="000000"/>
                <w:sz w:val="18"/>
                <w:szCs w:val="18"/>
              </w:rPr>
              <w:t xml:space="preserve"> </w:t>
            </w:r>
          </w:p>
        </w:tc>
        <w:tc>
          <w:tcPr>
            <w:tcW w:w="1454" w:type="dxa"/>
            <w:tcBorders>
              <w:top w:val="nil"/>
              <w:left w:val="nil"/>
              <w:bottom w:val="single" w:sz="4" w:space="0" w:color="auto"/>
              <w:right w:val="single" w:sz="4" w:space="0" w:color="auto"/>
            </w:tcBorders>
            <w:shd w:val="clear" w:color="auto" w:fill="DBE5F1" w:themeFill="accent1" w:themeFillTint="33"/>
            <w:vAlign w:val="center"/>
          </w:tcPr>
          <w:p w14:paraId="6F0D57F7" w14:textId="77777777" w:rsidR="00903212" w:rsidRPr="00A83C94" w:rsidRDefault="00903212" w:rsidP="00733935">
            <w:pPr>
              <w:spacing w:before="0" w:line="276" w:lineRule="auto"/>
              <w:ind w:firstLine="0"/>
              <w:jc w:val="center"/>
              <w:rPr>
                <w:bCs/>
                <w:color w:val="000000"/>
                <w:sz w:val="18"/>
                <w:szCs w:val="18"/>
                <w:lang w:val="en-US"/>
              </w:rPr>
            </w:pPr>
            <w:r w:rsidRPr="00A83C94">
              <w:rPr>
                <w:bCs/>
                <w:color w:val="000000"/>
                <w:sz w:val="18"/>
                <w:szCs w:val="18"/>
                <w:lang w:val="en-US"/>
              </w:rPr>
              <w:t>91</w:t>
            </w:r>
            <w:r w:rsidRPr="00A83C94">
              <w:rPr>
                <w:bCs/>
                <w:color w:val="000000"/>
                <w:sz w:val="18"/>
                <w:szCs w:val="18"/>
              </w:rPr>
              <w:t>,</w:t>
            </w:r>
            <w:r w:rsidRPr="00A83C94">
              <w:rPr>
                <w:bCs/>
                <w:color w:val="000000"/>
                <w:sz w:val="18"/>
                <w:szCs w:val="18"/>
                <w:lang w:val="hy-AM"/>
              </w:rPr>
              <w:t>246</w:t>
            </w:r>
            <w:r w:rsidRPr="00A83C94">
              <w:rPr>
                <w:bCs/>
                <w:color w:val="000000"/>
                <w:sz w:val="18"/>
                <w:szCs w:val="18"/>
              </w:rPr>
              <w:t>,</w:t>
            </w:r>
            <w:r w:rsidRPr="00A83C94">
              <w:rPr>
                <w:bCs/>
                <w:color w:val="000000"/>
                <w:sz w:val="18"/>
                <w:szCs w:val="18"/>
                <w:lang w:val="hy-AM"/>
              </w:rPr>
              <w:t>187</w:t>
            </w:r>
            <w:r w:rsidRPr="00A83C94">
              <w:rPr>
                <w:bCs/>
                <w:color w:val="000000"/>
                <w:sz w:val="18"/>
                <w:szCs w:val="18"/>
                <w:lang w:val="en-US"/>
              </w:rPr>
              <w:t>.</w:t>
            </w:r>
            <w:r w:rsidRPr="00A83C94">
              <w:rPr>
                <w:bCs/>
                <w:color w:val="000000"/>
                <w:sz w:val="18"/>
                <w:szCs w:val="18"/>
                <w:lang w:val="hy-AM"/>
              </w:rPr>
              <w:t>7</w:t>
            </w:r>
          </w:p>
        </w:tc>
      </w:tr>
      <w:tr w:rsidR="00903212" w:rsidRPr="00A83C94" w14:paraId="12D11B95" w14:textId="77777777" w:rsidTr="00733935">
        <w:trPr>
          <w:trHeight w:val="540"/>
        </w:trPr>
        <w:tc>
          <w:tcPr>
            <w:tcW w:w="2960" w:type="dxa"/>
            <w:tcBorders>
              <w:top w:val="nil"/>
              <w:left w:val="single" w:sz="8" w:space="0" w:color="auto"/>
              <w:bottom w:val="single" w:sz="4" w:space="0" w:color="auto"/>
              <w:right w:val="single" w:sz="4" w:space="0" w:color="auto"/>
            </w:tcBorders>
            <w:shd w:val="clear" w:color="auto" w:fill="FFFFFF" w:themeFill="background1"/>
            <w:vAlign w:val="center"/>
            <w:hideMark/>
          </w:tcPr>
          <w:p w14:paraId="5C3FEB78" w14:textId="77777777" w:rsidR="00903212" w:rsidRPr="00A83C94" w:rsidRDefault="00903212" w:rsidP="00733935">
            <w:pPr>
              <w:spacing w:before="0" w:line="276" w:lineRule="auto"/>
              <w:ind w:firstLine="0"/>
              <w:jc w:val="left"/>
              <w:rPr>
                <w:bCs/>
                <w:sz w:val="20"/>
                <w:szCs w:val="20"/>
              </w:rPr>
            </w:pPr>
            <w:r w:rsidRPr="00A83C94">
              <w:rPr>
                <w:bCs/>
                <w:sz w:val="20"/>
                <w:szCs w:val="20"/>
              </w:rPr>
              <w:t>Պետական բյուջեից համայնքների բյուջեներին ֆինանսական համահարթեցման սկզբունքով տրվող դոտացիաներ, որից</w:t>
            </w:r>
          </w:p>
        </w:tc>
        <w:tc>
          <w:tcPr>
            <w:tcW w:w="1363" w:type="dxa"/>
            <w:tcBorders>
              <w:top w:val="nil"/>
              <w:left w:val="nil"/>
              <w:bottom w:val="single" w:sz="4" w:space="0" w:color="auto"/>
              <w:right w:val="single" w:sz="4" w:space="0" w:color="auto"/>
            </w:tcBorders>
            <w:shd w:val="clear" w:color="auto" w:fill="FFFFFF" w:themeFill="background1"/>
            <w:noWrap/>
            <w:vAlign w:val="center"/>
          </w:tcPr>
          <w:p w14:paraId="1B39461E"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48,232,000.0 </w:t>
            </w:r>
          </w:p>
        </w:tc>
        <w:tc>
          <w:tcPr>
            <w:tcW w:w="1423" w:type="dxa"/>
            <w:tcBorders>
              <w:top w:val="nil"/>
              <w:left w:val="nil"/>
              <w:bottom w:val="single" w:sz="4" w:space="0" w:color="auto"/>
              <w:right w:val="single" w:sz="4" w:space="0" w:color="auto"/>
            </w:tcBorders>
            <w:shd w:val="clear" w:color="auto" w:fill="FFFFFF" w:themeFill="background1"/>
            <w:noWrap/>
            <w:vAlign w:val="center"/>
          </w:tcPr>
          <w:p w14:paraId="7F43B979"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51,071,361.3 </w:t>
            </w:r>
          </w:p>
        </w:tc>
        <w:tc>
          <w:tcPr>
            <w:tcW w:w="1377" w:type="dxa"/>
            <w:tcBorders>
              <w:top w:val="nil"/>
              <w:left w:val="nil"/>
              <w:bottom w:val="single" w:sz="4" w:space="0" w:color="auto"/>
              <w:right w:val="single" w:sz="4" w:space="0" w:color="auto"/>
            </w:tcBorders>
            <w:shd w:val="clear" w:color="auto" w:fill="FFFFFF" w:themeFill="background1"/>
            <w:noWrap/>
            <w:vAlign w:val="center"/>
          </w:tcPr>
          <w:p w14:paraId="642F4939" w14:textId="77777777" w:rsidR="00903212" w:rsidRPr="00A83C94" w:rsidRDefault="00903212" w:rsidP="00733935">
            <w:pPr>
              <w:spacing w:before="0" w:line="276" w:lineRule="auto"/>
              <w:ind w:firstLine="0"/>
              <w:jc w:val="right"/>
              <w:rPr>
                <w:sz w:val="18"/>
                <w:szCs w:val="18"/>
              </w:rPr>
            </w:pPr>
            <w:r w:rsidRPr="00A83C94">
              <w:rPr>
                <w:sz w:val="18"/>
                <w:szCs w:val="18"/>
              </w:rPr>
              <w:t xml:space="preserve">55,378,535.0 </w:t>
            </w:r>
          </w:p>
        </w:tc>
        <w:tc>
          <w:tcPr>
            <w:tcW w:w="1421" w:type="dxa"/>
            <w:tcBorders>
              <w:top w:val="nil"/>
              <w:left w:val="nil"/>
              <w:bottom w:val="single" w:sz="4" w:space="0" w:color="auto"/>
              <w:right w:val="single" w:sz="4" w:space="0" w:color="auto"/>
            </w:tcBorders>
            <w:shd w:val="clear" w:color="auto" w:fill="FFFFFF" w:themeFill="background1"/>
            <w:noWrap/>
            <w:vAlign w:val="center"/>
          </w:tcPr>
          <w:p w14:paraId="0518E9B3" w14:textId="77777777" w:rsidR="00903212" w:rsidRPr="00A83C94" w:rsidRDefault="00903212" w:rsidP="00733935">
            <w:pPr>
              <w:spacing w:before="0" w:line="276" w:lineRule="auto"/>
              <w:ind w:firstLine="0"/>
              <w:jc w:val="right"/>
              <w:rPr>
                <w:sz w:val="18"/>
                <w:szCs w:val="18"/>
              </w:rPr>
            </w:pPr>
            <w:r w:rsidRPr="00A83C94">
              <w:rPr>
                <w:sz w:val="18"/>
                <w:szCs w:val="18"/>
              </w:rPr>
              <w:t xml:space="preserve">64,596,984.0 </w:t>
            </w:r>
          </w:p>
        </w:tc>
        <w:tc>
          <w:tcPr>
            <w:tcW w:w="1454" w:type="dxa"/>
            <w:tcBorders>
              <w:top w:val="nil"/>
              <w:left w:val="nil"/>
              <w:bottom w:val="single" w:sz="4" w:space="0" w:color="auto"/>
              <w:right w:val="single" w:sz="8" w:space="0" w:color="auto"/>
            </w:tcBorders>
            <w:shd w:val="clear" w:color="auto" w:fill="FFFFFF" w:themeFill="background1"/>
            <w:noWrap/>
            <w:vAlign w:val="center"/>
          </w:tcPr>
          <w:p w14:paraId="27CA3146" w14:textId="77777777" w:rsidR="00903212" w:rsidRPr="00A83C94" w:rsidRDefault="00903212" w:rsidP="00733935">
            <w:pPr>
              <w:spacing w:before="0" w:line="276" w:lineRule="auto"/>
              <w:ind w:firstLine="0"/>
              <w:jc w:val="right"/>
              <w:rPr>
                <w:sz w:val="18"/>
                <w:szCs w:val="18"/>
                <w:lang w:val="en-US"/>
              </w:rPr>
            </w:pPr>
            <w:r w:rsidRPr="00A83C94">
              <w:rPr>
                <w:sz w:val="18"/>
                <w:szCs w:val="18"/>
                <w:lang w:val="en-US"/>
              </w:rPr>
              <w:t>64,349,123.0</w:t>
            </w:r>
          </w:p>
        </w:tc>
      </w:tr>
      <w:tr w:rsidR="00903212" w:rsidRPr="00A83C94" w14:paraId="259C3E8F" w14:textId="77777777" w:rsidTr="00733935">
        <w:trPr>
          <w:trHeight w:val="54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7B1BCBBD"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Օրենքների կիրարկման արդյունքում համայնքների բյուջեների կորուստների փոխհատուցում</w:t>
            </w:r>
          </w:p>
        </w:tc>
        <w:tc>
          <w:tcPr>
            <w:tcW w:w="1363" w:type="dxa"/>
            <w:tcBorders>
              <w:top w:val="nil"/>
              <w:left w:val="nil"/>
              <w:bottom w:val="single" w:sz="4" w:space="0" w:color="auto"/>
              <w:right w:val="single" w:sz="4" w:space="0" w:color="auto"/>
            </w:tcBorders>
            <w:shd w:val="clear" w:color="000000" w:fill="DCE6F1"/>
            <w:noWrap/>
            <w:vAlign w:val="center"/>
          </w:tcPr>
          <w:p w14:paraId="7463FCBB"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67,892.9 </w:t>
            </w:r>
          </w:p>
        </w:tc>
        <w:tc>
          <w:tcPr>
            <w:tcW w:w="1423" w:type="dxa"/>
            <w:tcBorders>
              <w:top w:val="nil"/>
              <w:left w:val="nil"/>
              <w:bottom w:val="single" w:sz="4" w:space="0" w:color="auto"/>
              <w:right w:val="single" w:sz="4" w:space="0" w:color="auto"/>
            </w:tcBorders>
            <w:shd w:val="clear" w:color="000000" w:fill="DCE6F1"/>
            <w:noWrap/>
            <w:vAlign w:val="center"/>
          </w:tcPr>
          <w:p w14:paraId="3AE38181"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77,853.5 </w:t>
            </w:r>
          </w:p>
        </w:tc>
        <w:tc>
          <w:tcPr>
            <w:tcW w:w="1377" w:type="dxa"/>
            <w:tcBorders>
              <w:top w:val="nil"/>
              <w:left w:val="nil"/>
              <w:bottom w:val="single" w:sz="4" w:space="0" w:color="auto"/>
              <w:right w:val="single" w:sz="4" w:space="0" w:color="auto"/>
            </w:tcBorders>
            <w:shd w:val="clear" w:color="000000" w:fill="DCE6F1"/>
            <w:noWrap/>
            <w:vAlign w:val="center"/>
          </w:tcPr>
          <w:p w14:paraId="44EBF72C"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66,273.3 </w:t>
            </w:r>
          </w:p>
        </w:tc>
        <w:tc>
          <w:tcPr>
            <w:tcW w:w="1421" w:type="dxa"/>
            <w:tcBorders>
              <w:top w:val="nil"/>
              <w:left w:val="nil"/>
              <w:bottom w:val="single" w:sz="4" w:space="0" w:color="auto"/>
              <w:right w:val="single" w:sz="4" w:space="0" w:color="auto"/>
            </w:tcBorders>
            <w:shd w:val="clear" w:color="000000" w:fill="DCE6F1"/>
            <w:noWrap/>
            <w:vAlign w:val="center"/>
          </w:tcPr>
          <w:p w14:paraId="2B762D80"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59,819.5 </w:t>
            </w:r>
          </w:p>
        </w:tc>
        <w:tc>
          <w:tcPr>
            <w:tcW w:w="1454" w:type="dxa"/>
            <w:tcBorders>
              <w:top w:val="nil"/>
              <w:left w:val="nil"/>
              <w:bottom w:val="single" w:sz="4" w:space="0" w:color="auto"/>
              <w:right w:val="single" w:sz="8" w:space="0" w:color="auto"/>
            </w:tcBorders>
            <w:shd w:val="clear" w:color="000000" w:fill="DCE6F1"/>
            <w:noWrap/>
            <w:vAlign w:val="center"/>
          </w:tcPr>
          <w:p w14:paraId="6FBC4B28" w14:textId="77777777" w:rsidR="00903212" w:rsidRPr="00A83C94" w:rsidRDefault="00903212" w:rsidP="00733935">
            <w:pPr>
              <w:spacing w:before="0" w:line="276" w:lineRule="auto"/>
              <w:ind w:firstLine="0"/>
              <w:jc w:val="right"/>
              <w:rPr>
                <w:b w:val="0"/>
                <w:iCs/>
                <w:sz w:val="18"/>
                <w:szCs w:val="18"/>
                <w:lang w:val="en-US"/>
              </w:rPr>
            </w:pPr>
            <w:r w:rsidRPr="00A83C94">
              <w:rPr>
                <w:b w:val="0"/>
                <w:iCs/>
                <w:sz w:val="18"/>
                <w:szCs w:val="18"/>
                <w:lang w:val="en-US"/>
              </w:rPr>
              <w:t>50,248.3</w:t>
            </w:r>
          </w:p>
        </w:tc>
      </w:tr>
      <w:tr w:rsidR="00903212" w:rsidRPr="00A83C94" w14:paraId="51792E9B" w14:textId="77777777" w:rsidTr="00733935">
        <w:trPr>
          <w:trHeight w:val="270"/>
        </w:trPr>
        <w:tc>
          <w:tcPr>
            <w:tcW w:w="2960" w:type="dxa"/>
            <w:tcBorders>
              <w:top w:val="nil"/>
              <w:left w:val="single" w:sz="8" w:space="0" w:color="auto"/>
              <w:bottom w:val="single" w:sz="4" w:space="0" w:color="auto"/>
              <w:right w:val="single" w:sz="4" w:space="0" w:color="auto"/>
            </w:tcBorders>
            <w:shd w:val="clear" w:color="auto" w:fill="FFFFFF" w:themeFill="background1"/>
            <w:vAlign w:val="center"/>
            <w:hideMark/>
          </w:tcPr>
          <w:p w14:paraId="7618C5B1" w14:textId="77777777" w:rsidR="00903212" w:rsidRPr="00A83C94" w:rsidRDefault="00903212" w:rsidP="00733935">
            <w:pPr>
              <w:spacing w:before="0" w:line="276" w:lineRule="auto"/>
              <w:ind w:firstLine="0"/>
              <w:jc w:val="left"/>
              <w:rPr>
                <w:b w:val="0"/>
                <w:bCs/>
                <w:sz w:val="20"/>
                <w:szCs w:val="20"/>
              </w:rPr>
            </w:pPr>
            <w:r w:rsidRPr="00A83C94">
              <w:rPr>
                <w:bCs/>
                <w:sz w:val="20"/>
                <w:szCs w:val="20"/>
              </w:rPr>
              <w:t>Այլ ընթացիկ դրամաշնորհներ համայնքներին, որից</w:t>
            </w:r>
          </w:p>
        </w:tc>
        <w:tc>
          <w:tcPr>
            <w:tcW w:w="1363" w:type="dxa"/>
            <w:tcBorders>
              <w:top w:val="nil"/>
              <w:left w:val="nil"/>
              <w:bottom w:val="single" w:sz="4" w:space="0" w:color="auto"/>
              <w:right w:val="single" w:sz="4" w:space="0" w:color="auto"/>
            </w:tcBorders>
            <w:shd w:val="clear" w:color="auto" w:fill="FFFFFF" w:themeFill="background1"/>
            <w:noWrap/>
            <w:vAlign w:val="center"/>
          </w:tcPr>
          <w:p w14:paraId="2F651E06"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2,168.4 </w:t>
            </w:r>
          </w:p>
        </w:tc>
        <w:tc>
          <w:tcPr>
            <w:tcW w:w="1423" w:type="dxa"/>
            <w:tcBorders>
              <w:top w:val="nil"/>
              <w:left w:val="nil"/>
              <w:bottom w:val="single" w:sz="4" w:space="0" w:color="auto"/>
              <w:right w:val="single" w:sz="8" w:space="0" w:color="auto"/>
            </w:tcBorders>
            <w:shd w:val="clear" w:color="auto" w:fill="FFFFFF" w:themeFill="background1"/>
            <w:noWrap/>
            <w:vAlign w:val="center"/>
          </w:tcPr>
          <w:p w14:paraId="553D966F"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2,242.0 </w:t>
            </w:r>
          </w:p>
        </w:tc>
        <w:tc>
          <w:tcPr>
            <w:tcW w:w="1377" w:type="dxa"/>
            <w:tcBorders>
              <w:top w:val="nil"/>
              <w:left w:val="single" w:sz="4" w:space="0" w:color="auto"/>
              <w:bottom w:val="single" w:sz="4" w:space="0" w:color="auto"/>
              <w:right w:val="single" w:sz="8" w:space="0" w:color="auto"/>
            </w:tcBorders>
            <w:shd w:val="clear" w:color="auto" w:fill="FFFFFF" w:themeFill="background1"/>
            <w:noWrap/>
            <w:vAlign w:val="center"/>
          </w:tcPr>
          <w:p w14:paraId="36C0FA64"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          3,372,222.2 </w:t>
            </w:r>
          </w:p>
          <w:p w14:paraId="24528E8B" w14:textId="77777777" w:rsidR="00903212" w:rsidRPr="00A83C94" w:rsidRDefault="00903212" w:rsidP="00733935">
            <w:pPr>
              <w:spacing w:before="0" w:line="276" w:lineRule="auto"/>
              <w:ind w:firstLine="0"/>
              <w:jc w:val="right"/>
              <w:rPr>
                <w:iCs/>
                <w:sz w:val="18"/>
                <w:szCs w:val="18"/>
              </w:rPr>
            </w:pPr>
          </w:p>
        </w:tc>
        <w:tc>
          <w:tcPr>
            <w:tcW w:w="1421" w:type="dxa"/>
            <w:tcBorders>
              <w:top w:val="nil"/>
              <w:left w:val="single" w:sz="4" w:space="0" w:color="auto"/>
              <w:bottom w:val="single" w:sz="4" w:space="0" w:color="auto"/>
              <w:right w:val="single" w:sz="8" w:space="0" w:color="auto"/>
            </w:tcBorders>
            <w:shd w:val="clear" w:color="auto" w:fill="FFFFFF" w:themeFill="background1"/>
            <w:noWrap/>
            <w:vAlign w:val="center"/>
          </w:tcPr>
          <w:p w14:paraId="0E333787"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              29,727.2 </w:t>
            </w:r>
          </w:p>
          <w:p w14:paraId="5DE5DF07" w14:textId="77777777" w:rsidR="00903212" w:rsidRPr="00A83C94" w:rsidRDefault="00903212" w:rsidP="00733935">
            <w:pPr>
              <w:spacing w:before="0" w:line="276" w:lineRule="auto"/>
              <w:ind w:firstLine="0"/>
              <w:jc w:val="right"/>
              <w:rPr>
                <w:iCs/>
                <w:sz w:val="18"/>
                <w:szCs w:val="18"/>
              </w:rPr>
            </w:pPr>
          </w:p>
        </w:tc>
        <w:tc>
          <w:tcPr>
            <w:tcW w:w="1454" w:type="dxa"/>
            <w:tcBorders>
              <w:top w:val="nil"/>
              <w:left w:val="single" w:sz="4" w:space="0" w:color="auto"/>
              <w:bottom w:val="single" w:sz="4" w:space="0" w:color="auto"/>
              <w:right w:val="single" w:sz="8" w:space="0" w:color="auto"/>
            </w:tcBorders>
            <w:shd w:val="clear" w:color="auto" w:fill="FFFFFF" w:themeFill="background1"/>
            <w:noWrap/>
            <w:vAlign w:val="center"/>
          </w:tcPr>
          <w:p w14:paraId="56A9F718" w14:textId="77777777" w:rsidR="00903212" w:rsidRPr="00A83C94" w:rsidRDefault="00903212" w:rsidP="00733935">
            <w:pPr>
              <w:spacing w:before="0" w:line="276" w:lineRule="auto"/>
              <w:ind w:firstLine="0"/>
              <w:jc w:val="right"/>
              <w:rPr>
                <w:iCs/>
                <w:sz w:val="18"/>
                <w:szCs w:val="18"/>
              </w:rPr>
            </w:pPr>
            <w:r w:rsidRPr="00A83C94">
              <w:rPr>
                <w:iCs/>
                <w:sz w:val="18"/>
                <w:szCs w:val="18"/>
                <w:lang w:val="en-US"/>
              </w:rPr>
              <w:t>353</w:t>
            </w:r>
            <w:r w:rsidRPr="00A83C94">
              <w:rPr>
                <w:iCs/>
                <w:sz w:val="18"/>
                <w:szCs w:val="18"/>
              </w:rPr>
              <w:t>,</w:t>
            </w:r>
            <w:r w:rsidRPr="00A83C94">
              <w:rPr>
                <w:iCs/>
                <w:sz w:val="18"/>
                <w:szCs w:val="18"/>
                <w:lang w:val="en-US"/>
              </w:rPr>
              <w:t>588</w:t>
            </w:r>
            <w:r w:rsidRPr="00A83C94">
              <w:rPr>
                <w:iCs/>
                <w:sz w:val="18"/>
                <w:szCs w:val="18"/>
              </w:rPr>
              <w:t>.</w:t>
            </w:r>
            <w:r w:rsidRPr="00A83C94">
              <w:rPr>
                <w:iCs/>
                <w:sz w:val="18"/>
                <w:szCs w:val="18"/>
                <w:lang w:val="en-US"/>
              </w:rPr>
              <w:t>7</w:t>
            </w:r>
          </w:p>
        </w:tc>
      </w:tr>
      <w:tr w:rsidR="00903212" w:rsidRPr="00A83C94" w14:paraId="667CA4AD" w14:textId="77777777" w:rsidTr="00733935">
        <w:trPr>
          <w:trHeight w:val="75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30FDD6D0"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«Նվազագույն ամսական աշխատավարձի մասին» օրենքի կիրարկմամբ պայմանավորված ֆինանսական փոխհա</w:t>
            </w:r>
            <w:r w:rsidRPr="00A83C94">
              <w:rPr>
                <w:b w:val="0"/>
                <w:i/>
                <w:iCs/>
                <w:sz w:val="20"/>
                <w:szCs w:val="20"/>
              </w:rPr>
              <w:softHyphen/>
              <w:t>տուցում տեղական ինքնակառավարման մարմիններին</w:t>
            </w:r>
          </w:p>
        </w:tc>
        <w:tc>
          <w:tcPr>
            <w:tcW w:w="1363" w:type="dxa"/>
            <w:tcBorders>
              <w:top w:val="nil"/>
              <w:left w:val="nil"/>
              <w:bottom w:val="single" w:sz="4" w:space="0" w:color="auto"/>
              <w:right w:val="single" w:sz="4" w:space="0" w:color="auto"/>
            </w:tcBorders>
            <w:shd w:val="clear" w:color="000000" w:fill="DCE6F1"/>
            <w:noWrap/>
            <w:vAlign w:val="center"/>
            <w:hideMark/>
          </w:tcPr>
          <w:p w14:paraId="1526AFA0" w14:textId="77777777" w:rsidR="00903212" w:rsidRPr="00A83C94" w:rsidRDefault="00903212" w:rsidP="00733935">
            <w:pPr>
              <w:spacing w:before="0" w:line="276" w:lineRule="auto"/>
              <w:ind w:firstLine="0"/>
              <w:jc w:val="right"/>
              <w:rPr>
                <w:b w:val="0"/>
                <w:iCs/>
                <w:sz w:val="18"/>
                <w:szCs w:val="18"/>
              </w:rPr>
            </w:pPr>
            <w:r w:rsidRPr="00A83C94">
              <w:rPr>
                <w:rFonts w:ascii="Calibri" w:hAnsi="Calibri" w:cs="Calibri"/>
                <w:b w:val="0"/>
                <w:iCs/>
                <w:sz w:val="18"/>
                <w:szCs w:val="18"/>
              </w:rPr>
              <w:t> </w:t>
            </w:r>
          </w:p>
        </w:tc>
        <w:tc>
          <w:tcPr>
            <w:tcW w:w="1423" w:type="dxa"/>
            <w:tcBorders>
              <w:top w:val="nil"/>
              <w:left w:val="nil"/>
              <w:bottom w:val="single" w:sz="4" w:space="0" w:color="auto"/>
              <w:right w:val="single" w:sz="4" w:space="0" w:color="auto"/>
            </w:tcBorders>
            <w:shd w:val="clear" w:color="000000" w:fill="DCE6F1"/>
            <w:noWrap/>
            <w:vAlign w:val="center"/>
          </w:tcPr>
          <w:p w14:paraId="082C3A3C" w14:textId="77777777" w:rsidR="00903212" w:rsidRPr="00A83C94" w:rsidRDefault="00903212" w:rsidP="00733935">
            <w:pPr>
              <w:spacing w:before="0" w:line="276" w:lineRule="auto"/>
              <w:ind w:firstLine="0"/>
              <w:jc w:val="right"/>
              <w:rPr>
                <w:b w:val="0"/>
                <w:iCs/>
                <w:sz w:val="18"/>
                <w:szCs w:val="18"/>
              </w:rPr>
            </w:pPr>
            <w:r w:rsidRPr="00A83C94">
              <w:rPr>
                <w:rFonts w:ascii="Calibri" w:hAnsi="Calibri" w:cs="Calibri"/>
                <w:b w:val="0"/>
                <w:iCs/>
                <w:sz w:val="18"/>
                <w:szCs w:val="18"/>
              </w:rPr>
              <w:t> </w:t>
            </w:r>
          </w:p>
        </w:tc>
        <w:tc>
          <w:tcPr>
            <w:tcW w:w="1377" w:type="dxa"/>
            <w:tcBorders>
              <w:top w:val="nil"/>
              <w:left w:val="nil"/>
              <w:bottom w:val="single" w:sz="4" w:space="0" w:color="auto"/>
              <w:right w:val="single" w:sz="4" w:space="0" w:color="auto"/>
            </w:tcBorders>
            <w:shd w:val="clear" w:color="000000" w:fill="DCE6F1"/>
            <w:noWrap/>
            <w:vAlign w:val="center"/>
          </w:tcPr>
          <w:p w14:paraId="23C2D09D" w14:textId="77777777" w:rsidR="00903212" w:rsidRPr="00A83C94" w:rsidRDefault="00903212" w:rsidP="00733935">
            <w:pPr>
              <w:spacing w:before="0" w:line="240" w:lineRule="auto"/>
              <w:ind w:firstLine="0"/>
              <w:contextualSpacing w:val="0"/>
              <w:jc w:val="right"/>
              <w:rPr>
                <w:b w:val="0"/>
                <w:iCs/>
                <w:sz w:val="18"/>
                <w:szCs w:val="18"/>
              </w:rPr>
            </w:pPr>
            <w:r w:rsidRPr="00A83C94">
              <w:rPr>
                <w:b w:val="0"/>
                <w:iCs/>
                <w:sz w:val="18"/>
                <w:szCs w:val="18"/>
              </w:rPr>
              <w:t>3,321,871.7</w:t>
            </w:r>
          </w:p>
          <w:p w14:paraId="03C9CF16" w14:textId="77777777" w:rsidR="00903212" w:rsidRPr="00A83C94" w:rsidRDefault="00903212" w:rsidP="00733935">
            <w:pPr>
              <w:spacing w:before="0" w:line="276" w:lineRule="auto"/>
              <w:ind w:firstLine="0"/>
              <w:jc w:val="right"/>
              <w:rPr>
                <w:b w:val="0"/>
                <w:sz w:val="18"/>
                <w:szCs w:val="18"/>
              </w:rPr>
            </w:pPr>
            <w:r w:rsidRPr="00A83C94">
              <w:rPr>
                <w:b w:val="0"/>
                <w:sz w:val="18"/>
                <w:szCs w:val="18"/>
              </w:rPr>
              <w:t xml:space="preserve"> </w:t>
            </w:r>
          </w:p>
        </w:tc>
        <w:tc>
          <w:tcPr>
            <w:tcW w:w="1421" w:type="dxa"/>
            <w:tcBorders>
              <w:top w:val="nil"/>
              <w:left w:val="nil"/>
              <w:bottom w:val="single" w:sz="4" w:space="0" w:color="auto"/>
              <w:right w:val="single" w:sz="4" w:space="0" w:color="auto"/>
            </w:tcBorders>
            <w:shd w:val="clear" w:color="000000" w:fill="DCE6F1"/>
            <w:noWrap/>
            <w:vAlign w:val="center"/>
          </w:tcPr>
          <w:p w14:paraId="701A2D5F" w14:textId="77777777" w:rsidR="00903212" w:rsidRPr="00A83C94" w:rsidRDefault="00903212" w:rsidP="00733935">
            <w:pPr>
              <w:spacing w:before="0" w:line="276" w:lineRule="auto"/>
              <w:ind w:firstLine="0"/>
              <w:jc w:val="right"/>
              <w:rPr>
                <w:b w:val="0"/>
                <w:sz w:val="18"/>
                <w:szCs w:val="18"/>
              </w:rPr>
            </w:pPr>
            <w:r w:rsidRPr="00A83C94">
              <w:rPr>
                <w:rFonts w:ascii="Calibri" w:hAnsi="Calibri" w:cs="Calibri"/>
                <w:b w:val="0"/>
                <w:sz w:val="18"/>
                <w:szCs w:val="18"/>
              </w:rPr>
              <w:t> </w:t>
            </w:r>
          </w:p>
        </w:tc>
        <w:tc>
          <w:tcPr>
            <w:tcW w:w="1454" w:type="dxa"/>
            <w:tcBorders>
              <w:top w:val="nil"/>
              <w:left w:val="nil"/>
              <w:bottom w:val="single" w:sz="4" w:space="0" w:color="auto"/>
              <w:right w:val="single" w:sz="8" w:space="0" w:color="auto"/>
            </w:tcBorders>
            <w:shd w:val="clear" w:color="000000" w:fill="DCE6F1"/>
            <w:noWrap/>
            <w:vAlign w:val="center"/>
          </w:tcPr>
          <w:p w14:paraId="374B8010" w14:textId="77777777" w:rsidR="00903212" w:rsidRPr="00A83C94" w:rsidRDefault="00903212" w:rsidP="00733935">
            <w:pPr>
              <w:spacing w:before="0" w:line="276" w:lineRule="auto"/>
              <w:ind w:firstLine="0"/>
              <w:jc w:val="right"/>
              <w:rPr>
                <w:b w:val="0"/>
                <w:sz w:val="18"/>
                <w:szCs w:val="18"/>
              </w:rPr>
            </w:pPr>
          </w:p>
        </w:tc>
      </w:tr>
      <w:tr w:rsidR="00903212" w:rsidRPr="00A83C94" w14:paraId="340BACAE" w14:textId="77777777" w:rsidTr="00733935">
        <w:trPr>
          <w:trHeight w:val="270"/>
        </w:trPr>
        <w:tc>
          <w:tcPr>
            <w:tcW w:w="2960"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C669E5" w14:textId="77777777" w:rsidR="00903212" w:rsidRPr="00A83C94" w:rsidRDefault="00903212" w:rsidP="00733935">
            <w:pPr>
              <w:spacing w:before="0" w:line="276" w:lineRule="auto"/>
              <w:ind w:firstLine="0"/>
              <w:jc w:val="left"/>
              <w:rPr>
                <w:bCs/>
                <w:sz w:val="20"/>
                <w:szCs w:val="20"/>
              </w:rPr>
            </w:pPr>
            <w:r w:rsidRPr="00A83C94">
              <w:rPr>
                <w:bCs/>
                <w:sz w:val="20"/>
                <w:szCs w:val="20"/>
              </w:rPr>
              <w:t>Սուբվենցիաներ համայնքներին, այդ թվում</w:t>
            </w:r>
          </w:p>
        </w:tc>
        <w:tc>
          <w:tcPr>
            <w:tcW w:w="1363" w:type="dxa"/>
            <w:tcBorders>
              <w:top w:val="nil"/>
              <w:left w:val="nil"/>
              <w:bottom w:val="single" w:sz="4" w:space="0" w:color="auto"/>
              <w:right w:val="single" w:sz="4" w:space="0" w:color="auto"/>
            </w:tcBorders>
            <w:shd w:val="clear" w:color="auto" w:fill="FFFFFF" w:themeFill="background1"/>
            <w:noWrap/>
            <w:vAlign w:val="center"/>
          </w:tcPr>
          <w:p w14:paraId="14D9695C"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11,223,599.7 </w:t>
            </w:r>
          </w:p>
        </w:tc>
        <w:tc>
          <w:tcPr>
            <w:tcW w:w="1423" w:type="dxa"/>
            <w:tcBorders>
              <w:top w:val="nil"/>
              <w:left w:val="nil"/>
              <w:bottom w:val="single" w:sz="4" w:space="0" w:color="auto"/>
              <w:right w:val="single" w:sz="4" w:space="0" w:color="auto"/>
            </w:tcBorders>
            <w:shd w:val="clear" w:color="auto" w:fill="FFFFFF" w:themeFill="background1"/>
            <w:noWrap/>
            <w:vAlign w:val="center"/>
          </w:tcPr>
          <w:p w14:paraId="73ABA8DD"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15,801,349.6 </w:t>
            </w:r>
          </w:p>
        </w:tc>
        <w:tc>
          <w:tcPr>
            <w:tcW w:w="1377" w:type="dxa"/>
            <w:tcBorders>
              <w:top w:val="nil"/>
              <w:left w:val="nil"/>
              <w:bottom w:val="single" w:sz="4" w:space="0" w:color="auto"/>
              <w:right w:val="single" w:sz="4" w:space="0" w:color="auto"/>
            </w:tcBorders>
            <w:shd w:val="clear" w:color="auto" w:fill="FFFFFF" w:themeFill="background1"/>
            <w:noWrap/>
            <w:vAlign w:val="center"/>
          </w:tcPr>
          <w:p w14:paraId="1B7A1A34" w14:textId="77777777" w:rsidR="00903212" w:rsidRPr="00A83C94" w:rsidRDefault="00903212" w:rsidP="00733935">
            <w:pPr>
              <w:spacing w:before="0" w:line="276" w:lineRule="auto"/>
              <w:ind w:firstLine="0"/>
              <w:jc w:val="right"/>
              <w:rPr>
                <w:bCs/>
                <w:sz w:val="18"/>
                <w:szCs w:val="18"/>
                <w:lang w:val="en-US"/>
              </w:rPr>
            </w:pPr>
            <w:r w:rsidRPr="00A83C94">
              <w:rPr>
                <w:bCs/>
                <w:sz w:val="18"/>
                <w:szCs w:val="18"/>
                <w:lang w:val="en-US"/>
              </w:rPr>
              <w:t>22,860,028.8</w:t>
            </w:r>
          </w:p>
        </w:tc>
        <w:tc>
          <w:tcPr>
            <w:tcW w:w="1421" w:type="dxa"/>
            <w:tcBorders>
              <w:top w:val="nil"/>
              <w:left w:val="nil"/>
              <w:bottom w:val="single" w:sz="4" w:space="0" w:color="auto"/>
              <w:right w:val="single" w:sz="4" w:space="0" w:color="auto"/>
            </w:tcBorders>
            <w:shd w:val="clear" w:color="auto" w:fill="FFFFFF" w:themeFill="background1"/>
            <w:noWrap/>
            <w:vAlign w:val="center"/>
          </w:tcPr>
          <w:p w14:paraId="364BF05E" w14:textId="77777777" w:rsidR="00903212" w:rsidRPr="00A83C94" w:rsidRDefault="00903212" w:rsidP="00733935">
            <w:pPr>
              <w:spacing w:before="0" w:line="276" w:lineRule="auto"/>
              <w:ind w:firstLine="0"/>
              <w:jc w:val="right"/>
              <w:rPr>
                <w:bCs/>
                <w:sz w:val="18"/>
                <w:szCs w:val="18"/>
              </w:rPr>
            </w:pPr>
            <w:r w:rsidRPr="00A83C94">
              <w:rPr>
                <w:bCs/>
                <w:sz w:val="18"/>
                <w:szCs w:val="18"/>
                <w:lang w:val="en-US"/>
              </w:rPr>
              <w:t>17,093,001.3</w:t>
            </w:r>
            <w:r w:rsidRPr="00A83C94">
              <w:rPr>
                <w:bCs/>
                <w:sz w:val="18"/>
                <w:szCs w:val="18"/>
              </w:rPr>
              <w:t xml:space="preserve"> </w:t>
            </w:r>
          </w:p>
        </w:tc>
        <w:tc>
          <w:tcPr>
            <w:tcW w:w="1454" w:type="dxa"/>
            <w:tcBorders>
              <w:top w:val="nil"/>
              <w:left w:val="nil"/>
              <w:bottom w:val="single" w:sz="4" w:space="0" w:color="auto"/>
              <w:right w:val="single" w:sz="8" w:space="0" w:color="auto"/>
            </w:tcBorders>
            <w:shd w:val="clear" w:color="auto" w:fill="FFFFFF" w:themeFill="background1"/>
            <w:noWrap/>
            <w:vAlign w:val="center"/>
          </w:tcPr>
          <w:p w14:paraId="1A5117D3" w14:textId="77777777" w:rsidR="00903212" w:rsidRPr="00A83C94" w:rsidRDefault="00903212" w:rsidP="00733935">
            <w:pPr>
              <w:spacing w:before="0" w:line="276" w:lineRule="auto"/>
              <w:ind w:firstLine="0"/>
              <w:jc w:val="right"/>
              <w:rPr>
                <w:bCs/>
                <w:sz w:val="18"/>
                <w:szCs w:val="18"/>
                <w:lang w:val="en-US"/>
              </w:rPr>
            </w:pPr>
            <w:r w:rsidRPr="00A83C94">
              <w:rPr>
                <w:bCs/>
                <w:sz w:val="18"/>
                <w:szCs w:val="18"/>
                <w:lang w:val="en-US"/>
              </w:rPr>
              <w:t>25,</w:t>
            </w:r>
            <w:r w:rsidRPr="00A83C94">
              <w:rPr>
                <w:bCs/>
                <w:sz w:val="18"/>
                <w:szCs w:val="18"/>
                <w:lang w:val="hy-AM"/>
              </w:rPr>
              <w:t>388,270.2</w:t>
            </w:r>
          </w:p>
        </w:tc>
      </w:tr>
      <w:tr w:rsidR="00903212" w:rsidRPr="00A83C94" w14:paraId="4573DA8A" w14:textId="77777777" w:rsidTr="00733935">
        <w:trPr>
          <w:trHeight w:val="27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3EEC5D70"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ընթացիկ սուբվենցիաներ</w:t>
            </w:r>
          </w:p>
        </w:tc>
        <w:tc>
          <w:tcPr>
            <w:tcW w:w="1363" w:type="dxa"/>
            <w:tcBorders>
              <w:top w:val="nil"/>
              <w:left w:val="nil"/>
              <w:bottom w:val="single" w:sz="4" w:space="0" w:color="auto"/>
              <w:right w:val="single" w:sz="4" w:space="0" w:color="auto"/>
            </w:tcBorders>
            <w:shd w:val="clear" w:color="000000" w:fill="DCE6F1"/>
            <w:noWrap/>
            <w:vAlign w:val="center"/>
          </w:tcPr>
          <w:p w14:paraId="0CC95D72"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8,677,571.0 </w:t>
            </w:r>
          </w:p>
        </w:tc>
        <w:tc>
          <w:tcPr>
            <w:tcW w:w="1423" w:type="dxa"/>
            <w:tcBorders>
              <w:top w:val="nil"/>
              <w:left w:val="nil"/>
              <w:bottom w:val="single" w:sz="4" w:space="0" w:color="auto"/>
              <w:right w:val="single" w:sz="4" w:space="0" w:color="auto"/>
            </w:tcBorders>
            <w:shd w:val="clear" w:color="000000" w:fill="DCE6F1"/>
            <w:noWrap/>
            <w:vAlign w:val="center"/>
          </w:tcPr>
          <w:p w14:paraId="24128408"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9,268,940.8 </w:t>
            </w:r>
          </w:p>
        </w:tc>
        <w:tc>
          <w:tcPr>
            <w:tcW w:w="1377" w:type="dxa"/>
            <w:tcBorders>
              <w:top w:val="nil"/>
              <w:left w:val="nil"/>
              <w:bottom w:val="single" w:sz="4" w:space="0" w:color="auto"/>
              <w:right w:val="single" w:sz="4" w:space="0" w:color="auto"/>
            </w:tcBorders>
            <w:shd w:val="clear" w:color="000000" w:fill="DCE6F1"/>
            <w:noWrap/>
            <w:vAlign w:val="center"/>
          </w:tcPr>
          <w:p w14:paraId="755FE16C"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          8,741,376.7 </w:t>
            </w:r>
          </w:p>
          <w:p w14:paraId="7A57E71D" w14:textId="77777777" w:rsidR="00903212" w:rsidRPr="00A83C94" w:rsidRDefault="00903212" w:rsidP="00733935">
            <w:pPr>
              <w:spacing w:before="0" w:line="276" w:lineRule="auto"/>
              <w:ind w:firstLine="0"/>
              <w:jc w:val="right"/>
              <w:rPr>
                <w:b w:val="0"/>
                <w:iCs/>
                <w:sz w:val="18"/>
                <w:szCs w:val="18"/>
              </w:rPr>
            </w:pPr>
          </w:p>
        </w:tc>
        <w:tc>
          <w:tcPr>
            <w:tcW w:w="1421" w:type="dxa"/>
            <w:tcBorders>
              <w:top w:val="nil"/>
              <w:left w:val="nil"/>
              <w:bottom w:val="single" w:sz="4" w:space="0" w:color="auto"/>
              <w:right w:val="single" w:sz="4" w:space="0" w:color="auto"/>
            </w:tcBorders>
            <w:shd w:val="clear" w:color="000000" w:fill="DCE6F1"/>
            <w:noWrap/>
            <w:vAlign w:val="center"/>
          </w:tcPr>
          <w:p w14:paraId="194A3F8B" w14:textId="77777777" w:rsidR="00903212" w:rsidRPr="00A83C94" w:rsidRDefault="00903212" w:rsidP="00733935">
            <w:pPr>
              <w:spacing w:before="0" w:line="276" w:lineRule="auto"/>
              <w:ind w:firstLine="0"/>
              <w:jc w:val="right"/>
              <w:rPr>
                <w:b w:val="0"/>
                <w:sz w:val="18"/>
                <w:szCs w:val="18"/>
              </w:rPr>
            </w:pPr>
            <w:r w:rsidRPr="00A83C94">
              <w:rPr>
                <w:b w:val="0"/>
                <w:sz w:val="18"/>
                <w:szCs w:val="18"/>
                <w:lang w:val="en-US"/>
              </w:rPr>
              <w:t>9,019,489.2</w:t>
            </w:r>
            <w:r w:rsidRPr="00A83C94">
              <w:rPr>
                <w:b w:val="0"/>
                <w:sz w:val="18"/>
                <w:szCs w:val="18"/>
              </w:rPr>
              <w:t xml:space="preserve"> </w:t>
            </w:r>
          </w:p>
        </w:tc>
        <w:tc>
          <w:tcPr>
            <w:tcW w:w="1454" w:type="dxa"/>
            <w:tcBorders>
              <w:top w:val="nil"/>
              <w:left w:val="nil"/>
              <w:bottom w:val="single" w:sz="4" w:space="0" w:color="auto"/>
              <w:right w:val="single" w:sz="8" w:space="0" w:color="auto"/>
            </w:tcBorders>
            <w:shd w:val="clear" w:color="000000" w:fill="DCE6F1"/>
            <w:noWrap/>
            <w:vAlign w:val="center"/>
          </w:tcPr>
          <w:p w14:paraId="507482A6" w14:textId="77777777" w:rsidR="00903212" w:rsidRPr="00A83C94" w:rsidRDefault="00903212" w:rsidP="00733935">
            <w:pPr>
              <w:spacing w:before="0" w:line="276" w:lineRule="auto"/>
              <w:ind w:firstLine="0"/>
              <w:jc w:val="right"/>
              <w:rPr>
                <w:b w:val="0"/>
                <w:sz w:val="18"/>
                <w:szCs w:val="18"/>
                <w:lang w:val="en-US"/>
              </w:rPr>
            </w:pPr>
          </w:p>
          <w:p w14:paraId="20C4FB44" w14:textId="77777777" w:rsidR="00903212" w:rsidRPr="00A83C94" w:rsidRDefault="00903212" w:rsidP="00733935">
            <w:pPr>
              <w:spacing w:before="0" w:line="276" w:lineRule="auto"/>
              <w:ind w:firstLine="0"/>
              <w:jc w:val="right"/>
              <w:rPr>
                <w:b w:val="0"/>
                <w:sz w:val="18"/>
                <w:szCs w:val="18"/>
                <w:lang w:val="en-US"/>
              </w:rPr>
            </w:pPr>
            <w:r w:rsidRPr="00A83C94">
              <w:rPr>
                <w:b w:val="0"/>
                <w:sz w:val="18"/>
                <w:szCs w:val="18"/>
                <w:lang w:val="en-US"/>
              </w:rPr>
              <w:t>6,9</w:t>
            </w:r>
            <w:r w:rsidRPr="00A83C94">
              <w:rPr>
                <w:b w:val="0"/>
                <w:sz w:val="18"/>
                <w:szCs w:val="18"/>
                <w:lang w:val="hy-AM"/>
              </w:rPr>
              <w:t>39,835</w:t>
            </w:r>
            <w:r w:rsidRPr="00A83C94">
              <w:rPr>
                <w:b w:val="0"/>
                <w:sz w:val="18"/>
                <w:szCs w:val="18"/>
                <w:lang w:val="en-US"/>
              </w:rPr>
              <w:t>.</w:t>
            </w:r>
            <w:r w:rsidRPr="00A83C94">
              <w:rPr>
                <w:b w:val="0"/>
                <w:sz w:val="18"/>
                <w:szCs w:val="18"/>
                <w:lang w:val="hy-AM"/>
              </w:rPr>
              <w:t>9</w:t>
            </w:r>
          </w:p>
          <w:p w14:paraId="3FE814D4" w14:textId="77777777" w:rsidR="00903212" w:rsidRPr="00A83C94" w:rsidRDefault="00903212" w:rsidP="00733935">
            <w:pPr>
              <w:spacing w:before="0" w:line="276" w:lineRule="auto"/>
              <w:ind w:firstLine="0"/>
              <w:jc w:val="right"/>
              <w:rPr>
                <w:b w:val="0"/>
                <w:sz w:val="18"/>
                <w:szCs w:val="18"/>
                <w:lang w:val="en-US"/>
              </w:rPr>
            </w:pPr>
          </w:p>
        </w:tc>
      </w:tr>
      <w:tr w:rsidR="00903212" w:rsidRPr="00A83C94" w14:paraId="19459FFB" w14:textId="77777777" w:rsidTr="00733935">
        <w:trPr>
          <w:trHeight w:val="27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0893AB97"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կապիտալ սուբվենցիաներ</w:t>
            </w:r>
          </w:p>
        </w:tc>
        <w:tc>
          <w:tcPr>
            <w:tcW w:w="1363" w:type="dxa"/>
            <w:tcBorders>
              <w:top w:val="nil"/>
              <w:left w:val="nil"/>
              <w:bottom w:val="single" w:sz="4" w:space="0" w:color="auto"/>
              <w:right w:val="single" w:sz="4" w:space="0" w:color="auto"/>
            </w:tcBorders>
            <w:shd w:val="clear" w:color="000000" w:fill="DCE6F1"/>
            <w:noWrap/>
            <w:vAlign w:val="center"/>
          </w:tcPr>
          <w:p w14:paraId="242A6FF6"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2,546,028.7 </w:t>
            </w:r>
          </w:p>
        </w:tc>
        <w:tc>
          <w:tcPr>
            <w:tcW w:w="1423" w:type="dxa"/>
            <w:tcBorders>
              <w:top w:val="nil"/>
              <w:left w:val="nil"/>
              <w:bottom w:val="single" w:sz="4" w:space="0" w:color="auto"/>
              <w:right w:val="single" w:sz="4" w:space="0" w:color="auto"/>
            </w:tcBorders>
            <w:shd w:val="clear" w:color="000000" w:fill="DCE6F1"/>
            <w:noWrap/>
            <w:vAlign w:val="center"/>
          </w:tcPr>
          <w:p w14:paraId="0B15FB60"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6,532,408.8 </w:t>
            </w:r>
          </w:p>
        </w:tc>
        <w:tc>
          <w:tcPr>
            <w:tcW w:w="1377" w:type="dxa"/>
            <w:tcBorders>
              <w:top w:val="nil"/>
              <w:left w:val="nil"/>
              <w:bottom w:val="single" w:sz="4" w:space="0" w:color="auto"/>
              <w:right w:val="single" w:sz="4" w:space="0" w:color="auto"/>
            </w:tcBorders>
            <w:shd w:val="clear" w:color="000000" w:fill="DCE6F1"/>
            <w:noWrap/>
            <w:vAlign w:val="center"/>
          </w:tcPr>
          <w:p w14:paraId="65593E88" w14:textId="77777777" w:rsidR="00903212" w:rsidRPr="00A83C94" w:rsidRDefault="00903212" w:rsidP="00733935">
            <w:pPr>
              <w:spacing w:before="0" w:line="276" w:lineRule="auto"/>
              <w:ind w:firstLine="0"/>
              <w:jc w:val="right"/>
              <w:rPr>
                <w:b w:val="0"/>
                <w:sz w:val="18"/>
                <w:szCs w:val="18"/>
                <w:lang w:val="en-US"/>
              </w:rPr>
            </w:pPr>
            <w:r w:rsidRPr="00A83C94">
              <w:rPr>
                <w:b w:val="0"/>
                <w:sz w:val="18"/>
                <w:szCs w:val="18"/>
                <w:lang w:val="en-US"/>
              </w:rPr>
              <w:t xml:space="preserve">          14,118,652.1 </w:t>
            </w:r>
          </w:p>
          <w:p w14:paraId="2BC0CB23" w14:textId="77777777" w:rsidR="00903212" w:rsidRPr="00A83C94" w:rsidRDefault="00903212" w:rsidP="00733935">
            <w:pPr>
              <w:spacing w:before="0" w:line="276" w:lineRule="auto"/>
              <w:ind w:firstLine="0"/>
              <w:jc w:val="right"/>
              <w:rPr>
                <w:b w:val="0"/>
                <w:sz w:val="18"/>
                <w:szCs w:val="18"/>
                <w:lang w:val="en-US"/>
              </w:rPr>
            </w:pPr>
          </w:p>
        </w:tc>
        <w:tc>
          <w:tcPr>
            <w:tcW w:w="1421" w:type="dxa"/>
            <w:tcBorders>
              <w:top w:val="nil"/>
              <w:left w:val="nil"/>
              <w:bottom w:val="single" w:sz="4" w:space="0" w:color="auto"/>
              <w:right w:val="single" w:sz="4" w:space="0" w:color="auto"/>
            </w:tcBorders>
            <w:shd w:val="clear" w:color="000000" w:fill="DCE6F1"/>
            <w:noWrap/>
            <w:vAlign w:val="center"/>
          </w:tcPr>
          <w:p w14:paraId="1E3DCE7D" w14:textId="77777777" w:rsidR="00903212" w:rsidRPr="00A83C94" w:rsidRDefault="00903212" w:rsidP="00733935">
            <w:pPr>
              <w:spacing w:before="0" w:line="276" w:lineRule="auto"/>
              <w:ind w:firstLine="0"/>
              <w:jc w:val="right"/>
              <w:rPr>
                <w:b w:val="0"/>
                <w:sz w:val="18"/>
                <w:szCs w:val="18"/>
              </w:rPr>
            </w:pPr>
            <w:r w:rsidRPr="00A83C94">
              <w:rPr>
                <w:b w:val="0"/>
                <w:sz w:val="18"/>
                <w:szCs w:val="18"/>
              </w:rPr>
              <w:t>8,073,512.</w:t>
            </w:r>
            <w:r w:rsidRPr="00A83C94">
              <w:rPr>
                <w:b w:val="0"/>
                <w:sz w:val="18"/>
                <w:szCs w:val="18"/>
                <w:lang w:val="en-US"/>
              </w:rPr>
              <w:t>1</w:t>
            </w:r>
            <w:r w:rsidRPr="00A83C94">
              <w:rPr>
                <w:b w:val="0"/>
                <w:sz w:val="18"/>
                <w:szCs w:val="18"/>
              </w:rPr>
              <w:t xml:space="preserve"> </w:t>
            </w:r>
          </w:p>
        </w:tc>
        <w:tc>
          <w:tcPr>
            <w:tcW w:w="1454" w:type="dxa"/>
            <w:tcBorders>
              <w:top w:val="nil"/>
              <w:left w:val="nil"/>
              <w:bottom w:val="single" w:sz="4" w:space="0" w:color="auto"/>
              <w:right w:val="single" w:sz="8" w:space="0" w:color="auto"/>
            </w:tcBorders>
            <w:shd w:val="clear" w:color="000000" w:fill="DCE6F1"/>
            <w:noWrap/>
            <w:vAlign w:val="center"/>
          </w:tcPr>
          <w:p w14:paraId="442763E8" w14:textId="77777777" w:rsidR="00903212" w:rsidRPr="00A83C94" w:rsidRDefault="00903212" w:rsidP="00733935">
            <w:pPr>
              <w:spacing w:before="0" w:line="276" w:lineRule="auto"/>
              <w:ind w:firstLine="0"/>
              <w:jc w:val="right"/>
              <w:rPr>
                <w:b w:val="0"/>
                <w:sz w:val="18"/>
                <w:szCs w:val="18"/>
                <w:lang w:val="en-US"/>
              </w:rPr>
            </w:pPr>
          </w:p>
          <w:p w14:paraId="36309499" w14:textId="77777777" w:rsidR="00903212" w:rsidRPr="00A83C94" w:rsidRDefault="00903212" w:rsidP="00733935">
            <w:pPr>
              <w:spacing w:before="0" w:line="276" w:lineRule="auto"/>
              <w:ind w:firstLine="0"/>
              <w:jc w:val="right"/>
              <w:rPr>
                <w:b w:val="0"/>
                <w:sz w:val="18"/>
                <w:szCs w:val="18"/>
                <w:lang w:val="en-US"/>
              </w:rPr>
            </w:pPr>
            <w:r w:rsidRPr="00A83C94">
              <w:rPr>
                <w:b w:val="0"/>
                <w:sz w:val="18"/>
                <w:szCs w:val="18"/>
                <w:lang w:val="en-US"/>
              </w:rPr>
              <w:t>18,</w:t>
            </w:r>
            <w:r w:rsidRPr="00A83C94">
              <w:rPr>
                <w:b w:val="0"/>
                <w:sz w:val="18"/>
                <w:szCs w:val="18"/>
                <w:lang w:val="hy-AM"/>
              </w:rPr>
              <w:t>448</w:t>
            </w:r>
            <w:r w:rsidRPr="00A83C94">
              <w:rPr>
                <w:b w:val="0"/>
                <w:sz w:val="18"/>
                <w:szCs w:val="18"/>
                <w:lang w:val="en-US"/>
              </w:rPr>
              <w:t>,4</w:t>
            </w:r>
            <w:r w:rsidRPr="00A83C94">
              <w:rPr>
                <w:b w:val="0"/>
                <w:sz w:val="18"/>
                <w:szCs w:val="18"/>
                <w:lang w:val="hy-AM"/>
              </w:rPr>
              <w:t>34</w:t>
            </w:r>
            <w:r w:rsidRPr="00A83C94">
              <w:rPr>
                <w:b w:val="0"/>
                <w:sz w:val="18"/>
                <w:szCs w:val="18"/>
                <w:lang w:val="en-US"/>
              </w:rPr>
              <w:t>.</w:t>
            </w:r>
            <w:r w:rsidRPr="00A83C94">
              <w:rPr>
                <w:b w:val="0"/>
                <w:sz w:val="18"/>
                <w:szCs w:val="18"/>
                <w:lang w:val="hy-AM"/>
              </w:rPr>
              <w:t>3</w:t>
            </w:r>
          </w:p>
          <w:p w14:paraId="00C178D8" w14:textId="77777777" w:rsidR="00903212" w:rsidRPr="00A83C94" w:rsidRDefault="00903212" w:rsidP="00733935">
            <w:pPr>
              <w:spacing w:before="0" w:line="276" w:lineRule="auto"/>
              <w:ind w:firstLine="0"/>
              <w:jc w:val="right"/>
              <w:rPr>
                <w:b w:val="0"/>
                <w:sz w:val="18"/>
                <w:szCs w:val="18"/>
                <w:lang w:val="en-US"/>
              </w:rPr>
            </w:pPr>
          </w:p>
        </w:tc>
      </w:tr>
      <w:tr w:rsidR="00903212" w:rsidRPr="00A83C94" w14:paraId="52EB3BE0" w14:textId="77777777" w:rsidTr="00733935">
        <w:trPr>
          <w:trHeight w:val="825"/>
        </w:trPr>
        <w:tc>
          <w:tcPr>
            <w:tcW w:w="2960" w:type="dxa"/>
            <w:tcBorders>
              <w:top w:val="nil"/>
              <w:left w:val="single" w:sz="8" w:space="0" w:color="auto"/>
              <w:bottom w:val="single" w:sz="8" w:space="0" w:color="auto"/>
              <w:right w:val="single" w:sz="4" w:space="0" w:color="auto"/>
            </w:tcBorders>
            <w:shd w:val="clear" w:color="auto" w:fill="FFFFFF" w:themeFill="background1"/>
            <w:vAlign w:val="center"/>
            <w:hideMark/>
          </w:tcPr>
          <w:p w14:paraId="1F172BCA" w14:textId="77777777" w:rsidR="00903212" w:rsidRPr="00A83C94" w:rsidRDefault="00903212" w:rsidP="00733935">
            <w:pPr>
              <w:spacing w:before="0" w:line="276" w:lineRule="auto"/>
              <w:ind w:firstLine="0"/>
              <w:jc w:val="left"/>
              <w:rPr>
                <w:bCs/>
                <w:sz w:val="20"/>
                <w:szCs w:val="20"/>
              </w:rPr>
            </w:pPr>
            <w:r w:rsidRPr="00A83C94">
              <w:rPr>
                <w:bCs/>
                <w:sz w:val="20"/>
                <w:szCs w:val="20"/>
              </w:rPr>
              <w:t>Սահմանամերձ հա</w:t>
            </w:r>
            <w:r w:rsidRPr="00A83C94">
              <w:rPr>
                <w:bCs/>
                <w:sz w:val="20"/>
                <w:szCs w:val="20"/>
              </w:rPr>
              <w:softHyphen/>
              <w:t>մայնք</w:t>
            </w:r>
            <w:r w:rsidRPr="00A83C94">
              <w:rPr>
                <w:bCs/>
                <w:sz w:val="20"/>
                <w:szCs w:val="20"/>
              </w:rPr>
              <w:softHyphen/>
              <w:t>ների սոցիալական աջակցության մասին ՀՀ օրենքի կիրարկմամբ պայմանավորված պե</w:t>
            </w:r>
            <w:r w:rsidRPr="00A83C94">
              <w:rPr>
                <w:bCs/>
                <w:sz w:val="20"/>
                <w:szCs w:val="20"/>
              </w:rPr>
              <w:softHyphen/>
              <w:t>տա</w:t>
            </w:r>
            <w:r w:rsidRPr="00A83C94">
              <w:rPr>
                <w:bCs/>
                <w:sz w:val="20"/>
                <w:szCs w:val="20"/>
              </w:rPr>
              <w:softHyphen/>
              <w:t>կան աջակցություն սահմանամերձ համայնքներին</w:t>
            </w:r>
          </w:p>
        </w:tc>
        <w:tc>
          <w:tcPr>
            <w:tcW w:w="1363" w:type="dxa"/>
            <w:tcBorders>
              <w:top w:val="nil"/>
              <w:left w:val="nil"/>
              <w:bottom w:val="single" w:sz="8" w:space="0" w:color="auto"/>
              <w:right w:val="single" w:sz="4" w:space="0" w:color="auto"/>
            </w:tcBorders>
            <w:shd w:val="clear" w:color="auto" w:fill="FFFFFF" w:themeFill="background1"/>
            <w:noWrap/>
            <w:vAlign w:val="center"/>
          </w:tcPr>
          <w:p w14:paraId="56F7ADED"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709,597.9 </w:t>
            </w:r>
          </w:p>
        </w:tc>
        <w:tc>
          <w:tcPr>
            <w:tcW w:w="1423" w:type="dxa"/>
            <w:tcBorders>
              <w:top w:val="nil"/>
              <w:left w:val="nil"/>
              <w:bottom w:val="single" w:sz="8" w:space="0" w:color="auto"/>
              <w:right w:val="single" w:sz="4" w:space="0" w:color="auto"/>
            </w:tcBorders>
            <w:shd w:val="clear" w:color="auto" w:fill="FFFFFF" w:themeFill="background1"/>
            <w:noWrap/>
            <w:vAlign w:val="center"/>
          </w:tcPr>
          <w:p w14:paraId="76D82E81"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731,344.2 </w:t>
            </w:r>
          </w:p>
        </w:tc>
        <w:tc>
          <w:tcPr>
            <w:tcW w:w="1377" w:type="dxa"/>
            <w:tcBorders>
              <w:top w:val="nil"/>
              <w:left w:val="nil"/>
              <w:bottom w:val="single" w:sz="8" w:space="0" w:color="auto"/>
              <w:right w:val="single" w:sz="4" w:space="0" w:color="auto"/>
            </w:tcBorders>
            <w:shd w:val="clear" w:color="auto" w:fill="FFFFFF" w:themeFill="background1"/>
            <w:noWrap/>
            <w:vAlign w:val="center"/>
          </w:tcPr>
          <w:p w14:paraId="5E7D0572" w14:textId="77777777" w:rsidR="00903212" w:rsidRPr="00A83C94" w:rsidRDefault="00903212" w:rsidP="00733935">
            <w:pPr>
              <w:spacing w:before="0" w:line="276" w:lineRule="auto"/>
              <w:ind w:firstLine="0"/>
              <w:jc w:val="right"/>
              <w:rPr>
                <w:bCs/>
                <w:sz w:val="18"/>
                <w:szCs w:val="18"/>
              </w:rPr>
            </w:pPr>
            <w:r w:rsidRPr="00A83C94">
              <w:rPr>
                <w:bCs/>
                <w:sz w:val="18"/>
                <w:szCs w:val="18"/>
                <w:lang w:val="en-US"/>
              </w:rPr>
              <w:t>754</w:t>
            </w:r>
            <w:r w:rsidRPr="00A83C94">
              <w:rPr>
                <w:bCs/>
                <w:sz w:val="18"/>
                <w:szCs w:val="18"/>
              </w:rPr>
              <w:t>,</w:t>
            </w:r>
            <w:r w:rsidRPr="00A83C94">
              <w:rPr>
                <w:bCs/>
                <w:sz w:val="18"/>
                <w:szCs w:val="18"/>
                <w:lang w:val="en-US"/>
              </w:rPr>
              <w:t>154</w:t>
            </w:r>
            <w:r w:rsidRPr="00A83C94">
              <w:rPr>
                <w:bCs/>
                <w:sz w:val="18"/>
                <w:szCs w:val="18"/>
              </w:rPr>
              <w:t>.</w:t>
            </w:r>
            <w:r w:rsidRPr="00A83C94">
              <w:rPr>
                <w:bCs/>
                <w:sz w:val="18"/>
                <w:szCs w:val="18"/>
                <w:lang w:val="en-US"/>
              </w:rPr>
              <w:t>5</w:t>
            </w:r>
            <w:r w:rsidRPr="00A83C94">
              <w:rPr>
                <w:bCs/>
                <w:sz w:val="18"/>
                <w:szCs w:val="18"/>
              </w:rPr>
              <w:t xml:space="preserve"> </w:t>
            </w:r>
          </w:p>
        </w:tc>
        <w:tc>
          <w:tcPr>
            <w:tcW w:w="1421" w:type="dxa"/>
            <w:tcBorders>
              <w:top w:val="nil"/>
              <w:left w:val="nil"/>
              <w:bottom w:val="single" w:sz="8" w:space="0" w:color="auto"/>
              <w:right w:val="single" w:sz="4" w:space="0" w:color="auto"/>
            </w:tcBorders>
            <w:shd w:val="clear" w:color="auto" w:fill="FFFFFF" w:themeFill="background1"/>
            <w:noWrap/>
            <w:vAlign w:val="center"/>
          </w:tcPr>
          <w:p w14:paraId="7D46C68B" w14:textId="77777777" w:rsidR="00903212" w:rsidRPr="00A83C94" w:rsidRDefault="00903212" w:rsidP="00733935">
            <w:pPr>
              <w:keepNext/>
              <w:spacing w:before="0" w:line="276" w:lineRule="auto"/>
              <w:ind w:firstLine="0"/>
              <w:jc w:val="right"/>
              <w:rPr>
                <w:bCs/>
                <w:sz w:val="18"/>
                <w:szCs w:val="18"/>
              </w:rPr>
            </w:pPr>
            <w:r w:rsidRPr="00A83C94">
              <w:rPr>
                <w:bCs/>
                <w:sz w:val="18"/>
                <w:szCs w:val="18"/>
              </w:rPr>
              <w:t xml:space="preserve">800,000.0 </w:t>
            </w:r>
          </w:p>
        </w:tc>
        <w:tc>
          <w:tcPr>
            <w:tcW w:w="1454" w:type="dxa"/>
            <w:tcBorders>
              <w:top w:val="nil"/>
              <w:left w:val="nil"/>
              <w:bottom w:val="single" w:sz="8" w:space="0" w:color="auto"/>
              <w:right w:val="single" w:sz="8" w:space="0" w:color="auto"/>
            </w:tcBorders>
            <w:shd w:val="clear" w:color="auto" w:fill="FFFFFF" w:themeFill="background1"/>
            <w:noWrap/>
            <w:vAlign w:val="center"/>
          </w:tcPr>
          <w:p w14:paraId="1F3BC46D" w14:textId="77777777" w:rsidR="00903212" w:rsidRPr="00A83C94" w:rsidRDefault="00903212" w:rsidP="00733935">
            <w:pPr>
              <w:keepNext/>
              <w:spacing w:before="0" w:line="276" w:lineRule="auto"/>
              <w:ind w:firstLine="0"/>
              <w:jc w:val="right"/>
              <w:rPr>
                <w:bCs/>
                <w:sz w:val="18"/>
                <w:szCs w:val="18"/>
              </w:rPr>
            </w:pPr>
            <w:r w:rsidRPr="00A83C94">
              <w:rPr>
                <w:bCs/>
                <w:sz w:val="18"/>
                <w:szCs w:val="18"/>
              </w:rPr>
              <w:t>1,155,205.8</w:t>
            </w:r>
          </w:p>
        </w:tc>
      </w:tr>
    </w:tbl>
    <w:p w14:paraId="2564D5A5" w14:textId="77777777" w:rsidR="00903212" w:rsidRDefault="00903212" w:rsidP="00903212"/>
    <w:p w14:paraId="2864E98B" w14:textId="77777777" w:rsidR="00903212" w:rsidRPr="00A83C94" w:rsidRDefault="00903212" w:rsidP="00903212">
      <w:pPr>
        <w:pStyle w:val="BodyText2"/>
        <w:ind w:firstLine="0"/>
        <w:rPr>
          <w:rFonts w:cs="Arial"/>
        </w:rPr>
      </w:pPr>
    </w:p>
    <w:p w14:paraId="489C7E29" w14:textId="77777777" w:rsidR="006E7E1F" w:rsidRPr="00A83C94" w:rsidRDefault="006E7E1F" w:rsidP="006E7E1F">
      <w:pPr>
        <w:spacing w:before="0" w:line="276" w:lineRule="auto"/>
        <w:ind w:firstLine="475"/>
        <w:contextualSpacing w:val="0"/>
        <w:rPr>
          <w:b w:val="0"/>
          <w:szCs w:val="22"/>
          <w:lang w:val="af-ZA" w:eastAsia="en-US"/>
        </w:rPr>
      </w:pPr>
      <w:r w:rsidRPr="00A83C94">
        <w:rPr>
          <w:b w:val="0"/>
          <w:szCs w:val="22"/>
          <w:lang w:val="af-ZA" w:eastAsia="en-US"/>
        </w:rPr>
        <w:t xml:space="preserve">2022 </w:t>
      </w:r>
      <w:r w:rsidRPr="006E7E1F">
        <w:rPr>
          <w:b w:val="0"/>
          <w:szCs w:val="22"/>
          <w:lang w:val="hy-AM" w:eastAsia="en-US"/>
        </w:rPr>
        <w:t>թվակա</w:t>
      </w:r>
      <w:r w:rsidRPr="006E7E1F">
        <w:rPr>
          <w:rFonts w:cs="Sylfaen"/>
          <w:b w:val="0"/>
          <w:szCs w:val="22"/>
          <w:lang w:val="hy-AM" w:eastAsia="en-US"/>
        </w:rPr>
        <w:t>նի</w:t>
      </w:r>
      <w:r w:rsidRPr="00A83C94">
        <w:rPr>
          <w:b w:val="0"/>
          <w:szCs w:val="22"/>
          <w:lang w:val="af-ZA" w:eastAsia="en-US"/>
        </w:rPr>
        <w:t xml:space="preserve"> </w:t>
      </w:r>
      <w:r w:rsidRPr="006E7E1F">
        <w:rPr>
          <w:rFonts w:cs="Sylfaen"/>
          <w:b w:val="0"/>
          <w:szCs w:val="22"/>
          <w:lang w:val="hy-AM" w:eastAsia="en-US"/>
        </w:rPr>
        <w:t>ծախսերի</w:t>
      </w:r>
      <w:r w:rsidRPr="00A83C94">
        <w:rPr>
          <w:b w:val="0"/>
          <w:szCs w:val="22"/>
          <w:lang w:val="af-ZA" w:eastAsia="en-US"/>
        </w:rPr>
        <w:t xml:space="preserve"> </w:t>
      </w:r>
      <w:r w:rsidRPr="006E7E1F">
        <w:rPr>
          <w:rFonts w:cs="Sylfaen"/>
          <w:b w:val="0"/>
          <w:szCs w:val="22"/>
          <w:lang w:val="hy-AM" w:eastAsia="en-US"/>
        </w:rPr>
        <w:t>ընդհանուր</w:t>
      </w:r>
      <w:r w:rsidRPr="00A83C94">
        <w:rPr>
          <w:b w:val="0"/>
          <w:szCs w:val="22"/>
          <w:lang w:val="af-ZA" w:eastAsia="en-US"/>
        </w:rPr>
        <w:t xml:space="preserve"> </w:t>
      </w:r>
      <w:r w:rsidRPr="006E7E1F">
        <w:rPr>
          <w:rFonts w:cs="Sylfaen"/>
          <w:b w:val="0"/>
          <w:szCs w:val="22"/>
          <w:lang w:val="hy-AM" w:eastAsia="en-US"/>
        </w:rPr>
        <w:t>ծավալի</w:t>
      </w:r>
      <w:r w:rsidRPr="00A83C94">
        <w:rPr>
          <w:b w:val="0"/>
          <w:szCs w:val="22"/>
          <w:lang w:val="af-ZA" w:eastAsia="en-US"/>
        </w:rPr>
        <w:t xml:space="preserve"> </w:t>
      </w:r>
      <w:r w:rsidRPr="00A83C94">
        <w:rPr>
          <w:b w:val="0"/>
          <w:szCs w:val="22"/>
          <w:lang w:val="hy-AM" w:eastAsia="en-US"/>
        </w:rPr>
        <w:t>1</w:t>
      </w:r>
      <w:r w:rsidRPr="00BF186C">
        <w:rPr>
          <w:b w:val="0"/>
          <w:szCs w:val="22"/>
          <w:lang w:val="af-ZA" w:eastAsia="en-US"/>
        </w:rPr>
        <w:t>5</w:t>
      </w:r>
      <w:r w:rsidRPr="00A83C94">
        <w:rPr>
          <w:b w:val="0"/>
          <w:szCs w:val="22"/>
          <w:lang w:val="hy-AM" w:eastAsia="en-US"/>
        </w:rPr>
        <w:t>.</w:t>
      </w:r>
      <w:r w:rsidRPr="00BF186C">
        <w:rPr>
          <w:b w:val="0"/>
          <w:szCs w:val="22"/>
          <w:lang w:val="af-ZA" w:eastAsia="en-US"/>
        </w:rPr>
        <w:t>8</w:t>
      </w:r>
      <w:r w:rsidRPr="00A83C94">
        <w:rPr>
          <w:b w:val="0"/>
          <w:szCs w:val="22"/>
          <w:lang w:val="af-ZA" w:eastAsia="en-US"/>
        </w:rPr>
        <w:t xml:space="preserve"> %-</w:t>
      </w:r>
      <w:r w:rsidRPr="006E7E1F">
        <w:rPr>
          <w:rFonts w:cs="Sylfaen"/>
          <w:b w:val="0"/>
          <w:szCs w:val="22"/>
          <w:lang w:val="hy-AM" w:eastAsia="en-US"/>
        </w:rPr>
        <w:t>ը</w:t>
      </w:r>
      <w:r w:rsidRPr="00A83C94">
        <w:rPr>
          <w:b w:val="0"/>
          <w:szCs w:val="22"/>
          <w:lang w:val="af-ZA" w:eastAsia="en-US"/>
        </w:rPr>
        <w:t xml:space="preserve"> </w:t>
      </w:r>
      <w:r w:rsidRPr="006E7E1F">
        <w:rPr>
          <w:rFonts w:cs="Sylfaen"/>
          <w:b w:val="0"/>
          <w:szCs w:val="22"/>
          <w:lang w:val="hy-AM" w:eastAsia="en-US"/>
        </w:rPr>
        <w:t>կկազմեն</w:t>
      </w:r>
      <w:r w:rsidRPr="00A83C94">
        <w:rPr>
          <w:rFonts w:cs="Sylfaen"/>
          <w:b w:val="0"/>
          <w:szCs w:val="22"/>
          <w:lang w:val="af-ZA" w:eastAsia="en-US"/>
        </w:rPr>
        <w:t xml:space="preserve"> </w:t>
      </w:r>
      <w:r w:rsidRPr="006E7E1F">
        <w:rPr>
          <w:rFonts w:cs="Sylfaen"/>
          <w:b w:val="0"/>
          <w:szCs w:val="22"/>
          <w:lang w:val="hy-AM" w:eastAsia="en-US"/>
        </w:rPr>
        <w:t>ոչ</w:t>
      </w:r>
      <w:r w:rsidRPr="00A83C94">
        <w:rPr>
          <w:rFonts w:cs="Sylfaen"/>
          <w:b w:val="0"/>
          <w:szCs w:val="22"/>
          <w:lang w:val="af-ZA" w:eastAsia="en-US"/>
        </w:rPr>
        <w:t xml:space="preserve"> </w:t>
      </w:r>
      <w:r w:rsidRPr="006E7E1F">
        <w:rPr>
          <w:rFonts w:cs="Sylfaen"/>
          <w:b w:val="0"/>
          <w:szCs w:val="22"/>
          <w:lang w:val="hy-AM" w:eastAsia="en-US"/>
        </w:rPr>
        <w:t>ֆինանսական</w:t>
      </w:r>
      <w:r w:rsidRPr="00A83C94">
        <w:rPr>
          <w:rFonts w:cs="Sylfaen"/>
          <w:b w:val="0"/>
          <w:szCs w:val="22"/>
          <w:lang w:val="af-ZA" w:eastAsia="en-US"/>
        </w:rPr>
        <w:t xml:space="preserve"> </w:t>
      </w:r>
      <w:r w:rsidRPr="006E7E1F">
        <w:rPr>
          <w:rFonts w:cs="Sylfaen"/>
          <w:b w:val="0"/>
          <w:szCs w:val="22"/>
          <w:lang w:val="hy-AM" w:eastAsia="en-US"/>
        </w:rPr>
        <w:t>ակտիվ</w:t>
      </w:r>
      <w:r w:rsidRPr="00A83C94">
        <w:rPr>
          <w:rFonts w:cs="Sylfaen"/>
          <w:b w:val="0"/>
          <w:szCs w:val="22"/>
          <w:lang w:val="af-ZA" w:eastAsia="en-US"/>
        </w:rPr>
        <w:softHyphen/>
      </w:r>
      <w:r w:rsidRPr="006E7E1F">
        <w:rPr>
          <w:rFonts w:cs="Sylfaen"/>
          <w:b w:val="0"/>
          <w:szCs w:val="22"/>
          <w:lang w:val="hy-AM" w:eastAsia="en-US"/>
        </w:rPr>
        <w:t>ների</w:t>
      </w:r>
      <w:r w:rsidRPr="00A83C94">
        <w:rPr>
          <w:rFonts w:cs="Sylfaen"/>
          <w:b w:val="0"/>
          <w:szCs w:val="22"/>
          <w:lang w:val="af-ZA" w:eastAsia="en-US"/>
        </w:rPr>
        <w:t xml:space="preserve"> </w:t>
      </w:r>
      <w:r w:rsidRPr="006E7E1F">
        <w:rPr>
          <w:rFonts w:cs="Sylfaen"/>
          <w:b w:val="0"/>
          <w:szCs w:val="22"/>
          <w:lang w:val="hy-AM" w:eastAsia="en-US"/>
        </w:rPr>
        <w:t>գծով</w:t>
      </w:r>
      <w:r w:rsidRPr="00A83C94">
        <w:rPr>
          <w:b w:val="0"/>
          <w:szCs w:val="22"/>
          <w:lang w:val="af-ZA" w:eastAsia="en-US"/>
        </w:rPr>
        <w:t xml:space="preserve"> </w:t>
      </w:r>
      <w:r w:rsidRPr="006E7E1F">
        <w:rPr>
          <w:rFonts w:cs="Sylfaen"/>
          <w:b w:val="0"/>
          <w:szCs w:val="22"/>
          <w:lang w:val="hy-AM" w:eastAsia="en-US"/>
        </w:rPr>
        <w:t>ծախսերը</w:t>
      </w:r>
      <w:r w:rsidRPr="00A83C94">
        <w:rPr>
          <w:rFonts w:cs="Sylfaen"/>
          <w:b w:val="0"/>
          <w:szCs w:val="22"/>
          <w:lang w:val="af-ZA" w:eastAsia="en-US"/>
        </w:rPr>
        <w:t xml:space="preserve">, </w:t>
      </w:r>
      <w:r w:rsidRPr="00A83C94">
        <w:rPr>
          <w:b w:val="0"/>
          <w:szCs w:val="22"/>
          <w:lang w:val="af-ZA" w:eastAsia="en-US"/>
        </w:rPr>
        <w:t xml:space="preserve">(2021 </w:t>
      </w:r>
      <w:r w:rsidRPr="006E7E1F">
        <w:rPr>
          <w:b w:val="0"/>
          <w:szCs w:val="22"/>
          <w:lang w:val="hy-AM" w:eastAsia="en-US"/>
        </w:rPr>
        <w:t>թվակա</w:t>
      </w:r>
      <w:r w:rsidRPr="006E7E1F">
        <w:rPr>
          <w:rFonts w:cs="Sylfaen"/>
          <w:b w:val="0"/>
          <w:szCs w:val="22"/>
          <w:lang w:val="hy-AM" w:eastAsia="en-US"/>
        </w:rPr>
        <w:t>նին</w:t>
      </w:r>
      <w:r w:rsidRPr="00A83C94">
        <w:rPr>
          <w:b w:val="0"/>
          <w:szCs w:val="22"/>
          <w:lang w:val="af-ZA" w:eastAsia="en-US"/>
        </w:rPr>
        <w:t xml:space="preserve"> </w:t>
      </w:r>
      <w:r w:rsidRPr="006E7E1F">
        <w:rPr>
          <w:rFonts w:cs="Sylfaen"/>
          <w:b w:val="0"/>
          <w:szCs w:val="22"/>
          <w:lang w:val="hy-AM" w:eastAsia="en-US"/>
        </w:rPr>
        <w:t>այդ</w:t>
      </w:r>
      <w:r w:rsidRPr="00A83C94">
        <w:rPr>
          <w:b w:val="0"/>
          <w:szCs w:val="22"/>
          <w:lang w:val="af-ZA" w:eastAsia="en-US"/>
        </w:rPr>
        <w:t xml:space="preserve"> </w:t>
      </w:r>
      <w:r w:rsidRPr="006E7E1F">
        <w:rPr>
          <w:rFonts w:cs="Sylfaen"/>
          <w:b w:val="0"/>
          <w:szCs w:val="22"/>
          <w:lang w:val="hy-AM" w:eastAsia="en-US"/>
        </w:rPr>
        <w:t>ցուցանիշը</w:t>
      </w:r>
      <w:r w:rsidRPr="00A83C94">
        <w:rPr>
          <w:rFonts w:cs="Sylfaen"/>
          <w:b w:val="0"/>
          <w:szCs w:val="22"/>
          <w:lang w:val="af-ZA" w:eastAsia="en-US"/>
        </w:rPr>
        <w:t xml:space="preserve"> </w:t>
      </w:r>
      <w:r w:rsidRPr="006E7E1F">
        <w:rPr>
          <w:rFonts w:cs="Sylfaen"/>
          <w:b w:val="0"/>
          <w:szCs w:val="22"/>
          <w:lang w:val="hy-AM" w:eastAsia="en-US"/>
        </w:rPr>
        <w:t>ծրագրվել</w:t>
      </w:r>
      <w:r w:rsidRPr="00A83C94">
        <w:rPr>
          <w:b w:val="0"/>
          <w:szCs w:val="22"/>
          <w:lang w:val="af-ZA" w:eastAsia="en-US"/>
        </w:rPr>
        <w:t xml:space="preserve"> </w:t>
      </w:r>
      <w:r w:rsidRPr="006E7E1F">
        <w:rPr>
          <w:rFonts w:cs="Sylfaen"/>
          <w:b w:val="0"/>
          <w:szCs w:val="22"/>
          <w:lang w:val="hy-AM" w:eastAsia="en-US"/>
        </w:rPr>
        <w:t>է</w:t>
      </w:r>
      <w:r w:rsidRPr="00A83C94">
        <w:rPr>
          <w:b w:val="0"/>
          <w:szCs w:val="22"/>
          <w:lang w:val="af-ZA" w:eastAsia="en-US"/>
        </w:rPr>
        <w:t xml:space="preserve"> </w:t>
      </w:r>
      <w:r w:rsidRPr="00A83C94">
        <w:rPr>
          <w:b w:val="0"/>
          <w:szCs w:val="22"/>
          <w:lang w:val="hy-AM" w:eastAsia="en-US"/>
        </w:rPr>
        <w:t>1</w:t>
      </w:r>
      <w:r w:rsidRPr="00A83C94">
        <w:rPr>
          <w:b w:val="0"/>
          <w:szCs w:val="22"/>
          <w:lang w:val="af-ZA" w:eastAsia="en-US"/>
        </w:rPr>
        <w:t xml:space="preserve">1.7%): </w:t>
      </w:r>
    </w:p>
    <w:p w14:paraId="740FC9B4" w14:textId="77777777" w:rsidR="006E7E1F" w:rsidRPr="006E7E1F" w:rsidRDefault="006E7E1F" w:rsidP="006E7E1F">
      <w:pPr>
        <w:spacing w:line="276" w:lineRule="auto"/>
        <w:ind w:firstLine="475"/>
        <w:rPr>
          <w:b w:val="0"/>
          <w:lang w:val="af-ZA"/>
        </w:rPr>
      </w:pPr>
      <w:r w:rsidRPr="006E7E1F">
        <w:rPr>
          <w:b w:val="0"/>
          <w:lang w:val="af-ZA"/>
        </w:rPr>
        <w:t>20</w:t>
      </w:r>
      <w:r w:rsidRPr="006E7E1F">
        <w:rPr>
          <w:b w:val="0"/>
          <w:lang w:val="hy-AM"/>
        </w:rPr>
        <w:t>2</w:t>
      </w:r>
      <w:r w:rsidRPr="006E7E1F">
        <w:rPr>
          <w:b w:val="0"/>
          <w:lang w:val="af-ZA"/>
        </w:rPr>
        <w:t>2</w:t>
      </w:r>
      <w:r w:rsidRPr="006E7E1F">
        <w:rPr>
          <w:b w:val="0"/>
        </w:rPr>
        <w:t>թվակա</w:t>
      </w:r>
      <w:r w:rsidRPr="006E7E1F">
        <w:rPr>
          <w:rFonts w:cs="Sylfaen"/>
          <w:b w:val="0"/>
        </w:rPr>
        <w:t>նի</w:t>
      </w:r>
      <w:r w:rsidRPr="006E7E1F">
        <w:rPr>
          <w:b w:val="0"/>
          <w:lang w:val="af-ZA"/>
        </w:rPr>
        <w:t xml:space="preserve"> </w:t>
      </w:r>
      <w:r w:rsidRPr="006E7E1F">
        <w:rPr>
          <w:rFonts w:cs="Sylfaen"/>
          <w:b w:val="0"/>
        </w:rPr>
        <w:t>ընթացքում</w:t>
      </w:r>
      <w:r w:rsidRPr="006E7E1F">
        <w:rPr>
          <w:rFonts w:cs="Sylfaen"/>
          <w:b w:val="0"/>
          <w:lang w:val="af-ZA"/>
        </w:rPr>
        <w:t xml:space="preserve"> </w:t>
      </w:r>
      <w:r w:rsidRPr="006E7E1F">
        <w:rPr>
          <w:rFonts w:cs="Sylfaen"/>
          <w:b w:val="0"/>
        </w:rPr>
        <w:t>ոչ</w:t>
      </w:r>
      <w:r w:rsidRPr="006E7E1F">
        <w:rPr>
          <w:rFonts w:cs="Sylfaen"/>
          <w:b w:val="0"/>
          <w:lang w:val="af-ZA"/>
        </w:rPr>
        <w:t xml:space="preserve"> </w:t>
      </w:r>
      <w:r w:rsidRPr="006E7E1F">
        <w:rPr>
          <w:rFonts w:cs="Sylfaen"/>
          <w:b w:val="0"/>
        </w:rPr>
        <w:t>ֆինանսական</w:t>
      </w:r>
      <w:r w:rsidRPr="006E7E1F">
        <w:rPr>
          <w:rFonts w:cs="Sylfaen"/>
          <w:b w:val="0"/>
          <w:lang w:val="af-ZA"/>
        </w:rPr>
        <w:t xml:space="preserve"> </w:t>
      </w:r>
      <w:r w:rsidRPr="006E7E1F">
        <w:rPr>
          <w:rFonts w:cs="Sylfaen"/>
          <w:b w:val="0"/>
        </w:rPr>
        <w:t>ակտիվ</w:t>
      </w:r>
      <w:r w:rsidRPr="006E7E1F">
        <w:rPr>
          <w:rFonts w:cs="Sylfaen"/>
          <w:b w:val="0"/>
          <w:lang w:val="af-ZA"/>
        </w:rPr>
        <w:softHyphen/>
      </w:r>
      <w:r w:rsidRPr="006E7E1F">
        <w:rPr>
          <w:rFonts w:cs="Sylfaen"/>
          <w:b w:val="0"/>
        </w:rPr>
        <w:t>ների</w:t>
      </w:r>
      <w:r w:rsidRPr="006E7E1F">
        <w:rPr>
          <w:rFonts w:cs="Sylfaen"/>
          <w:b w:val="0"/>
          <w:lang w:val="af-ZA"/>
        </w:rPr>
        <w:t xml:space="preserve"> </w:t>
      </w:r>
      <w:r w:rsidRPr="006E7E1F">
        <w:rPr>
          <w:rFonts w:cs="Sylfaen"/>
          <w:b w:val="0"/>
        </w:rPr>
        <w:t>գծով</w:t>
      </w:r>
      <w:r w:rsidRPr="006E7E1F">
        <w:rPr>
          <w:rFonts w:cs="Sylfaen"/>
          <w:b w:val="0"/>
          <w:lang w:val="af-ZA"/>
        </w:rPr>
        <w:t xml:space="preserve"> </w:t>
      </w:r>
      <w:r w:rsidRPr="006E7E1F">
        <w:rPr>
          <w:rFonts w:cs="Sylfaen"/>
          <w:b w:val="0"/>
        </w:rPr>
        <w:t>ծախսերի</w:t>
      </w:r>
      <w:r w:rsidRPr="006E7E1F">
        <w:rPr>
          <w:b w:val="0"/>
          <w:lang w:val="af-ZA"/>
        </w:rPr>
        <w:t xml:space="preserve"> </w:t>
      </w:r>
      <w:r w:rsidRPr="006E7E1F">
        <w:rPr>
          <w:b w:val="0"/>
          <w:lang w:val="hy-AM"/>
        </w:rPr>
        <w:t xml:space="preserve">ֆինանսավորման կառուցվածքում արձանագրվում է արտաքին </w:t>
      </w:r>
      <w:r w:rsidRPr="006E7E1F">
        <w:rPr>
          <w:b w:val="0"/>
        </w:rPr>
        <w:t>և</w:t>
      </w:r>
      <w:r w:rsidRPr="006E7E1F">
        <w:rPr>
          <w:b w:val="0"/>
          <w:lang w:val="hy-AM"/>
        </w:rPr>
        <w:t xml:space="preserve"> ներքին աղբյուրների ծավալի </w:t>
      </w:r>
      <w:r w:rsidRPr="006E7E1F">
        <w:rPr>
          <w:b w:val="0"/>
        </w:rPr>
        <w:t>ավելացում</w:t>
      </w:r>
      <w:r w:rsidRPr="006E7E1F">
        <w:rPr>
          <w:b w:val="0"/>
          <w:lang w:val="hy-AM"/>
        </w:rPr>
        <w:t>:</w:t>
      </w:r>
      <w:r w:rsidRPr="006E7E1F">
        <w:rPr>
          <w:b w:val="0"/>
          <w:lang w:val="af-ZA"/>
        </w:rPr>
        <w:t xml:space="preserve"> Ընդ որում </w:t>
      </w:r>
      <w:r w:rsidRPr="006E7E1F">
        <w:rPr>
          <w:b w:val="0"/>
          <w:lang w:val="hy-AM"/>
        </w:rPr>
        <w:t xml:space="preserve">ներքին աղբյուրների ծավալի </w:t>
      </w:r>
      <w:r w:rsidRPr="006E7E1F">
        <w:rPr>
          <w:b w:val="0"/>
        </w:rPr>
        <w:t>ավելացումը</w:t>
      </w:r>
      <w:r w:rsidRPr="006E7E1F">
        <w:rPr>
          <w:b w:val="0"/>
          <w:lang w:val="af-ZA"/>
        </w:rPr>
        <w:t xml:space="preserve"> </w:t>
      </w:r>
      <w:r w:rsidRPr="006E7E1F">
        <w:rPr>
          <w:b w:val="0"/>
        </w:rPr>
        <w:t>կրում</w:t>
      </w:r>
      <w:r w:rsidRPr="006E7E1F">
        <w:rPr>
          <w:b w:val="0"/>
          <w:lang w:val="af-ZA"/>
        </w:rPr>
        <w:t xml:space="preserve"> </w:t>
      </w:r>
      <w:r w:rsidRPr="006E7E1F">
        <w:rPr>
          <w:b w:val="0"/>
        </w:rPr>
        <w:t>է</w:t>
      </w:r>
      <w:r w:rsidRPr="006E7E1F">
        <w:rPr>
          <w:b w:val="0"/>
          <w:lang w:val="af-ZA"/>
        </w:rPr>
        <w:t xml:space="preserve"> </w:t>
      </w:r>
      <w:r w:rsidRPr="006E7E1F">
        <w:rPr>
          <w:b w:val="0"/>
        </w:rPr>
        <w:t>առաջանցիկ</w:t>
      </w:r>
      <w:r w:rsidRPr="006E7E1F">
        <w:rPr>
          <w:b w:val="0"/>
          <w:lang w:val="af-ZA"/>
        </w:rPr>
        <w:t xml:space="preserve"> </w:t>
      </w:r>
      <w:r w:rsidRPr="006E7E1F">
        <w:rPr>
          <w:b w:val="0"/>
        </w:rPr>
        <w:t>բնույթ</w:t>
      </w:r>
      <w:r w:rsidRPr="006E7E1F">
        <w:rPr>
          <w:b w:val="0"/>
          <w:lang w:val="af-ZA"/>
        </w:rPr>
        <w:t>:</w:t>
      </w:r>
    </w:p>
    <w:p w14:paraId="1CBA0723" w14:textId="77777777" w:rsidR="006E7E1F" w:rsidRDefault="006E7E1F" w:rsidP="006E7E1F">
      <w:pPr>
        <w:spacing w:line="276" w:lineRule="auto"/>
        <w:ind w:firstLine="475"/>
        <w:jc w:val="center"/>
        <w:rPr>
          <w:rFonts w:eastAsia="Calibri"/>
          <w:b w:val="0"/>
          <w:i/>
          <w:iCs/>
          <w:color w:val="000000"/>
          <w:lang w:val="hy-AM"/>
        </w:rPr>
      </w:pPr>
    </w:p>
    <w:p w14:paraId="27B09039" w14:textId="66985DED" w:rsidR="006E7E1F" w:rsidRPr="00A60550" w:rsidRDefault="00E0510E" w:rsidP="00E0510E">
      <w:pPr>
        <w:pStyle w:val="Caption"/>
        <w:rPr>
          <w:rFonts w:cs="Sylfaen"/>
          <w:lang w:val="hy-AM"/>
        </w:rPr>
      </w:pPr>
      <w:bookmarkStart w:id="245" w:name="_Toc83929501"/>
      <w:r w:rsidRPr="008B1D49">
        <w:rPr>
          <w:lang w:val="hy-AM"/>
        </w:rPr>
        <w:t xml:space="preserve">Գծապատկեր </w:t>
      </w:r>
      <w:r>
        <w:fldChar w:fldCharType="begin"/>
      </w:r>
      <w:r w:rsidRPr="008B1D49">
        <w:rPr>
          <w:lang w:val="hy-AM"/>
        </w:rPr>
        <w:instrText xml:space="preserve"> SEQ Գծապատկեր \* ARABIC </w:instrText>
      </w:r>
      <w:r>
        <w:fldChar w:fldCharType="separate"/>
      </w:r>
      <w:r w:rsidR="0077355D">
        <w:rPr>
          <w:noProof/>
          <w:lang w:val="hy-AM"/>
        </w:rPr>
        <w:t>4</w:t>
      </w:r>
      <w:r>
        <w:fldChar w:fldCharType="end"/>
      </w:r>
      <w:r w:rsidR="006E7E1F" w:rsidRPr="006E7E1F">
        <w:rPr>
          <w:b/>
          <w:bCs w:val="0"/>
          <w:lang w:val="hy-AM"/>
        </w:rPr>
        <w:t>.</w:t>
      </w:r>
      <w:r w:rsidR="006E7E1F" w:rsidRPr="008C23C8">
        <w:rPr>
          <w:rFonts w:eastAsia="Calibri"/>
          <w:i/>
          <w:iCs/>
          <w:color w:val="000000"/>
          <w:sz w:val="20"/>
          <w:szCs w:val="20"/>
          <w:lang w:val="hy-AM"/>
        </w:rPr>
        <w:t xml:space="preserve"> </w:t>
      </w:r>
      <w:r w:rsidR="006E7E1F" w:rsidRPr="006E7E1F">
        <w:rPr>
          <w:rFonts w:cs="Sylfaen"/>
          <w:i/>
          <w:sz w:val="20"/>
          <w:szCs w:val="20"/>
          <w:lang w:val="hy-AM"/>
        </w:rPr>
        <w:t>2018-2022 թթ</w:t>
      </w:r>
      <w:r w:rsidR="006E7E1F" w:rsidRPr="006E7E1F">
        <w:rPr>
          <w:rFonts w:ascii="Cambria Math" w:hAnsi="Cambria Math" w:cs="Cambria Math"/>
          <w:i/>
          <w:sz w:val="20"/>
          <w:szCs w:val="20"/>
          <w:lang w:val="hy-AM"/>
        </w:rPr>
        <w:t>․</w:t>
      </w:r>
      <w:r w:rsidR="006E7E1F" w:rsidRPr="006E7E1F">
        <w:rPr>
          <w:rFonts w:cs="Sylfaen"/>
          <w:i/>
          <w:sz w:val="20"/>
          <w:szCs w:val="20"/>
          <w:lang w:val="hy-AM"/>
        </w:rPr>
        <w:t>ոչ ֆինանսական ակտիվ</w:t>
      </w:r>
      <w:r w:rsidR="006E7E1F" w:rsidRPr="006E7E1F">
        <w:rPr>
          <w:rFonts w:cs="Sylfaen"/>
          <w:i/>
          <w:sz w:val="20"/>
          <w:szCs w:val="20"/>
          <w:lang w:val="hy-AM"/>
        </w:rPr>
        <w:softHyphen/>
        <w:t>ների գծով ծախսերի ֆինանսավորման կառուցվածքը</w:t>
      </w:r>
      <w:bookmarkEnd w:id="245"/>
    </w:p>
    <w:p w14:paraId="3B99B1A0" w14:textId="77777777" w:rsidR="006E7E1F" w:rsidRDefault="006E7E1F" w:rsidP="006E7E1F">
      <w:pPr>
        <w:rPr>
          <w:lang w:val="hy-AM"/>
        </w:rPr>
      </w:pPr>
      <w:r>
        <w:rPr>
          <w:noProof/>
          <w:lang w:val="en-US" w:eastAsia="en-US"/>
        </w:rPr>
        <mc:AlternateContent>
          <mc:Choice Requires="wps">
            <w:drawing>
              <wp:anchor distT="0" distB="0" distL="114300" distR="114300" simplePos="0" relativeHeight="251878400" behindDoc="0" locked="0" layoutInCell="1" allowOverlap="1" wp14:anchorId="79BD1794" wp14:editId="663E8E36">
                <wp:simplePos x="0" y="0"/>
                <wp:positionH relativeFrom="column">
                  <wp:posOffset>5309235</wp:posOffset>
                </wp:positionH>
                <wp:positionV relativeFrom="paragraph">
                  <wp:posOffset>450215</wp:posOffset>
                </wp:positionV>
                <wp:extent cx="190500" cy="2286000"/>
                <wp:effectExtent l="152400" t="19050" r="19050" b="38100"/>
                <wp:wrapNone/>
                <wp:docPr id="37" name="Left Brac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286000"/>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04473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7" o:spid="_x0000_s1026" type="#_x0000_t87" style="position:absolute;margin-left:418.05pt;margin-top:35.45pt;width:15pt;height:18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" adj="1617" strokecolor="#17365d [2415]" strokeweight="3.75pt"/>
            </w:pict>
          </mc:Fallback>
        </mc:AlternateContent>
      </w:r>
      <w:r>
        <w:rPr>
          <w:noProof/>
          <w:lang w:val="en-US" w:eastAsia="en-US"/>
        </w:rPr>
        <mc:AlternateContent>
          <mc:Choice Requires="wps">
            <w:drawing>
              <wp:anchor distT="0" distB="0" distL="114300" distR="114300" simplePos="0" relativeHeight="251877376" behindDoc="0" locked="0" layoutInCell="1" allowOverlap="1" wp14:anchorId="08E29ACB" wp14:editId="785903CE">
                <wp:simplePos x="0" y="0"/>
                <wp:positionH relativeFrom="column">
                  <wp:posOffset>4232911</wp:posOffset>
                </wp:positionH>
                <wp:positionV relativeFrom="paragraph">
                  <wp:posOffset>1374140</wp:posOffset>
                </wp:positionV>
                <wp:extent cx="190500" cy="1362075"/>
                <wp:effectExtent l="152400" t="19050" r="19050" b="47625"/>
                <wp:wrapNone/>
                <wp:docPr id="38"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362075"/>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7CCC5" id="Left Brace 1" o:spid="_x0000_s1026" type="#_x0000_t87" style="position:absolute;margin-left:333.3pt;margin-top:108.2pt;width:15pt;height:107.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" adj="2715" strokecolor="#17365d [2415]" strokeweight="3.75pt"/>
            </w:pict>
          </mc:Fallback>
        </mc:AlternateContent>
      </w:r>
      <w:r>
        <w:rPr>
          <w:noProof/>
          <w:lang w:val="en-US" w:eastAsia="en-US"/>
        </w:rPr>
        <mc:AlternateContent>
          <mc:Choice Requires="wps">
            <w:drawing>
              <wp:anchor distT="0" distB="0" distL="114300" distR="114300" simplePos="0" relativeHeight="251879424" behindDoc="0" locked="0" layoutInCell="1" allowOverlap="1" wp14:anchorId="09F40088" wp14:editId="70C51D45">
                <wp:simplePos x="0" y="0"/>
                <wp:positionH relativeFrom="column">
                  <wp:posOffset>3280410</wp:posOffset>
                </wp:positionH>
                <wp:positionV relativeFrom="paragraph">
                  <wp:posOffset>1307464</wp:posOffset>
                </wp:positionV>
                <wp:extent cx="95250" cy="1457325"/>
                <wp:effectExtent l="19050" t="19050" r="19050" b="47625"/>
                <wp:wrapNone/>
                <wp:docPr id="39"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457325"/>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2F5B3" id="Left Brace 1" o:spid="_x0000_s1026" type="#_x0000_t87" style="position:absolute;margin-left:258.3pt;margin-top:102.95pt;width:7.5pt;height:11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" adj="1269" strokecolor="#17365d [2415]" strokeweight="3.75pt"/>
            </w:pict>
          </mc:Fallback>
        </mc:AlternateContent>
      </w:r>
      <w:r>
        <w:rPr>
          <w:noProof/>
          <w:lang w:val="en-US" w:eastAsia="en-US"/>
        </w:rPr>
        <mc:AlternateContent>
          <mc:Choice Requires="wps">
            <w:drawing>
              <wp:anchor distT="0" distB="0" distL="114300" distR="114300" simplePos="0" relativeHeight="251880448" behindDoc="0" locked="0" layoutInCell="1" allowOverlap="1" wp14:anchorId="5500E54A" wp14:editId="1E69203A">
                <wp:simplePos x="0" y="0"/>
                <wp:positionH relativeFrom="column">
                  <wp:posOffset>2185035</wp:posOffset>
                </wp:positionH>
                <wp:positionV relativeFrom="paragraph">
                  <wp:posOffset>1574165</wp:posOffset>
                </wp:positionV>
                <wp:extent cx="152400" cy="1162050"/>
                <wp:effectExtent l="114300" t="19050" r="19050" b="38100"/>
                <wp:wrapNone/>
                <wp:docPr id="41"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162050"/>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59AC4" id="Left Brace 1" o:spid="_x0000_s1026" type="#_x0000_t87" style="position:absolute;margin-left:172.05pt;margin-top:123.95pt;width:12pt;height: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" adj="2546" strokecolor="#17365d [2415]" strokeweight="3.75pt"/>
            </w:pict>
          </mc:Fallback>
        </mc:AlternateContent>
      </w:r>
      <w:r w:rsidRPr="0035033F">
        <w:rPr>
          <w:noProof/>
          <w:lang w:val="en-US" w:eastAsia="en-US"/>
        </w:rPr>
        <w:drawing>
          <wp:inline distT="0" distB="0" distL="0" distR="0" wp14:anchorId="42060A77" wp14:editId="7CCC5650">
            <wp:extent cx="5810250" cy="3733800"/>
            <wp:effectExtent l="0" t="0" r="0" b="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lang w:val="hy-AM"/>
        </w:rPr>
        <w:t xml:space="preserve"> </w:t>
      </w:r>
    </w:p>
    <w:p w14:paraId="12401594" w14:textId="77777777" w:rsidR="006E7E1F" w:rsidRPr="006E7E1F" w:rsidRDefault="006E7E1F" w:rsidP="006E7E1F">
      <w:pPr>
        <w:ind w:firstLine="480"/>
        <w:rPr>
          <w:rFonts w:cs="Sylfaen"/>
          <w:b w:val="0"/>
          <w:lang w:val="hy-AM"/>
        </w:rPr>
      </w:pPr>
      <w:r w:rsidRPr="006E7E1F">
        <w:rPr>
          <w:rFonts w:cs="Sylfaen"/>
          <w:b w:val="0"/>
          <w:lang w:val="hy-AM"/>
        </w:rPr>
        <w:t>Ոչ</w:t>
      </w:r>
      <w:r w:rsidRPr="006E7E1F">
        <w:rPr>
          <w:b w:val="0"/>
          <w:lang w:val="hy-AM"/>
        </w:rPr>
        <w:t xml:space="preserve"> </w:t>
      </w:r>
      <w:r w:rsidRPr="006E7E1F">
        <w:rPr>
          <w:rFonts w:cs="Sylfaen"/>
          <w:b w:val="0"/>
          <w:lang w:val="hy-AM"/>
        </w:rPr>
        <w:t>ֆինանսական</w:t>
      </w:r>
      <w:r w:rsidRPr="006E7E1F">
        <w:rPr>
          <w:b w:val="0"/>
          <w:lang w:val="hy-AM"/>
        </w:rPr>
        <w:t xml:space="preserve"> </w:t>
      </w:r>
      <w:r w:rsidRPr="006E7E1F">
        <w:rPr>
          <w:rFonts w:cs="Sylfaen"/>
          <w:b w:val="0"/>
          <w:lang w:val="hy-AM"/>
        </w:rPr>
        <w:t>ակտիվների</w:t>
      </w:r>
      <w:r w:rsidRPr="006E7E1F">
        <w:rPr>
          <w:b w:val="0"/>
          <w:lang w:val="hy-AM"/>
        </w:rPr>
        <w:t xml:space="preserve"> </w:t>
      </w:r>
      <w:r w:rsidRPr="006E7E1F">
        <w:rPr>
          <w:rFonts w:cs="Sylfaen"/>
          <w:b w:val="0"/>
          <w:lang w:val="hy-AM"/>
        </w:rPr>
        <w:t>գծով</w:t>
      </w:r>
      <w:r w:rsidRPr="006E7E1F">
        <w:rPr>
          <w:b w:val="0"/>
          <w:lang w:val="hy-AM"/>
        </w:rPr>
        <w:t xml:space="preserve"> </w:t>
      </w:r>
      <w:r w:rsidRPr="006E7E1F">
        <w:rPr>
          <w:rFonts w:cs="Sylfaen"/>
          <w:b w:val="0"/>
          <w:lang w:val="hy-AM"/>
        </w:rPr>
        <w:t>ծախսերի</w:t>
      </w:r>
      <w:r w:rsidRPr="006E7E1F">
        <w:rPr>
          <w:b w:val="0"/>
          <w:lang w:val="hy-AM"/>
        </w:rPr>
        <w:t xml:space="preserve"> </w:t>
      </w:r>
      <w:r w:rsidRPr="006E7E1F">
        <w:rPr>
          <w:rFonts w:cs="Sylfaen"/>
          <w:b w:val="0"/>
          <w:lang w:val="hy-AM"/>
        </w:rPr>
        <w:t>իրակա</w:t>
      </w:r>
      <w:r w:rsidRPr="006E7E1F">
        <w:rPr>
          <w:rFonts w:cs="Sylfaen"/>
          <w:b w:val="0"/>
          <w:lang w:val="hy-AM"/>
        </w:rPr>
        <w:softHyphen/>
        <w:t>նացման</w:t>
      </w:r>
      <w:r w:rsidRPr="006E7E1F">
        <w:rPr>
          <w:b w:val="0"/>
          <w:lang w:val="hy-AM"/>
        </w:rPr>
        <w:t xml:space="preserve"> </w:t>
      </w:r>
      <w:r w:rsidRPr="006E7E1F">
        <w:rPr>
          <w:rFonts w:cs="Sylfaen"/>
          <w:b w:val="0"/>
          <w:lang w:val="hy-AM"/>
        </w:rPr>
        <w:t>գե</w:t>
      </w:r>
      <w:r w:rsidRPr="006E7E1F">
        <w:rPr>
          <w:rFonts w:cs="Sylfaen"/>
          <w:b w:val="0"/>
          <w:lang w:val="hy-AM"/>
        </w:rPr>
        <w:softHyphen/>
        <w:t>րա</w:t>
      </w:r>
      <w:r w:rsidRPr="006E7E1F">
        <w:rPr>
          <w:rFonts w:cs="Sylfaen"/>
          <w:b w:val="0"/>
          <w:lang w:val="hy-AM"/>
        </w:rPr>
        <w:softHyphen/>
      </w:r>
      <w:r w:rsidRPr="006E7E1F">
        <w:rPr>
          <w:rFonts w:cs="Sylfaen"/>
          <w:b w:val="0"/>
          <w:lang w:val="hy-AM"/>
        </w:rPr>
        <w:softHyphen/>
        <w:t>կայու</w:t>
      </w:r>
      <w:r w:rsidRPr="006E7E1F">
        <w:rPr>
          <w:rFonts w:cs="Sylfaen"/>
          <w:b w:val="0"/>
          <w:lang w:val="hy-AM"/>
        </w:rPr>
        <w:softHyphen/>
        <w:t>թյունները</w:t>
      </w:r>
      <w:r w:rsidRPr="006E7E1F">
        <w:rPr>
          <w:b w:val="0"/>
          <w:lang w:val="hy-AM"/>
        </w:rPr>
        <w:t xml:space="preserve"> հանդիսանալու են ինչպես ենթակառուցվածքային, այնպես էլ սոցիալական ոլորտներում ներդրումները</w:t>
      </w:r>
      <w:r w:rsidRPr="006E7E1F">
        <w:rPr>
          <w:rFonts w:cs="Sylfaen"/>
          <w:b w:val="0"/>
          <w:lang w:val="hy-AM"/>
        </w:rPr>
        <w:t>:</w:t>
      </w:r>
    </w:p>
    <w:p w14:paraId="1574399B" w14:textId="2ED93822" w:rsidR="006E7E1F" w:rsidRPr="006E7E1F" w:rsidRDefault="003F382C" w:rsidP="00E0510E">
      <w:pPr>
        <w:pStyle w:val="Caption"/>
        <w:spacing w:before="0" w:after="0" w:line="240" w:lineRule="auto"/>
        <w:ind w:firstLine="562"/>
        <w:rPr>
          <w:sz w:val="20"/>
          <w:szCs w:val="20"/>
          <w:lang w:val="hy-AM"/>
        </w:rPr>
      </w:pPr>
      <w:bookmarkStart w:id="246" w:name="_Toc83928949"/>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12</w:t>
      </w:r>
      <w:r>
        <w:fldChar w:fldCharType="end"/>
      </w:r>
      <w:r w:rsidR="006E7E1F" w:rsidRPr="005F3E1B">
        <w:rPr>
          <w:sz w:val="20"/>
          <w:szCs w:val="20"/>
          <w:lang w:val="af-ZA"/>
        </w:rPr>
        <w:t xml:space="preserve"> </w:t>
      </w:r>
      <w:r w:rsidR="006E7E1F" w:rsidRPr="006E7E1F">
        <w:rPr>
          <w:i/>
          <w:sz w:val="20"/>
          <w:szCs w:val="20"/>
          <w:lang w:val="af-ZA"/>
        </w:rPr>
        <w:t>20</w:t>
      </w:r>
      <w:r w:rsidR="006E7E1F">
        <w:rPr>
          <w:i/>
          <w:sz w:val="20"/>
          <w:szCs w:val="20"/>
          <w:lang w:val="af-ZA"/>
        </w:rPr>
        <w:t>18</w:t>
      </w:r>
      <w:r w:rsidR="006E7E1F" w:rsidRPr="006E7E1F">
        <w:rPr>
          <w:i/>
          <w:sz w:val="20"/>
          <w:szCs w:val="20"/>
          <w:lang w:val="af-ZA"/>
        </w:rPr>
        <w:t>-202</w:t>
      </w:r>
      <w:r w:rsidR="006E7E1F">
        <w:rPr>
          <w:i/>
          <w:sz w:val="20"/>
          <w:szCs w:val="20"/>
          <w:lang w:val="af-ZA"/>
        </w:rPr>
        <w:t>2</w:t>
      </w:r>
      <w:r w:rsidR="006E7E1F" w:rsidRPr="006E7E1F">
        <w:rPr>
          <w:i/>
          <w:sz w:val="20"/>
          <w:szCs w:val="20"/>
          <w:lang w:val="it-IT"/>
        </w:rPr>
        <w:t>թթ</w:t>
      </w:r>
      <w:r w:rsidR="006E7E1F">
        <w:rPr>
          <w:i/>
          <w:sz w:val="20"/>
          <w:szCs w:val="20"/>
          <w:lang w:val="it-IT"/>
        </w:rPr>
        <w:t>.</w:t>
      </w:r>
      <w:r w:rsidR="006E7E1F" w:rsidRPr="006E7E1F">
        <w:rPr>
          <w:i/>
          <w:sz w:val="20"/>
          <w:szCs w:val="20"/>
          <w:lang w:val="af-ZA"/>
        </w:rPr>
        <w:t xml:space="preserve"> </w:t>
      </w:r>
      <w:r w:rsidR="006E7E1F" w:rsidRPr="006E7E1F">
        <w:rPr>
          <w:rFonts w:cs="Sylfaen"/>
          <w:i/>
          <w:sz w:val="20"/>
          <w:szCs w:val="20"/>
          <w:lang w:val="hy-AM"/>
        </w:rPr>
        <w:t>ոչ</w:t>
      </w:r>
      <w:r w:rsidR="006E7E1F" w:rsidRPr="006E7E1F">
        <w:rPr>
          <w:i/>
          <w:sz w:val="20"/>
          <w:szCs w:val="20"/>
          <w:lang w:val="hy-AM"/>
        </w:rPr>
        <w:t xml:space="preserve"> </w:t>
      </w:r>
      <w:r w:rsidR="006E7E1F" w:rsidRPr="006E7E1F">
        <w:rPr>
          <w:rFonts w:cs="Sylfaen"/>
          <w:i/>
          <w:sz w:val="20"/>
          <w:szCs w:val="20"/>
          <w:lang w:val="hy-AM"/>
        </w:rPr>
        <w:t>ֆինանսական</w:t>
      </w:r>
      <w:r w:rsidR="006E7E1F" w:rsidRPr="006E7E1F">
        <w:rPr>
          <w:i/>
          <w:sz w:val="20"/>
          <w:szCs w:val="20"/>
          <w:lang w:val="hy-AM"/>
        </w:rPr>
        <w:t xml:space="preserve"> </w:t>
      </w:r>
      <w:r w:rsidR="006E7E1F" w:rsidRPr="006E7E1F">
        <w:rPr>
          <w:rFonts w:cs="Sylfaen"/>
          <w:i/>
          <w:sz w:val="20"/>
          <w:szCs w:val="20"/>
          <w:lang w:val="hy-AM"/>
        </w:rPr>
        <w:t>ակտիվ</w:t>
      </w:r>
      <w:r w:rsidR="006E7E1F" w:rsidRPr="006E7E1F">
        <w:rPr>
          <w:rFonts w:cs="Sylfaen"/>
          <w:i/>
          <w:sz w:val="20"/>
          <w:szCs w:val="20"/>
          <w:lang w:val="hy-AM"/>
        </w:rPr>
        <w:softHyphen/>
        <w:t>ների</w:t>
      </w:r>
      <w:r w:rsidR="006E7E1F" w:rsidRPr="006E7E1F">
        <w:rPr>
          <w:i/>
          <w:sz w:val="20"/>
          <w:szCs w:val="20"/>
          <w:lang w:val="hy-AM"/>
        </w:rPr>
        <w:t xml:space="preserve"> </w:t>
      </w:r>
      <w:r w:rsidR="006E7E1F" w:rsidRPr="006E7E1F">
        <w:rPr>
          <w:rFonts w:cs="Sylfaen"/>
          <w:i/>
          <w:sz w:val="20"/>
          <w:szCs w:val="20"/>
          <w:lang w:val="hy-AM"/>
        </w:rPr>
        <w:t>գծով</w:t>
      </w:r>
      <w:r w:rsidR="006E7E1F" w:rsidRPr="006E7E1F">
        <w:rPr>
          <w:i/>
          <w:sz w:val="20"/>
          <w:szCs w:val="20"/>
          <w:lang w:val="hy-AM"/>
        </w:rPr>
        <w:t xml:space="preserve"> </w:t>
      </w:r>
      <w:r w:rsidR="006E7E1F" w:rsidRPr="006E7E1F">
        <w:rPr>
          <w:rFonts w:cs="Sylfaen"/>
          <w:i/>
          <w:sz w:val="20"/>
          <w:szCs w:val="20"/>
          <w:lang w:val="hy-AM"/>
        </w:rPr>
        <w:t>ծախսերի</w:t>
      </w:r>
      <w:r w:rsidR="006E7E1F" w:rsidRPr="006E7E1F">
        <w:rPr>
          <w:i/>
          <w:sz w:val="20"/>
          <w:szCs w:val="20"/>
          <w:lang w:val="hy-AM"/>
        </w:rPr>
        <w:t xml:space="preserve"> ֆինանսավորման կառուցվածը ըստ արտաքին և ներքին աղբյուրների</w:t>
      </w:r>
      <w:bookmarkEnd w:id="246"/>
    </w:p>
    <w:p w14:paraId="26D2B944" w14:textId="77777777" w:rsidR="006E7E1F" w:rsidRDefault="006E7E1F" w:rsidP="00E0510E">
      <w:pPr>
        <w:spacing w:before="0" w:line="240" w:lineRule="auto"/>
        <w:ind w:firstLine="562"/>
        <w:jc w:val="right"/>
        <w:rPr>
          <w:sz w:val="20"/>
          <w:szCs w:val="20"/>
          <w:lang w:val="hy-AM"/>
        </w:rPr>
      </w:pPr>
      <w:r w:rsidRPr="006B2C4E">
        <w:rPr>
          <w:sz w:val="20"/>
          <w:szCs w:val="20"/>
          <w:lang w:val="hy-AM"/>
        </w:rPr>
        <w:t xml:space="preserve">մլն </w:t>
      </w:r>
      <w:r>
        <w:rPr>
          <w:sz w:val="20"/>
          <w:szCs w:val="20"/>
          <w:lang w:val="hy-AM"/>
        </w:rPr>
        <w:t>դրամ</w:t>
      </w:r>
    </w:p>
    <w:tbl>
      <w:tblPr>
        <w:tblW w:w="10021" w:type="dxa"/>
        <w:tblLook w:val="04A0" w:firstRow="1" w:lastRow="0" w:firstColumn="1" w:lastColumn="0" w:noHBand="0" w:noVBand="1"/>
      </w:tblPr>
      <w:tblGrid>
        <w:gridCol w:w="3959"/>
        <w:gridCol w:w="1265"/>
        <w:gridCol w:w="1154"/>
        <w:gridCol w:w="1269"/>
        <w:gridCol w:w="1135"/>
        <w:gridCol w:w="1239"/>
      </w:tblGrid>
      <w:tr w:rsidR="006E7E1F" w:rsidRPr="00BF0B57" w14:paraId="1F3F5B79" w14:textId="77777777" w:rsidTr="006C390E">
        <w:trPr>
          <w:trHeight w:val="600"/>
        </w:trPr>
        <w:tc>
          <w:tcPr>
            <w:tcW w:w="3959" w:type="dxa"/>
            <w:tcBorders>
              <w:top w:val="nil"/>
              <w:left w:val="single" w:sz="8" w:space="0" w:color="auto"/>
              <w:bottom w:val="single" w:sz="8" w:space="0" w:color="auto"/>
              <w:right w:val="single" w:sz="8" w:space="0" w:color="auto"/>
            </w:tcBorders>
            <w:shd w:val="clear" w:color="000000" w:fill="365F91"/>
            <w:vAlign w:val="center"/>
            <w:hideMark/>
          </w:tcPr>
          <w:p w14:paraId="7D1A23E4" w14:textId="77777777" w:rsidR="006E7E1F" w:rsidRPr="00BF0B57" w:rsidRDefault="006E7E1F" w:rsidP="006C390E">
            <w:pPr>
              <w:spacing w:before="0" w:line="240" w:lineRule="auto"/>
              <w:ind w:firstLine="0"/>
              <w:jc w:val="left"/>
              <w:rPr>
                <w:color w:val="FFFFFF"/>
                <w:sz w:val="20"/>
                <w:szCs w:val="20"/>
              </w:rPr>
            </w:pPr>
            <w:r w:rsidRPr="00BF0B57">
              <w:rPr>
                <w:color w:val="FFFFFF"/>
                <w:sz w:val="20"/>
                <w:szCs w:val="20"/>
              </w:rPr>
              <w:t>Ցուցանիշներ</w:t>
            </w:r>
          </w:p>
        </w:tc>
        <w:tc>
          <w:tcPr>
            <w:tcW w:w="1276" w:type="dxa"/>
            <w:tcBorders>
              <w:top w:val="nil"/>
              <w:left w:val="nil"/>
              <w:bottom w:val="single" w:sz="8" w:space="0" w:color="auto"/>
              <w:right w:val="single" w:sz="8" w:space="0" w:color="auto"/>
            </w:tcBorders>
            <w:shd w:val="clear" w:color="000000" w:fill="365F91"/>
            <w:vAlign w:val="center"/>
            <w:hideMark/>
          </w:tcPr>
          <w:p w14:paraId="6EDFD8E3" w14:textId="77777777" w:rsidR="006E7E1F" w:rsidRPr="00BF0B57" w:rsidRDefault="006E7E1F" w:rsidP="006C390E">
            <w:pPr>
              <w:spacing w:before="0" w:line="240" w:lineRule="auto"/>
              <w:ind w:firstLine="0"/>
              <w:jc w:val="center"/>
              <w:rPr>
                <w:color w:val="FFFFFF"/>
                <w:sz w:val="20"/>
                <w:szCs w:val="20"/>
              </w:rPr>
            </w:pPr>
            <w:r w:rsidRPr="00BF0B57">
              <w:rPr>
                <w:color w:val="FFFFFF"/>
                <w:sz w:val="20"/>
                <w:szCs w:val="20"/>
              </w:rPr>
              <w:t xml:space="preserve">2018թ. </w:t>
            </w:r>
          </w:p>
        </w:tc>
        <w:tc>
          <w:tcPr>
            <w:tcW w:w="1134" w:type="dxa"/>
            <w:tcBorders>
              <w:top w:val="nil"/>
              <w:left w:val="nil"/>
              <w:bottom w:val="single" w:sz="8" w:space="0" w:color="auto"/>
              <w:right w:val="single" w:sz="8" w:space="0" w:color="auto"/>
            </w:tcBorders>
            <w:shd w:val="clear" w:color="000000" w:fill="365F91"/>
            <w:vAlign w:val="center"/>
            <w:hideMark/>
          </w:tcPr>
          <w:p w14:paraId="1C906E6F" w14:textId="77777777" w:rsidR="006E7E1F" w:rsidRPr="00BF0B57" w:rsidRDefault="006E7E1F" w:rsidP="006C390E">
            <w:pPr>
              <w:spacing w:before="0" w:line="240" w:lineRule="auto"/>
              <w:ind w:firstLine="0"/>
              <w:jc w:val="center"/>
              <w:rPr>
                <w:color w:val="FFFFFF"/>
                <w:sz w:val="20"/>
                <w:szCs w:val="20"/>
              </w:rPr>
            </w:pPr>
            <w:r w:rsidRPr="00BF0B57">
              <w:rPr>
                <w:color w:val="FFFFFF"/>
                <w:sz w:val="20"/>
                <w:szCs w:val="20"/>
              </w:rPr>
              <w:t>2019թ.</w:t>
            </w:r>
          </w:p>
        </w:tc>
        <w:tc>
          <w:tcPr>
            <w:tcW w:w="1275" w:type="dxa"/>
            <w:tcBorders>
              <w:top w:val="nil"/>
              <w:left w:val="nil"/>
              <w:bottom w:val="single" w:sz="8" w:space="0" w:color="auto"/>
              <w:right w:val="single" w:sz="8" w:space="0" w:color="auto"/>
            </w:tcBorders>
            <w:shd w:val="clear" w:color="000000" w:fill="365F91"/>
            <w:vAlign w:val="center"/>
            <w:hideMark/>
          </w:tcPr>
          <w:p w14:paraId="6BE95670" w14:textId="77777777" w:rsidR="006E7E1F" w:rsidRPr="00BF0B57" w:rsidRDefault="006E7E1F" w:rsidP="006C390E">
            <w:pPr>
              <w:spacing w:before="0" w:line="240" w:lineRule="auto"/>
              <w:ind w:firstLine="0"/>
              <w:jc w:val="center"/>
              <w:rPr>
                <w:color w:val="FFFFFF"/>
                <w:sz w:val="20"/>
                <w:szCs w:val="20"/>
              </w:rPr>
            </w:pPr>
            <w:r w:rsidRPr="00BF0B57">
              <w:rPr>
                <w:color w:val="FFFFFF"/>
                <w:sz w:val="20"/>
                <w:szCs w:val="20"/>
              </w:rPr>
              <w:t>2020թ.</w:t>
            </w:r>
          </w:p>
        </w:tc>
        <w:tc>
          <w:tcPr>
            <w:tcW w:w="1135" w:type="dxa"/>
            <w:tcBorders>
              <w:top w:val="nil"/>
              <w:left w:val="nil"/>
              <w:bottom w:val="single" w:sz="8" w:space="0" w:color="auto"/>
              <w:right w:val="single" w:sz="8" w:space="0" w:color="auto"/>
            </w:tcBorders>
            <w:shd w:val="clear" w:color="000000" w:fill="365F91"/>
            <w:vAlign w:val="center"/>
            <w:hideMark/>
          </w:tcPr>
          <w:p w14:paraId="71A5F6C7" w14:textId="77777777" w:rsidR="006E7E1F" w:rsidRPr="00BF0B57" w:rsidRDefault="006E7E1F" w:rsidP="006C390E">
            <w:pPr>
              <w:spacing w:before="0" w:line="240" w:lineRule="auto"/>
              <w:ind w:firstLine="0"/>
              <w:jc w:val="center"/>
              <w:rPr>
                <w:color w:val="FFFFFF"/>
                <w:sz w:val="20"/>
                <w:szCs w:val="20"/>
              </w:rPr>
            </w:pPr>
            <w:r w:rsidRPr="00BF0B57">
              <w:rPr>
                <w:color w:val="FFFFFF"/>
                <w:sz w:val="20"/>
                <w:szCs w:val="20"/>
              </w:rPr>
              <w:t>2021թ.</w:t>
            </w:r>
          </w:p>
        </w:tc>
        <w:tc>
          <w:tcPr>
            <w:tcW w:w="1242" w:type="dxa"/>
            <w:tcBorders>
              <w:top w:val="nil"/>
              <w:left w:val="nil"/>
              <w:bottom w:val="single" w:sz="8" w:space="0" w:color="auto"/>
              <w:right w:val="single" w:sz="8" w:space="0" w:color="auto"/>
            </w:tcBorders>
            <w:shd w:val="clear" w:color="000000" w:fill="365F91"/>
            <w:vAlign w:val="center"/>
            <w:hideMark/>
          </w:tcPr>
          <w:p w14:paraId="06F9264F" w14:textId="77777777" w:rsidR="006E7E1F" w:rsidRPr="00BF0B57" w:rsidRDefault="006E7E1F" w:rsidP="006C390E">
            <w:pPr>
              <w:spacing w:before="0" w:line="240" w:lineRule="auto"/>
              <w:ind w:firstLine="0"/>
              <w:jc w:val="center"/>
              <w:rPr>
                <w:color w:val="FFFFFF"/>
                <w:sz w:val="20"/>
                <w:szCs w:val="20"/>
              </w:rPr>
            </w:pPr>
            <w:r w:rsidRPr="00BF0B57">
              <w:rPr>
                <w:color w:val="FFFFFF"/>
                <w:sz w:val="20"/>
                <w:szCs w:val="20"/>
              </w:rPr>
              <w:t>2022թ.</w:t>
            </w:r>
          </w:p>
        </w:tc>
      </w:tr>
      <w:tr w:rsidR="006E7E1F" w:rsidRPr="00BF0B57" w14:paraId="288A04B7" w14:textId="77777777" w:rsidTr="006C390E">
        <w:trPr>
          <w:trHeight w:val="51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5CA50254" w14:textId="77777777" w:rsidR="006E7E1F" w:rsidRPr="00BF0B57" w:rsidRDefault="006E7E1F" w:rsidP="006C390E">
            <w:pPr>
              <w:spacing w:before="0" w:line="240" w:lineRule="auto"/>
              <w:ind w:firstLine="0"/>
              <w:rPr>
                <w:b w:val="0"/>
                <w:bCs/>
                <w:color w:val="000000"/>
                <w:sz w:val="20"/>
                <w:szCs w:val="20"/>
              </w:rPr>
            </w:pPr>
            <w:r w:rsidRPr="00BF0B57">
              <w:rPr>
                <w:bCs/>
                <w:color w:val="000000"/>
                <w:sz w:val="20"/>
                <w:szCs w:val="20"/>
              </w:rPr>
              <w:t xml:space="preserve"> Ընդամենը </w:t>
            </w:r>
          </w:p>
        </w:tc>
        <w:tc>
          <w:tcPr>
            <w:tcW w:w="1276" w:type="dxa"/>
            <w:tcBorders>
              <w:top w:val="nil"/>
              <w:left w:val="nil"/>
              <w:bottom w:val="single" w:sz="8" w:space="0" w:color="auto"/>
              <w:right w:val="single" w:sz="8" w:space="0" w:color="auto"/>
            </w:tcBorders>
            <w:shd w:val="clear" w:color="000000" w:fill="C6D9F1"/>
            <w:vAlign w:val="center"/>
            <w:hideMark/>
          </w:tcPr>
          <w:p w14:paraId="41573465"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151,988.1</w:t>
            </w:r>
          </w:p>
        </w:tc>
        <w:tc>
          <w:tcPr>
            <w:tcW w:w="1134" w:type="dxa"/>
            <w:tcBorders>
              <w:top w:val="nil"/>
              <w:left w:val="nil"/>
              <w:bottom w:val="single" w:sz="8" w:space="0" w:color="auto"/>
              <w:right w:val="single" w:sz="8" w:space="0" w:color="auto"/>
            </w:tcBorders>
            <w:shd w:val="clear" w:color="000000" w:fill="C6D9F1"/>
            <w:vAlign w:val="center"/>
            <w:hideMark/>
          </w:tcPr>
          <w:p w14:paraId="4981E567"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193,017.1</w:t>
            </w:r>
          </w:p>
        </w:tc>
        <w:tc>
          <w:tcPr>
            <w:tcW w:w="1275" w:type="dxa"/>
            <w:tcBorders>
              <w:top w:val="nil"/>
              <w:left w:val="nil"/>
              <w:bottom w:val="single" w:sz="8" w:space="0" w:color="auto"/>
              <w:right w:val="single" w:sz="8" w:space="0" w:color="auto"/>
            </w:tcBorders>
            <w:shd w:val="clear" w:color="000000" w:fill="C6D9F1"/>
            <w:vAlign w:val="center"/>
            <w:hideMark/>
          </w:tcPr>
          <w:p w14:paraId="174A6AAD"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227,698.4</w:t>
            </w:r>
          </w:p>
        </w:tc>
        <w:tc>
          <w:tcPr>
            <w:tcW w:w="1135" w:type="dxa"/>
            <w:tcBorders>
              <w:top w:val="nil"/>
              <w:left w:val="nil"/>
              <w:bottom w:val="single" w:sz="8" w:space="0" w:color="auto"/>
              <w:right w:val="single" w:sz="8" w:space="0" w:color="auto"/>
            </w:tcBorders>
            <w:shd w:val="clear" w:color="000000" w:fill="C6D9F1"/>
            <w:vAlign w:val="center"/>
            <w:hideMark/>
          </w:tcPr>
          <w:p w14:paraId="1CEB228D"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215,935.5</w:t>
            </w:r>
          </w:p>
        </w:tc>
        <w:tc>
          <w:tcPr>
            <w:tcW w:w="1242" w:type="dxa"/>
            <w:tcBorders>
              <w:top w:val="nil"/>
              <w:left w:val="nil"/>
              <w:bottom w:val="single" w:sz="8" w:space="0" w:color="auto"/>
              <w:right w:val="single" w:sz="8" w:space="0" w:color="auto"/>
            </w:tcBorders>
            <w:shd w:val="clear" w:color="000000" w:fill="C6D9F1"/>
            <w:vAlign w:val="center"/>
            <w:hideMark/>
          </w:tcPr>
          <w:p w14:paraId="03993B71"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356,568.5</w:t>
            </w:r>
          </w:p>
        </w:tc>
      </w:tr>
      <w:tr w:rsidR="006E7E1F" w:rsidRPr="00BF0B57" w14:paraId="07B6A481"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51E3AFD4" w14:textId="77777777" w:rsidR="006E7E1F" w:rsidRPr="00BF0B57" w:rsidRDefault="006E7E1F" w:rsidP="006C390E">
            <w:pPr>
              <w:spacing w:before="0" w:line="240" w:lineRule="auto"/>
              <w:ind w:firstLine="0"/>
              <w:rPr>
                <w:b w:val="0"/>
                <w:bCs/>
                <w:i/>
                <w:iCs/>
                <w:color w:val="000000"/>
                <w:sz w:val="20"/>
                <w:szCs w:val="20"/>
              </w:rPr>
            </w:pPr>
            <w:r w:rsidRPr="00BF0B57">
              <w:rPr>
                <w:bCs/>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26DD3F92"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67,742.2</w:t>
            </w:r>
          </w:p>
        </w:tc>
        <w:tc>
          <w:tcPr>
            <w:tcW w:w="1134" w:type="dxa"/>
            <w:tcBorders>
              <w:top w:val="nil"/>
              <w:left w:val="nil"/>
              <w:bottom w:val="single" w:sz="8" w:space="0" w:color="auto"/>
              <w:right w:val="single" w:sz="8" w:space="0" w:color="auto"/>
            </w:tcBorders>
            <w:shd w:val="clear" w:color="000000" w:fill="FFFFFF"/>
            <w:vAlign w:val="center"/>
            <w:hideMark/>
          </w:tcPr>
          <w:p w14:paraId="10DC7891"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71,630.6</w:t>
            </w:r>
          </w:p>
        </w:tc>
        <w:tc>
          <w:tcPr>
            <w:tcW w:w="1275" w:type="dxa"/>
            <w:tcBorders>
              <w:top w:val="nil"/>
              <w:left w:val="nil"/>
              <w:bottom w:val="single" w:sz="8" w:space="0" w:color="auto"/>
              <w:right w:val="single" w:sz="8" w:space="0" w:color="auto"/>
            </w:tcBorders>
            <w:shd w:val="clear" w:color="000000" w:fill="FFFFFF"/>
            <w:vAlign w:val="center"/>
            <w:hideMark/>
          </w:tcPr>
          <w:p w14:paraId="750A12D0"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44,265.6</w:t>
            </w:r>
          </w:p>
        </w:tc>
        <w:tc>
          <w:tcPr>
            <w:tcW w:w="1135" w:type="dxa"/>
            <w:tcBorders>
              <w:top w:val="nil"/>
              <w:left w:val="nil"/>
              <w:bottom w:val="single" w:sz="8" w:space="0" w:color="auto"/>
              <w:right w:val="single" w:sz="8" w:space="0" w:color="auto"/>
            </w:tcBorders>
            <w:shd w:val="clear" w:color="000000" w:fill="FFFFFF"/>
            <w:vAlign w:val="center"/>
            <w:hideMark/>
          </w:tcPr>
          <w:p w14:paraId="1E80A1FC"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82,926.4</w:t>
            </w:r>
          </w:p>
        </w:tc>
        <w:tc>
          <w:tcPr>
            <w:tcW w:w="1242" w:type="dxa"/>
            <w:tcBorders>
              <w:top w:val="nil"/>
              <w:left w:val="nil"/>
              <w:bottom w:val="single" w:sz="8" w:space="0" w:color="auto"/>
              <w:right w:val="single" w:sz="8" w:space="0" w:color="auto"/>
            </w:tcBorders>
            <w:shd w:val="clear" w:color="auto" w:fill="auto"/>
            <w:vAlign w:val="center"/>
            <w:hideMark/>
          </w:tcPr>
          <w:p w14:paraId="47D31417"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134,773.4</w:t>
            </w:r>
          </w:p>
        </w:tc>
      </w:tr>
      <w:tr w:rsidR="006E7E1F" w:rsidRPr="00BF0B57" w14:paraId="664DCDF2"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4D19CCB" w14:textId="77777777" w:rsidR="006E7E1F" w:rsidRPr="00BF0B57" w:rsidRDefault="006E7E1F" w:rsidP="006C390E">
            <w:pPr>
              <w:spacing w:before="0" w:line="240" w:lineRule="auto"/>
              <w:ind w:firstLine="0"/>
              <w:rPr>
                <w:b w:val="0"/>
                <w:bCs/>
                <w:i/>
                <w:iCs/>
                <w:color w:val="000000"/>
                <w:sz w:val="20"/>
                <w:szCs w:val="20"/>
              </w:rPr>
            </w:pPr>
            <w:r w:rsidRPr="00BF0B57">
              <w:rPr>
                <w:bCs/>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7878C680"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84,245.9</w:t>
            </w:r>
          </w:p>
        </w:tc>
        <w:tc>
          <w:tcPr>
            <w:tcW w:w="1134" w:type="dxa"/>
            <w:tcBorders>
              <w:top w:val="nil"/>
              <w:left w:val="nil"/>
              <w:bottom w:val="single" w:sz="8" w:space="0" w:color="auto"/>
              <w:right w:val="single" w:sz="8" w:space="0" w:color="auto"/>
            </w:tcBorders>
            <w:shd w:val="clear" w:color="000000" w:fill="FFFFFF"/>
            <w:vAlign w:val="center"/>
            <w:hideMark/>
          </w:tcPr>
          <w:p w14:paraId="4C640387"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121,386.5</w:t>
            </w:r>
          </w:p>
        </w:tc>
        <w:tc>
          <w:tcPr>
            <w:tcW w:w="1275" w:type="dxa"/>
            <w:tcBorders>
              <w:top w:val="nil"/>
              <w:left w:val="nil"/>
              <w:bottom w:val="single" w:sz="8" w:space="0" w:color="auto"/>
              <w:right w:val="single" w:sz="8" w:space="0" w:color="auto"/>
            </w:tcBorders>
            <w:shd w:val="clear" w:color="000000" w:fill="FFFFFF"/>
            <w:vAlign w:val="center"/>
            <w:hideMark/>
          </w:tcPr>
          <w:p w14:paraId="33E82298"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183,432.8</w:t>
            </w:r>
          </w:p>
        </w:tc>
        <w:tc>
          <w:tcPr>
            <w:tcW w:w="1135" w:type="dxa"/>
            <w:tcBorders>
              <w:top w:val="nil"/>
              <w:left w:val="nil"/>
              <w:bottom w:val="single" w:sz="8" w:space="0" w:color="auto"/>
              <w:right w:val="single" w:sz="8" w:space="0" w:color="auto"/>
            </w:tcBorders>
            <w:shd w:val="clear" w:color="000000" w:fill="FFFFFF"/>
            <w:vAlign w:val="center"/>
            <w:hideMark/>
          </w:tcPr>
          <w:p w14:paraId="6B83DECF"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133,009.1</w:t>
            </w:r>
          </w:p>
        </w:tc>
        <w:tc>
          <w:tcPr>
            <w:tcW w:w="1242" w:type="dxa"/>
            <w:tcBorders>
              <w:top w:val="nil"/>
              <w:left w:val="nil"/>
              <w:bottom w:val="single" w:sz="8" w:space="0" w:color="auto"/>
              <w:right w:val="single" w:sz="8" w:space="0" w:color="auto"/>
            </w:tcBorders>
            <w:shd w:val="clear" w:color="000000" w:fill="FFFFFF"/>
            <w:vAlign w:val="center"/>
            <w:hideMark/>
          </w:tcPr>
          <w:p w14:paraId="3D0790E1" w14:textId="77777777" w:rsidR="006E7E1F" w:rsidRPr="00BF0B57" w:rsidRDefault="006E7E1F" w:rsidP="006C390E">
            <w:pPr>
              <w:spacing w:before="0" w:line="240" w:lineRule="auto"/>
              <w:ind w:firstLine="0"/>
              <w:jc w:val="right"/>
              <w:rPr>
                <w:b w:val="0"/>
                <w:bCs/>
                <w:i/>
                <w:iCs/>
                <w:color w:val="000000"/>
                <w:sz w:val="20"/>
                <w:szCs w:val="20"/>
              </w:rPr>
            </w:pPr>
            <w:r w:rsidRPr="00BF0B57">
              <w:rPr>
                <w:bCs/>
                <w:i/>
                <w:iCs/>
                <w:color w:val="000000"/>
                <w:sz w:val="20"/>
                <w:szCs w:val="20"/>
              </w:rPr>
              <w:t>221,795.1</w:t>
            </w:r>
          </w:p>
        </w:tc>
      </w:tr>
      <w:tr w:rsidR="006E7E1F" w:rsidRPr="00BF0B57" w14:paraId="797E0119"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51E29E52" w14:textId="77777777" w:rsidR="006E7E1F" w:rsidRPr="00BF0B57" w:rsidRDefault="006E7E1F" w:rsidP="006C390E">
            <w:pPr>
              <w:spacing w:before="0" w:line="240" w:lineRule="auto"/>
              <w:ind w:firstLine="0"/>
              <w:rPr>
                <w:b w:val="0"/>
                <w:bCs/>
                <w:color w:val="000000"/>
                <w:sz w:val="20"/>
                <w:szCs w:val="20"/>
              </w:rPr>
            </w:pPr>
            <w:r w:rsidRPr="00BF0B57">
              <w:rPr>
                <w:bCs/>
                <w:color w:val="000000"/>
                <w:sz w:val="20"/>
                <w:szCs w:val="20"/>
              </w:rPr>
              <w:t xml:space="preserve"> Տրանսպորտ, այդ թվում </w:t>
            </w:r>
          </w:p>
        </w:tc>
        <w:tc>
          <w:tcPr>
            <w:tcW w:w="1276" w:type="dxa"/>
            <w:tcBorders>
              <w:top w:val="nil"/>
              <w:left w:val="nil"/>
              <w:bottom w:val="single" w:sz="8" w:space="0" w:color="auto"/>
              <w:right w:val="single" w:sz="8" w:space="0" w:color="auto"/>
            </w:tcBorders>
            <w:shd w:val="clear" w:color="000000" w:fill="C6D9F1"/>
            <w:vAlign w:val="center"/>
            <w:hideMark/>
          </w:tcPr>
          <w:p w14:paraId="7DE08EB8"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35,623.7</w:t>
            </w:r>
          </w:p>
        </w:tc>
        <w:tc>
          <w:tcPr>
            <w:tcW w:w="1134" w:type="dxa"/>
            <w:tcBorders>
              <w:top w:val="nil"/>
              <w:left w:val="nil"/>
              <w:bottom w:val="single" w:sz="8" w:space="0" w:color="auto"/>
              <w:right w:val="single" w:sz="8" w:space="0" w:color="auto"/>
            </w:tcBorders>
            <w:shd w:val="clear" w:color="000000" w:fill="C6D9F1"/>
            <w:vAlign w:val="center"/>
            <w:hideMark/>
          </w:tcPr>
          <w:p w14:paraId="2AD02E5E"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34,357.1</w:t>
            </w:r>
          </w:p>
        </w:tc>
        <w:tc>
          <w:tcPr>
            <w:tcW w:w="1275" w:type="dxa"/>
            <w:tcBorders>
              <w:top w:val="nil"/>
              <w:left w:val="nil"/>
              <w:bottom w:val="single" w:sz="8" w:space="0" w:color="auto"/>
              <w:right w:val="single" w:sz="8" w:space="0" w:color="auto"/>
            </w:tcBorders>
            <w:shd w:val="clear" w:color="000000" w:fill="C6D9F1"/>
            <w:vAlign w:val="center"/>
            <w:hideMark/>
          </w:tcPr>
          <w:p w14:paraId="0F8F9A01"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42,169.5</w:t>
            </w:r>
          </w:p>
        </w:tc>
        <w:tc>
          <w:tcPr>
            <w:tcW w:w="1135" w:type="dxa"/>
            <w:tcBorders>
              <w:top w:val="nil"/>
              <w:left w:val="nil"/>
              <w:bottom w:val="single" w:sz="8" w:space="0" w:color="auto"/>
              <w:right w:val="single" w:sz="8" w:space="0" w:color="auto"/>
            </w:tcBorders>
            <w:shd w:val="clear" w:color="000000" w:fill="C6D9F1"/>
            <w:vAlign w:val="center"/>
            <w:hideMark/>
          </w:tcPr>
          <w:p w14:paraId="1313C147"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58,832.5</w:t>
            </w:r>
          </w:p>
        </w:tc>
        <w:tc>
          <w:tcPr>
            <w:tcW w:w="1242" w:type="dxa"/>
            <w:tcBorders>
              <w:top w:val="nil"/>
              <w:left w:val="nil"/>
              <w:bottom w:val="single" w:sz="8" w:space="0" w:color="auto"/>
              <w:right w:val="single" w:sz="8" w:space="0" w:color="auto"/>
            </w:tcBorders>
            <w:shd w:val="clear" w:color="000000" w:fill="C6D9F1"/>
            <w:vAlign w:val="center"/>
            <w:hideMark/>
          </w:tcPr>
          <w:p w14:paraId="77EA7B02"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100,027.4</w:t>
            </w:r>
          </w:p>
        </w:tc>
      </w:tr>
      <w:tr w:rsidR="006E7E1F" w:rsidRPr="00BF0B57" w14:paraId="5147DFD8"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71FD0235"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124A9B46"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27,960.7</w:t>
            </w:r>
          </w:p>
        </w:tc>
        <w:tc>
          <w:tcPr>
            <w:tcW w:w="1134" w:type="dxa"/>
            <w:tcBorders>
              <w:top w:val="nil"/>
              <w:left w:val="nil"/>
              <w:bottom w:val="single" w:sz="8" w:space="0" w:color="auto"/>
              <w:right w:val="single" w:sz="8" w:space="0" w:color="auto"/>
            </w:tcBorders>
            <w:shd w:val="clear" w:color="000000" w:fill="FFFFFF"/>
            <w:vAlign w:val="center"/>
            <w:hideMark/>
          </w:tcPr>
          <w:p w14:paraId="5333952F"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18,829.6</w:t>
            </w:r>
          </w:p>
        </w:tc>
        <w:tc>
          <w:tcPr>
            <w:tcW w:w="1275" w:type="dxa"/>
            <w:tcBorders>
              <w:top w:val="nil"/>
              <w:left w:val="nil"/>
              <w:bottom w:val="single" w:sz="8" w:space="0" w:color="auto"/>
              <w:right w:val="single" w:sz="8" w:space="0" w:color="auto"/>
            </w:tcBorders>
            <w:shd w:val="clear" w:color="000000" w:fill="FFFFFF"/>
            <w:vAlign w:val="center"/>
            <w:hideMark/>
          </w:tcPr>
          <w:p w14:paraId="7CEF1439"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14,285.8</w:t>
            </w:r>
          </w:p>
        </w:tc>
        <w:tc>
          <w:tcPr>
            <w:tcW w:w="1135" w:type="dxa"/>
            <w:tcBorders>
              <w:top w:val="nil"/>
              <w:left w:val="nil"/>
              <w:bottom w:val="single" w:sz="8" w:space="0" w:color="auto"/>
              <w:right w:val="single" w:sz="8" w:space="0" w:color="auto"/>
            </w:tcBorders>
            <w:shd w:val="clear" w:color="auto" w:fill="auto"/>
            <w:vAlign w:val="center"/>
            <w:hideMark/>
          </w:tcPr>
          <w:p w14:paraId="7AE7BAF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24,692.3</w:t>
            </w:r>
          </w:p>
        </w:tc>
        <w:tc>
          <w:tcPr>
            <w:tcW w:w="1242" w:type="dxa"/>
            <w:tcBorders>
              <w:top w:val="nil"/>
              <w:left w:val="nil"/>
              <w:bottom w:val="single" w:sz="8" w:space="0" w:color="auto"/>
              <w:right w:val="single" w:sz="8" w:space="0" w:color="auto"/>
            </w:tcBorders>
            <w:shd w:val="clear" w:color="000000" w:fill="FFFFFF"/>
            <w:vAlign w:val="center"/>
            <w:hideMark/>
          </w:tcPr>
          <w:p w14:paraId="26FCF4C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52,926.4</w:t>
            </w:r>
          </w:p>
        </w:tc>
      </w:tr>
      <w:tr w:rsidR="006E7E1F" w:rsidRPr="00BF0B57" w14:paraId="5DD4DB01" w14:textId="77777777" w:rsidTr="006C390E">
        <w:trPr>
          <w:trHeight w:val="420"/>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4D6341FA"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73E6EBDC"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7,663.0</w:t>
            </w:r>
          </w:p>
        </w:tc>
        <w:tc>
          <w:tcPr>
            <w:tcW w:w="1134" w:type="dxa"/>
            <w:tcBorders>
              <w:top w:val="nil"/>
              <w:left w:val="nil"/>
              <w:bottom w:val="single" w:sz="8" w:space="0" w:color="auto"/>
              <w:right w:val="single" w:sz="8" w:space="0" w:color="auto"/>
            </w:tcBorders>
            <w:shd w:val="clear" w:color="auto" w:fill="auto"/>
            <w:vAlign w:val="center"/>
            <w:hideMark/>
          </w:tcPr>
          <w:p w14:paraId="7CF3412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15,527.5</w:t>
            </w:r>
          </w:p>
        </w:tc>
        <w:tc>
          <w:tcPr>
            <w:tcW w:w="1275" w:type="dxa"/>
            <w:tcBorders>
              <w:top w:val="nil"/>
              <w:left w:val="nil"/>
              <w:bottom w:val="single" w:sz="8" w:space="0" w:color="auto"/>
              <w:right w:val="single" w:sz="8" w:space="0" w:color="auto"/>
            </w:tcBorders>
            <w:shd w:val="clear" w:color="auto" w:fill="auto"/>
            <w:vAlign w:val="center"/>
            <w:hideMark/>
          </w:tcPr>
          <w:p w14:paraId="1B17FE5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27,883.7</w:t>
            </w:r>
          </w:p>
        </w:tc>
        <w:tc>
          <w:tcPr>
            <w:tcW w:w="1135" w:type="dxa"/>
            <w:tcBorders>
              <w:top w:val="nil"/>
              <w:left w:val="nil"/>
              <w:bottom w:val="single" w:sz="8" w:space="0" w:color="auto"/>
              <w:right w:val="single" w:sz="8" w:space="0" w:color="auto"/>
            </w:tcBorders>
            <w:shd w:val="clear" w:color="auto" w:fill="auto"/>
            <w:vAlign w:val="center"/>
            <w:hideMark/>
          </w:tcPr>
          <w:p w14:paraId="028522D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34,140.2</w:t>
            </w:r>
          </w:p>
        </w:tc>
        <w:tc>
          <w:tcPr>
            <w:tcW w:w="1242" w:type="dxa"/>
            <w:tcBorders>
              <w:top w:val="nil"/>
              <w:left w:val="nil"/>
              <w:bottom w:val="single" w:sz="8" w:space="0" w:color="auto"/>
              <w:right w:val="single" w:sz="8" w:space="0" w:color="auto"/>
            </w:tcBorders>
            <w:shd w:val="clear" w:color="auto" w:fill="auto"/>
            <w:vAlign w:val="center"/>
            <w:hideMark/>
          </w:tcPr>
          <w:p w14:paraId="4896D77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47,101.0</w:t>
            </w:r>
          </w:p>
        </w:tc>
      </w:tr>
      <w:tr w:rsidR="006E7E1F" w:rsidRPr="00BF0B57" w14:paraId="7F7966EB"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49E29FFC" w14:textId="77777777" w:rsidR="006E7E1F" w:rsidRPr="00BF0B57" w:rsidRDefault="006E7E1F" w:rsidP="006C390E">
            <w:pPr>
              <w:spacing w:before="0" w:line="240" w:lineRule="auto"/>
              <w:ind w:firstLine="0"/>
              <w:rPr>
                <w:b w:val="0"/>
                <w:bCs/>
                <w:color w:val="000000"/>
                <w:sz w:val="20"/>
                <w:szCs w:val="20"/>
              </w:rPr>
            </w:pPr>
            <w:r w:rsidRPr="00BF0B57">
              <w:rPr>
                <w:bCs/>
                <w:color w:val="000000"/>
                <w:sz w:val="20"/>
                <w:szCs w:val="20"/>
              </w:rPr>
              <w:t xml:space="preserve"> Էներգետիկա, այդ թվում </w:t>
            </w:r>
          </w:p>
        </w:tc>
        <w:tc>
          <w:tcPr>
            <w:tcW w:w="1276" w:type="dxa"/>
            <w:tcBorders>
              <w:top w:val="nil"/>
              <w:left w:val="nil"/>
              <w:bottom w:val="single" w:sz="8" w:space="0" w:color="auto"/>
              <w:right w:val="single" w:sz="8" w:space="0" w:color="auto"/>
            </w:tcBorders>
            <w:shd w:val="clear" w:color="000000" w:fill="C6D9F1"/>
            <w:vAlign w:val="center"/>
            <w:hideMark/>
          </w:tcPr>
          <w:p w14:paraId="16207299"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14,416.9</w:t>
            </w:r>
          </w:p>
        </w:tc>
        <w:tc>
          <w:tcPr>
            <w:tcW w:w="1134" w:type="dxa"/>
            <w:tcBorders>
              <w:top w:val="nil"/>
              <w:left w:val="nil"/>
              <w:bottom w:val="single" w:sz="8" w:space="0" w:color="auto"/>
              <w:right w:val="single" w:sz="8" w:space="0" w:color="auto"/>
            </w:tcBorders>
            <w:shd w:val="clear" w:color="000000" w:fill="C6D9F1"/>
            <w:vAlign w:val="center"/>
            <w:hideMark/>
          </w:tcPr>
          <w:p w14:paraId="75D90835"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4,488.8</w:t>
            </w:r>
          </w:p>
        </w:tc>
        <w:tc>
          <w:tcPr>
            <w:tcW w:w="1275" w:type="dxa"/>
            <w:tcBorders>
              <w:top w:val="nil"/>
              <w:left w:val="nil"/>
              <w:bottom w:val="single" w:sz="8" w:space="0" w:color="auto"/>
              <w:right w:val="single" w:sz="8" w:space="0" w:color="auto"/>
            </w:tcBorders>
            <w:shd w:val="clear" w:color="000000" w:fill="C6D9F1"/>
            <w:vAlign w:val="center"/>
            <w:hideMark/>
          </w:tcPr>
          <w:p w14:paraId="221CD50A"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182.0</w:t>
            </w:r>
          </w:p>
        </w:tc>
        <w:tc>
          <w:tcPr>
            <w:tcW w:w="1135" w:type="dxa"/>
            <w:tcBorders>
              <w:top w:val="nil"/>
              <w:left w:val="nil"/>
              <w:bottom w:val="single" w:sz="8" w:space="0" w:color="auto"/>
              <w:right w:val="single" w:sz="8" w:space="0" w:color="auto"/>
            </w:tcBorders>
            <w:shd w:val="clear" w:color="000000" w:fill="C6D9F1"/>
            <w:vAlign w:val="center"/>
            <w:hideMark/>
          </w:tcPr>
          <w:p w14:paraId="472596CE"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1,207.0</w:t>
            </w:r>
          </w:p>
        </w:tc>
        <w:tc>
          <w:tcPr>
            <w:tcW w:w="1242" w:type="dxa"/>
            <w:tcBorders>
              <w:top w:val="nil"/>
              <w:left w:val="nil"/>
              <w:bottom w:val="single" w:sz="8" w:space="0" w:color="auto"/>
              <w:right w:val="single" w:sz="8" w:space="0" w:color="auto"/>
            </w:tcBorders>
            <w:shd w:val="clear" w:color="000000" w:fill="C6D9F1"/>
            <w:vAlign w:val="center"/>
            <w:hideMark/>
          </w:tcPr>
          <w:p w14:paraId="08174331"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2,107.4</w:t>
            </w:r>
          </w:p>
        </w:tc>
      </w:tr>
      <w:tr w:rsidR="006E7E1F" w:rsidRPr="00BF0B57" w14:paraId="7E722F08"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6F6E4772"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74B7C6D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14,416.9</w:t>
            </w:r>
          </w:p>
        </w:tc>
        <w:tc>
          <w:tcPr>
            <w:tcW w:w="1134" w:type="dxa"/>
            <w:tcBorders>
              <w:top w:val="nil"/>
              <w:left w:val="nil"/>
              <w:bottom w:val="single" w:sz="8" w:space="0" w:color="auto"/>
              <w:right w:val="single" w:sz="8" w:space="0" w:color="auto"/>
            </w:tcBorders>
            <w:shd w:val="clear" w:color="000000" w:fill="FFFFFF"/>
            <w:vAlign w:val="center"/>
            <w:hideMark/>
          </w:tcPr>
          <w:p w14:paraId="49540BA2"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4,488.8</w:t>
            </w:r>
          </w:p>
        </w:tc>
        <w:tc>
          <w:tcPr>
            <w:tcW w:w="1275" w:type="dxa"/>
            <w:tcBorders>
              <w:top w:val="nil"/>
              <w:left w:val="nil"/>
              <w:bottom w:val="single" w:sz="8" w:space="0" w:color="auto"/>
              <w:right w:val="single" w:sz="8" w:space="0" w:color="auto"/>
            </w:tcBorders>
            <w:shd w:val="clear" w:color="000000" w:fill="FFFFFF"/>
            <w:vAlign w:val="center"/>
            <w:hideMark/>
          </w:tcPr>
          <w:p w14:paraId="384F247D"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182.0</w:t>
            </w:r>
          </w:p>
        </w:tc>
        <w:tc>
          <w:tcPr>
            <w:tcW w:w="1135" w:type="dxa"/>
            <w:tcBorders>
              <w:top w:val="nil"/>
              <w:left w:val="nil"/>
              <w:bottom w:val="single" w:sz="8" w:space="0" w:color="auto"/>
              <w:right w:val="single" w:sz="8" w:space="0" w:color="auto"/>
            </w:tcBorders>
            <w:shd w:val="clear" w:color="auto" w:fill="auto"/>
            <w:vAlign w:val="center"/>
            <w:hideMark/>
          </w:tcPr>
          <w:p w14:paraId="4F3792B2"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1,207.0</w:t>
            </w:r>
          </w:p>
        </w:tc>
        <w:tc>
          <w:tcPr>
            <w:tcW w:w="1242" w:type="dxa"/>
            <w:tcBorders>
              <w:top w:val="nil"/>
              <w:left w:val="nil"/>
              <w:bottom w:val="single" w:sz="8" w:space="0" w:color="auto"/>
              <w:right w:val="single" w:sz="8" w:space="0" w:color="auto"/>
            </w:tcBorders>
            <w:shd w:val="clear" w:color="000000" w:fill="FFFFFF"/>
            <w:vAlign w:val="center"/>
            <w:hideMark/>
          </w:tcPr>
          <w:p w14:paraId="220394D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2,107.4</w:t>
            </w:r>
          </w:p>
        </w:tc>
      </w:tr>
      <w:tr w:rsidR="006E7E1F" w:rsidRPr="00BF0B57" w14:paraId="0421A81B"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7D833CD0"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2EC101F5" w14:textId="77777777" w:rsidR="006E7E1F" w:rsidRPr="00BF0B57" w:rsidRDefault="006E7E1F" w:rsidP="006C390E">
            <w:pPr>
              <w:spacing w:before="0" w:line="240" w:lineRule="auto"/>
              <w:ind w:firstLine="0"/>
              <w:jc w:val="right"/>
              <w:rPr>
                <w:color w:val="000000"/>
                <w:sz w:val="20"/>
                <w:szCs w:val="20"/>
              </w:rPr>
            </w:pPr>
            <w:r w:rsidRPr="00BF0B57">
              <w:rPr>
                <w:color w:val="000000"/>
                <w:sz w:val="20"/>
                <w:szCs w:val="20"/>
              </w:rPr>
              <w:t>0.0</w:t>
            </w:r>
          </w:p>
        </w:tc>
        <w:tc>
          <w:tcPr>
            <w:tcW w:w="1134" w:type="dxa"/>
            <w:tcBorders>
              <w:top w:val="nil"/>
              <w:left w:val="nil"/>
              <w:bottom w:val="single" w:sz="8" w:space="0" w:color="auto"/>
              <w:right w:val="single" w:sz="8" w:space="0" w:color="auto"/>
            </w:tcBorders>
            <w:shd w:val="clear" w:color="000000" w:fill="FFFFFF"/>
            <w:vAlign w:val="center"/>
            <w:hideMark/>
          </w:tcPr>
          <w:p w14:paraId="3D74DA5D"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c>
          <w:tcPr>
            <w:tcW w:w="1275" w:type="dxa"/>
            <w:tcBorders>
              <w:top w:val="nil"/>
              <w:left w:val="nil"/>
              <w:bottom w:val="single" w:sz="8" w:space="0" w:color="auto"/>
              <w:right w:val="single" w:sz="8" w:space="0" w:color="auto"/>
            </w:tcBorders>
            <w:shd w:val="clear" w:color="000000" w:fill="FFFFFF"/>
            <w:vAlign w:val="center"/>
            <w:hideMark/>
          </w:tcPr>
          <w:p w14:paraId="46E9EAC4"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c>
          <w:tcPr>
            <w:tcW w:w="1135" w:type="dxa"/>
            <w:tcBorders>
              <w:top w:val="nil"/>
              <w:left w:val="nil"/>
              <w:bottom w:val="single" w:sz="8" w:space="0" w:color="auto"/>
              <w:right w:val="single" w:sz="8" w:space="0" w:color="auto"/>
            </w:tcBorders>
            <w:shd w:val="clear" w:color="000000" w:fill="FFFFFF"/>
            <w:vAlign w:val="center"/>
            <w:hideMark/>
          </w:tcPr>
          <w:p w14:paraId="16E037E6" w14:textId="77777777" w:rsidR="006E7E1F" w:rsidRPr="00BF0B57" w:rsidRDefault="006E7E1F" w:rsidP="006C390E">
            <w:pPr>
              <w:spacing w:before="0" w:line="240" w:lineRule="auto"/>
              <w:ind w:firstLine="0"/>
              <w:jc w:val="right"/>
              <w:rPr>
                <w:color w:val="000000"/>
                <w:sz w:val="20"/>
                <w:szCs w:val="20"/>
              </w:rPr>
            </w:pPr>
            <w:r w:rsidRPr="00BF0B57">
              <w:rPr>
                <w:color w:val="000000"/>
                <w:sz w:val="20"/>
                <w:szCs w:val="20"/>
              </w:rPr>
              <w:t>0.0</w:t>
            </w:r>
          </w:p>
        </w:tc>
        <w:tc>
          <w:tcPr>
            <w:tcW w:w="1242" w:type="dxa"/>
            <w:tcBorders>
              <w:top w:val="nil"/>
              <w:left w:val="nil"/>
              <w:bottom w:val="single" w:sz="8" w:space="0" w:color="auto"/>
              <w:right w:val="single" w:sz="8" w:space="0" w:color="auto"/>
            </w:tcBorders>
            <w:shd w:val="clear" w:color="000000" w:fill="FFFFFF"/>
            <w:vAlign w:val="center"/>
            <w:hideMark/>
          </w:tcPr>
          <w:p w14:paraId="32CD2C1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r>
      <w:tr w:rsidR="006E7E1F" w:rsidRPr="00BF0B57" w14:paraId="5F532514" w14:textId="77777777" w:rsidTr="006C390E">
        <w:trPr>
          <w:trHeight w:val="69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1A3AD24D" w14:textId="77777777" w:rsidR="006E7E1F" w:rsidRPr="00BF0B57" w:rsidRDefault="006E7E1F" w:rsidP="006C390E">
            <w:pPr>
              <w:spacing w:before="0" w:line="240" w:lineRule="auto"/>
              <w:ind w:firstLine="0"/>
              <w:jc w:val="left"/>
              <w:rPr>
                <w:b w:val="0"/>
                <w:bCs/>
                <w:color w:val="000000"/>
                <w:sz w:val="20"/>
                <w:szCs w:val="20"/>
              </w:rPr>
            </w:pPr>
            <w:r w:rsidRPr="00BF0B57">
              <w:rPr>
                <w:bCs/>
                <w:color w:val="000000"/>
                <w:sz w:val="20"/>
                <w:szCs w:val="20"/>
              </w:rPr>
              <w:t xml:space="preserve"> Շրջակա միջավայր և գյուղատնտեսություն </w:t>
            </w:r>
          </w:p>
        </w:tc>
        <w:tc>
          <w:tcPr>
            <w:tcW w:w="1276" w:type="dxa"/>
            <w:tcBorders>
              <w:top w:val="nil"/>
              <w:left w:val="nil"/>
              <w:bottom w:val="single" w:sz="8" w:space="0" w:color="auto"/>
              <w:right w:val="single" w:sz="8" w:space="0" w:color="auto"/>
            </w:tcBorders>
            <w:shd w:val="clear" w:color="000000" w:fill="C6D9F1"/>
            <w:vAlign w:val="center"/>
            <w:hideMark/>
          </w:tcPr>
          <w:p w14:paraId="5DA29A2E"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2,104.5</w:t>
            </w:r>
          </w:p>
        </w:tc>
        <w:tc>
          <w:tcPr>
            <w:tcW w:w="1134" w:type="dxa"/>
            <w:tcBorders>
              <w:top w:val="nil"/>
              <w:left w:val="nil"/>
              <w:bottom w:val="single" w:sz="8" w:space="0" w:color="auto"/>
              <w:right w:val="single" w:sz="8" w:space="0" w:color="auto"/>
            </w:tcBorders>
            <w:shd w:val="clear" w:color="000000" w:fill="C6D9F1"/>
            <w:vAlign w:val="center"/>
            <w:hideMark/>
          </w:tcPr>
          <w:p w14:paraId="4201B81E"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3,904.1</w:t>
            </w:r>
          </w:p>
        </w:tc>
        <w:tc>
          <w:tcPr>
            <w:tcW w:w="1275" w:type="dxa"/>
            <w:tcBorders>
              <w:top w:val="nil"/>
              <w:left w:val="nil"/>
              <w:bottom w:val="single" w:sz="8" w:space="0" w:color="auto"/>
              <w:right w:val="single" w:sz="8" w:space="0" w:color="auto"/>
            </w:tcBorders>
            <w:shd w:val="clear" w:color="000000" w:fill="C6D9F1"/>
            <w:vAlign w:val="center"/>
            <w:hideMark/>
          </w:tcPr>
          <w:p w14:paraId="570135D5"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1,525.8</w:t>
            </w:r>
          </w:p>
        </w:tc>
        <w:tc>
          <w:tcPr>
            <w:tcW w:w="1135" w:type="dxa"/>
            <w:tcBorders>
              <w:top w:val="nil"/>
              <w:left w:val="nil"/>
              <w:bottom w:val="single" w:sz="8" w:space="0" w:color="auto"/>
              <w:right w:val="single" w:sz="8" w:space="0" w:color="auto"/>
            </w:tcBorders>
            <w:shd w:val="clear" w:color="000000" w:fill="C6D9F1"/>
            <w:vAlign w:val="center"/>
            <w:hideMark/>
          </w:tcPr>
          <w:p w14:paraId="647B0B89"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7,293.6</w:t>
            </w:r>
          </w:p>
        </w:tc>
        <w:tc>
          <w:tcPr>
            <w:tcW w:w="1242" w:type="dxa"/>
            <w:tcBorders>
              <w:top w:val="nil"/>
              <w:left w:val="nil"/>
              <w:bottom w:val="single" w:sz="8" w:space="0" w:color="auto"/>
              <w:right w:val="single" w:sz="8" w:space="0" w:color="auto"/>
            </w:tcBorders>
            <w:shd w:val="clear" w:color="000000" w:fill="C6D9F1"/>
            <w:vAlign w:val="center"/>
            <w:hideMark/>
          </w:tcPr>
          <w:p w14:paraId="5F767AD5"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4,337.3</w:t>
            </w:r>
          </w:p>
        </w:tc>
      </w:tr>
      <w:tr w:rsidR="006E7E1F" w:rsidRPr="00BF0B57" w14:paraId="224233B9"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13C25918"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21E0A59E"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2,104.5</w:t>
            </w:r>
          </w:p>
        </w:tc>
        <w:tc>
          <w:tcPr>
            <w:tcW w:w="1134" w:type="dxa"/>
            <w:tcBorders>
              <w:top w:val="nil"/>
              <w:left w:val="nil"/>
              <w:bottom w:val="single" w:sz="8" w:space="0" w:color="auto"/>
              <w:right w:val="single" w:sz="8" w:space="0" w:color="auto"/>
            </w:tcBorders>
            <w:shd w:val="clear" w:color="000000" w:fill="FFFFFF"/>
            <w:vAlign w:val="center"/>
            <w:hideMark/>
          </w:tcPr>
          <w:p w14:paraId="423E6535"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3,557.7</w:t>
            </w:r>
          </w:p>
        </w:tc>
        <w:tc>
          <w:tcPr>
            <w:tcW w:w="1275" w:type="dxa"/>
            <w:tcBorders>
              <w:top w:val="nil"/>
              <w:left w:val="nil"/>
              <w:bottom w:val="single" w:sz="8" w:space="0" w:color="auto"/>
              <w:right w:val="single" w:sz="8" w:space="0" w:color="auto"/>
            </w:tcBorders>
            <w:shd w:val="clear" w:color="000000" w:fill="FFFFFF"/>
            <w:vAlign w:val="center"/>
            <w:hideMark/>
          </w:tcPr>
          <w:p w14:paraId="6EBD6EAE"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1,174.5</w:t>
            </w:r>
          </w:p>
        </w:tc>
        <w:tc>
          <w:tcPr>
            <w:tcW w:w="1135" w:type="dxa"/>
            <w:tcBorders>
              <w:top w:val="nil"/>
              <w:left w:val="nil"/>
              <w:bottom w:val="single" w:sz="8" w:space="0" w:color="auto"/>
              <w:right w:val="single" w:sz="8" w:space="0" w:color="auto"/>
            </w:tcBorders>
            <w:shd w:val="clear" w:color="auto" w:fill="auto"/>
            <w:vAlign w:val="center"/>
            <w:hideMark/>
          </w:tcPr>
          <w:p w14:paraId="744BED89"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6,754.1</w:t>
            </w:r>
          </w:p>
        </w:tc>
        <w:tc>
          <w:tcPr>
            <w:tcW w:w="1242" w:type="dxa"/>
            <w:tcBorders>
              <w:top w:val="nil"/>
              <w:left w:val="nil"/>
              <w:bottom w:val="single" w:sz="8" w:space="0" w:color="auto"/>
              <w:right w:val="single" w:sz="8" w:space="0" w:color="auto"/>
            </w:tcBorders>
            <w:shd w:val="clear" w:color="auto" w:fill="auto"/>
            <w:vAlign w:val="center"/>
            <w:hideMark/>
          </w:tcPr>
          <w:p w14:paraId="1FE4A95E"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3,735.8</w:t>
            </w:r>
          </w:p>
        </w:tc>
      </w:tr>
      <w:tr w:rsidR="006E7E1F" w:rsidRPr="00BF0B57" w14:paraId="75EB4F4D" w14:textId="77777777" w:rsidTr="006C390E">
        <w:trPr>
          <w:trHeight w:val="420"/>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60C6F900"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4C4B6910"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c>
          <w:tcPr>
            <w:tcW w:w="1134" w:type="dxa"/>
            <w:tcBorders>
              <w:top w:val="nil"/>
              <w:left w:val="nil"/>
              <w:bottom w:val="single" w:sz="8" w:space="0" w:color="auto"/>
              <w:right w:val="single" w:sz="8" w:space="0" w:color="auto"/>
            </w:tcBorders>
            <w:shd w:val="clear" w:color="auto" w:fill="auto"/>
            <w:vAlign w:val="center"/>
            <w:hideMark/>
          </w:tcPr>
          <w:p w14:paraId="040A7284"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346.3</w:t>
            </w:r>
          </w:p>
        </w:tc>
        <w:tc>
          <w:tcPr>
            <w:tcW w:w="1275" w:type="dxa"/>
            <w:tcBorders>
              <w:top w:val="nil"/>
              <w:left w:val="nil"/>
              <w:bottom w:val="single" w:sz="8" w:space="0" w:color="auto"/>
              <w:right w:val="single" w:sz="8" w:space="0" w:color="auto"/>
            </w:tcBorders>
            <w:shd w:val="clear" w:color="auto" w:fill="auto"/>
            <w:vAlign w:val="center"/>
            <w:hideMark/>
          </w:tcPr>
          <w:p w14:paraId="1FD7F46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351.3</w:t>
            </w:r>
          </w:p>
        </w:tc>
        <w:tc>
          <w:tcPr>
            <w:tcW w:w="1135" w:type="dxa"/>
            <w:tcBorders>
              <w:top w:val="nil"/>
              <w:left w:val="nil"/>
              <w:bottom w:val="single" w:sz="8" w:space="0" w:color="auto"/>
              <w:right w:val="single" w:sz="8" w:space="0" w:color="auto"/>
            </w:tcBorders>
            <w:shd w:val="clear" w:color="auto" w:fill="auto"/>
            <w:vAlign w:val="center"/>
            <w:hideMark/>
          </w:tcPr>
          <w:p w14:paraId="3AC864C5"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539.5</w:t>
            </w:r>
          </w:p>
        </w:tc>
        <w:tc>
          <w:tcPr>
            <w:tcW w:w="1242" w:type="dxa"/>
            <w:tcBorders>
              <w:top w:val="nil"/>
              <w:left w:val="nil"/>
              <w:bottom w:val="single" w:sz="8" w:space="0" w:color="auto"/>
              <w:right w:val="single" w:sz="8" w:space="0" w:color="auto"/>
            </w:tcBorders>
            <w:shd w:val="clear" w:color="auto" w:fill="auto"/>
            <w:vAlign w:val="center"/>
            <w:hideMark/>
          </w:tcPr>
          <w:p w14:paraId="34CEA060"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601.5</w:t>
            </w:r>
          </w:p>
        </w:tc>
      </w:tr>
      <w:tr w:rsidR="006E7E1F" w:rsidRPr="00BF0B57" w14:paraId="1ECB9B17"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5F4E214D" w14:textId="77777777" w:rsidR="006E7E1F" w:rsidRPr="00BF0B57" w:rsidRDefault="006E7E1F" w:rsidP="006C390E">
            <w:pPr>
              <w:spacing w:before="0" w:line="240" w:lineRule="auto"/>
              <w:ind w:firstLine="0"/>
              <w:jc w:val="left"/>
              <w:rPr>
                <w:b w:val="0"/>
                <w:bCs/>
                <w:color w:val="000000"/>
                <w:sz w:val="20"/>
                <w:szCs w:val="20"/>
              </w:rPr>
            </w:pPr>
            <w:r w:rsidRPr="00BF0B57">
              <w:rPr>
                <w:bCs/>
                <w:color w:val="000000"/>
                <w:sz w:val="20"/>
                <w:szCs w:val="20"/>
              </w:rPr>
              <w:t xml:space="preserve"> Ջրային տնտեսություն </w:t>
            </w:r>
          </w:p>
        </w:tc>
        <w:tc>
          <w:tcPr>
            <w:tcW w:w="1276" w:type="dxa"/>
            <w:tcBorders>
              <w:top w:val="nil"/>
              <w:left w:val="nil"/>
              <w:bottom w:val="single" w:sz="8" w:space="0" w:color="auto"/>
              <w:right w:val="single" w:sz="8" w:space="0" w:color="auto"/>
            </w:tcBorders>
            <w:shd w:val="clear" w:color="000000" w:fill="C6D9F1"/>
            <w:vAlign w:val="center"/>
            <w:hideMark/>
          </w:tcPr>
          <w:p w14:paraId="53606934"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10,480.7</w:t>
            </w:r>
          </w:p>
        </w:tc>
        <w:tc>
          <w:tcPr>
            <w:tcW w:w="1134" w:type="dxa"/>
            <w:tcBorders>
              <w:top w:val="nil"/>
              <w:left w:val="nil"/>
              <w:bottom w:val="single" w:sz="8" w:space="0" w:color="auto"/>
              <w:right w:val="single" w:sz="8" w:space="0" w:color="auto"/>
            </w:tcBorders>
            <w:shd w:val="clear" w:color="000000" w:fill="C6D9F1"/>
            <w:vAlign w:val="center"/>
            <w:hideMark/>
          </w:tcPr>
          <w:p w14:paraId="34B0CEC0"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6,819.5</w:t>
            </w:r>
          </w:p>
        </w:tc>
        <w:tc>
          <w:tcPr>
            <w:tcW w:w="1275" w:type="dxa"/>
            <w:tcBorders>
              <w:top w:val="nil"/>
              <w:left w:val="nil"/>
              <w:bottom w:val="single" w:sz="8" w:space="0" w:color="auto"/>
              <w:right w:val="single" w:sz="8" w:space="0" w:color="auto"/>
            </w:tcBorders>
            <w:shd w:val="clear" w:color="000000" w:fill="C6D9F1"/>
            <w:vAlign w:val="center"/>
            <w:hideMark/>
          </w:tcPr>
          <w:p w14:paraId="7DF873F0"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11,522.5</w:t>
            </w:r>
          </w:p>
        </w:tc>
        <w:tc>
          <w:tcPr>
            <w:tcW w:w="1135" w:type="dxa"/>
            <w:tcBorders>
              <w:top w:val="nil"/>
              <w:left w:val="nil"/>
              <w:bottom w:val="single" w:sz="8" w:space="0" w:color="auto"/>
              <w:right w:val="single" w:sz="8" w:space="0" w:color="auto"/>
            </w:tcBorders>
            <w:shd w:val="clear" w:color="000000" w:fill="C6D9F1"/>
            <w:vAlign w:val="center"/>
            <w:hideMark/>
          </w:tcPr>
          <w:p w14:paraId="3F84B65F"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20,151.4</w:t>
            </w:r>
          </w:p>
        </w:tc>
        <w:tc>
          <w:tcPr>
            <w:tcW w:w="1242" w:type="dxa"/>
            <w:tcBorders>
              <w:top w:val="nil"/>
              <w:left w:val="nil"/>
              <w:bottom w:val="single" w:sz="8" w:space="0" w:color="auto"/>
              <w:right w:val="single" w:sz="8" w:space="0" w:color="auto"/>
            </w:tcBorders>
            <w:shd w:val="clear" w:color="000000" w:fill="C6D9F1"/>
            <w:vAlign w:val="center"/>
            <w:hideMark/>
          </w:tcPr>
          <w:p w14:paraId="615541D6"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35,917.5</w:t>
            </w:r>
          </w:p>
        </w:tc>
      </w:tr>
      <w:tr w:rsidR="006E7E1F" w:rsidRPr="00BF0B57" w14:paraId="46B484D6"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4098DDC"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7D93F5D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8,799.5</w:t>
            </w:r>
          </w:p>
        </w:tc>
        <w:tc>
          <w:tcPr>
            <w:tcW w:w="1134" w:type="dxa"/>
            <w:tcBorders>
              <w:top w:val="nil"/>
              <w:left w:val="nil"/>
              <w:bottom w:val="single" w:sz="8" w:space="0" w:color="auto"/>
              <w:right w:val="single" w:sz="8" w:space="0" w:color="auto"/>
            </w:tcBorders>
            <w:shd w:val="clear" w:color="000000" w:fill="FFFFFF"/>
            <w:vAlign w:val="center"/>
            <w:hideMark/>
          </w:tcPr>
          <w:p w14:paraId="304BB098"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4,661.9</w:t>
            </w:r>
          </w:p>
        </w:tc>
        <w:tc>
          <w:tcPr>
            <w:tcW w:w="1275" w:type="dxa"/>
            <w:tcBorders>
              <w:top w:val="nil"/>
              <w:left w:val="nil"/>
              <w:bottom w:val="single" w:sz="8" w:space="0" w:color="auto"/>
              <w:right w:val="single" w:sz="8" w:space="0" w:color="auto"/>
            </w:tcBorders>
            <w:shd w:val="clear" w:color="000000" w:fill="FFFFFF"/>
            <w:vAlign w:val="center"/>
            <w:hideMark/>
          </w:tcPr>
          <w:p w14:paraId="62C28F8F"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9,513.1</w:t>
            </w:r>
          </w:p>
        </w:tc>
        <w:tc>
          <w:tcPr>
            <w:tcW w:w="1135" w:type="dxa"/>
            <w:tcBorders>
              <w:top w:val="nil"/>
              <w:left w:val="nil"/>
              <w:bottom w:val="single" w:sz="8" w:space="0" w:color="auto"/>
              <w:right w:val="single" w:sz="8" w:space="0" w:color="auto"/>
            </w:tcBorders>
            <w:shd w:val="clear" w:color="auto" w:fill="auto"/>
            <w:vAlign w:val="center"/>
            <w:hideMark/>
          </w:tcPr>
          <w:p w14:paraId="5D0A40B5"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18,464.4</w:t>
            </w:r>
          </w:p>
        </w:tc>
        <w:tc>
          <w:tcPr>
            <w:tcW w:w="1242" w:type="dxa"/>
            <w:tcBorders>
              <w:top w:val="nil"/>
              <w:left w:val="nil"/>
              <w:bottom w:val="single" w:sz="8" w:space="0" w:color="auto"/>
              <w:right w:val="single" w:sz="8" w:space="0" w:color="auto"/>
            </w:tcBorders>
            <w:shd w:val="clear" w:color="auto" w:fill="auto"/>
            <w:vAlign w:val="center"/>
            <w:hideMark/>
          </w:tcPr>
          <w:p w14:paraId="6D613ED6"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26,761.2</w:t>
            </w:r>
          </w:p>
        </w:tc>
      </w:tr>
      <w:tr w:rsidR="006E7E1F" w:rsidRPr="00BF0B57" w14:paraId="5B536311"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1658F191"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6D3809C3"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1,681.2</w:t>
            </w:r>
          </w:p>
        </w:tc>
        <w:tc>
          <w:tcPr>
            <w:tcW w:w="1134" w:type="dxa"/>
            <w:tcBorders>
              <w:top w:val="nil"/>
              <w:left w:val="nil"/>
              <w:bottom w:val="single" w:sz="8" w:space="0" w:color="auto"/>
              <w:right w:val="single" w:sz="4" w:space="0" w:color="auto"/>
            </w:tcBorders>
            <w:shd w:val="clear" w:color="auto" w:fill="auto"/>
            <w:vAlign w:val="center"/>
            <w:hideMark/>
          </w:tcPr>
          <w:p w14:paraId="19DB5FA0"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2,157.6</w:t>
            </w:r>
          </w:p>
        </w:tc>
        <w:tc>
          <w:tcPr>
            <w:tcW w:w="1275" w:type="dxa"/>
            <w:tcBorders>
              <w:top w:val="nil"/>
              <w:left w:val="nil"/>
              <w:bottom w:val="single" w:sz="8" w:space="0" w:color="auto"/>
              <w:right w:val="single" w:sz="8" w:space="0" w:color="auto"/>
            </w:tcBorders>
            <w:shd w:val="clear" w:color="000000" w:fill="FFFFFF"/>
            <w:vAlign w:val="center"/>
            <w:hideMark/>
          </w:tcPr>
          <w:p w14:paraId="0FF0324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2,009.4</w:t>
            </w:r>
          </w:p>
        </w:tc>
        <w:tc>
          <w:tcPr>
            <w:tcW w:w="1135" w:type="dxa"/>
            <w:tcBorders>
              <w:top w:val="nil"/>
              <w:left w:val="nil"/>
              <w:bottom w:val="single" w:sz="8" w:space="0" w:color="auto"/>
              <w:right w:val="single" w:sz="8" w:space="0" w:color="auto"/>
            </w:tcBorders>
            <w:shd w:val="clear" w:color="000000" w:fill="FFFFFF"/>
            <w:vAlign w:val="center"/>
            <w:hideMark/>
          </w:tcPr>
          <w:p w14:paraId="0CC492C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1,687.0</w:t>
            </w:r>
          </w:p>
        </w:tc>
        <w:tc>
          <w:tcPr>
            <w:tcW w:w="1242" w:type="dxa"/>
            <w:tcBorders>
              <w:top w:val="nil"/>
              <w:left w:val="nil"/>
              <w:bottom w:val="single" w:sz="8" w:space="0" w:color="auto"/>
              <w:right w:val="single" w:sz="8" w:space="0" w:color="auto"/>
            </w:tcBorders>
            <w:shd w:val="clear" w:color="000000" w:fill="FFFFFF"/>
            <w:vAlign w:val="center"/>
            <w:hideMark/>
          </w:tcPr>
          <w:p w14:paraId="6C3F816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9,156.3</w:t>
            </w:r>
          </w:p>
        </w:tc>
      </w:tr>
      <w:tr w:rsidR="006E7E1F" w:rsidRPr="00BF0B57" w14:paraId="2A4C8E72"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290C74B2" w14:textId="77777777" w:rsidR="006E7E1F" w:rsidRPr="00BF0B57" w:rsidRDefault="006E7E1F" w:rsidP="006C390E">
            <w:pPr>
              <w:spacing w:before="0" w:line="240" w:lineRule="auto"/>
              <w:ind w:firstLine="0"/>
              <w:rPr>
                <w:b w:val="0"/>
                <w:bCs/>
                <w:color w:val="000000"/>
                <w:sz w:val="20"/>
                <w:szCs w:val="20"/>
              </w:rPr>
            </w:pPr>
            <w:r w:rsidRPr="00BF0B57">
              <w:rPr>
                <w:bCs/>
                <w:color w:val="000000"/>
                <w:sz w:val="20"/>
                <w:szCs w:val="20"/>
              </w:rPr>
              <w:t xml:space="preserve"> Առողջապահություն </w:t>
            </w:r>
          </w:p>
        </w:tc>
        <w:tc>
          <w:tcPr>
            <w:tcW w:w="1276" w:type="dxa"/>
            <w:tcBorders>
              <w:top w:val="nil"/>
              <w:left w:val="nil"/>
              <w:bottom w:val="single" w:sz="8" w:space="0" w:color="auto"/>
              <w:right w:val="single" w:sz="8" w:space="0" w:color="auto"/>
            </w:tcBorders>
            <w:shd w:val="clear" w:color="000000" w:fill="C6D9F1"/>
            <w:vAlign w:val="center"/>
            <w:hideMark/>
          </w:tcPr>
          <w:p w14:paraId="5DE58B42"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2,272.9</w:t>
            </w:r>
          </w:p>
        </w:tc>
        <w:tc>
          <w:tcPr>
            <w:tcW w:w="1134" w:type="dxa"/>
            <w:tcBorders>
              <w:top w:val="nil"/>
              <w:left w:val="nil"/>
              <w:bottom w:val="single" w:sz="8" w:space="0" w:color="auto"/>
              <w:right w:val="single" w:sz="8" w:space="0" w:color="auto"/>
            </w:tcBorders>
            <w:shd w:val="clear" w:color="000000" w:fill="C6D9F1"/>
            <w:vAlign w:val="center"/>
            <w:hideMark/>
          </w:tcPr>
          <w:p w14:paraId="4A1C3E77"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1,979.3</w:t>
            </w:r>
          </w:p>
        </w:tc>
        <w:tc>
          <w:tcPr>
            <w:tcW w:w="1275" w:type="dxa"/>
            <w:tcBorders>
              <w:top w:val="nil"/>
              <w:left w:val="nil"/>
              <w:bottom w:val="single" w:sz="8" w:space="0" w:color="auto"/>
              <w:right w:val="single" w:sz="8" w:space="0" w:color="auto"/>
            </w:tcBorders>
            <w:shd w:val="clear" w:color="000000" w:fill="C6D9F1"/>
            <w:vAlign w:val="center"/>
            <w:hideMark/>
          </w:tcPr>
          <w:p w14:paraId="38952CC1"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4,630.5</w:t>
            </w:r>
          </w:p>
        </w:tc>
        <w:tc>
          <w:tcPr>
            <w:tcW w:w="1135" w:type="dxa"/>
            <w:tcBorders>
              <w:top w:val="nil"/>
              <w:left w:val="nil"/>
              <w:bottom w:val="single" w:sz="8" w:space="0" w:color="auto"/>
              <w:right w:val="single" w:sz="8" w:space="0" w:color="auto"/>
            </w:tcBorders>
            <w:shd w:val="clear" w:color="000000" w:fill="C6D9F1"/>
            <w:vAlign w:val="center"/>
            <w:hideMark/>
          </w:tcPr>
          <w:p w14:paraId="4DE2B391"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960.7</w:t>
            </w:r>
          </w:p>
        </w:tc>
        <w:tc>
          <w:tcPr>
            <w:tcW w:w="1242" w:type="dxa"/>
            <w:tcBorders>
              <w:top w:val="nil"/>
              <w:left w:val="nil"/>
              <w:bottom w:val="single" w:sz="8" w:space="0" w:color="auto"/>
              <w:right w:val="single" w:sz="8" w:space="0" w:color="auto"/>
            </w:tcBorders>
            <w:shd w:val="clear" w:color="000000" w:fill="C6D9F1"/>
            <w:vAlign w:val="center"/>
            <w:hideMark/>
          </w:tcPr>
          <w:p w14:paraId="0D0F9825"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7,286.7</w:t>
            </w:r>
          </w:p>
        </w:tc>
      </w:tr>
      <w:tr w:rsidR="006E7E1F" w:rsidRPr="00BF0B57" w14:paraId="02E8F76F"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56017E6F"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125C4C0F"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2,264.5</w:t>
            </w:r>
          </w:p>
        </w:tc>
        <w:tc>
          <w:tcPr>
            <w:tcW w:w="1134" w:type="dxa"/>
            <w:tcBorders>
              <w:top w:val="nil"/>
              <w:left w:val="nil"/>
              <w:bottom w:val="single" w:sz="8" w:space="0" w:color="auto"/>
              <w:right w:val="single" w:sz="8" w:space="0" w:color="auto"/>
            </w:tcBorders>
            <w:shd w:val="clear" w:color="000000" w:fill="FFFFFF"/>
            <w:vAlign w:val="center"/>
            <w:hideMark/>
          </w:tcPr>
          <w:p w14:paraId="79DE85D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529.6</w:t>
            </w:r>
          </w:p>
        </w:tc>
        <w:tc>
          <w:tcPr>
            <w:tcW w:w="1275" w:type="dxa"/>
            <w:tcBorders>
              <w:top w:val="nil"/>
              <w:left w:val="nil"/>
              <w:bottom w:val="single" w:sz="8" w:space="0" w:color="auto"/>
              <w:right w:val="single" w:sz="8" w:space="0" w:color="auto"/>
            </w:tcBorders>
            <w:shd w:val="clear" w:color="000000" w:fill="FFFFFF"/>
            <w:vAlign w:val="center"/>
            <w:hideMark/>
          </w:tcPr>
          <w:p w14:paraId="68C21B6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2,565.7</w:t>
            </w:r>
          </w:p>
        </w:tc>
        <w:tc>
          <w:tcPr>
            <w:tcW w:w="1135" w:type="dxa"/>
            <w:tcBorders>
              <w:top w:val="nil"/>
              <w:left w:val="nil"/>
              <w:bottom w:val="single" w:sz="8" w:space="0" w:color="auto"/>
              <w:right w:val="single" w:sz="8" w:space="0" w:color="auto"/>
            </w:tcBorders>
            <w:shd w:val="clear" w:color="auto" w:fill="auto"/>
            <w:vAlign w:val="center"/>
            <w:hideMark/>
          </w:tcPr>
          <w:p w14:paraId="79A2B142"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960.7</w:t>
            </w:r>
          </w:p>
        </w:tc>
        <w:tc>
          <w:tcPr>
            <w:tcW w:w="1242" w:type="dxa"/>
            <w:tcBorders>
              <w:top w:val="nil"/>
              <w:left w:val="nil"/>
              <w:bottom w:val="single" w:sz="8" w:space="0" w:color="auto"/>
              <w:right w:val="single" w:sz="8" w:space="0" w:color="auto"/>
            </w:tcBorders>
            <w:shd w:val="clear" w:color="auto" w:fill="auto"/>
            <w:vAlign w:val="center"/>
            <w:hideMark/>
          </w:tcPr>
          <w:p w14:paraId="71772590"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7,286.7</w:t>
            </w:r>
          </w:p>
        </w:tc>
      </w:tr>
      <w:tr w:rsidR="006E7E1F" w:rsidRPr="00BF0B57" w14:paraId="34356621"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3E690303"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5DA571F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8.4</w:t>
            </w:r>
          </w:p>
        </w:tc>
        <w:tc>
          <w:tcPr>
            <w:tcW w:w="1134" w:type="dxa"/>
            <w:tcBorders>
              <w:top w:val="nil"/>
              <w:left w:val="nil"/>
              <w:bottom w:val="single" w:sz="8" w:space="0" w:color="auto"/>
              <w:right w:val="single" w:sz="8" w:space="0" w:color="auto"/>
            </w:tcBorders>
            <w:shd w:val="clear" w:color="auto" w:fill="auto"/>
            <w:vAlign w:val="center"/>
            <w:hideMark/>
          </w:tcPr>
          <w:p w14:paraId="2F1111F4"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1,449.6</w:t>
            </w:r>
          </w:p>
        </w:tc>
        <w:tc>
          <w:tcPr>
            <w:tcW w:w="1275" w:type="dxa"/>
            <w:tcBorders>
              <w:top w:val="nil"/>
              <w:left w:val="nil"/>
              <w:bottom w:val="single" w:sz="8" w:space="0" w:color="auto"/>
              <w:right w:val="single" w:sz="8" w:space="0" w:color="auto"/>
            </w:tcBorders>
            <w:shd w:val="clear" w:color="auto" w:fill="auto"/>
            <w:vAlign w:val="center"/>
            <w:hideMark/>
          </w:tcPr>
          <w:p w14:paraId="3CEA8A98"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2,064.8</w:t>
            </w:r>
          </w:p>
        </w:tc>
        <w:tc>
          <w:tcPr>
            <w:tcW w:w="1135" w:type="dxa"/>
            <w:tcBorders>
              <w:top w:val="nil"/>
              <w:left w:val="nil"/>
              <w:bottom w:val="single" w:sz="8" w:space="0" w:color="auto"/>
              <w:right w:val="single" w:sz="8" w:space="0" w:color="auto"/>
            </w:tcBorders>
            <w:shd w:val="clear" w:color="auto" w:fill="auto"/>
            <w:vAlign w:val="center"/>
            <w:hideMark/>
          </w:tcPr>
          <w:p w14:paraId="0CD3B19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c>
          <w:tcPr>
            <w:tcW w:w="1242" w:type="dxa"/>
            <w:tcBorders>
              <w:top w:val="nil"/>
              <w:left w:val="nil"/>
              <w:bottom w:val="single" w:sz="8" w:space="0" w:color="auto"/>
              <w:right w:val="single" w:sz="8" w:space="0" w:color="auto"/>
            </w:tcBorders>
            <w:shd w:val="clear" w:color="auto" w:fill="auto"/>
            <w:vAlign w:val="center"/>
            <w:hideMark/>
          </w:tcPr>
          <w:p w14:paraId="3051264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r>
      <w:tr w:rsidR="006E7E1F" w:rsidRPr="00BF0B57" w14:paraId="1B6F0EF8" w14:textId="77777777" w:rsidTr="006C390E">
        <w:trPr>
          <w:trHeight w:val="63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7F9BC3A5" w14:textId="77777777" w:rsidR="006E7E1F" w:rsidRPr="00BF0B57" w:rsidRDefault="006E7E1F" w:rsidP="006C390E">
            <w:pPr>
              <w:spacing w:before="0" w:line="240" w:lineRule="auto"/>
              <w:ind w:firstLine="0"/>
              <w:jc w:val="left"/>
              <w:rPr>
                <w:b w:val="0"/>
                <w:bCs/>
                <w:color w:val="000000"/>
                <w:sz w:val="20"/>
                <w:szCs w:val="20"/>
              </w:rPr>
            </w:pPr>
            <w:r w:rsidRPr="00BF0B57">
              <w:rPr>
                <w:bCs/>
                <w:color w:val="000000"/>
                <w:sz w:val="20"/>
                <w:szCs w:val="20"/>
              </w:rPr>
              <w:t>Կրթություն</w:t>
            </w:r>
            <w:r w:rsidRPr="00BF0B57">
              <w:rPr>
                <w:rFonts w:ascii="Microsoft JhengHei" w:eastAsia="Microsoft JhengHei" w:hAnsi="Microsoft JhengHei" w:hint="eastAsia"/>
                <w:bCs/>
                <w:color w:val="000000"/>
                <w:sz w:val="20"/>
                <w:szCs w:val="20"/>
              </w:rPr>
              <w:t>﹐</w:t>
            </w:r>
            <w:r w:rsidRPr="00BF0B57">
              <w:rPr>
                <w:bCs/>
                <w:color w:val="000000"/>
                <w:sz w:val="20"/>
                <w:szCs w:val="20"/>
              </w:rPr>
              <w:t xml:space="preserve">գիտություն մշակույթ և սպորտ </w:t>
            </w:r>
          </w:p>
        </w:tc>
        <w:tc>
          <w:tcPr>
            <w:tcW w:w="1276" w:type="dxa"/>
            <w:tcBorders>
              <w:top w:val="nil"/>
              <w:left w:val="nil"/>
              <w:bottom w:val="single" w:sz="8" w:space="0" w:color="auto"/>
              <w:right w:val="single" w:sz="8" w:space="0" w:color="auto"/>
            </w:tcBorders>
            <w:shd w:val="clear" w:color="000000" w:fill="C6D9F1"/>
            <w:vAlign w:val="center"/>
            <w:hideMark/>
          </w:tcPr>
          <w:p w14:paraId="15AD91F9"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6,078.9</w:t>
            </w:r>
          </w:p>
        </w:tc>
        <w:tc>
          <w:tcPr>
            <w:tcW w:w="1134" w:type="dxa"/>
            <w:tcBorders>
              <w:top w:val="nil"/>
              <w:left w:val="nil"/>
              <w:bottom w:val="single" w:sz="8" w:space="0" w:color="auto"/>
              <w:right w:val="single" w:sz="8" w:space="0" w:color="auto"/>
            </w:tcBorders>
            <w:shd w:val="clear" w:color="000000" w:fill="C6D9F1"/>
            <w:vAlign w:val="center"/>
            <w:hideMark/>
          </w:tcPr>
          <w:p w14:paraId="3EC5A8D7"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4,774.1</w:t>
            </w:r>
          </w:p>
        </w:tc>
        <w:tc>
          <w:tcPr>
            <w:tcW w:w="1275" w:type="dxa"/>
            <w:tcBorders>
              <w:top w:val="nil"/>
              <w:left w:val="nil"/>
              <w:bottom w:val="single" w:sz="8" w:space="0" w:color="auto"/>
              <w:right w:val="single" w:sz="8" w:space="0" w:color="auto"/>
            </w:tcBorders>
            <w:shd w:val="clear" w:color="000000" w:fill="C6D9F1"/>
            <w:vAlign w:val="center"/>
            <w:hideMark/>
          </w:tcPr>
          <w:p w14:paraId="3FEB2077"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12,313.5</w:t>
            </w:r>
          </w:p>
        </w:tc>
        <w:tc>
          <w:tcPr>
            <w:tcW w:w="1135" w:type="dxa"/>
            <w:tcBorders>
              <w:top w:val="nil"/>
              <w:left w:val="nil"/>
              <w:bottom w:val="single" w:sz="8" w:space="0" w:color="auto"/>
              <w:right w:val="single" w:sz="8" w:space="0" w:color="auto"/>
            </w:tcBorders>
            <w:shd w:val="clear" w:color="000000" w:fill="C6D9F1"/>
            <w:vAlign w:val="center"/>
            <w:hideMark/>
          </w:tcPr>
          <w:p w14:paraId="3A493F56"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9,976.8</w:t>
            </w:r>
          </w:p>
        </w:tc>
        <w:tc>
          <w:tcPr>
            <w:tcW w:w="1242" w:type="dxa"/>
            <w:tcBorders>
              <w:top w:val="nil"/>
              <w:left w:val="nil"/>
              <w:bottom w:val="single" w:sz="8" w:space="0" w:color="auto"/>
              <w:right w:val="single" w:sz="8" w:space="0" w:color="auto"/>
            </w:tcBorders>
            <w:shd w:val="clear" w:color="000000" w:fill="C6D9F1"/>
            <w:vAlign w:val="center"/>
            <w:hideMark/>
          </w:tcPr>
          <w:p w14:paraId="270F925F"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30,425.6</w:t>
            </w:r>
          </w:p>
        </w:tc>
      </w:tr>
      <w:tr w:rsidR="006E7E1F" w:rsidRPr="00BF0B57" w14:paraId="75D4E4A0"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E9E0C60"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604D6EE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3,022.1</w:t>
            </w:r>
          </w:p>
        </w:tc>
        <w:tc>
          <w:tcPr>
            <w:tcW w:w="1134" w:type="dxa"/>
            <w:tcBorders>
              <w:top w:val="nil"/>
              <w:left w:val="nil"/>
              <w:bottom w:val="single" w:sz="8" w:space="0" w:color="auto"/>
              <w:right w:val="single" w:sz="8" w:space="0" w:color="auto"/>
            </w:tcBorders>
            <w:shd w:val="clear" w:color="000000" w:fill="FFFFFF"/>
            <w:vAlign w:val="center"/>
            <w:hideMark/>
          </w:tcPr>
          <w:p w14:paraId="15A47E52"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1,672.4</w:t>
            </w:r>
          </w:p>
        </w:tc>
        <w:tc>
          <w:tcPr>
            <w:tcW w:w="1275" w:type="dxa"/>
            <w:tcBorders>
              <w:top w:val="nil"/>
              <w:left w:val="nil"/>
              <w:bottom w:val="single" w:sz="8" w:space="0" w:color="auto"/>
              <w:right w:val="single" w:sz="8" w:space="0" w:color="auto"/>
            </w:tcBorders>
            <w:shd w:val="clear" w:color="000000" w:fill="FFFFFF"/>
            <w:vAlign w:val="center"/>
            <w:hideMark/>
          </w:tcPr>
          <w:p w14:paraId="628EC09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8,785.5</w:t>
            </w:r>
          </w:p>
        </w:tc>
        <w:tc>
          <w:tcPr>
            <w:tcW w:w="1135" w:type="dxa"/>
            <w:tcBorders>
              <w:top w:val="nil"/>
              <w:left w:val="nil"/>
              <w:bottom w:val="single" w:sz="8" w:space="0" w:color="auto"/>
              <w:right w:val="single" w:sz="8" w:space="0" w:color="auto"/>
            </w:tcBorders>
            <w:shd w:val="clear" w:color="auto" w:fill="auto"/>
            <w:vAlign w:val="center"/>
            <w:hideMark/>
          </w:tcPr>
          <w:p w14:paraId="197E5E09"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8,539.6</w:t>
            </w:r>
          </w:p>
        </w:tc>
        <w:tc>
          <w:tcPr>
            <w:tcW w:w="1242" w:type="dxa"/>
            <w:tcBorders>
              <w:top w:val="nil"/>
              <w:left w:val="nil"/>
              <w:bottom w:val="single" w:sz="8" w:space="0" w:color="auto"/>
              <w:right w:val="single" w:sz="8" w:space="0" w:color="auto"/>
            </w:tcBorders>
            <w:shd w:val="clear" w:color="000000" w:fill="FFFFFF"/>
            <w:vAlign w:val="center"/>
            <w:hideMark/>
          </w:tcPr>
          <w:p w14:paraId="1FEA2D34"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6,179.2</w:t>
            </w:r>
          </w:p>
        </w:tc>
      </w:tr>
      <w:tr w:rsidR="006E7E1F" w:rsidRPr="00BF0B57" w14:paraId="129CDAAA"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353CBEF"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40C3426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3,056.8</w:t>
            </w:r>
          </w:p>
        </w:tc>
        <w:tc>
          <w:tcPr>
            <w:tcW w:w="1134" w:type="dxa"/>
            <w:tcBorders>
              <w:top w:val="nil"/>
              <w:left w:val="nil"/>
              <w:bottom w:val="single" w:sz="8" w:space="0" w:color="auto"/>
              <w:right w:val="single" w:sz="8" w:space="0" w:color="auto"/>
            </w:tcBorders>
            <w:shd w:val="clear" w:color="auto" w:fill="auto"/>
            <w:vAlign w:val="center"/>
            <w:hideMark/>
          </w:tcPr>
          <w:p w14:paraId="1DD73433"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3,101.7</w:t>
            </w:r>
          </w:p>
        </w:tc>
        <w:tc>
          <w:tcPr>
            <w:tcW w:w="1275" w:type="dxa"/>
            <w:tcBorders>
              <w:top w:val="nil"/>
              <w:left w:val="nil"/>
              <w:bottom w:val="single" w:sz="8" w:space="0" w:color="auto"/>
              <w:right w:val="single" w:sz="8" w:space="0" w:color="auto"/>
            </w:tcBorders>
            <w:shd w:val="clear" w:color="auto" w:fill="auto"/>
            <w:vAlign w:val="center"/>
            <w:hideMark/>
          </w:tcPr>
          <w:p w14:paraId="63FA5DA5"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3,528.0</w:t>
            </w:r>
          </w:p>
        </w:tc>
        <w:tc>
          <w:tcPr>
            <w:tcW w:w="1135" w:type="dxa"/>
            <w:tcBorders>
              <w:top w:val="nil"/>
              <w:left w:val="nil"/>
              <w:bottom w:val="single" w:sz="8" w:space="0" w:color="auto"/>
              <w:right w:val="single" w:sz="8" w:space="0" w:color="auto"/>
            </w:tcBorders>
            <w:shd w:val="clear" w:color="auto" w:fill="auto"/>
            <w:vAlign w:val="center"/>
            <w:hideMark/>
          </w:tcPr>
          <w:p w14:paraId="16E769F8"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1,437.2</w:t>
            </w:r>
          </w:p>
        </w:tc>
        <w:tc>
          <w:tcPr>
            <w:tcW w:w="1242" w:type="dxa"/>
            <w:tcBorders>
              <w:top w:val="nil"/>
              <w:left w:val="nil"/>
              <w:bottom w:val="single" w:sz="8" w:space="0" w:color="auto"/>
              <w:right w:val="single" w:sz="8" w:space="0" w:color="auto"/>
            </w:tcBorders>
            <w:shd w:val="clear" w:color="auto" w:fill="auto"/>
            <w:vAlign w:val="center"/>
            <w:hideMark/>
          </w:tcPr>
          <w:p w14:paraId="46D91F9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24,246.4</w:t>
            </w:r>
          </w:p>
        </w:tc>
      </w:tr>
      <w:tr w:rsidR="006E7E1F" w:rsidRPr="00BF0B57" w14:paraId="7DE1F600"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267D6F32" w14:textId="77777777" w:rsidR="006E7E1F" w:rsidRPr="00BF0B57" w:rsidRDefault="006E7E1F" w:rsidP="006C390E">
            <w:pPr>
              <w:spacing w:before="0" w:line="240" w:lineRule="auto"/>
              <w:ind w:firstLine="0"/>
              <w:rPr>
                <w:b w:val="0"/>
                <w:bCs/>
                <w:color w:val="000000"/>
                <w:sz w:val="20"/>
                <w:szCs w:val="20"/>
              </w:rPr>
            </w:pPr>
            <w:r w:rsidRPr="00BF0B57">
              <w:rPr>
                <w:bCs/>
                <w:color w:val="000000"/>
                <w:sz w:val="20"/>
                <w:szCs w:val="20"/>
              </w:rPr>
              <w:t xml:space="preserve"> Սոցիալական </w:t>
            </w:r>
          </w:p>
        </w:tc>
        <w:tc>
          <w:tcPr>
            <w:tcW w:w="1276" w:type="dxa"/>
            <w:tcBorders>
              <w:top w:val="nil"/>
              <w:left w:val="nil"/>
              <w:bottom w:val="single" w:sz="8" w:space="0" w:color="auto"/>
              <w:right w:val="single" w:sz="8" w:space="0" w:color="auto"/>
            </w:tcBorders>
            <w:shd w:val="clear" w:color="000000" w:fill="C6D9F1"/>
            <w:vAlign w:val="center"/>
            <w:hideMark/>
          </w:tcPr>
          <w:p w14:paraId="351F96EC"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739.6</w:t>
            </w:r>
          </w:p>
        </w:tc>
        <w:tc>
          <w:tcPr>
            <w:tcW w:w="1134" w:type="dxa"/>
            <w:tcBorders>
              <w:top w:val="nil"/>
              <w:left w:val="nil"/>
              <w:bottom w:val="single" w:sz="8" w:space="0" w:color="auto"/>
              <w:right w:val="single" w:sz="8" w:space="0" w:color="auto"/>
            </w:tcBorders>
            <w:shd w:val="clear" w:color="000000" w:fill="C6D9F1"/>
            <w:vAlign w:val="center"/>
            <w:hideMark/>
          </w:tcPr>
          <w:p w14:paraId="17EDB9B2"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546.5</w:t>
            </w:r>
          </w:p>
        </w:tc>
        <w:tc>
          <w:tcPr>
            <w:tcW w:w="1275" w:type="dxa"/>
            <w:tcBorders>
              <w:top w:val="nil"/>
              <w:left w:val="nil"/>
              <w:bottom w:val="single" w:sz="8" w:space="0" w:color="auto"/>
              <w:right w:val="single" w:sz="8" w:space="0" w:color="auto"/>
            </w:tcBorders>
            <w:shd w:val="clear" w:color="000000" w:fill="C6D9F1"/>
            <w:vAlign w:val="center"/>
            <w:hideMark/>
          </w:tcPr>
          <w:p w14:paraId="15F9B2F7"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1,520.2</w:t>
            </w:r>
          </w:p>
        </w:tc>
        <w:tc>
          <w:tcPr>
            <w:tcW w:w="1135" w:type="dxa"/>
            <w:tcBorders>
              <w:top w:val="nil"/>
              <w:left w:val="nil"/>
              <w:bottom w:val="single" w:sz="8" w:space="0" w:color="auto"/>
              <w:right w:val="single" w:sz="8" w:space="0" w:color="auto"/>
            </w:tcBorders>
            <w:shd w:val="clear" w:color="000000" w:fill="C6D9F1"/>
            <w:vAlign w:val="center"/>
            <w:hideMark/>
          </w:tcPr>
          <w:p w14:paraId="27536448"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2,500.1</w:t>
            </w:r>
          </w:p>
        </w:tc>
        <w:tc>
          <w:tcPr>
            <w:tcW w:w="1242" w:type="dxa"/>
            <w:tcBorders>
              <w:top w:val="nil"/>
              <w:left w:val="nil"/>
              <w:bottom w:val="single" w:sz="8" w:space="0" w:color="auto"/>
              <w:right w:val="single" w:sz="8" w:space="0" w:color="auto"/>
            </w:tcBorders>
            <w:shd w:val="clear" w:color="000000" w:fill="C6D9F1"/>
            <w:vAlign w:val="center"/>
            <w:hideMark/>
          </w:tcPr>
          <w:p w14:paraId="453ADAA0"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3,015.1</w:t>
            </w:r>
          </w:p>
        </w:tc>
      </w:tr>
      <w:tr w:rsidR="006E7E1F" w:rsidRPr="00BF0B57" w14:paraId="4C2D4607"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60A761F2"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10657C2D"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664.4</w:t>
            </w:r>
          </w:p>
        </w:tc>
        <w:tc>
          <w:tcPr>
            <w:tcW w:w="1134" w:type="dxa"/>
            <w:tcBorders>
              <w:top w:val="nil"/>
              <w:left w:val="nil"/>
              <w:bottom w:val="single" w:sz="8" w:space="0" w:color="auto"/>
              <w:right w:val="single" w:sz="8" w:space="0" w:color="auto"/>
            </w:tcBorders>
            <w:shd w:val="clear" w:color="000000" w:fill="FFFFFF"/>
            <w:vAlign w:val="center"/>
            <w:hideMark/>
          </w:tcPr>
          <w:p w14:paraId="2059761C"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464.9</w:t>
            </w:r>
          </w:p>
        </w:tc>
        <w:tc>
          <w:tcPr>
            <w:tcW w:w="1275" w:type="dxa"/>
            <w:tcBorders>
              <w:top w:val="nil"/>
              <w:left w:val="nil"/>
              <w:bottom w:val="single" w:sz="8" w:space="0" w:color="auto"/>
              <w:right w:val="single" w:sz="8" w:space="0" w:color="auto"/>
            </w:tcBorders>
            <w:shd w:val="clear" w:color="000000" w:fill="FFFFFF"/>
            <w:vAlign w:val="center"/>
            <w:hideMark/>
          </w:tcPr>
          <w:p w14:paraId="2314C6A6"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1,208.3</w:t>
            </w:r>
          </w:p>
        </w:tc>
        <w:tc>
          <w:tcPr>
            <w:tcW w:w="1135" w:type="dxa"/>
            <w:tcBorders>
              <w:top w:val="nil"/>
              <w:left w:val="nil"/>
              <w:bottom w:val="single" w:sz="8" w:space="0" w:color="auto"/>
              <w:right w:val="single" w:sz="8" w:space="0" w:color="auto"/>
            </w:tcBorders>
            <w:shd w:val="clear" w:color="auto" w:fill="auto"/>
            <w:vAlign w:val="center"/>
            <w:hideMark/>
          </w:tcPr>
          <w:p w14:paraId="6F1583CD"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1,209.5</w:t>
            </w:r>
          </w:p>
        </w:tc>
        <w:tc>
          <w:tcPr>
            <w:tcW w:w="1242" w:type="dxa"/>
            <w:tcBorders>
              <w:top w:val="nil"/>
              <w:left w:val="nil"/>
              <w:bottom w:val="single" w:sz="8" w:space="0" w:color="auto"/>
              <w:right w:val="single" w:sz="8" w:space="0" w:color="auto"/>
            </w:tcBorders>
            <w:shd w:val="clear" w:color="000000" w:fill="FFFFFF"/>
            <w:vAlign w:val="center"/>
            <w:hideMark/>
          </w:tcPr>
          <w:p w14:paraId="276E43D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2,703.2</w:t>
            </w:r>
          </w:p>
        </w:tc>
      </w:tr>
      <w:tr w:rsidR="006E7E1F" w:rsidRPr="00BF0B57" w14:paraId="3F70D8AA"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7FE459D9"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auto" w:fill="auto"/>
            <w:vAlign w:val="center"/>
            <w:hideMark/>
          </w:tcPr>
          <w:p w14:paraId="7657DBD4"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75.2</w:t>
            </w:r>
          </w:p>
        </w:tc>
        <w:tc>
          <w:tcPr>
            <w:tcW w:w="1134" w:type="dxa"/>
            <w:tcBorders>
              <w:top w:val="nil"/>
              <w:left w:val="nil"/>
              <w:bottom w:val="single" w:sz="8" w:space="0" w:color="auto"/>
              <w:right w:val="single" w:sz="8" w:space="0" w:color="auto"/>
            </w:tcBorders>
            <w:shd w:val="clear" w:color="auto" w:fill="auto"/>
            <w:vAlign w:val="center"/>
            <w:hideMark/>
          </w:tcPr>
          <w:p w14:paraId="239959E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81.6</w:t>
            </w:r>
          </w:p>
        </w:tc>
        <w:tc>
          <w:tcPr>
            <w:tcW w:w="1275" w:type="dxa"/>
            <w:tcBorders>
              <w:top w:val="nil"/>
              <w:left w:val="nil"/>
              <w:bottom w:val="single" w:sz="8" w:space="0" w:color="auto"/>
              <w:right w:val="single" w:sz="8" w:space="0" w:color="auto"/>
            </w:tcBorders>
            <w:shd w:val="clear" w:color="000000" w:fill="FFFFFF"/>
            <w:vAlign w:val="center"/>
            <w:hideMark/>
          </w:tcPr>
          <w:p w14:paraId="4D1B3043"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311.9</w:t>
            </w:r>
          </w:p>
        </w:tc>
        <w:tc>
          <w:tcPr>
            <w:tcW w:w="1135" w:type="dxa"/>
            <w:tcBorders>
              <w:top w:val="nil"/>
              <w:left w:val="nil"/>
              <w:bottom w:val="single" w:sz="8" w:space="0" w:color="auto"/>
              <w:right w:val="single" w:sz="8" w:space="0" w:color="auto"/>
            </w:tcBorders>
            <w:shd w:val="clear" w:color="auto" w:fill="auto"/>
            <w:vAlign w:val="center"/>
            <w:hideMark/>
          </w:tcPr>
          <w:p w14:paraId="27175468"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1,290.6</w:t>
            </w:r>
          </w:p>
        </w:tc>
        <w:tc>
          <w:tcPr>
            <w:tcW w:w="1242" w:type="dxa"/>
            <w:tcBorders>
              <w:top w:val="nil"/>
              <w:left w:val="nil"/>
              <w:bottom w:val="single" w:sz="8" w:space="0" w:color="auto"/>
              <w:right w:val="single" w:sz="8" w:space="0" w:color="auto"/>
            </w:tcBorders>
            <w:shd w:val="clear" w:color="000000" w:fill="FFFFFF"/>
            <w:vAlign w:val="center"/>
            <w:hideMark/>
          </w:tcPr>
          <w:p w14:paraId="450DD9FF"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311.9</w:t>
            </w:r>
          </w:p>
        </w:tc>
      </w:tr>
      <w:tr w:rsidR="006E7E1F" w:rsidRPr="00BF0B57" w14:paraId="7A1DDEA7"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6734C11B" w14:textId="77777777" w:rsidR="006E7E1F" w:rsidRPr="00BF0B57" w:rsidRDefault="006E7E1F" w:rsidP="006C390E">
            <w:pPr>
              <w:spacing w:before="0" w:line="240" w:lineRule="auto"/>
              <w:ind w:firstLine="0"/>
              <w:jc w:val="left"/>
              <w:rPr>
                <w:b w:val="0"/>
                <w:bCs/>
                <w:color w:val="000000"/>
                <w:sz w:val="20"/>
                <w:szCs w:val="20"/>
              </w:rPr>
            </w:pPr>
            <w:r w:rsidRPr="00BF0B57">
              <w:rPr>
                <w:bCs/>
                <w:color w:val="000000"/>
                <w:sz w:val="20"/>
                <w:szCs w:val="20"/>
              </w:rPr>
              <w:t xml:space="preserve"> Ուժային </w:t>
            </w:r>
          </w:p>
        </w:tc>
        <w:tc>
          <w:tcPr>
            <w:tcW w:w="1276" w:type="dxa"/>
            <w:tcBorders>
              <w:top w:val="nil"/>
              <w:left w:val="nil"/>
              <w:bottom w:val="single" w:sz="8" w:space="0" w:color="auto"/>
              <w:right w:val="single" w:sz="8" w:space="0" w:color="auto"/>
            </w:tcBorders>
            <w:shd w:val="clear" w:color="000000" w:fill="C6D9F1"/>
            <w:vAlign w:val="center"/>
            <w:hideMark/>
          </w:tcPr>
          <w:p w14:paraId="6DE1105B"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70,103.8</w:t>
            </w:r>
          </w:p>
        </w:tc>
        <w:tc>
          <w:tcPr>
            <w:tcW w:w="1134" w:type="dxa"/>
            <w:tcBorders>
              <w:top w:val="nil"/>
              <w:left w:val="nil"/>
              <w:bottom w:val="single" w:sz="8" w:space="0" w:color="auto"/>
              <w:right w:val="single" w:sz="8" w:space="0" w:color="auto"/>
            </w:tcBorders>
            <w:shd w:val="clear" w:color="000000" w:fill="C6D9F1"/>
            <w:vAlign w:val="center"/>
            <w:hideMark/>
          </w:tcPr>
          <w:p w14:paraId="6E3D744F"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114,347.4</w:t>
            </w:r>
          </w:p>
        </w:tc>
        <w:tc>
          <w:tcPr>
            <w:tcW w:w="1275" w:type="dxa"/>
            <w:tcBorders>
              <w:top w:val="nil"/>
              <w:left w:val="nil"/>
              <w:bottom w:val="single" w:sz="8" w:space="0" w:color="auto"/>
              <w:right w:val="single" w:sz="8" w:space="0" w:color="auto"/>
            </w:tcBorders>
            <w:shd w:val="clear" w:color="000000" w:fill="C6D9F1"/>
            <w:vAlign w:val="center"/>
            <w:hideMark/>
          </w:tcPr>
          <w:p w14:paraId="46A3E147"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140,390.0</w:t>
            </w:r>
          </w:p>
        </w:tc>
        <w:tc>
          <w:tcPr>
            <w:tcW w:w="1135" w:type="dxa"/>
            <w:tcBorders>
              <w:top w:val="nil"/>
              <w:left w:val="nil"/>
              <w:bottom w:val="single" w:sz="8" w:space="0" w:color="auto"/>
              <w:right w:val="single" w:sz="8" w:space="0" w:color="auto"/>
            </w:tcBorders>
            <w:shd w:val="clear" w:color="000000" w:fill="C6D9F1"/>
            <w:vAlign w:val="center"/>
            <w:hideMark/>
          </w:tcPr>
          <w:p w14:paraId="18062DE6"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88,736.4</w:t>
            </w:r>
          </w:p>
        </w:tc>
        <w:tc>
          <w:tcPr>
            <w:tcW w:w="1242" w:type="dxa"/>
            <w:tcBorders>
              <w:top w:val="nil"/>
              <w:left w:val="nil"/>
              <w:bottom w:val="single" w:sz="8" w:space="0" w:color="auto"/>
              <w:right w:val="single" w:sz="8" w:space="0" w:color="auto"/>
            </w:tcBorders>
            <w:shd w:val="clear" w:color="000000" w:fill="C6D9F1"/>
            <w:vAlign w:val="center"/>
            <w:hideMark/>
          </w:tcPr>
          <w:p w14:paraId="401B8082"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131,316.9</w:t>
            </w:r>
          </w:p>
        </w:tc>
      </w:tr>
      <w:tr w:rsidR="006E7E1F" w:rsidRPr="00BF0B57" w14:paraId="6D45E2C5"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66F3AE4B"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2D72566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c>
          <w:tcPr>
            <w:tcW w:w="1134" w:type="dxa"/>
            <w:tcBorders>
              <w:top w:val="nil"/>
              <w:left w:val="nil"/>
              <w:bottom w:val="single" w:sz="8" w:space="0" w:color="auto"/>
              <w:right w:val="single" w:sz="8" w:space="0" w:color="auto"/>
            </w:tcBorders>
            <w:shd w:val="clear" w:color="000000" w:fill="FFFFFF"/>
            <w:vAlign w:val="center"/>
            <w:hideMark/>
          </w:tcPr>
          <w:p w14:paraId="166886A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31,389.0</w:t>
            </w:r>
          </w:p>
        </w:tc>
        <w:tc>
          <w:tcPr>
            <w:tcW w:w="1275" w:type="dxa"/>
            <w:tcBorders>
              <w:top w:val="nil"/>
              <w:left w:val="nil"/>
              <w:bottom w:val="single" w:sz="8" w:space="0" w:color="auto"/>
              <w:right w:val="single" w:sz="8" w:space="0" w:color="auto"/>
            </w:tcBorders>
            <w:shd w:val="clear" w:color="000000" w:fill="FFFFFF"/>
            <w:vAlign w:val="center"/>
            <w:hideMark/>
          </w:tcPr>
          <w:p w14:paraId="43019B97"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c>
          <w:tcPr>
            <w:tcW w:w="1135" w:type="dxa"/>
            <w:tcBorders>
              <w:top w:val="nil"/>
              <w:left w:val="nil"/>
              <w:bottom w:val="single" w:sz="8" w:space="0" w:color="auto"/>
              <w:right w:val="single" w:sz="8" w:space="0" w:color="auto"/>
            </w:tcBorders>
            <w:shd w:val="clear" w:color="000000" w:fill="FFFFFF"/>
            <w:vAlign w:val="center"/>
            <w:hideMark/>
          </w:tcPr>
          <w:p w14:paraId="2FBAC62D"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c>
          <w:tcPr>
            <w:tcW w:w="1242" w:type="dxa"/>
            <w:tcBorders>
              <w:top w:val="nil"/>
              <w:left w:val="nil"/>
              <w:bottom w:val="single" w:sz="8" w:space="0" w:color="auto"/>
              <w:right w:val="single" w:sz="8" w:space="0" w:color="auto"/>
            </w:tcBorders>
            <w:shd w:val="clear" w:color="000000" w:fill="FFFFFF"/>
            <w:vAlign w:val="center"/>
            <w:hideMark/>
          </w:tcPr>
          <w:p w14:paraId="2B51696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0.0</w:t>
            </w:r>
          </w:p>
        </w:tc>
      </w:tr>
      <w:tr w:rsidR="006E7E1F" w:rsidRPr="00BF0B57" w14:paraId="2946393B"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2D19828C"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46B20CC0"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70,103.8</w:t>
            </w:r>
          </w:p>
        </w:tc>
        <w:tc>
          <w:tcPr>
            <w:tcW w:w="1134" w:type="dxa"/>
            <w:tcBorders>
              <w:top w:val="nil"/>
              <w:left w:val="nil"/>
              <w:bottom w:val="single" w:sz="8" w:space="0" w:color="auto"/>
              <w:right w:val="single" w:sz="8" w:space="0" w:color="auto"/>
            </w:tcBorders>
            <w:shd w:val="clear" w:color="000000" w:fill="FFFFFF"/>
            <w:vAlign w:val="center"/>
            <w:hideMark/>
          </w:tcPr>
          <w:p w14:paraId="379FFE10"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82,958.4</w:t>
            </w:r>
          </w:p>
        </w:tc>
        <w:tc>
          <w:tcPr>
            <w:tcW w:w="1275" w:type="dxa"/>
            <w:tcBorders>
              <w:top w:val="nil"/>
              <w:left w:val="nil"/>
              <w:bottom w:val="single" w:sz="8" w:space="0" w:color="auto"/>
              <w:right w:val="single" w:sz="8" w:space="0" w:color="auto"/>
            </w:tcBorders>
            <w:shd w:val="clear" w:color="000000" w:fill="FFFFFF"/>
            <w:vAlign w:val="center"/>
            <w:hideMark/>
          </w:tcPr>
          <w:p w14:paraId="0FE27D43"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140,390.0</w:t>
            </w:r>
          </w:p>
        </w:tc>
        <w:tc>
          <w:tcPr>
            <w:tcW w:w="1135" w:type="dxa"/>
            <w:tcBorders>
              <w:top w:val="nil"/>
              <w:left w:val="nil"/>
              <w:bottom w:val="single" w:sz="8" w:space="0" w:color="auto"/>
              <w:right w:val="single" w:sz="8" w:space="0" w:color="auto"/>
            </w:tcBorders>
            <w:shd w:val="clear" w:color="000000" w:fill="FFFFFF"/>
            <w:vAlign w:val="center"/>
            <w:hideMark/>
          </w:tcPr>
          <w:p w14:paraId="7EEC37D2"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88,736.4</w:t>
            </w:r>
          </w:p>
        </w:tc>
        <w:tc>
          <w:tcPr>
            <w:tcW w:w="1242" w:type="dxa"/>
            <w:tcBorders>
              <w:top w:val="nil"/>
              <w:left w:val="nil"/>
              <w:bottom w:val="single" w:sz="8" w:space="0" w:color="auto"/>
              <w:right w:val="single" w:sz="8" w:space="0" w:color="auto"/>
            </w:tcBorders>
            <w:shd w:val="clear" w:color="000000" w:fill="FFFFFF"/>
            <w:vAlign w:val="center"/>
            <w:hideMark/>
          </w:tcPr>
          <w:p w14:paraId="4726743E"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131,316.9</w:t>
            </w:r>
          </w:p>
        </w:tc>
      </w:tr>
      <w:tr w:rsidR="006E7E1F" w:rsidRPr="00BF0B57" w14:paraId="3B0967DD"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C6D9F1"/>
            <w:noWrap/>
            <w:vAlign w:val="center"/>
            <w:hideMark/>
          </w:tcPr>
          <w:p w14:paraId="060E4396" w14:textId="77777777" w:rsidR="006E7E1F" w:rsidRPr="00BF0B57" w:rsidRDefault="006E7E1F" w:rsidP="006C390E">
            <w:pPr>
              <w:spacing w:before="0" w:line="240" w:lineRule="auto"/>
              <w:ind w:firstLine="0"/>
              <w:rPr>
                <w:b w:val="0"/>
                <w:bCs/>
                <w:color w:val="000000"/>
                <w:sz w:val="20"/>
                <w:szCs w:val="20"/>
              </w:rPr>
            </w:pPr>
            <w:r w:rsidRPr="00BF0B57">
              <w:rPr>
                <w:bCs/>
                <w:color w:val="000000"/>
                <w:sz w:val="20"/>
                <w:szCs w:val="20"/>
              </w:rPr>
              <w:t xml:space="preserve"> Այլ </w:t>
            </w:r>
          </w:p>
        </w:tc>
        <w:tc>
          <w:tcPr>
            <w:tcW w:w="1276" w:type="dxa"/>
            <w:tcBorders>
              <w:top w:val="nil"/>
              <w:left w:val="nil"/>
              <w:bottom w:val="single" w:sz="8" w:space="0" w:color="auto"/>
              <w:right w:val="single" w:sz="8" w:space="0" w:color="auto"/>
            </w:tcBorders>
            <w:shd w:val="clear" w:color="000000" w:fill="C6D9F1"/>
            <w:vAlign w:val="center"/>
            <w:hideMark/>
          </w:tcPr>
          <w:p w14:paraId="6C4378FA"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10,167.1</w:t>
            </w:r>
          </w:p>
        </w:tc>
        <w:tc>
          <w:tcPr>
            <w:tcW w:w="1134" w:type="dxa"/>
            <w:tcBorders>
              <w:top w:val="nil"/>
              <w:left w:val="nil"/>
              <w:bottom w:val="single" w:sz="8" w:space="0" w:color="auto"/>
              <w:right w:val="single" w:sz="8" w:space="0" w:color="auto"/>
            </w:tcBorders>
            <w:shd w:val="clear" w:color="000000" w:fill="C6D9F1"/>
            <w:vAlign w:val="center"/>
            <w:hideMark/>
          </w:tcPr>
          <w:p w14:paraId="73850474"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21,800.4</w:t>
            </w:r>
          </w:p>
        </w:tc>
        <w:tc>
          <w:tcPr>
            <w:tcW w:w="1275" w:type="dxa"/>
            <w:tcBorders>
              <w:top w:val="nil"/>
              <w:left w:val="nil"/>
              <w:bottom w:val="single" w:sz="8" w:space="0" w:color="auto"/>
              <w:right w:val="single" w:sz="8" w:space="0" w:color="auto"/>
            </w:tcBorders>
            <w:shd w:val="clear" w:color="000000" w:fill="C6D9F1"/>
            <w:vAlign w:val="center"/>
            <w:hideMark/>
          </w:tcPr>
          <w:p w14:paraId="5108DD3C"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13,444.4</w:t>
            </w:r>
          </w:p>
        </w:tc>
        <w:tc>
          <w:tcPr>
            <w:tcW w:w="1135" w:type="dxa"/>
            <w:tcBorders>
              <w:top w:val="nil"/>
              <w:left w:val="nil"/>
              <w:bottom w:val="single" w:sz="8" w:space="0" w:color="auto"/>
              <w:right w:val="single" w:sz="8" w:space="0" w:color="auto"/>
            </w:tcBorders>
            <w:shd w:val="clear" w:color="000000" w:fill="C6D9F1"/>
            <w:vAlign w:val="center"/>
            <w:hideMark/>
          </w:tcPr>
          <w:p w14:paraId="5C1C33D1"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26,277.0</w:t>
            </w:r>
          </w:p>
        </w:tc>
        <w:tc>
          <w:tcPr>
            <w:tcW w:w="1242" w:type="dxa"/>
            <w:tcBorders>
              <w:top w:val="nil"/>
              <w:left w:val="nil"/>
              <w:bottom w:val="single" w:sz="8" w:space="0" w:color="auto"/>
              <w:right w:val="single" w:sz="8" w:space="0" w:color="auto"/>
            </w:tcBorders>
            <w:shd w:val="clear" w:color="000000" w:fill="C6D9F1"/>
            <w:vAlign w:val="center"/>
            <w:hideMark/>
          </w:tcPr>
          <w:p w14:paraId="40FCBDC8" w14:textId="77777777" w:rsidR="006E7E1F" w:rsidRPr="00BF0B57" w:rsidRDefault="006E7E1F" w:rsidP="006C390E">
            <w:pPr>
              <w:spacing w:before="0" w:line="240" w:lineRule="auto"/>
              <w:ind w:firstLine="0"/>
              <w:jc w:val="right"/>
              <w:rPr>
                <w:b w:val="0"/>
                <w:bCs/>
                <w:color w:val="000000"/>
                <w:sz w:val="20"/>
                <w:szCs w:val="20"/>
              </w:rPr>
            </w:pPr>
            <w:r w:rsidRPr="00BF0B57">
              <w:rPr>
                <w:bCs/>
                <w:color w:val="000000"/>
                <w:sz w:val="20"/>
                <w:szCs w:val="20"/>
              </w:rPr>
              <w:t>42,134.5</w:t>
            </w:r>
          </w:p>
        </w:tc>
      </w:tr>
      <w:tr w:rsidR="006E7E1F" w:rsidRPr="00BF0B57" w14:paraId="6D3B6D48"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72E26AB0"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7323E73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8,509.6</w:t>
            </w:r>
          </w:p>
        </w:tc>
        <w:tc>
          <w:tcPr>
            <w:tcW w:w="1134" w:type="dxa"/>
            <w:tcBorders>
              <w:top w:val="nil"/>
              <w:left w:val="nil"/>
              <w:bottom w:val="single" w:sz="8" w:space="0" w:color="auto"/>
              <w:right w:val="single" w:sz="8" w:space="0" w:color="auto"/>
            </w:tcBorders>
            <w:shd w:val="clear" w:color="000000" w:fill="FFFFFF"/>
            <w:vAlign w:val="center"/>
            <w:hideMark/>
          </w:tcPr>
          <w:p w14:paraId="436AC808"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6,036.60</w:t>
            </w:r>
          </w:p>
        </w:tc>
        <w:tc>
          <w:tcPr>
            <w:tcW w:w="1275" w:type="dxa"/>
            <w:tcBorders>
              <w:top w:val="nil"/>
              <w:left w:val="nil"/>
              <w:bottom w:val="single" w:sz="8" w:space="0" w:color="auto"/>
              <w:right w:val="single" w:sz="8" w:space="0" w:color="auto"/>
            </w:tcBorders>
            <w:shd w:val="clear" w:color="000000" w:fill="FFFFFF"/>
            <w:vAlign w:val="center"/>
            <w:hideMark/>
          </w:tcPr>
          <w:p w14:paraId="7288AFA6"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6,550.7</w:t>
            </w:r>
          </w:p>
        </w:tc>
        <w:tc>
          <w:tcPr>
            <w:tcW w:w="1135" w:type="dxa"/>
            <w:tcBorders>
              <w:top w:val="nil"/>
              <w:left w:val="nil"/>
              <w:bottom w:val="single" w:sz="8" w:space="0" w:color="auto"/>
              <w:right w:val="single" w:sz="8" w:space="0" w:color="auto"/>
            </w:tcBorders>
            <w:shd w:val="clear" w:color="000000" w:fill="FFFFFF"/>
            <w:vAlign w:val="center"/>
            <w:hideMark/>
          </w:tcPr>
          <w:p w14:paraId="00C75DD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21,098.8</w:t>
            </w:r>
          </w:p>
        </w:tc>
        <w:tc>
          <w:tcPr>
            <w:tcW w:w="1242" w:type="dxa"/>
            <w:tcBorders>
              <w:top w:val="nil"/>
              <w:left w:val="nil"/>
              <w:bottom w:val="single" w:sz="8" w:space="0" w:color="auto"/>
              <w:right w:val="single" w:sz="8" w:space="0" w:color="auto"/>
            </w:tcBorders>
            <w:shd w:val="clear" w:color="000000" w:fill="FFFFFF"/>
            <w:vAlign w:val="center"/>
            <w:hideMark/>
          </w:tcPr>
          <w:p w14:paraId="7B68596C"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33,073.4</w:t>
            </w:r>
          </w:p>
        </w:tc>
      </w:tr>
      <w:tr w:rsidR="006E7E1F" w:rsidRPr="00BF0B57" w14:paraId="15451C32" w14:textId="77777777" w:rsidTr="006C390E">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1BDC61DD" w14:textId="77777777" w:rsidR="006E7E1F" w:rsidRPr="00BF0B57" w:rsidRDefault="006E7E1F" w:rsidP="006C390E">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76" w:type="dxa"/>
            <w:tcBorders>
              <w:top w:val="nil"/>
              <w:left w:val="nil"/>
              <w:bottom w:val="single" w:sz="8" w:space="0" w:color="auto"/>
              <w:right w:val="single" w:sz="8" w:space="0" w:color="auto"/>
            </w:tcBorders>
            <w:shd w:val="clear" w:color="000000" w:fill="FFFFFF"/>
            <w:vAlign w:val="center"/>
            <w:hideMark/>
          </w:tcPr>
          <w:p w14:paraId="70A314C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1,657.5</w:t>
            </w:r>
          </w:p>
        </w:tc>
        <w:tc>
          <w:tcPr>
            <w:tcW w:w="1134" w:type="dxa"/>
            <w:tcBorders>
              <w:top w:val="nil"/>
              <w:left w:val="nil"/>
              <w:bottom w:val="single" w:sz="8" w:space="0" w:color="auto"/>
              <w:right w:val="single" w:sz="8" w:space="0" w:color="auto"/>
            </w:tcBorders>
            <w:shd w:val="clear" w:color="000000" w:fill="FFFFFF"/>
            <w:vAlign w:val="center"/>
            <w:hideMark/>
          </w:tcPr>
          <w:p w14:paraId="3B60162B"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15,763.80</w:t>
            </w:r>
          </w:p>
        </w:tc>
        <w:tc>
          <w:tcPr>
            <w:tcW w:w="1275" w:type="dxa"/>
            <w:tcBorders>
              <w:top w:val="nil"/>
              <w:left w:val="nil"/>
              <w:bottom w:val="single" w:sz="8" w:space="0" w:color="auto"/>
              <w:right w:val="single" w:sz="8" w:space="0" w:color="auto"/>
            </w:tcBorders>
            <w:shd w:val="clear" w:color="000000" w:fill="FFFFFF"/>
            <w:vAlign w:val="center"/>
            <w:hideMark/>
          </w:tcPr>
          <w:p w14:paraId="703F3261"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6,893.7</w:t>
            </w:r>
          </w:p>
        </w:tc>
        <w:tc>
          <w:tcPr>
            <w:tcW w:w="1135" w:type="dxa"/>
            <w:tcBorders>
              <w:top w:val="nil"/>
              <w:left w:val="nil"/>
              <w:bottom w:val="single" w:sz="8" w:space="0" w:color="auto"/>
              <w:right w:val="single" w:sz="8" w:space="0" w:color="auto"/>
            </w:tcBorders>
            <w:shd w:val="clear" w:color="000000" w:fill="FFFFFF"/>
            <w:vAlign w:val="center"/>
            <w:hideMark/>
          </w:tcPr>
          <w:p w14:paraId="437CAD5F"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5,178.2</w:t>
            </w:r>
          </w:p>
        </w:tc>
        <w:tc>
          <w:tcPr>
            <w:tcW w:w="1242" w:type="dxa"/>
            <w:tcBorders>
              <w:top w:val="nil"/>
              <w:left w:val="nil"/>
              <w:bottom w:val="single" w:sz="8" w:space="0" w:color="auto"/>
              <w:right w:val="single" w:sz="8" w:space="0" w:color="auto"/>
            </w:tcBorders>
            <w:shd w:val="clear" w:color="000000" w:fill="FFFFFF"/>
            <w:vAlign w:val="center"/>
            <w:hideMark/>
          </w:tcPr>
          <w:p w14:paraId="2113F25A" w14:textId="77777777" w:rsidR="006E7E1F" w:rsidRPr="00BF0B57" w:rsidRDefault="006E7E1F" w:rsidP="006C390E">
            <w:pPr>
              <w:spacing w:before="0" w:line="240" w:lineRule="auto"/>
              <w:ind w:firstLine="0"/>
              <w:jc w:val="right"/>
              <w:rPr>
                <w:i/>
                <w:iCs/>
                <w:color w:val="000000"/>
                <w:sz w:val="20"/>
                <w:szCs w:val="20"/>
              </w:rPr>
            </w:pPr>
            <w:r w:rsidRPr="00BF0B57">
              <w:rPr>
                <w:i/>
                <w:iCs/>
                <w:color w:val="000000"/>
                <w:sz w:val="20"/>
                <w:szCs w:val="20"/>
              </w:rPr>
              <w:t>9,061.1</w:t>
            </w:r>
          </w:p>
        </w:tc>
      </w:tr>
    </w:tbl>
    <w:p w14:paraId="1757782B" w14:textId="77777777" w:rsidR="006E7E1F" w:rsidRPr="00EC4013" w:rsidRDefault="006E7E1F" w:rsidP="006E7E1F">
      <w:pPr>
        <w:jc w:val="right"/>
        <w:rPr>
          <w:lang w:val="hy-AM"/>
        </w:rPr>
      </w:pPr>
    </w:p>
    <w:p w14:paraId="11A9C079" w14:textId="77777777" w:rsidR="006E7E1F" w:rsidRPr="00EC4013" w:rsidRDefault="006E7E1F" w:rsidP="006E7E1F">
      <w:pPr>
        <w:pStyle w:val="StyleHeading1SectionSectionHeadingText11Chapterhead3"/>
        <w:rPr>
          <w:lang w:val="hy-AM"/>
        </w:rPr>
      </w:pPr>
    </w:p>
    <w:p w14:paraId="384993EF" w14:textId="77777777" w:rsidR="006E7E1F" w:rsidRDefault="006E7E1F" w:rsidP="006E7E1F"/>
    <w:p w14:paraId="426041BA" w14:textId="77777777" w:rsidR="00903212" w:rsidRDefault="00903212" w:rsidP="00903212"/>
    <w:p w14:paraId="6D142F3E" w14:textId="7162FFAC" w:rsidR="00453D56" w:rsidRPr="00A83C94" w:rsidRDefault="00453D56" w:rsidP="00453D56">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47" w:name="_Toc83996365"/>
      <w:r w:rsidRPr="00A83C94">
        <w:rPr>
          <w:rFonts w:eastAsia="Calibri" w:cs="GHEA Grapalat"/>
          <w:bCs/>
          <w:sz w:val="24"/>
          <w:szCs w:val="26"/>
          <w:lang w:val="af-ZA" w:eastAsia="en-US"/>
        </w:rPr>
        <w:t>ԾԱԽՍԵՐՆ ԸՍՏ ԳՈՐԾԱՌԱԿԱՆ ԴԱՍԱԿԱՐԳՄԱՆ</w:t>
      </w:r>
      <w:bookmarkEnd w:id="225"/>
      <w:bookmarkEnd w:id="247"/>
    </w:p>
    <w:p w14:paraId="1AAD1819" w14:textId="77777777" w:rsidR="00433FD0" w:rsidRPr="00E04372" w:rsidRDefault="00433FD0" w:rsidP="00433FD0">
      <w:pPr>
        <w:spacing w:before="0" w:line="276" w:lineRule="auto"/>
        <w:ind w:firstLine="600"/>
        <w:rPr>
          <w:b w:val="0"/>
          <w:lang w:val="hy-AM"/>
        </w:rPr>
      </w:pPr>
      <w:bookmarkStart w:id="248" w:name="_Toc77356423"/>
      <w:bookmarkStart w:id="249" w:name="_Toc77837866"/>
      <w:r w:rsidRPr="00BB489E">
        <w:rPr>
          <w:b w:val="0"/>
          <w:lang w:val="hy-AM"/>
        </w:rPr>
        <w:t>201</w:t>
      </w:r>
      <w:r>
        <w:rPr>
          <w:b w:val="0"/>
          <w:lang w:val="hy-AM"/>
        </w:rPr>
        <w:t>8</w:t>
      </w:r>
      <w:r w:rsidRPr="00BB489E">
        <w:rPr>
          <w:b w:val="0"/>
          <w:lang w:val="hy-AM"/>
        </w:rPr>
        <w:t>-202</w:t>
      </w:r>
      <w:r>
        <w:rPr>
          <w:b w:val="0"/>
          <w:lang w:val="hy-AM"/>
        </w:rPr>
        <w:t>2</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ժամանակահատվածում նկատելի է նախորդ տարվա համեմատությամբ  պետական բյուջեի ընդամենը ծախսերի աճը՝ 2019 թվականին 2018-ի համեմատ 182,0 մլրդ</w:t>
      </w:r>
      <w:r w:rsidRPr="00947D0C">
        <w:rPr>
          <w:b w:val="0"/>
          <w:lang w:val="hy-AM"/>
        </w:rPr>
        <w:t>.</w:t>
      </w:r>
      <w:r w:rsidRPr="00BB489E">
        <w:rPr>
          <w:b w:val="0"/>
          <w:lang w:val="hy-AM"/>
        </w:rPr>
        <w:t xml:space="preserve"> ՀՀ դրամի, 2020թ</w:t>
      </w:r>
      <w:r w:rsidRPr="00947D0C">
        <w:rPr>
          <w:rFonts w:ascii="Cambria Math" w:hAnsi="Cambria Math" w:cs="Cambria Math"/>
          <w:b w:val="0"/>
          <w:lang w:val="hy-AM"/>
        </w:rPr>
        <w:t>․</w:t>
      </w:r>
      <w:r w:rsidRPr="00BB489E">
        <w:rPr>
          <w:b w:val="0"/>
          <w:lang w:val="hy-AM"/>
        </w:rPr>
        <w:t>-ին՝ 2019թ</w:t>
      </w:r>
      <w:r w:rsidRPr="00947D0C">
        <w:rPr>
          <w:rFonts w:ascii="Cambria Math" w:hAnsi="Cambria Math" w:cs="Cambria Math"/>
          <w:b w:val="0"/>
          <w:lang w:val="hy-AM"/>
        </w:rPr>
        <w:t>․</w:t>
      </w:r>
      <w:r w:rsidRPr="00BB489E">
        <w:rPr>
          <w:b w:val="0"/>
          <w:lang w:val="hy-AM"/>
        </w:rPr>
        <w:t>-ի համեմատ 2</w:t>
      </w:r>
      <w:r w:rsidRPr="006B1E41">
        <w:rPr>
          <w:b w:val="0"/>
          <w:lang w:val="hy-AM"/>
        </w:rPr>
        <w:t>65,6</w:t>
      </w:r>
      <w:r w:rsidRPr="00BB489E">
        <w:rPr>
          <w:b w:val="0"/>
          <w:lang w:val="hy-AM"/>
        </w:rPr>
        <w:t xml:space="preserve"> մլրդ</w:t>
      </w:r>
      <w:r w:rsidRPr="006B1E41">
        <w:rPr>
          <w:b w:val="0"/>
          <w:lang w:val="hy-AM"/>
        </w:rPr>
        <w:t>.</w:t>
      </w:r>
      <w:r w:rsidRPr="00BB489E">
        <w:rPr>
          <w:b w:val="0"/>
          <w:lang w:val="hy-AM"/>
        </w:rPr>
        <w:t xml:space="preserve"> ՀՀ դրամի չափով։</w:t>
      </w:r>
      <w:r w:rsidRPr="006B1E41">
        <w:rPr>
          <w:b w:val="0"/>
          <w:lang w:val="hy-AM"/>
        </w:rPr>
        <w:t xml:space="preserve"> </w:t>
      </w:r>
      <w:r>
        <w:rPr>
          <w:b w:val="0"/>
          <w:lang w:val="hy-AM"/>
        </w:rPr>
        <w:t xml:space="preserve">Բացառություն է </w:t>
      </w:r>
      <w:r w:rsidRPr="006B1E41">
        <w:rPr>
          <w:b w:val="0"/>
          <w:lang w:val="hy-AM"/>
        </w:rPr>
        <w:t>2021թ</w:t>
      </w:r>
      <w:r w:rsidRPr="006B1E41">
        <w:rPr>
          <w:rFonts w:ascii="Cambria Math" w:hAnsi="Cambria Math" w:cs="Cambria Math"/>
          <w:b w:val="0"/>
          <w:lang w:val="hy-AM"/>
        </w:rPr>
        <w:t>․</w:t>
      </w:r>
      <w:r w:rsidRPr="006B1E41">
        <w:rPr>
          <w:b w:val="0"/>
          <w:lang w:val="hy-AM"/>
        </w:rPr>
        <w:t xml:space="preserve"> պետական բյուջեն, որ</w:t>
      </w:r>
      <w:r>
        <w:rPr>
          <w:b w:val="0"/>
          <w:lang w:val="hy-AM"/>
        </w:rPr>
        <w:t>ը</w:t>
      </w:r>
      <w:r w:rsidRPr="006B1E41">
        <w:rPr>
          <w:b w:val="0"/>
          <w:lang w:val="hy-AM"/>
        </w:rPr>
        <w:t xml:space="preserve"> </w:t>
      </w:r>
      <w:r>
        <w:rPr>
          <w:b w:val="0"/>
          <w:lang w:val="hy-AM"/>
        </w:rPr>
        <w:t xml:space="preserve">նախորդ՝ 2020 թվականի </w:t>
      </w:r>
      <w:r w:rsidRPr="006B1E41">
        <w:rPr>
          <w:b w:val="0"/>
          <w:lang w:val="hy-AM"/>
        </w:rPr>
        <w:t>համեմատ</w:t>
      </w:r>
      <w:r>
        <w:rPr>
          <w:b w:val="0"/>
          <w:lang w:val="hy-AM"/>
        </w:rPr>
        <w:t xml:space="preserve"> հաստատվել է ծախսերի </w:t>
      </w:r>
      <w:r w:rsidRPr="006B1E41">
        <w:rPr>
          <w:b w:val="0"/>
          <w:lang w:val="hy-AM"/>
        </w:rPr>
        <w:t xml:space="preserve"> շուրջ 43,7 մլրդ</w:t>
      </w:r>
      <w:r w:rsidRPr="006B1E41">
        <w:rPr>
          <w:rFonts w:ascii="Cambria Math" w:hAnsi="Cambria Math" w:cs="Cambria Math"/>
          <w:b w:val="0"/>
          <w:lang w:val="hy-AM"/>
        </w:rPr>
        <w:t>․</w:t>
      </w:r>
      <w:r w:rsidRPr="006B1E41">
        <w:rPr>
          <w:b w:val="0"/>
          <w:lang w:val="hy-AM"/>
        </w:rPr>
        <w:t xml:space="preserve"> </w:t>
      </w:r>
      <w:r w:rsidRPr="006B1E41">
        <w:rPr>
          <w:rFonts w:cs="GHEA Grapalat"/>
          <w:b w:val="0"/>
          <w:lang w:val="hy-AM"/>
        </w:rPr>
        <w:t>ՀՀ</w:t>
      </w:r>
      <w:r w:rsidRPr="006B1E41">
        <w:rPr>
          <w:b w:val="0"/>
          <w:lang w:val="hy-AM"/>
        </w:rPr>
        <w:t xml:space="preserve"> </w:t>
      </w:r>
      <w:r w:rsidRPr="006B1E41">
        <w:rPr>
          <w:rFonts w:cs="GHEA Grapalat"/>
          <w:b w:val="0"/>
          <w:lang w:val="hy-AM"/>
        </w:rPr>
        <w:t>դրամ</w:t>
      </w:r>
      <w:r>
        <w:rPr>
          <w:rFonts w:cs="GHEA Grapalat"/>
          <w:b w:val="0"/>
          <w:lang w:val="hy-AM"/>
        </w:rPr>
        <w:t xml:space="preserve"> պակաս</w:t>
      </w:r>
      <w:r w:rsidRPr="006B1E41">
        <w:rPr>
          <w:b w:val="0"/>
          <w:lang w:val="hy-AM"/>
        </w:rPr>
        <w:t xml:space="preserve"> </w:t>
      </w:r>
      <w:r w:rsidRPr="006B1E41">
        <w:rPr>
          <w:rFonts w:cs="GHEA Grapalat"/>
          <w:b w:val="0"/>
          <w:lang w:val="hy-AM"/>
        </w:rPr>
        <w:t>չափով</w:t>
      </w:r>
      <w:r>
        <w:rPr>
          <w:rFonts w:cs="GHEA Grapalat"/>
          <w:b w:val="0"/>
          <w:lang w:val="hy-AM"/>
        </w:rPr>
        <w:t>։</w:t>
      </w:r>
      <w:r>
        <w:rPr>
          <w:rFonts w:ascii="Cambria Math" w:hAnsi="Cambria Math"/>
          <w:b w:val="0"/>
          <w:lang w:val="hy-AM"/>
        </w:rPr>
        <w:t xml:space="preserve"> </w:t>
      </w:r>
      <w:r>
        <w:rPr>
          <w:b w:val="0"/>
          <w:lang w:val="hy-AM"/>
        </w:rPr>
        <w:t xml:space="preserve"> Ծախսերի աճման միտումը վերստին դրսևորվելու է</w:t>
      </w:r>
      <w:r w:rsidRPr="00BB489E">
        <w:rPr>
          <w:b w:val="0"/>
          <w:lang w:val="hy-AM"/>
        </w:rPr>
        <w:t xml:space="preserve"> 202</w:t>
      </w:r>
      <w:r>
        <w:rPr>
          <w:b w:val="0"/>
          <w:lang w:val="hy-AM"/>
        </w:rPr>
        <w:t xml:space="preserve">2 </w:t>
      </w:r>
      <w:r w:rsidRPr="00BB489E">
        <w:rPr>
          <w:b w:val="0"/>
          <w:lang w:val="hy-AM"/>
        </w:rPr>
        <w:t>թ</w:t>
      </w:r>
      <w:r>
        <w:rPr>
          <w:b w:val="0"/>
          <w:lang w:val="hy-AM"/>
        </w:rPr>
        <w:t>վականին</w:t>
      </w:r>
      <w:r w:rsidRPr="006B1E41">
        <w:rPr>
          <w:rFonts w:ascii="Cambria Math" w:hAnsi="Cambria Math" w:cs="Cambria Math"/>
          <w:b w:val="0"/>
          <w:lang w:val="hy-AM"/>
        </w:rPr>
        <w:t>․</w:t>
      </w:r>
      <w:r w:rsidRPr="00BB489E">
        <w:rPr>
          <w:b w:val="0"/>
          <w:lang w:val="hy-AM"/>
        </w:rPr>
        <w:t xml:space="preserve"> ծախսային չափաքանակների հնարավորություններ</w:t>
      </w:r>
      <w:r>
        <w:rPr>
          <w:b w:val="0"/>
          <w:lang w:val="hy-AM"/>
        </w:rPr>
        <w:t>ը սահմանվում են</w:t>
      </w:r>
      <w:r w:rsidRPr="00BB489E">
        <w:rPr>
          <w:b w:val="0"/>
          <w:lang w:val="hy-AM"/>
        </w:rPr>
        <w:t xml:space="preserve"> ավելի </w:t>
      </w:r>
      <w:r>
        <w:rPr>
          <w:b w:val="0"/>
          <w:lang w:val="hy-AM"/>
        </w:rPr>
        <w:t>բարձր</w:t>
      </w:r>
      <w:r w:rsidRPr="00BB489E">
        <w:rPr>
          <w:b w:val="0"/>
          <w:lang w:val="hy-AM"/>
        </w:rPr>
        <w:t>, քան նախորդ հաստատված՝ 202</w:t>
      </w:r>
      <w:r>
        <w:rPr>
          <w:b w:val="0"/>
          <w:lang w:val="hy-AM"/>
        </w:rPr>
        <w:t>1</w:t>
      </w:r>
      <w:r w:rsidRPr="00BB489E">
        <w:rPr>
          <w:b w:val="0"/>
          <w:lang w:val="hy-AM"/>
        </w:rPr>
        <w:t xml:space="preserve"> թվականի բյուջետային ծախսերի չափաքանակներն են՝ շուրջ </w:t>
      </w:r>
      <w:r>
        <w:rPr>
          <w:b w:val="0"/>
          <w:lang w:val="hy-AM"/>
        </w:rPr>
        <w:t>3</w:t>
      </w:r>
      <w:r w:rsidRPr="0065655B">
        <w:rPr>
          <w:b w:val="0"/>
          <w:lang w:val="hy-AM"/>
        </w:rPr>
        <w:t>38</w:t>
      </w:r>
      <w:r w:rsidRPr="00BB489E">
        <w:rPr>
          <w:b w:val="0"/>
          <w:lang w:val="hy-AM"/>
        </w:rPr>
        <w:t xml:space="preserve">,0 </w:t>
      </w:r>
      <w:r>
        <w:rPr>
          <w:b w:val="0"/>
          <w:lang w:val="hy-AM"/>
        </w:rPr>
        <w:t>մլրդ</w:t>
      </w:r>
      <w:r w:rsidRPr="00BB489E">
        <w:rPr>
          <w:rFonts w:ascii="MS Gothic" w:eastAsia="MS Gothic" w:hAnsi="MS Gothic" w:cs="MS Gothic" w:hint="eastAsia"/>
          <w:b w:val="0"/>
          <w:lang w:val="hy-AM"/>
        </w:rPr>
        <w:t>․</w:t>
      </w:r>
      <w:r w:rsidRPr="00BB489E">
        <w:rPr>
          <w:b w:val="0"/>
          <w:lang w:val="hy-AM"/>
        </w:rPr>
        <w:t xml:space="preserve"> ՀՀ դրամի չափով</w:t>
      </w:r>
      <w:r w:rsidRPr="00E04372">
        <w:rPr>
          <w:b w:val="0"/>
          <w:lang w:val="hy-AM"/>
        </w:rPr>
        <w:t>:</w:t>
      </w:r>
    </w:p>
    <w:p w14:paraId="7D824229" w14:textId="77777777" w:rsidR="00433FD0" w:rsidRPr="00BB489E" w:rsidRDefault="00433FD0" w:rsidP="00433FD0">
      <w:pPr>
        <w:spacing w:before="0" w:line="276" w:lineRule="auto"/>
        <w:rPr>
          <w:b w:val="0"/>
          <w:sz w:val="24"/>
          <w:lang w:val="af-ZA"/>
        </w:rPr>
      </w:pPr>
    </w:p>
    <w:p w14:paraId="09310FE4" w14:textId="3DD77FB8" w:rsidR="00433FD0" w:rsidRPr="00BB489E" w:rsidRDefault="00E0510E" w:rsidP="00E0510E">
      <w:pPr>
        <w:pStyle w:val="Caption"/>
        <w:rPr>
          <w:bCs w:val="0"/>
          <w:i/>
          <w:sz w:val="20"/>
          <w:szCs w:val="20"/>
          <w:lang w:val="hy-AM"/>
        </w:rPr>
      </w:pPr>
      <w:bookmarkStart w:id="250" w:name="_Toc83718602"/>
      <w:bookmarkStart w:id="251" w:name="_Toc83929502"/>
      <w:r>
        <w:t xml:space="preserve">Գծապատկեր </w:t>
      </w:r>
      <w:r>
        <w:fldChar w:fldCharType="begin"/>
      </w:r>
      <w:r>
        <w:instrText xml:space="preserve"> SEQ Գծապատկեր \* ARABIC </w:instrText>
      </w:r>
      <w:r>
        <w:fldChar w:fldCharType="separate"/>
      </w:r>
      <w:r w:rsidR="0077355D">
        <w:rPr>
          <w:noProof/>
        </w:rPr>
        <w:t>5</w:t>
      </w:r>
      <w:r>
        <w:fldChar w:fldCharType="end"/>
      </w:r>
      <w:r w:rsidR="00433FD0" w:rsidRPr="00BB489E">
        <w:rPr>
          <w:b/>
          <w:bCs w:val="0"/>
          <w:lang w:val="en-US"/>
        </w:rPr>
        <w:t xml:space="preserve">. </w:t>
      </w:r>
      <w:r w:rsidR="00433FD0" w:rsidRPr="00BB489E">
        <w:rPr>
          <w:bCs w:val="0"/>
          <w:i/>
          <w:sz w:val="20"/>
          <w:szCs w:val="20"/>
          <w:lang w:val="hy-AM"/>
        </w:rPr>
        <w:t>201</w:t>
      </w:r>
      <w:r w:rsidR="00433FD0">
        <w:rPr>
          <w:bCs w:val="0"/>
          <w:i/>
          <w:sz w:val="20"/>
          <w:szCs w:val="20"/>
          <w:lang w:val="hy-AM"/>
        </w:rPr>
        <w:t>8</w:t>
      </w:r>
      <w:r w:rsidR="00433FD0" w:rsidRPr="00BB489E">
        <w:rPr>
          <w:bCs w:val="0"/>
          <w:i/>
          <w:sz w:val="20"/>
          <w:szCs w:val="20"/>
          <w:lang w:val="hy-AM"/>
        </w:rPr>
        <w:t>-202</w:t>
      </w:r>
      <w:r w:rsidR="00433FD0">
        <w:rPr>
          <w:bCs w:val="0"/>
          <w:i/>
          <w:sz w:val="20"/>
          <w:szCs w:val="20"/>
          <w:lang w:val="hy-AM"/>
        </w:rPr>
        <w:t>2թթ</w:t>
      </w:r>
      <w:r w:rsidR="00433FD0">
        <w:rPr>
          <w:rFonts w:ascii="Cambria Math" w:hAnsi="Cambria Math"/>
          <w:bCs w:val="0"/>
          <w:i/>
          <w:sz w:val="20"/>
          <w:szCs w:val="20"/>
          <w:lang w:val="hy-AM"/>
        </w:rPr>
        <w:t>․</w:t>
      </w:r>
      <w:r w:rsidR="00433FD0" w:rsidRPr="00BB489E">
        <w:rPr>
          <w:bCs w:val="0"/>
          <w:i/>
          <w:sz w:val="20"/>
          <w:szCs w:val="20"/>
          <w:lang w:val="hy-AM"/>
        </w:rPr>
        <w:t xml:space="preserve"> ծախսերի համեմատականը</w:t>
      </w:r>
      <w:bookmarkEnd w:id="250"/>
      <w:bookmarkEnd w:id="251"/>
      <w:r w:rsidR="00433FD0" w:rsidRPr="00BB489E">
        <w:rPr>
          <w:bCs w:val="0"/>
          <w:i/>
          <w:sz w:val="20"/>
          <w:szCs w:val="20"/>
          <w:lang w:val="hy-AM"/>
        </w:rPr>
        <w:t xml:space="preserve"> </w:t>
      </w:r>
    </w:p>
    <w:p w14:paraId="3A3B4E02" w14:textId="77777777" w:rsidR="00433FD0" w:rsidRPr="00BB489E" w:rsidRDefault="00433FD0" w:rsidP="00433FD0">
      <w:pPr>
        <w:spacing w:before="0" w:line="276" w:lineRule="auto"/>
        <w:ind w:firstLine="600"/>
        <w:rPr>
          <w:b w:val="0"/>
          <w:lang w:val="hy-AM"/>
        </w:rPr>
      </w:pPr>
      <w:r w:rsidRPr="0035033F">
        <w:rPr>
          <w:rFonts w:cs="Sylfaen"/>
          <w:noProof/>
          <w:lang w:val="en-US" w:eastAsia="en-US"/>
        </w:rPr>
        <w:drawing>
          <wp:inline distT="0" distB="0" distL="0" distR="0" wp14:anchorId="221EC212" wp14:editId="11080316">
            <wp:extent cx="5943600" cy="2974975"/>
            <wp:effectExtent l="0" t="0" r="0" b="0"/>
            <wp:docPr id="11"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02C74B4" w14:textId="77777777" w:rsidR="00433FD0" w:rsidRPr="00BB489E" w:rsidRDefault="00433FD0" w:rsidP="00433FD0">
      <w:pPr>
        <w:spacing w:before="0" w:line="276" w:lineRule="auto"/>
        <w:ind w:firstLine="600"/>
        <w:rPr>
          <w:b w:val="0"/>
          <w:lang w:val="hy-AM"/>
        </w:rPr>
      </w:pPr>
      <w:r w:rsidRPr="00BB489E">
        <w:rPr>
          <w:b w:val="0"/>
          <w:lang w:val="hy-AM"/>
        </w:rPr>
        <w:t>ՀՀ 201</w:t>
      </w:r>
      <w:r>
        <w:rPr>
          <w:b w:val="0"/>
          <w:lang w:val="hy-AM"/>
        </w:rPr>
        <w:t>8</w:t>
      </w:r>
      <w:r w:rsidRPr="00BB489E">
        <w:rPr>
          <w:b w:val="0"/>
          <w:lang w:val="hy-AM"/>
        </w:rPr>
        <w:t>-202</w:t>
      </w:r>
      <w:r>
        <w:rPr>
          <w:b w:val="0"/>
          <w:lang w:val="hy-AM"/>
        </w:rPr>
        <w:t>2</w:t>
      </w:r>
      <w:r w:rsidRPr="00BB489E">
        <w:rPr>
          <w:b w:val="0"/>
          <w:lang w:val="hy-AM"/>
        </w:rPr>
        <w:t xml:space="preserve"> թվականների պետական բյուջեների ծախսեր՝ ըստ ոլորտ</w:t>
      </w:r>
      <w:r w:rsidRPr="00BB489E">
        <w:rPr>
          <w:b w:val="0"/>
          <w:lang w:val="hy-AM"/>
        </w:rPr>
        <w:softHyphen/>
        <w:t>ների բնութագրվում են ստորև ներկայացված աղյուսակի ցուցանիշներով:</w:t>
      </w:r>
    </w:p>
    <w:p w14:paraId="1485C5EE" w14:textId="77777777" w:rsidR="00433FD0" w:rsidRPr="00BB489E" w:rsidRDefault="00433FD0" w:rsidP="00433FD0">
      <w:pPr>
        <w:spacing w:before="0" w:line="276" w:lineRule="auto"/>
        <w:ind w:firstLine="600"/>
        <w:rPr>
          <w:b w:val="0"/>
          <w:lang w:val="hy-AM"/>
        </w:rPr>
      </w:pPr>
    </w:p>
    <w:p w14:paraId="6B06F933" w14:textId="314D4127" w:rsidR="00433FD0" w:rsidRPr="005F516C" w:rsidRDefault="003F382C" w:rsidP="003F382C">
      <w:pPr>
        <w:pStyle w:val="Caption"/>
        <w:rPr>
          <w:b/>
          <w:i/>
          <w:sz w:val="20"/>
          <w:szCs w:val="20"/>
          <w:lang w:val="hy-AM"/>
        </w:rPr>
      </w:pPr>
      <w:bookmarkStart w:id="252" w:name="_Toc83728702"/>
      <w:bookmarkStart w:id="253" w:name="_Toc83928950"/>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13</w:t>
      </w:r>
      <w:r>
        <w:fldChar w:fldCharType="end"/>
      </w:r>
      <w:r w:rsidR="00433FD0" w:rsidRPr="008150A1">
        <w:rPr>
          <w:rFonts w:ascii="Cambria Math" w:hAnsi="Cambria Math" w:cs="Cambria Math"/>
          <w:lang w:val="hy-AM"/>
        </w:rPr>
        <w:t>․</w:t>
      </w:r>
      <w:r w:rsidR="00433FD0" w:rsidRPr="005F516C">
        <w:rPr>
          <w:lang w:val="hy-AM"/>
        </w:rPr>
        <w:t xml:space="preserve"> </w:t>
      </w:r>
      <w:r w:rsidR="00433FD0" w:rsidRPr="005F516C">
        <w:rPr>
          <w:b/>
          <w:i/>
          <w:sz w:val="20"/>
          <w:szCs w:val="20"/>
          <w:lang w:val="hy-AM"/>
        </w:rPr>
        <w:t>ՀՀ 2018-2022թթ պետական բյուջեների ծախսերը՝ ըստ ոլորտների (մլն. դրամ)</w:t>
      </w:r>
      <w:bookmarkEnd w:id="252"/>
      <w:bookmarkEnd w:id="253"/>
    </w:p>
    <w:tbl>
      <w:tblPr>
        <w:tblW w:w="53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6"/>
        <w:gridCol w:w="1288"/>
        <w:gridCol w:w="1288"/>
        <w:gridCol w:w="1269"/>
        <w:gridCol w:w="1327"/>
        <w:gridCol w:w="1230"/>
      </w:tblGrid>
      <w:tr w:rsidR="00433FD0" w:rsidRPr="00A604DD" w14:paraId="27A044DF" w14:textId="77777777" w:rsidTr="00733935">
        <w:trPr>
          <w:trHeight w:val="20"/>
          <w:tblHeader/>
        </w:trPr>
        <w:tc>
          <w:tcPr>
            <w:tcW w:w="1913" w:type="pct"/>
            <w:shd w:val="clear" w:color="auto" w:fill="4F81BD" w:themeFill="accent1"/>
            <w:tcMar>
              <w:top w:w="0" w:type="dxa"/>
              <w:left w:w="57" w:type="dxa"/>
              <w:bottom w:w="0" w:type="dxa"/>
              <w:right w:w="57" w:type="dxa"/>
            </w:tcMar>
            <w:vAlign w:val="center"/>
            <w:hideMark/>
          </w:tcPr>
          <w:p w14:paraId="05930D25" w14:textId="77777777" w:rsidR="00433FD0" w:rsidRPr="00A604DD" w:rsidRDefault="00433FD0" w:rsidP="00733935">
            <w:pPr>
              <w:spacing w:before="0" w:line="276" w:lineRule="auto"/>
              <w:jc w:val="center"/>
              <w:rPr>
                <w:rFonts w:cs="Arial"/>
                <w:b w:val="0"/>
                <w:color w:val="FFFFFF" w:themeColor="background1"/>
                <w:sz w:val="20"/>
                <w:szCs w:val="20"/>
                <w:lang w:val="hy-AM"/>
              </w:rPr>
            </w:pPr>
            <w:r w:rsidRPr="00A604DD">
              <w:rPr>
                <w:rFonts w:cs="Arial"/>
                <w:b w:val="0"/>
                <w:color w:val="FFFFFF" w:themeColor="background1"/>
                <w:sz w:val="20"/>
                <w:szCs w:val="20"/>
                <w:lang w:val="hy-AM"/>
              </w:rPr>
              <w:t>Ցուցանիշներ</w:t>
            </w:r>
          </w:p>
        </w:tc>
        <w:tc>
          <w:tcPr>
            <w:tcW w:w="621" w:type="pct"/>
            <w:shd w:val="clear" w:color="auto" w:fill="4F81BD" w:themeFill="accent1"/>
            <w:vAlign w:val="center"/>
          </w:tcPr>
          <w:p w14:paraId="756C0267" w14:textId="77777777" w:rsidR="00433FD0" w:rsidRPr="00A604DD" w:rsidRDefault="00433FD0" w:rsidP="00733935">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2018թ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փաստացի</w:t>
            </w:r>
          </w:p>
        </w:tc>
        <w:tc>
          <w:tcPr>
            <w:tcW w:w="621" w:type="pct"/>
            <w:shd w:val="clear" w:color="auto" w:fill="4F81BD" w:themeFill="accent1"/>
            <w:vAlign w:val="center"/>
          </w:tcPr>
          <w:p w14:paraId="4BA531F0" w14:textId="77777777" w:rsidR="00433FD0" w:rsidRPr="00A604DD" w:rsidRDefault="00433FD0" w:rsidP="00733935">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2019թ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փաստացի</w:t>
            </w:r>
          </w:p>
        </w:tc>
        <w:tc>
          <w:tcPr>
            <w:tcW w:w="612" w:type="pct"/>
            <w:shd w:val="clear" w:color="auto" w:fill="4F81BD" w:themeFill="accent1"/>
            <w:vAlign w:val="center"/>
          </w:tcPr>
          <w:p w14:paraId="1B799C3B" w14:textId="77777777" w:rsidR="00433FD0" w:rsidRPr="00D04C64" w:rsidRDefault="00433FD0" w:rsidP="00733935">
            <w:pPr>
              <w:spacing w:before="0" w:line="276" w:lineRule="auto"/>
              <w:ind w:firstLine="0"/>
              <w:jc w:val="center"/>
              <w:rPr>
                <w:rFonts w:ascii="Courier New" w:hAnsi="Courier New" w:cs="Courier New"/>
                <w:b w:val="0"/>
                <w:color w:val="FFFFFF" w:themeColor="background1"/>
                <w:sz w:val="20"/>
                <w:szCs w:val="20"/>
                <w:lang w:val="hy-AM"/>
              </w:rPr>
            </w:pPr>
            <w:r w:rsidRPr="00A604DD">
              <w:rPr>
                <w:rFonts w:cs="Arial"/>
                <w:b w:val="0"/>
                <w:color w:val="FFFFFF" w:themeColor="background1"/>
                <w:sz w:val="20"/>
                <w:szCs w:val="20"/>
                <w:lang w:val="hy-AM"/>
              </w:rPr>
              <w:t>2020թ</w:t>
            </w:r>
            <w:r w:rsidRPr="00D04C64">
              <w:rPr>
                <w:rFonts w:ascii="Cambria Math" w:hAnsi="Cambria Math" w:cs="Cambria Math"/>
                <w:b w:val="0"/>
                <w:color w:val="FFFFFF" w:themeColor="background1"/>
                <w:sz w:val="20"/>
                <w:szCs w:val="20"/>
                <w:lang w:val="hy-AM"/>
              </w:rPr>
              <w:t>․</w:t>
            </w:r>
            <w:r>
              <w:rPr>
                <w:rFonts w:ascii="Cambria Math" w:hAnsi="Cambria Math" w:cs="Cambria Math"/>
                <w:b w:val="0"/>
                <w:color w:val="FFFFFF" w:themeColor="background1"/>
                <w:sz w:val="20"/>
                <w:szCs w:val="20"/>
                <w:lang w:val="hy-AM"/>
              </w:rPr>
              <w:t xml:space="preserve"> </w:t>
            </w:r>
            <w:r w:rsidRPr="00D04C64">
              <w:rPr>
                <w:rFonts w:cs="Arial"/>
                <w:b w:val="0"/>
                <w:color w:val="FFFFFF" w:themeColor="background1"/>
                <w:sz w:val="20"/>
                <w:szCs w:val="20"/>
                <w:lang w:val="hy-AM"/>
              </w:rPr>
              <w:t>փաստացի</w:t>
            </w:r>
          </w:p>
        </w:tc>
        <w:tc>
          <w:tcPr>
            <w:tcW w:w="640" w:type="pct"/>
            <w:shd w:val="clear" w:color="auto" w:fill="4F81BD" w:themeFill="accent1"/>
            <w:vAlign w:val="center"/>
            <w:hideMark/>
          </w:tcPr>
          <w:p w14:paraId="236B4752" w14:textId="77777777" w:rsidR="00433FD0" w:rsidRPr="00A604DD" w:rsidRDefault="00433FD0" w:rsidP="00733935">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2021թ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w:t>
            </w:r>
            <w:r>
              <w:rPr>
                <w:rFonts w:cs="Arial"/>
                <w:b w:val="0"/>
                <w:color w:val="FFFFFF" w:themeColor="background1"/>
                <w:sz w:val="20"/>
                <w:szCs w:val="20"/>
                <w:lang w:val="hy-AM"/>
              </w:rPr>
              <w:t>հաստատված</w:t>
            </w:r>
          </w:p>
        </w:tc>
        <w:tc>
          <w:tcPr>
            <w:tcW w:w="593" w:type="pct"/>
            <w:shd w:val="clear" w:color="auto" w:fill="4F81BD" w:themeFill="accent1"/>
            <w:vAlign w:val="center"/>
          </w:tcPr>
          <w:p w14:paraId="659BDDFE" w14:textId="77777777" w:rsidR="00433FD0" w:rsidRPr="00A604DD" w:rsidRDefault="00433FD0" w:rsidP="00733935">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202</w:t>
            </w:r>
            <w:r>
              <w:rPr>
                <w:rFonts w:cs="Arial"/>
                <w:b w:val="0"/>
                <w:color w:val="FFFFFF" w:themeColor="background1"/>
                <w:sz w:val="20"/>
                <w:szCs w:val="20"/>
                <w:lang w:val="hy-AM"/>
              </w:rPr>
              <w:t>2</w:t>
            </w:r>
            <w:r w:rsidRPr="00A604DD">
              <w:rPr>
                <w:rFonts w:cs="Arial"/>
                <w:b w:val="0"/>
                <w:color w:val="FFFFFF" w:themeColor="background1"/>
                <w:sz w:val="20"/>
                <w:szCs w:val="20"/>
                <w:lang w:val="hy-AM"/>
              </w:rPr>
              <w:t>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նախագիծ</w:t>
            </w:r>
          </w:p>
        </w:tc>
      </w:tr>
      <w:tr w:rsidR="00433FD0" w:rsidRPr="00A604DD" w14:paraId="794E64FE" w14:textId="77777777" w:rsidTr="00733935">
        <w:trPr>
          <w:trHeight w:val="467"/>
        </w:trPr>
        <w:tc>
          <w:tcPr>
            <w:tcW w:w="1913" w:type="pct"/>
            <w:shd w:val="clear" w:color="auto" w:fill="C6D9F1" w:themeFill="text2" w:themeFillTint="33"/>
            <w:tcMar>
              <w:top w:w="0" w:type="dxa"/>
              <w:left w:w="57" w:type="dxa"/>
              <w:bottom w:w="0" w:type="dxa"/>
              <w:right w:w="57" w:type="dxa"/>
            </w:tcMar>
            <w:vAlign w:val="center"/>
            <w:hideMark/>
          </w:tcPr>
          <w:p w14:paraId="4A7EF28E" w14:textId="77777777" w:rsidR="00433FD0" w:rsidRPr="00A604DD" w:rsidRDefault="00433FD0" w:rsidP="00733935">
            <w:pPr>
              <w:spacing w:before="0" w:line="276" w:lineRule="auto"/>
              <w:ind w:firstLine="0"/>
              <w:rPr>
                <w:rFonts w:cs="Arial"/>
                <w:b w:val="0"/>
                <w:sz w:val="20"/>
                <w:szCs w:val="20"/>
              </w:rPr>
            </w:pPr>
            <w:r w:rsidRPr="00A604DD">
              <w:rPr>
                <w:rFonts w:cs="Arial"/>
                <w:sz w:val="20"/>
                <w:szCs w:val="20"/>
              </w:rPr>
              <w:t>ԸՆԴԱՄԵՆԸ</w:t>
            </w:r>
          </w:p>
        </w:tc>
        <w:tc>
          <w:tcPr>
            <w:tcW w:w="621" w:type="pct"/>
            <w:shd w:val="clear" w:color="auto" w:fill="C6D9F1" w:themeFill="text2" w:themeFillTint="33"/>
          </w:tcPr>
          <w:p w14:paraId="032C1FBC" w14:textId="77777777" w:rsidR="00433FD0" w:rsidRPr="00127B0F" w:rsidRDefault="00433FD0" w:rsidP="00733935">
            <w:pPr>
              <w:spacing w:before="0" w:line="276" w:lineRule="auto"/>
              <w:ind w:firstLine="0"/>
              <w:jc w:val="center"/>
              <w:rPr>
                <w:rFonts w:cs="Arial"/>
                <w:b w:val="0"/>
                <w:bCs/>
                <w:sz w:val="20"/>
                <w:szCs w:val="20"/>
                <w:lang w:val="hy-AM"/>
              </w:rPr>
            </w:pPr>
            <w:r w:rsidRPr="00A604DD">
              <w:rPr>
                <w:sz w:val="20"/>
                <w:szCs w:val="20"/>
              </w:rPr>
              <w:t>1,447,083.0</w:t>
            </w:r>
          </w:p>
        </w:tc>
        <w:tc>
          <w:tcPr>
            <w:tcW w:w="621" w:type="pct"/>
            <w:shd w:val="clear" w:color="auto" w:fill="C6D9F1" w:themeFill="text2" w:themeFillTint="33"/>
          </w:tcPr>
          <w:p w14:paraId="4ECA2339" w14:textId="77777777" w:rsidR="00433FD0" w:rsidRPr="00127B0F" w:rsidRDefault="00433FD0" w:rsidP="00733935">
            <w:pPr>
              <w:spacing w:before="0" w:line="276" w:lineRule="auto"/>
              <w:ind w:firstLine="0"/>
              <w:jc w:val="center"/>
              <w:rPr>
                <w:rFonts w:cs="Arial"/>
                <w:b w:val="0"/>
                <w:bCs/>
                <w:sz w:val="20"/>
                <w:szCs w:val="20"/>
                <w:lang w:val="hy-AM"/>
              </w:rPr>
            </w:pPr>
            <w:r w:rsidRPr="00A604DD">
              <w:rPr>
                <w:sz w:val="20"/>
                <w:szCs w:val="20"/>
              </w:rPr>
              <w:t>1,629,436.</w:t>
            </w:r>
            <w:r>
              <w:rPr>
                <w:sz w:val="20"/>
                <w:szCs w:val="20"/>
                <w:lang w:val="hy-AM"/>
              </w:rPr>
              <w:t>9</w:t>
            </w:r>
          </w:p>
        </w:tc>
        <w:tc>
          <w:tcPr>
            <w:tcW w:w="612" w:type="pct"/>
            <w:shd w:val="clear" w:color="auto" w:fill="C6D9F1" w:themeFill="text2" w:themeFillTint="33"/>
          </w:tcPr>
          <w:p w14:paraId="3BB616D4" w14:textId="77777777" w:rsidR="00433FD0" w:rsidRPr="002164ED" w:rsidRDefault="00433FD0" w:rsidP="00733935">
            <w:pPr>
              <w:spacing w:before="0" w:line="276" w:lineRule="auto"/>
              <w:ind w:firstLine="0"/>
              <w:jc w:val="center"/>
              <w:rPr>
                <w:sz w:val="20"/>
                <w:szCs w:val="20"/>
                <w:lang w:val="en-US"/>
              </w:rPr>
            </w:pPr>
            <w:r w:rsidRPr="00A604DD">
              <w:rPr>
                <w:sz w:val="20"/>
                <w:szCs w:val="20"/>
              </w:rPr>
              <w:t>1,8</w:t>
            </w:r>
            <w:r>
              <w:rPr>
                <w:sz w:val="20"/>
                <w:szCs w:val="20"/>
                <w:lang w:val="en-US"/>
              </w:rPr>
              <w:t>94</w:t>
            </w:r>
            <w:r w:rsidRPr="00A604DD">
              <w:rPr>
                <w:sz w:val="20"/>
                <w:szCs w:val="20"/>
              </w:rPr>
              <w:t>,</w:t>
            </w:r>
            <w:r>
              <w:rPr>
                <w:sz w:val="20"/>
                <w:szCs w:val="20"/>
                <w:lang w:val="en-US"/>
              </w:rPr>
              <w:t>647</w:t>
            </w:r>
            <w:r w:rsidRPr="00A604DD">
              <w:rPr>
                <w:sz w:val="20"/>
                <w:szCs w:val="20"/>
              </w:rPr>
              <w:t>.</w:t>
            </w:r>
            <w:r>
              <w:rPr>
                <w:sz w:val="20"/>
                <w:szCs w:val="20"/>
                <w:lang w:val="en-US"/>
              </w:rPr>
              <w:t>0</w:t>
            </w:r>
          </w:p>
        </w:tc>
        <w:tc>
          <w:tcPr>
            <w:tcW w:w="640" w:type="pct"/>
            <w:shd w:val="clear" w:color="auto" w:fill="C6D9F1" w:themeFill="text2" w:themeFillTint="33"/>
            <w:tcMar>
              <w:top w:w="0" w:type="dxa"/>
              <w:left w:w="30" w:type="dxa"/>
              <w:bottom w:w="0" w:type="dxa"/>
              <w:right w:w="30" w:type="dxa"/>
            </w:tcMar>
            <w:hideMark/>
          </w:tcPr>
          <w:p w14:paraId="53969AAE" w14:textId="77777777" w:rsidR="00433FD0" w:rsidRPr="00A604DD" w:rsidRDefault="00433FD0" w:rsidP="00733935">
            <w:pPr>
              <w:spacing w:before="0" w:line="276" w:lineRule="auto"/>
              <w:ind w:firstLine="0"/>
              <w:jc w:val="center"/>
              <w:rPr>
                <w:rFonts w:cs="Arial"/>
                <w:b w:val="0"/>
                <w:sz w:val="20"/>
                <w:szCs w:val="20"/>
                <w:lang w:val="en-US"/>
              </w:rPr>
            </w:pPr>
            <w:r w:rsidRPr="00A604DD">
              <w:rPr>
                <w:sz w:val="20"/>
                <w:szCs w:val="20"/>
              </w:rPr>
              <w:t>1,850,877.5</w:t>
            </w:r>
          </w:p>
        </w:tc>
        <w:tc>
          <w:tcPr>
            <w:tcW w:w="593" w:type="pct"/>
            <w:shd w:val="clear" w:color="auto" w:fill="C6D9F1" w:themeFill="text2" w:themeFillTint="33"/>
          </w:tcPr>
          <w:p w14:paraId="53B8F2FB" w14:textId="77777777" w:rsidR="00433FD0" w:rsidRPr="0065655B" w:rsidRDefault="00433FD0" w:rsidP="00733935">
            <w:pPr>
              <w:spacing w:before="0" w:line="276" w:lineRule="auto"/>
              <w:ind w:firstLine="0"/>
              <w:jc w:val="center"/>
              <w:rPr>
                <w:sz w:val="20"/>
                <w:szCs w:val="20"/>
                <w:lang w:val="en-US"/>
              </w:rPr>
            </w:pPr>
            <w:r w:rsidRPr="005C6A5E">
              <w:rPr>
                <w:sz w:val="20"/>
                <w:szCs w:val="20"/>
              </w:rPr>
              <w:t>2</w:t>
            </w:r>
            <w:r>
              <w:rPr>
                <w:sz w:val="20"/>
                <w:szCs w:val="20"/>
              </w:rPr>
              <w:t>,</w:t>
            </w:r>
            <w:r>
              <w:rPr>
                <w:sz w:val="20"/>
                <w:szCs w:val="20"/>
                <w:lang w:val="en-US"/>
              </w:rPr>
              <w:t>189</w:t>
            </w:r>
            <w:r>
              <w:rPr>
                <w:sz w:val="20"/>
                <w:szCs w:val="20"/>
              </w:rPr>
              <w:t>,</w:t>
            </w:r>
            <w:r>
              <w:rPr>
                <w:sz w:val="20"/>
                <w:szCs w:val="20"/>
                <w:lang w:val="en-US"/>
              </w:rPr>
              <w:t>228</w:t>
            </w:r>
            <w:r>
              <w:rPr>
                <w:sz w:val="20"/>
                <w:szCs w:val="20"/>
              </w:rPr>
              <w:t>.</w:t>
            </w:r>
            <w:r>
              <w:rPr>
                <w:sz w:val="20"/>
                <w:szCs w:val="20"/>
                <w:lang w:val="en-US"/>
              </w:rPr>
              <w:t>1</w:t>
            </w:r>
          </w:p>
        </w:tc>
      </w:tr>
      <w:tr w:rsidR="00433FD0" w:rsidRPr="00A604DD" w14:paraId="48F40CBB" w14:textId="77777777" w:rsidTr="00733935">
        <w:trPr>
          <w:trHeight w:val="20"/>
        </w:trPr>
        <w:tc>
          <w:tcPr>
            <w:tcW w:w="1913" w:type="pct"/>
            <w:shd w:val="solid" w:color="FFFFFF" w:fill="auto"/>
            <w:tcMar>
              <w:top w:w="0" w:type="dxa"/>
              <w:left w:w="57" w:type="dxa"/>
              <w:bottom w:w="0" w:type="dxa"/>
              <w:right w:w="57" w:type="dxa"/>
            </w:tcMar>
            <w:vAlign w:val="center"/>
            <w:hideMark/>
          </w:tcPr>
          <w:p w14:paraId="4F854DFF"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solid" w:color="FFFFFF" w:fill="auto"/>
          </w:tcPr>
          <w:p w14:paraId="480E14DD" w14:textId="77777777" w:rsidR="00433FD0" w:rsidRPr="00A604DD" w:rsidRDefault="00433FD0" w:rsidP="00733935">
            <w:pPr>
              <w:spacing w:before="0" w:line="276" w:lineRule="auto"/>
              <w:ind w:firstLine="0"/>
              <w:jc w:val="center"/>
              <w:rPr>
                <w:b w:val="0"/>
                <w:sz w:val="20"/>
                <w:szCs w:val="20"/>
              </w:rPr>
            </w:pPr>
            <w:r w:rsidRPr="00A604DD">
              <w:rPr>
                <w:b w:val="0"/>
                <w:sz w:val="20"/>
                <w:szCs w:val="20"/>
              </w:rPr>
              <w:t>24.0%</w:t>
            </w:r>
          </w:p>
        </w:tc>
        <w:tc>
          <w:tcPr>
            <w:tcW w:w="621" w:type="pct"/>
            <w:shd w:val="solid" w:color="FFFFFF" w:fill="auto"/>
          </w:tcPr>
          <w:p w14:paraId="5F434B55" w14:textId="77777777" w:rsidR="00433FD0" w:rsidRPr="00A604DD" w:rsidRDefault="00433FD0" w:rsidP="00733935">
            <w:pPr>
              <w:spacing w:before="0" w:line="276" w:lineRule="auto"/>
              <w:ind w:firstLine="0"/>
              <w:jc w:val="center"/>
              <w:rPr>
                <w:b w:val="0"/>
                <w:sz w:val="20"/>
                <w:szCs w:val="20"/>
              </w:rPr>
            </w:pPr>
            <w:r w:rsidRPr="00A604DD">
              <w:rPr>
                <w:b w:val="0"/>
                <w:sz w:val="20"/>
                <w:szCs w:val="20"/>
              </w:rPr>
              <w:t>24.8%</w:t>
            </w:r>
          </w:p>
        </w:tc>
        <w:tc>
          <w:tcPr>
            <w:tcW w:w="612" w:type="pct"/>
            <w:shd w:val="solid" w:color="FFFFFF" w:fill="auto"/>
          </w:tcPr>
          <w:p w14:paraId="33ADEF0B" w14:textId="77777777" w:rsidR="00433FD0" w:rsidRPr="00A604DD" w:rsidRDefault="00433FD0" w:rsidP="00733935">
            <w:pPr>
              <w:spacing w:before="0" w:line="276" w:lineRule="auto"/>
              <w:ind w:firstLine="0"/>
              <w:jc w:val="center"/>
              <w:rPr>
                <w:b w:val="0"/>
                <w:sz w:val="20"/>
                <w:szCs w:val="20"/>
              </w:rPr>
            </w:pPr>
            <w:r w:rsidRPr="00A604DD">
              <w:rPr>
                <w:b w:val="0"/>
                <w:sz w:val="20"/>
                <w:szCs w:val="20"/>
              </w:rPr>
              <w:t>30.</w:t>
            </w:r>
            <w:r>
              <w:rPr>
                <w:b w:val="0"/>
                <w:sz w:val="20"/>
                <w:szCs w:val="20"/>
                <w:lang w:val="hy-AM"/>
              </w:rPr>
              <w:t>6</w:t>
            </w:r>
            <w:r w:rsidRPr="00A604DD">
              <w:rPr>
                <w:b w:val="0"/>
                <w:sz w:val="20"/>
                <w:szCs w:val="20"/>
              </w:rPr>
              <w:t>%</w:t>
            </w:r>
          </w:p>
        </w:tc>
        <w:tc>
          <w:tcPr>
            <w:tcW w:w="640" w:type="pct"/>
            <w:shd w:val="solid" w:color="FFFFFF" w:fill="auto"/>
            <w:tcMar>
              <w:top w:w="0" w:type="dxa"/>
              <w:left w:w="30" w:type="dxa"/>
              <w:bottom w:w="0" w:type="dxa"/>
              <w:right w:w="30" w:type="dxa"/>
            </w:tcMar>
            <w:hideMark/>
          </w:tcPr>
          <w:p w14:paraId="32B859CE" w14:textId="77777777" w:rsidR="00433FD0" w:rsidRPr="00A604DD" w:rsidRDefault="00433FD0" w:rsidP="00733935">
            <w:pPr>
              <w:spacing w:before="0" w:line="276" w:lineRule="auto"/>
              <w:ind w:firstLine="0"/>
              <w:jc w:val="center"/>
              <w:rPr>
                <w:b w:val="0"/>
                <w:sz w:val="20"/>
                <w:szCs w:val="20"/>
                <w:lang w:val="en-US"/>
              </w:rPr>
            </w:pPr>
            <w:r w:rsidRPr="00A604DD">
              <w:rPr>
                <w:b w:val="0"/>
                <w:sz w:val="20"/>
                <w:szCs w:val="20"/>
              </w:rPr>
              <w:t>28.9%</w:t>
            </w:r>
          </w:p>
        </w:tc>
        <w:tc>
          <w:tcPr>
            <w:tcW w:w="593" w:type="pct"/>
            <w:shd w:val="solid" w:color="FFFFFF" w:fill="auto"/>
          </w:tcPr>
          <w:p w14:paraId="655A0163" w14:textId="77777777" w:rsidR="00433FD0" w:rsidRPr="00A604DD" w:rsidRDefault="00433FD0" w:rsidP="00733935">
            <w:pPr>
              <w:spacing w:before="0" w:line="276" w:lineRule="auto"/>
              <w:ind w:firstLine="0"/>
              <w:jc w:val="center"/>
              <w:rPr>
                <w:b w:val="0"/>
                <w:sz w:val="20"/>
                <w:szCs w:val="20"/>
              </w:rPr>
            </w:pPr>
            <w:r>
              <w:rPr>
                <w:b w:val="0"/>
                <w:sz w:val="20"/>
                <w:szCs w:val="20"/>
              </w:rPr>
              <w:t>2</w:t>
            </w:r>
            <w:r>
              <w:rPr>
                <w:b w:val="0"/>
                <w:sz w:val="20"/>
                <w:szCs w:val="20"/>
                <w:lang w:val="en-US"/>
              </w:rPr>
              <w:t>7</w:t>
            </w:r>
            <w:r>
              <w:rPr>
                <w:b w:val="0"/>
                <w:sz w:val="20"/>
                <w:szCs w:val="20"/>
              </w:rPr>
              <w:t>.</w:t>
            </w:r>
            <w:r>
              <w:rPr>
                <w:b w:val="0"/>
                <w:sz w:val="20"/>
                <w:szCs w:val="20"/>
                <w:lang w:val="en-US"/>
              </w:rPr>
              <w:t>8</w:t>
            </w:r>
            <w:r>
              <w:rPr>
                <w:b w:val="0"/>
                <w:sz w:val="20"/>
                <w:szCs w:val="20"/>
              </w:rPr>
              <w:t>%</w:t>
            </w:r>
          </w:p>
        </w:tc>
      </w:tr>
      <w:tr w:rsidR="00433FD0" w:rsidRPr="00A604DD" w14:paraId="43256F96" w14:textId="77777777" w:rsidTr="00733935">
        <w:trPr>
          <w:trHeight w:val="20"/>
        </w:trPr>
        <w:tc>
          <w:tcPr>
            <w:tcW w:w="1913" w:type="pct"/>
            <w:shd w:val="clear" w:color="auto" w:fill="C6D9F1" w:themeFill="text2" w:themeFillTint="33"/>
            <w:tcMar>
              <w:top w:w="0" w:type="dxa"/>
              <w:left w:w="57" w:type="dxa"/>
              <w:bottom w:w="0" w:type="dxa"/>
              <w:right w:w="57" w:type="dxa"/>
            </w:tcMar>
            <w:vAlign w:val="center"/>
            <w:hideMark/>
          </w:tcPr>
          <w:p w14:paraId="55992CA3" w14:textId="77777777" w:rsidR="00433FD0" w:rsidRPr="007D6A76" w:rsidRDefault="00433FD0" w:rsidP="00733935">
            <w:pPr>
              <w:spacing w:before="0" w:line="276" w:lineRule="auto"/>
              <w:ind w:firstLine="0"/>
              <w:jc w:val="left"/>
              <w:rPr>
                <w:b w:val="0"/>
                <w:sz w:val="20"/>
                <w:szCs w:val="20"/>
              </w:rPr>
            </w:pPr>
            <w:r w:rsidRPr="00A604DD">
              <w:rPr>
                <w:rFonts w:cs="Arial"/>
                <w:sz w:val="20"/>
                <w:szCs w:val="20"/>
              </w:rPr>
              <w:t>ԸՆԴՀԱՆՈՒՐ ԲՆՈՒՅԹԻ ՀԱՆՐԱՅԻՆ ԾԱՌԱՅՈՒԹՅՈՒՆՆԵՐ</w:t>
            </w:r>
            <w:r w:rsidRPr="007D6A76">
              <w:rPr>
                <w:rFonts w:cs="Arial"/>
                <w:sz w:val="20"/>
                <w:szCs w:val="20"/>
              </w:rPr>
              <w:t xml:space="preserve">  </w:t>
            </w:r>
            <w:r w:rsidRPr="007D6A76">
              <w:rPr>
                <w:rFonts w:cs="Arial"/>
                <w:sz w:val="20"/>
                <w:szCs w:val="20"/>
                <w:lang w:val="en-US"/>
              </w:rPr>
              <w:t>ԵՎ</w:t>
            </w:r>
            <w:r w:rsidRPr="007D6A76">
              <w:rPr>
                <w:rFonts w:cs="Arial"/>
                <w:sz w:val="20"/>
                <w:szCs w:val="20"/>
              </w:rPr>
              <w:t xml:space="preserve"> </w:t>
            </w:r>
            <w:r w:rsidRPr="007D6A76">
              <w:rPr>
                <w:rFonts w:cs="Arial"/>
                <w:sz w:val="20"/>
                <w:szCs w:val="20"/>
                <w:lang w:val="en-US"/>
              </w:rPr>
              <w:t>ՊԱՀՈՒՍՏԱՅԻՆ</w:t>
            </w:r>
            <w:r w:rsidRPr="007D6A76">
              <w:rPr>
                <w:rFonts w:cs="Arial"/>
                <w:sz w:val="20"/>
                <w:szCs w:val="20"/>
              </w:rPr>
              <w:t xml:space="preserve"> </w:t>
            </w:r>
            <w:r w:rsidRPr="007D6A76">
              <w:rPr>
                <w:rFonts w:cs="Arial"/>
                <w:sz w:val="20"/>
                <w:szCs w:val="20"/>
                <w:lang w:val="en-US"/>
              </w:rPr>
              <w:t>ՖՈՆԴԵՐ</w:t>
            </w:r>
          </w:p>
        </w:tc>
        <w:tc>
          <w:tcPr>
            <w:tcW w:w="621" w:type="pct"/>
            <w:shd w:val="clear" w:color="auto" w:fill="C6D9F1" w:themeFill="text2" w:themeFillTint="33"/>
          </w:tcPr>
          <w:p w14:paraId="705246B9" w14:textId="77777777" w:rsidR="00433FD0" w:rsidRPr="00A604DD" w:rsidRDefault="00433FD0" w:rsidP="00733935">
            <w:pPr>
              <w:spacing w:before="0" w:line="276" w:lineRule="auto"/>
              <w:ind w:firstLine="0"/>
              <w:jc w:val="center"/>
              <w:rPr>
                <w:rFonts w:cs="Arial"/>
                <w:b w:val="0"/>
                <w:bCs/>
                <w:sz w:val="20"/>
                <w:szCs w:val="20"/>
              </w:rPr>
            </w:pPr>
            <w:r w:rsidRPr="00A604DD">
              <w:rPr>
                <w:sz w:val="20"/>
                <w:szCs w:val="20"/>
              </w:rPr>
              <w:t>312,771.6</w:t>
            </w:r>
          </w:p>
        </w:tc>
        <w:tc>
          <w:tcPr>
            <w:tcW w:w="621" w:type="pct"/>
            <w:shd w:val="clear" w:color="auto" w:fill="C6D9F1" w:themeFill="text2" w:themeFillTint="33"/>
          </w:tcPr>
          <w:p w14:paraId="1F701B6C" w14:textId="77777777" w:rsidR="00433FD0" w:rsidRPr="00A604DD" w:rsidRDefault="00433FD0" w:rsidP="00733935">
            <w:pPr>
              <w:spacing w:before="0" w:line="276" w:lineRule="auto"/>
              <w:ind w:firstLine="0"/>
              <w:jc w:val="center"/>
              <w:rPr>
                <w:rFonts w:cs="Arial"/>
                <w:b w:val="0"/>
                <w:bCs/>
                <w:sz w:val="20"/>
                <w:szCs w:val="20"/>
              </w:rPr>
            </w:pPr>
            <w:r w:rsidRPr="00A604DD">
              <w:rPr>
                <w:sz w:val="20"/>
                <w:szCs w:val="20"/>
              </w:rPr>
              <w:t>320,072.9</w:t>
            </w:r>
          </w:p>
        </w:tc>
        <w:tc>
          <w:tcPr>
            <w:tcW w:w="612" w:type="pct"/>
            <w:shd w:val="clear" w:color="auto" w:fill="C6D9F1" w:themeFill="text2" w:themeFillTint="33"/>
          </w:tcPr>
          <w:p w14:paraId="2AD8CD96" w14:textId="77777777" w:rsidR="00433FD0" w:rsidRPr="002164ED" w:rsidRDefault="00433FD0" w:rsidP="00733935">
            <w:pPr>
              <w:spacing w:before="0" w:line="276" w:lineRule="auto"/>
              <w:ind w:firstLine="0"/>
              <w:jc w:val="center"/>
              <w:rPr>
                <w:sz w:val="20"/>
                <w:szCs w:val="20"/>
                <w:lang w:val="en-US"/>
              </w:rPr>
            </w:pPr>
            <w:r w:rsidRPr="00A604DD">
              <w:rPr>
                <w:sz w:val="20"/>
                <w:szCs w:val="20"/>
              </w:rPr>
              <w:t>3</w:t>
            </w:r>
            <w:r>
              <w:rPr>
                <w:sz w:val="20"/>
                <w:szCs w:val="20"/>
                <w:lang w:val="en-US"/>
              </w:rPr>
              <w:t>44</w:t>
            </w:r>
            <w:r w:rsidRPr="00A604DD">
              <w:rPr>
                <w:sz w:val="20"/>
                <w:szCs w:val="20"/>
              </w:rPr>
              <w:t>,</w:t>
            </w:r>
            <w:r>
              <w:rPr>
                <w:sz w:val="20"/>
                <w:szCs w:val="20"/>
                <w:lang w:val="en-US"/>
              </w:rPr>
              <w:t>340</w:t>
            </w:r>
            <w:r w:rsidRPr="00A604DD">
              <w:rPr>
                <w:sz w:val="20"/>
                <w:szCs w:val="20"/>
              </w:rPr>
              <w:t>.</w:t>
            </w:r>
            <w:r>
              <w:rPr>
                <w:sz w:val="20"/>
                <w:szCs w:val="20"/>
                <w:lang w:val="en-US"/>
              </w:rPr>
              <w:t>6</w:t>
            </w:r>
          </w:p>
        </w:tc>
        <w:tc>
          <w:tcPr>
            <w:tcW w:w="640" w:type="pct"/>
            <w:shd w:val="clear" w:color="auto" w:fill="C6D9F1" w:themeFill="text2" w:themeFillTint="33"/>
            <w:tcMar>
              <w:top w:w="0" w:type="dxa"/>
              <w:left w:w="30" w:type="dxa"/>
              <w:bottom w:w="0" w:type="dxa"/>
              <w:right w:w="30" w:type="dxa"/>
            </w:tcMar>
            <w:hideMark/>
          </w:tcPr>
          <w:p w14:paraId="5A53B4AE" w14:textId="77777777" w:rsidR="00433FD0" w:rsidRPr="002F284A" w:rsidRDefault="00433FD0" w:rsidP="00733935">
            <w:pPr>
              <w:spacing w:before="0" w:line="276" w:lineRule="auto"/>
              <w:ind w:firstLine="0"/>
              <w:jc w:val="center"/>
              <w:rPr>
                <w:rFonts w:cs="Arial"/>
                <w:b w:val="0"/>
                <w:sz w:val="20"/>
                <w:szCs w:val="20"/>
                <w:lang w:val="en-US"/>
              </w:rPr>
            </w:pPr>
            <w:r w:rsidRPr="00A604DD">
              <w:rPr>
                <w:sz w:val="20"/>
                <w:szCs w:val="20"/>
              </w:rPr>
              <w:t>400,935.5</w:t>
            </w:r>
          </w:p>
        </w:tc>
        <w:tc>
          <w:tcPr>
            <w:tcW w:w="593" w:type="pct"/>
            <w:shd w:val="clear" w:color="auto" w:fill="C6D9F1" w:themeFill="text2" w:themeFillTint="33"/>
          </w:tcPr>
          <w:p w14:paraId="58475219" w14:textId="77777777" w:rsidR="00433FD0" w:rsidRPr="0065655B" w:rsidRDefault="00433FD0" w:rsidP="00733935">
            <w:pPr>
              <w:spacing w:before="0" w:line="276" w:lineRule="auto"/>
              <w:ind w:firstLine="0"/>
              <w:jc w:val="center"/>
              <w:rPr>
                <w:sz w:val="20"/>
                <w:szCs w:val="20"/>
                <w:lang w:val="en-US"/>
              </w:rPr>
            </w:pPr>
            <w:r>
              <w:rPr>
                <w:sz w:val="20"/>
                <w:szCs w:val="20"/>
                <w:lang w:val="en-US"/>
              </w:rPr>
              <w:t>500,873</w:t>
            </w:r>
            <w:r>
              <w:rPr>
                <w:sz w:val="20"/>
                <w:szCs w:val="20"/>
              </w:rPr>
              <w:t>.</w:t>
            </w:r>
            <w:r>
              <w:rPr>
                <w:sz w:val="20"/>
                <w:szCs w:val="20"/>
                <w:lang w:val="en-US"/>
              </w:rPr>
              <w:t>9</w:t>
            </w:r>
          </w:p>
        </w:tc>
      </w:tr>
      <w:tr w:rsidR="00433FD0" w:rsidRPr="00A604DD" w14:paraId="34E146EC" w14:textId="77777777" w:rsidTr="00733935">
        <w:trPr>
          <w:trHeight w:val="417"/>
        </w:trPr>
        <w:tc>
          <w:tcPr>
            <w:tcW w:w="1913" w:type="pct"/>
            <w:shd w:val="solid" w:color="FFFFFF" w:fill="auto"/>
            <w:tcMar>
              <w:top w:w="0" w:type="dxa"/>
              <w:left w:w="57" w:type="dxa"/>
              <w:bottom w:w="0" w:type="dxa"/>
              <w:right w:w="57" w:type="dxa"/>
            </w:tcMar>
            <w:vAlign w:val="center"/>
            <w:hideMark/>
          </w:tcPr>
          <w:p w14:paraId="0E36938E"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solid" w:color="FFFFFF" w:fill="auto"/>
          </w:tcPr>
          <w:p w14:paraId="5EC75BB1"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5.2%</w:t>
            </w:r>
          </w:p>
        </w:tc>
        <w:tc>
          <w:tcPr>
            <w:tcW w:w="621" w:type="pct"/>
            <w:shd w:val="solid" w:color="FFFFFF" w:fill="auto"/>
          </w:tcPr>
          <w:p w14:paraId="21157C7B"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4.9%</w:t>
            </w:r>
          </w:p>
        </w:tc>
        <w:tc>
          <w:tcPr>
            <w:tcW w:w="612" w:type="pct"/>
            <w:shd w:val="solid" w:color="FFFFFF" w:fill="auto"/>
          </w:tcPr>
          <w:p w14:paraId="505532BB" w14:textId="77777777" w:rsidR="00433FD0" w:rsidRPr="00A604DD" w:rsidRDefault="00433FD0" w:rsidP="00733935">
            <w:pPr>
              <w:spacing w:before="0" w:line="276" w:lineRule="auto"/>
              <w:ind w:firstLine="0"/>
              <w:jc w:val="center"/>
              <w:rPr>
                <w:b w:val="0"/>
                <w:sz w:val="20"/>
                <w:szCs w:val="20"/>
              </w:rPr>
            </w:pPr>
            <w:r>
              <w:rPr>
                <w:b w:val="0"/>
                <w:sz w:val="20"/>
                <w:szCs w:val="20"/>
                <w:lang w:val="hy-AM"/>
              </w:rPr>
              <w:t>5</w:t>
            </w:r>
            <w:r w:rsidRPr="00A604DD">
              <w:rPr>
                <w:b w:val="0"/>
                <w:sz w:val="20"/>
                <w:szCs w:val="20"/>
              </w:rPr>
              <w:t>.</w:t>
            </w:r>
            <w:r>
              <w:rPr>
                <w:b w:val="0"/>
                <w:sz w:val="20"/>
                <w:szCs w:val="20"/>
                <w:lang w:val="hy-AM"/>
              </w:rPr>
              <w:t>5</w:t>
            </w:r>
            <w:r w:rsidRPr="00A604DD">
              <w:rPr>
                <w:b w:val="0"/>
                <w:sz w:val="20"/>
                <w:szCs w:val="20"/>
              </w:rPr>
              <w:t>%</w:t>
            </w:r>
          </w:p>
        </w:tc>
        <w:tc>
          <w:tcPr>
            <w:tcW w:w="640" w:type="pct"/>
            <w:shd w:val="solid" w:color="FFFFFF" w:fill="auto"/>
            <w:tcMar>
              <w:top w:w="0" w:type="dxa"/>
              <w:left w:w="30" w:type="dxa"/>
              <w:bottom w:w="0" w:type="dxa"/>
              <w:right w:w="30" w:type="dxa"/>
            </w:tcMar>
            <w:hideMark/>
          </w:tcPr>
          <w:p w14:paraId="6F8804AD"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6.3%</w:t>
            </w:r>
          </w:p>
        </w:tc>
        <w:tc>
          <w:tcPr>
            <w:tcW w:w="593" w:type="pct"/>
            <w:shd w:val="solid" w:color="FFFFFF" w:fill="auto"/>
          </w:tcPr>
          <w:p w14:paraId="50284B65" w14:textId="77777777" w:rsidR="00433FD0" w:rsidRPr="00A604DD" w:rsidRDefault="00433FD0" w:rsidP="00733935">
            <w:pPr>
              <w:spacing w:before="0" w:line="276" w:lineRule="auto"/>
              <w:ind w:firstLine="0"/>
              <w:jc w:val="center"/>
              <w:rPr>
                <w:b w:val="0"/>
                <w:sz w:val="20"/>
                <w:szCs w:val="20"/>
              </w:rPr>
            </w:pPr>
            <w:r>
              <w:rPr>
                <w:b w:val="0"/>
                <w:sz w:val="20"/>
                <w:szCs w:val="20"/>
                <w:lang w:val="hy-AM"/>
              </w:rPr>
              <w:t>6</w:t>
            </w:r>
            <w:r w:rsidRPr="00125424">
              <w:rPr>
                <w:rFonts w:ascii="Cambria Math" w:hAnsi="Cambria Math" w:cs="Cambria Math"/>
                <w:b w:val="0"/>
                <w:color w:val="000000"/>
                <w:sz w:val="20"/>
                <w:szCs w:val="20"/>
                <w:lang w:val="en-US"/>
              </w:rPr>
              <w:t>․</w:t>
            </w:r>
            <w:r w:rsidRPr="00125424">
              <w:rPr>
                <w:rFonts w:cs="Arial"/>
                <w:b w:val="0"/>
                <w:color w:val="000000"/>
                <w:sz w:val="20"/>
                <w:szCs w:val="20"/>
                <w:lang w:val="en-US"/>
              </w:rPr>
              <w:t>4%</w:t>
            </w:r>
          </w:p>
        </w:tc>
      </w:tr>
      <w:tr w:rsidR="00433FD0" w:rsidRPr="00A604DD" w14:paraId="4F17B3E0" w14:textId="77777777" w:rsidTr="00733935">
        <w:trPr>
          <w:trHeight w:val="20"/>
        </w:trPr>
        <w:tc>
          <w:tcPr>
            <w:tcW w:w="1913" w:type="pct"/>
            <w:shd w:val="solid" w:color="FFFFFF" w:fill="auto"/>
            <w:tcMar>
              <w:top w:w="0" w:type="dxa"/>
              <w:left w:w="57" w:type="dxa"/>
              <w:bottom w:w="0" w:type="dxa"/>
              <w:right w:w="57" w:type="dxa"/>
            </w:tcMar>
            <w:vAlign w:val="center"/>
            <w:hideMark/>
          </w:tcPr>
          <w:p w14:paraId="416A8E6C"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solid" w:color="FFFFFF" w:fill="auto"/>
          </w:tcPr>
          <w:p w14:paraId="2FE6920A"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21.6%</w:t>
            </w:r>
          </w:p>
        </w:tc>
        <w:tc>
          <w:tcPr>
            <w:tcW w:w="621" w:type="pct"/>
            <w:shd w:val="solid" w:color="FFFFFF" w:fill="auto"/>
          </w:tcPr>
          <w:p w14:paraId="3B7D4414"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19.6%</w:t>
            </w:r>
          </w:p>
        </w:tc>
        <w:tc>
          <w:tcPr>
            <w:tcW w:w="612" w:type="pct"/>
            <w:shd w:val="solid" w:color="FFFFFF" w:fill="auto"/>
          </w:tcPr>
          <w:p w14:paraId="4FA980D1" w14:textId="77777777" w:rsidR="00433FD0" w:rsidRPr="00A604DD" w:rsidRDefault="00433FD0" w:rsidP="00733935">
            <w:pPr>
              <w:spacing w:before="0" w:line="276" w:lineRule="auto"/>
              <w:ind w:firstLine="0"/>
              <w:jc w:val="center"/>
              <w:rPr>
                <w:b w:val="0"/>
                <w:sz w:val="20"/>
                <w:szCs w:val="20"/>
              </w:rPr>
            </w:pPr>
            <w:r>
              <w:rPr>
                <w:b w:val="0"/>
                <w:sz w:val="20"/>
                <w:szCs w:val="20"/>
                <w:lang w:val="en-US"/>
              </w:rPr>
              <w:t>18.2</w:t>
            </w:r>
            <w:r w:rsidRPr="00A604DD">
              <w:rPr>
                <w:b w:val="0"/>
                <w:sz w:val="20"/>
                <w:szCs w:val="20"/>
              </w:rPr>
              <w:t>%</w:t>
            </w:r>
          </w:p>
        </w:tc>
        <w:tc>
          <w:tcPr>
            <w:tcW w:w="640" w:type="pct"/>
            <w:shd w:val="solid" w:color="FFFFFF" w:fill="auto"/>
            <w:tcMar>
              <w:top w:w="0" w:type="dxa"/>
              <w:left w:w="30" w:type="dxa"/>
              <w:bottom w:w="0" w:type="dxa"/>
              <w:right w:w="30" w:type="dxa"/>
            </w:tcMar>
            <w:hideMark/>
          </w:tcPr>
          <w:p w14:paraId="34BFABB1"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21.7%</w:t>
            </w:r>
          </w:p>
        </w:tc>
        <w:tc>
          <w:tcPr>
            <w:tcW w:w="593" w:type="pct"/>
            <w:shd w:val="solid" w:color="FFFFFF" w:fill="auto"/>
          </w:tcPr>
          <w:p w14:paraId="382A7001" w14:textId="77777777" w:rsidR="00433FD0" w:rsidRPr="00A604DD" w:rsidRDefault="00433FD0" w:rsidP="00733935">
            <w:pPr>
              <w:spacing w:before="0" w:line="276" w:lineRule="auto"/>
              <w:ind w:firstLine="0"/>
              <w:jc w:val="center"/>
              <w:rPr>
                <w:b w:val="0"/>
                <w:sz w:val="20"/>
                <w:szCs w:val="20"/>
              </w:rPr>
            </w:pPr>
            <w:r>
              <w:rPr>
                <w:b w:val="0"/>
                <w:sz w:val="20"/>
                <w:szCs w:val="20"/>
                <w:lang w:val="hy-AM"/>
              </w:rPr>
              <w:t>22</w:t>
            </w:r>
            <w:r>
              <w:rPr>
                <w:b w:val="0"/>
                <w:sz w:val="20"/>
                <w:szCs w:val="20"/>
              </w:rPr>
              <w:t>.</w:t>
            </w:r>
            <w:r>
              <w:rPr>
                <w:b w:val="0"/>
                <w:sz w:val="20"/>
                <w:szCs w:val="20"/>
                <w:lang w:val="en-US"/>
              </w:rPr>
              <w:t>9</w:t>
            </w:r>
            <w:r>
              <w:rPr>
                <w:b w:val="0"/>
                <w:sz w:val="20"/>
                <w:szCs w:val="20"/>
              </w:rPr>
              <w:t>%</w:t>
            </w:r>
          </w:p>
        </w:tc>
      </w:tr>
      <w:tr w:rsidR="00433FD0" w:rsidRPr="00A604DD" w14:paraId="30B88314" w14:textId="77777777" w:rsidTr="00733935">
        <w:trPr>
          <w:trHeight w:val="795"/>
        </w:trPr>
        <w:tc>
          <w:tcPr>
            <w:tcW w:w="1913" w:type="pct"/>
            <w:shd w:val="clear" w:color="auto" w:fill="C6D9F1" w:themeFill="text2" w:themeFillTint="33"/>
            <w:tcMar>
              <w:top w:w="0" w:type="dxa"/>
              <w:left w:w="57" w:type="dxa"/>
              <w:bottom w:w="0" w:type="dxa"/>
              <w:right w:w="57" w:type="dxa"/>
            </w:tcMar>
            <w:vAlign w:val="bottom"/>
            <w:hideMark/>
          </w:tcPr>
          <w:p w14:paraId="5B5C6639" w14:textId="77777777" w:rsidR="00433FD0" w:rsidRPr="00A604DD" w:rsidRDefault="00433FD0" w:rsidP="00733935">
            <w:pPr>
              <w:spacing w:before="0" w:line="276" w:lineRule="auto"/>
              <w:ind w:firstLine="0"/>
              <w:jc w:val="left"/>
              <w:rPr>
                <w:b w:val="0"/>
                <w:sz w:val="20"/>
                <w:szCs w:val="20"/>
              </w:rPr>
            </w:pPr>
            <w:r w:rsidRPr="00A604DD">
              <w:rPr>
                <w:rFonts w:cs="Arial"/>
                <w:sz w:val="20"/>
                <w:szCs w:val="20"/>
              </w:rPr>
              <w:t>ՊԱՇՏՊԱՆՈՒԹՅՈՒՆ, ՀԱՍԱՐԱԿԱԿԱՆ ԿԱՐԳ,  ԱՆՎՏԱՆԳՈՒԹՅՈՒՆ ԵՎ ԴԱՏԱԿԱՆ ԳՈՐԾՈՒՆԵՈՒԹՅՈՒՆ</w:t>
            </w:r>
          </w:p>
        </w:tc>
        <w:tc>
          <w:tcPr>
            <w:tcW w:w="621" w:type="pct"/>
            <w:shd w:val="clear" w:color="auto" w:fill="C6D9F1" w:themeFill="text2" w:themeFillTint="33"/>
          </w:tcPr>
          <w:p w14:paraId="02CA8E59" w14:textId="77777777" w:rsidR="00433FD0" w:rsidRPr="00127B0F" w:rsidRDefault="00433FD0" w:rsidP="00733935">
            <w:pPr>
              <w:spacing w:before="0" w:line="276" w:lineRule="auto"/>
              <w:ind w:firstLine="0"/>
              <w:jc w:val="center"/>
              <w:rPr>
                <w:b w:val="0"/>
                <w:sz w:val="20"/>
                <w:szCs w:val="20"/>
                <w:lang w:val="hy-AM"/>
              </w:rPr>
            </w:pPr>
            <w:r w:rsidRPr="00A604DD">
              <w:rPr>
                <w:sz w:val="20"/>
                <w:szCs w:val="20"/>
              </w:rPr>
              <w:t>361,579.4</w:t>
            </w:r>
          </w:p>
        </w:tc>
        <w:tc>
          <w:tcPr>
            <w:tcW w:w="621" w:type="pct"/>
            <w:shd w:val="clear" w:color="auto" w:fill="C6D9F1" w:themeFill="text2" w:themeFillTint="33"/>
          </w:tcPr>
          <w:p w14:paraId="2FC3A68D" w14:textId="77777777" w:rsidR="00433FD0" w:rsidRPr="00127B0F" w:rsidRDefault="00433FD0" w:rsidP="00733935">
            <w:pPr>
              <w:spacing w:before="0" w:line="276" w:lineRule="auto"/>
              <w:ind w:firstLine="0"/>
              <w:jc w:val="center"/>
              <w:rPr>
                <w:b w:val="0"/>
                <w:sz w:val="20"/>
                <w:szCs w:val="20"/>
                <w:lang w:val="hy-AM"/>
              </w:rPr>
            </w:pPr>
            <w:r w:rsidRPr="00A604DD">
              <w:rPr>
                <w:sz w:val="20"/>
                <w:szCs w:val="20"/>
              </w:rPr>
              <w:t>459,284.1</w:t>
            </w:r>
          </w:p>
        </w:tc>
        <w:tc>
          <w:tcPr>
            <w:tcW w:w="612" w:type="pct"/>
            <w:shd w:val="clear" w:color="auto" w:fill="C6D9F1" w:themeFill="text2" w:themeFillTint="33"/>
          </w:tcPr>
          <w:p w14:paraId="7FD94E3B" w14:textId="77777777" w:rsidR="00433FD0" w:rsidRPr="00A604DD" w:rsidRDefault="00433FD0" w:rsidP="00733935">
            <w:pPr>
              <w:spacing w:before="0" w:line="276" w:lineRule="auto"/>
              <w:ind w:firstLine="0"/>
              <w:jc w:val="center"/>
              <w:rPr>
                <w:sz w:val="20"/>
                <w:szCs w:val="20"/>
              </w:rPr>
            </w:pPr>
            <w:r>
              <w:rPr>
                <w:sz w:val="20"/>
                <w:szCs w:val="20"/>
                <w:lang w:val="en-US"/>
              </w:rPr>
              <w:t>539</w:t>
            </w:r>
            <w:r w:rsidRPr="00A604DD">
              <w:rPr>
                <w:sz w:val="20"/>
                <w:szCs w:val="20"/>
              </w:rPr>
              <w:t>,</w:t>
            </w:r>
            <w:r>
              <w:rPr>
                <w:sz w:val="20"/>
                <w:szCs w:val="20"/>
                <w:lang w:val="en-US"/>
              </w:rPr>
              <w:t>185.3</w:t>
            </w:r>
          </w:p>
        </w:tc>
        <w:tc>
          <w:tcPr>
            <w:tcW w:w="640" w:type="pct"/>
            <w:shd w:val="clear" w:color="auto" w:fill="C6D9F1" w:themeFill="text2" w:themeFillTint="33"/>
            <w:tcMar>
              <w:top w:w="0" w:type="dxa"/>
              <w:left w:w="30" w:type="dxa"/>
              <w:bottom w:w="0" w:type="dxa"/>
              <w:right w:w="30" w:type="dxa"/>
            </w:tcMar>
            <w:hideMark/>
          </w:tcPr>
          <w:p w14:paraId="4E9B2A90" w14:textId="77777777" w:rsidR="00433FD0" w:rsidRPr="002F284A" w:rsidRDefault="00433FD0" w:rsidP="00733935">
            <w:pPr>
              <w:spacing w:before="0" w:line="276" w:lineRule="auto"/>
              <w:ind w:firstLine="0"/>
              <w:jc w:val="center"/>
              <w:rPr>
                <w:b w:val="0"/>
                <w:sz w:val="20"/>
                <w:szCs w:val="20"/>
                <w:lang w:val="en-US"/>
              </w:rPr>
            </w:pPr>
            <w:r w:rsidRPr="00A604DD">
              <w:rPr>
                <w:sz w:val="20"/>
                <w:szCs w:val="20"/>
              </w:rPr>
              <w:t>468,807.</w:t>
            </w:r>
            <w:r>
              <w:rPr>
                <w:sz w:val="20"/>
                <w:szCs w:val="20"/>
                <w:lang w:val="en-US"/>
              </w:rPr>
              <w:t>7</w:t>
            </w:r>
          </w:p>
        </w:tc>
        <w:tc>
          <w:tcPr>
            <w:tcW w:w="593" w:type="pct"/>
            <w:shd w:val="clear" w:color="auto" w:fill="C6D9F1" w:themeFill="text2" w:themeFillTint="33"/>
          </w:tcPr>
          <w:p w14:paraId="31BCBD57" w14:textId="77777777" w:rsidR="00433FD0" w:rsidRPr="00475A80" w:rsidRDefault="00433FD0" w:rsidP="00733935">
            <w:pPr>
              <w:spacing w:before="0" w:line="276" w:lineRule="auto"/>
              <w:ind w:firstLine="0"/>
              <w:jc w:val="center"/>
              <w:rPr>
                <w:sz w:val="20"/>
                <w:szCs w:val="20"/>
                <w:lang w:val="en-US"/>
              </w:rPr>
            </w:pPr>
            <w:r>
              <w:rPr>
                <w:sz w:val="20"/>
                <w:szCs w:val="20"/>
              </w:rPr>
              <w:t>518,8</w:t>
            </w:r>
            <w:r>
              <w:rPr>
                <w:sz w:val="20"/>
                <w:szCs w:val="20"/>
                <w:lang w:val="en-US"/>
              </w:rPr>
              <w:t>56</w:t>
            </w:r>
            <w:r>
              <w:rPr>
                <w:sz w:val="20"/>
                <w:szCs w:val="20"/>
              </w:rPr>
              <w:t>.</w:t>
            </w:r>
            <w:r>
              <w:rPr>
                <w:sz w:val="20"/>
                <w:szCs w:val="20"/>
                <w:lang w:val="en-US"/>
              </w:rPr>
              <w:t>9</w:t>
            </w:r>
          </w:p>
        </w:tc>
      </w:tr>
      <w:tr w:rsidR="00433FD0" w:rsidRPr="00A604DD" w14:paraId="771F2487" w14:textId="77777777" w:rsidTr="00733935">
        <w:trPr>
          <w:trHeight w:val="20"/>
        </w:trPr>
        <w:tc>
          <w:tcPr>
            <w:tcW w:w="1913" w:type="pct"/>
            <w:shd w:val="clear" w:color="auto" w:fill="FFFFFF"/>
            <w:tcMar>
              <w:top w:w="0" w:type="dxa"/>
              <w:left w:w="57" w:type="dxa"/>
              <w:bottom w:w="0" w:type="dxa"/>
              <w:right w:w="57" w:type="dxa"/>
            </w:tcMar>
            <w:vAlign w:val="center"/>
            <w:hideMark/>
          </w:tcPr>
          <w:p w14:paraId="31897341"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clear" w:color="auto" w:fill="FFFFFF"/>
          </w:tcPr>
          <w:p w14:paraId="0117480E"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6.0%</w:t>
            </w:r>
          </w:p>
        </w:tc>
        <w:tc>
          <w:tcPr>
            <w:tcW w:w="621" w:type="pct"/>
            <w:shd w:val="clear" w:color="auto" w:fill="FFFFFF"/>
          </w:tcPr>
          <w:p w14:paraId="7533E07A"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7.0%</w:t>
            </w:r>
          </w:p>
        </w:tc>
        <w:tc>
          <w:tcPr>
            <w:tcW w:w="612" w:type="pct"/>
            <w:shd w:val="clear" w:color="auto" w:fill="FFFFFF"/>
          </w:tcPr>
          <w:p w14:paraId="6237ACA5" w14:textId="77777777" w:rsidR="00433FD0" w:rsidRPr="00A604DD" w:rsidRDefault="00433FD0" w:rsidP="00733935">
            <w:pPr>
              <w:spacing w:before="0" w:line="276" w:lineRule="auto"/>
              <w:ind w:firstLine="0"/>
              <w:jc w:val="center"/>
              <w:rPr>
                <w:b w:val="0"/>
                <w:sz w:val="20"/>
                <w:szCs w:val="20"/>
              </w:rPr>
            </w:pPr>
            <w:r>
              <w:rPr>
                <w:b w:val="0"/>
                <w:sz w:val="20"/>
                <w:szCs w:val="20"/>
                <w:lang w:val="hy-AM"/>
              </w:rPr>
              <w:t>8</w:t>
            </w:r>
            <w:r w:rsidRPr="00A604DD">
              <w:rPr>
                <w:b w:val="0"/>
                <w:sz w:val="20"/>
                <w:szCs w:val="20"/>
              </w:rPr>
              <w:t>.</w:t>
            </w:r>
            <w:r>
              <w:rPr>
                <w:b w:val="0"/>
                <w:sz w:val="20"/>
                <w:szCs w:val="20"/>
                <w:lang w:val="hy-AM"/>
              </w:rPr>
              <w:t>7</w:t>
            </w:r>
            <w:r w:rsidRPr="00A604DD">
              <w:rPr>
                <w:b w:val="0"/>
                <w:sz w:val="20"/>
                <w:szCs w:val="20"/>
              </w:rPr>
              <w:t>%</w:t>
            </w:r>
          </w:p>
        </w:tc>
        <w:tc>
          <w:tcPr>
            <w:tcW w:w="640" w:type="pct"/>
            <w:shd w:val="clear" w:color="auto" w:fill="FFFFFF"/>
            <w:hideMark/>
          </w:tcPr>
          <w:p w14:paraId="0CE712C8"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7.3%</w:t>
            </w:r>
          </w:p>
        </w:tc>
        <w:tc>
          <w:tcPr>
            <w:tcW w:w="593" w:type="pct"/>
            <w:shd w:val="clear" w:color="auto" w:fill="FFFFFF"/>
          </w:tcPr>
          <w:p w14:paraId="17C83828" w14:textId="77777777" w:rsidR="00433FD0" w:rsidRPr="00A604DD" w:rsidRDefault="00433FD0" w:rsidP="00733935">
            <w:pPr>
              <w:spacing w:before="0" w:line="276" w:lineRule="auto"/>
              <w:ind w:firstLine="0"/>
              <w:jc w:val="center"/>
              <w:rPr>
                <w:b w:val="0"/>
                <w:sz w:val="20"/>
                <w:szCs w:val="20"/>
              </w:rPr>
            </w:pPr>
            <w:r>
              <w:rPr>
                <w:b w:val="0"/>
                <w:sz w:val="20"/>
                <w:szCs w:val="20"/>
              </w:rPr>
              <w:t>6.6%</w:t>
            </w:r>
          </w:p>
        </w:tc>
      </w:tr>
      <w:tr w:rsidR="00433FD0" w:rsidRPr="00A604DD" w14:paraId="4ADE8B3E" w14:textId="77777777" w:rsidTr="00733935">
        <w:trPr>
          <w:trHeight w:val="20"/>
        </w:trPr>
        <w:tc>
          <w:tcPr>
            <w:tcW w:w="1913" w:type="pct"/>
            <w:shd w:val="clear" w:color="auto" w:fill="FFFFFF"/>
            <w:tcMar>
              <w:top w:w="0" w:type="dxa"/>
              <w:left w:w="57" w:type="dxa"/>
              <w:bottom w:w="0" w:type="dxa"/>
              <w:right w:w="57" w:type="dxa"/>
            </w:tcMar>
            <w:vAlign w:val="center"/>
            <w:hideMark/>
          </w:tcPr>
          <w:p w14:paraId="00C9529F"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clear" w:color="auto" w:fill="FFFFFF"/>
          </w:tcPr>
          <w:p w14:paraId="46734FBD"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25.0%</w:t>
            </w:r>
          </w:p>
        </w:tc>
        <w:tc>
          <w:tcPr>
            <w:tcW w:w="621" w:type="pct"/>
            <w:shd w:val="clear" w:color="auto" w:fill="FFFFFF"/>
          </w:tcPr>
          <w:p w14:paraId="50C6E56B"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28.2%</w:t>
            </w:r>
          </w:p>
        </w:tc>
        <w:tc>
          <w:tcPr>
            <w:tcW w:w="612" w:type="pct"/>
            <w:shd w:val="clear" w:color="auto" w:fill="FFFFFF"/>
          </w:tcPr>
          <w:p w14:paraId="795C246A" w14:textId="77777777" w:rsidR="00433FD0" w:rsidRPr="00A604DD" w:rsidRDefault="00433FD0" w:rsidP="00733935">
            <w:pPr>
              <w:spacing w:before="0" w:line="276" w:lineRule="auto"/>
              <w:ind w:firstLine="0"/>
              <w:jc w:val="center"/>
              <w:rPr>
                <w:b w:val="0"/>
                <w:sz w:val="20"/>
                <w:szCs w:val="20"/>
              </w:rPr>
            </w:pPr>
            <w:r w:rsidRPr="00A604DD">
              <w:rPr>
                <w:b w:val="0"/>
                <w:sz w:val="20"/>
                <w:szCs w:val="20"/>
              </w:rPr>
              <w:t>2</w:t>
            </w:r>
            <w:r>
              <w:rPr>
                <w:b w:val="0"/>
                <w:sz w:val="20"/>
                <w:szCs w:val="20"/>
                <w:lang w:val="en-US"/>
              </w:rPr>
              <w:t>8</w:t>
            </w:r>
            <w:r w:rsidRPr="00A604DD">
              <w:rPr>
                <w:b w:val="0"/>
                <w:sz w:val="20"/>
                <w:szCs w:val="20"/>
              </w:rPr>
              <w:t>.</w:t>
            </w:r>
            <w:r>
              <w:rPr>
                <w:b w:val="0"/>
                <w:sz w:val="20"/>
                <w:szCs w:val="20"/>
                <w:lang w:val="en-US"/>
              </w:rPr>
              <w:t>5</w:t>
            </w:r>
            <w:r w:rsidRPr="00A604DD">
              <w:rPr>
                <w:b w:val="0"/>
                <w:sz w:val="20"/>
                <w:szCs w:val="20"/>
              </w:rPr>
              <w:t>%</w:t>
            </w:r>
          </w:p>
        </w:tc>
        <w:tc>
          <w:tcPr>
            <w:tcW w:w="640" w:type="pct"/>
            <w:shd w:val="clear" w:color="auto" w:fill="FFFFFF"/>
            <w:hideMark/>
          </w:tcPr>
          <w:p w14:paraId="5EEE01F3"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25.3%</w:t>
            </w:r>
          </w:p>
        </w:tc>
        <w:tc>
          <w:tcPr>
            <w:tcW w:w="593" w:type="pct"/>
            <w:shd w:val="clear" w:color="auto" w:fill="FFFFFF"/>
          </w:tcPr>
          <w:p w14:paraId="6BCDA276" w14:textId="77777777" w:rsidR="00433FD0" w:rsidRPr="00A604DD" w:rsidRDefault="00433FD0" w:rsidP="00733935">
            <w:pPr>
              <w:spacing w:before="0" w:line="276" w:lineRule="auto"/>
              <w:ind w:firstLine="0"/>
              <w:jc w:val="center"/>
              <w:rPr>
                <w:b w:val="0"/>
                <w:sz w:val="20"/>
                <w:szCs w:val="20"/>
              </w:rPr>
            </w:pPr>
            <w:r>
              <w:rPr>
                <w:b w:val="0"/>
                <w:sz w:val="20"/>
                <w:szCs w:val="20"/>
              </w:rPr>
              <w:t>23.</w:t>
            </w:r>
            <w:r>
              <w:rPr>
                <w:b w:val="0"/>
                <w:sz w:val="20"/>
                <w:szCs w:val="20"/>
                <w:lang w:val="en-US"/>
              </w:rPr>
              <w:t>7</w:t>
            </w:r>
            <w:r>
              <w:rPr>
                <w:b w:val="0"/>
                <w:sz w:val="20"/>
                <w:szCs w:val="20"/>
              </w:rPr>
              <w:t>%</w:t>
            </w:r>
          </w:p>
        </w:tc>
      </w:tr>
      <w:tr w:rsidR="00433FD0" w:rsidRPr="00A604DD" w14:paraId="164490A8" w14:textId="77777777" w:rsidTr="00733935">
        <w:trPr>
          <w:trHeight w:val="20"/>
        </w:trPr>
        <w:tc>
          <w:tcPr>
            <w:tcW w:w="1913" w:type="pct"/>
            <w:shd w:val="clear" w:color="auto" w:fill="C6D9F1" w:themeFill="text2" w:themeFillTint="33"/>
            <w:tcMar>
              <w:top w:w="0" w:type="dxa"/>
              <w:left w:w="57" w:type="dxa"/>
              <w:bottom w:w="0" w:type="dxa"/>
              <w:right w:w="57" w:type="dxa"/>
            </w:tcMar>
            <w:vAlign w:val="center"/>
            <w:hideMark/>
          </w:tcPr>
          <w:p w14:paraId="5690A576" w14:textId="77777777" w:rsidR="00433FD0" w:rsidRPr="00A604DD" w:rsidRDefault="00433FD0" w:rsidP="00733935">
            <w:pPr>
              <w:spacing w:before="0" w:line="276" w:lineRule="auto"/>
              <w:ind w:firstLine="0"/>
              <w:rPr>
                <w:b w:val="0"/>
                <w:sz w:val="20"/>
                <w:szCs w:val="20"/>
              </w:rPr>
            </w:pPr>
            <w:r w:rsidRPr="00A604DD">
              <w:rPr>
                <w:rFonts w:cs="Arial"/>
                <w:sz w:val="20"/>
                <w:szCs w:val="20"/>
              </w:rPr>
              <w:t>ՏՆՏԵՍԱԿԱՆ</w:t>
            </w:r>
            <w:r w:rsidRPr="00A604DD">
              <w:rPr>
                <w:sz w:val="20"/>
                <w:szCs w:val="20"/>
              </w:rPr>
              <w:t xml:space="preserve"> </w:t>
            </w:r>
            <w:r w:rsidRPr="00A604DD">
              <w:rPr>
                <w:rFonts w:cs="Arial"/>
                <w:sz w:val="20"/>
                <w:szCs w:val="20"/>
              </w:rPr>
              <w:t>ՈԼՈՐՏ</w:t>
            </w:r>
          </w:p>
        </w:tc>
        <w:tc>
          <w:tcPr>
            <w:tcW w:w="621" w:type="pct"/>
            <w:shd w:val="clear" w:color="auto" w:fill="C6D9F1" w:themeFill="text2" w:themeFillTint="33"/>
          </w:tcPr>
          <w:p w14:paraId="062874D7" w14:textId="77777777" w:rsidR="00433FD0" w:rsidRPr="00A604DD" w:rsidRDefault="00433FD0" w:rsidP="00733935">
            <w:pPr>
              <w:spacing w:before="0" w:line="276" w:lineRule="auto"/>
              <w:ind w:firstLine="0"/>
              <w:jc w:val="center"/>
              <w:rPr>
                <w:rFonts w:cs="Arial"/>
                <w:b w:val="0"/>
                <w:bCs/>
                <w:sz w:val="20"/>
                <w:szCs w:val="20"/>
              </w:rPr>
            </w:pPr>
            <w:r w:rsidRPr="00A604DD">
              <w:rPr>
                <w:sz w:val="20"/>
                <w:szCs w:val="20"/>
              </w:rPr>
              <w:t>129,599.</w:t>
            </w:r>
            <w:r>
              <w:rPr>
                <w:sz w:val="20"/>
                <w:szCs w:val="20"/>
                <w:lang w:val="hy-AM"/>
              </w:rPr>
              <w:t>5</w:t>
            </w:r>
          </w:p>
        </w:tc>
        <w:tc>
          <w:tcPr>
            <w:tcW w:w="621" w:type="pct"/>
            <w:shd w:val="clear" w:color="auto" w:fill="C6D9F1" w:themeFill="text2" w:themeFillTint="33"/>
          </w:tcPr>
          <w:p w14:paraId="59170ED5" w14:textId="77777777" w:rsidR="00433FD0" w:rsidRPr="00A604DD" w:rsidRDefault="00433FD0" w:rsidP="00733935">
            <w:pPr>
              <w:spacing w:before="0" w:line="276" w:lineRule="auto"/>
              <w:ind w:firstLine="0"/>
              <w:jc w:val="center"/>
              <w:rPr>
                <w:rFonts w:cs="Arial"/>
                <w:b w:val="0"/>
                <w:bCs/>
                <w:sz w:val="20"/>
                <w:szCs w:val="20"/>
              </w:rPr>
            </w:pPr>
            <w:r w:rsidRPr="00A604DD">
              <w:rPr>
                <w:sz w:val="20"/>
                <w:szCs w:val="20"/>
              </w:rPr>
              <w:t>133,980.8</w:t>
            </w:r>
          </w:p>
        </w:tc>
        <w:tc>
          <w:tcPr>
            <w:tcW w:w="612" w:type="pct"/>
            <w:shd w:val="clear" w:color="auto" w:fill="C6D9F1" w:themeFill="text2" w:themeFillTint="33"/>
          </w:tcPr>
          <w:p w14:paraId="64A0DA18" w14:textId="77777777" w:rsidR="00433FD0" w:rsidRPr="0094616F" w:rsidRDefault="00433FD0" w:rsidP="00733935">
            <w:pPr>
              <w:spacing w:before="0" w:line="276" w:lineRule="auto"/>
              <w:ind w:firstLine="0"/>
              <w:jc w:val="center"/>
              <w:rPr>
                <w:sz w:val="20"/>
                <w:szCs w:val="20"/>
                <w:lang w:val="en-US"/>
              </w:rPr>
            </w:pPr>
            <w:r>
              <w:rPr>
                <w:sz w:val="20"/>
                <w:szCs w:val="20"/>
                <w:lang w:val="en-US"/>
              </w:rPr>
              <w:t>138</w:t>
            </w:r>
            <w:r w:rsidRPr="00A604DD">
              <w:rPr>
                <w:sz w:val="20"/>
                <w:szCs w:val="20"/>
              </w:rPr>
              <w:t>,</w:t>
            </w:r>
            <w:r>
              <w:rPr>
                <w:sz w:val="20"/>
                <w:szCs w:val="20"/>
                <w:lang w:val="en-US"/>
              </w:rPr>
              <w:t>887</w:t>
            </w:r>
            <w:r w:rsidRPr="00A604DD">
              <w:rPr>
                <w:sz w:val="20"/>
                <w:szCs w:val="20"/>
              </w:rPr>
              <w:t>.</w:t>
            </w:r>
            <w:r>
              <w:rPr>
                <w:sz w:val="20"/>
                <w:szCs w:val="20"/>
                <w:lang w:val="en-US"/>
              </w:rPr>
              <w:t>2</w:t>
            </w:r>
          </w:p>
        </w:tc>
        <w:tc>
          <w:tcPr>
            <w:tcW w:w="640" w:type="pct"/>
            <w:shd w:val="clear" w:color="auto" w:fill="C6D9F1" w:themeFill="text2" w:themeFillTint="33"/>
            <w:tcMar>
              <w:top w:w="0" w:type="dxa"/>
              <w:left w:w="30" w:type="dxa"/>
              <w:bottom w:w="0" w:type="dxa"/>
              <w:right w:w="30" w:type="dxa"/>
            </w:tcMar>
            <w:hideMark/>
          </w:tcPr>
          <w:p w14:paraId="09DBA6F6" w14:textId="77777777" w:rsidR="00433FD0" w:rsidRPr="00127B0F" w:rsidRDefault="00433FD0" w:rsidP="00733935">
            <w:pPr>
              <w:spacing w:before="0" w:line="276" w:lineRule="auto"/>
              <w:ind w:firstLine="0"/>
              <w:jc w:val="center"/>
              <w:rPr>
                <w:rFonts w:cs="Arial"/>
                <w:b w:val="0"/>
                <w:bCs/>
                <w:sz w:val="20"/>
                <w:szCs w:val="20"/>
                <w:lang w:val="hy-AM"/>
              </w:rPr>
            </w:pPr>
            <w:r w:rsidRPr="00A604DD">
              <w:rPr>
                <w:sz w:val="20"/>
                <w:szCs w:val="20"/>
              </w:rPr>
              <w:t>174,531.</w:t>
            </w:r>
            <w:r>
              <w:rPr>
                <w:sz w:val="20"/>
                <w:szCs w:val="20"/>
                <w:lang w:val="hy-AM"/>
              </w:rPr>
              <w:t>3</w:t>
            </w:r>
          </w:p>
        </w:tc>
        <w:tc>
          <w:tcPr>
            <w:tcW w:w="593" w:type="pct"/>
            <w:shd w:val="clear" w:color="auto" w:fill="C6D9F1" w:themeFill="text2" w:themeFillTint="33"/>
          </w:tcPr>
          <w:p w14:paraId="4AA0CF7B" w14:textId="77777777" w:rsidR="00433FD0" w:rsidRPr="006E2904" w:rsidRDefault="00433FD0" w:rsidP="00733935">
            <w:pPr>
              <w:spacing w:before="0" w:line="276" w:lineRule="auto"/>
              <w:ind w:firstLine="0"/>
              <w:jc w:val="center"/>
              <w:rPr>
                <w:sz w:val="20"/>
                <w:szCs w:val="20"/>
                <w:lang w:val="en-US"/>
              </w:rPr>
            </w:pPr>
            <w:r>
              <w:rPr>
                <w:sz w:val="20"/>
                <w:szCs w:val="20"/>
              </w:rPr>
              <w:t>2</w:t>
            </w:r>
            <w:r>
              <w:rPr>
                <w:sz w:val="20"/>
                <w:szCs w:val="20"/>
                <w:lang w:val="en-US"/>
              </w:rPr>
              <w:t>4</w:t>
            </w:r>
            <w:r>
              <w:rPr>
                <w:sz w:val="20"/>
                <w:szCs w:val="20"/>
              </w:rPr>
              <w:t>0,09</w:t>
            </w:r>
            <w:r>
              <w:rPr>
                <w:sz w:val="20"/>
                <w:szCs w:val="20"/>
                <w:lang w:val="en-US"/>
              </w:rPr>
              <w:t>8</w:t>
            </w:r>
            <w:r>
              <w:rPr>
                <w:sz w:val="20"/>
                <w:szCs w:val="20"/>
              </w:rPr>
              <w:t>.</w:t>
            </w:r>
            <w:r>
              <w:rPr>
                <w:sz w:val="20"/>
                <w:szCs w:val="20"/>
                <w:lang w:val="en-US"/>
              </w:rPr>
              <w:t>1</w:t>
            </w:r>
          </w:p>
        </w:tc>
      </w:tr>
      <w:tr w:rsidR="00433FD0" w:rsidRPr="00A604DD" w14:paraId="263A6F7A" w14:textId="77777777" w:rsidTr="00733935">
        <w:trPr>
          <w:trHeight w:val="20"/>
        </w:trPr>
        <w:tc>
          <w:tcPr>
            <w:tcW w:w="1913" w:type="pct"/>
            <w:shd w:val="clear" w:color="auto" w:fill="FFFFFF"/>
            <w:tcMar>
              <w:top w:w="0" w:type="dxa"/>
              <w:left w:w="57" w:type="dxa"/>
              <w:bottom w:w="0" w:type="dxa"/>
              <w:right w:w="57" w:type="dxa"/>
            </w:tcMar>
            <w:vAlign w:val="center"/>
            <w:hideMark/>
          </w:tcPr>
          <w:p w14:paraId="5F6E30E1"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clear" w:color="auto" w:fill="FFFFFF"/>
          </w:tcPr>
          <w:p w14:paraId="21561C41"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2.2%</w:t>
            </w:r>
          </w:p>
        </w:tc>
        <w:tc>
          <w:tcPr>
            <w:tcW w:w="621" w:type="pct"/>
            <w:shd w:val="clear" w:color="auto" w:fill="FFFFFF"/>
          </w:tcPr>
          <w:p w14:paraId="7F86AE65"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2.0%</w:t>
            </w:r>
          </w:p>
        </w:tc>
        <w:tc>
          <w:tcPr>
            <w:tcW w:w="612" w:type="pct"/>
            <w:shd w:val="clear" w:color="auto" w:fill="FFFFFF"/>
          </w:tcPr>
          <w:p w14:paraId="6CDD4F27" w14:textId="77777777" w:rsidR="00433FD0" w:rsidRPr="00A604DD" w:rsidRDefault="00433FD0" w:rsidP="00733935">
            <w:pPr>
              <w:spacing w:before="0" w:line="276" w:lineRule="auto"/>
              <w:ind w:firstLine="0"/>
              <w:jc w:val="center"/>
              <w:rPr>
                <w:b w:val="0"/>
                <w:sz w:val="20"/>
                <w:szCs w:val="20"/>
              </w:rPr>
            </w:pPr>
            <w:r>
              <w:rPr>
                <w:b w:val="0"/>
                <w:sz w:val="20"/>
                <w:szCs w:val="20"/>
                <w:lang w:val="hy-AM"/>
              </w:rPr>
              <w:t>2</w:t>
            </w:r>
            <w:r w:rsidRPr="00A604DD">
              <w:rPr>
                <w:b w:val="0"/>
                <w:sz w:val="20"/>
                <w:szCs w:val="20"/>
              </w:rPr>
              <w:t>.</w:t>
            </w:r>
            <w:r>
              <w:rPr>
                <w:b w:val="0"/>
                <w:sz w:val="20"/>
                <w:szCs w:val="20"/>
                <w:lang w:val="hy-AM"/>
              </w:rPr>
              <w:t>4</w:t>
            </w:r>
            <w:r w:rsidRPr="00A604DD">
              <w:rPr>
                <w:b w:val="0"/>
                <w:sz w:val="20"/>
                <w:szCs w:val="20"/>
              </w:rPr>
              <w:t>%</w:t>
            </w:r>
          </w:p>
        </w:tc>
        <w:tc>
          <w:tcPr>
            <w:tcW w:w="640" w:type="pct"/>
            <w:shd w:val="clear" w:color="auto" w:fill="FFFFFF"/>
            <w:hideMark/>
          </w:tcPr>
          <w:p w14:paraId="01326BC1"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2.7%</w:t>
            </w:r>
          </w:p>
        </w:tc>
        <w:tc>
          <w:tcPr>
            <w:tcW w:w="593" w:type="pct"/>
            <w:shd w:val="clear" w:color="auto" w:fill="FFFFFF"/>
          </w:tcPr>
          <w:p w14:paraId="065C83D6" w14:textId="77777777" w:rsidR="00433FD0" w:rsidRPr="00125424" w:rsidRDefault="00433FD0" w:rsidP="00733935">
            <w:pPr>
              <w:spacing w:before="0" w:line="276" w:lineRule="auto"/>
              <w:ind w:firstLine="0"/>
              <w:jc w:val="center"/>
              <w:rPr>
                <w:b w:val="0"/>
                <w:sz w:val="20"/>
                <w:szCs w:val="20"/>
                <w:lang w:val="en-US"/>
              </w:rPr>
            </w:pPr>
            <w:r>
              <w:rPr>
                <w:b w:val="0"/>
                <w:sz w:val="20"/>
                <w:szCs w:val="20"/>
              </w:rPr>
              <w:t>3.</w:t>
            </w:r>
            <w:r>
              <w:rPr>
                <w:b w:val="0"/>
                <w:sz w:val="20"/>
                <w:szCs w:val="20"/>
                <w:lang w:val="en-US"/>
              </w:rPr>
              <w:t>1</w:t>
            </w:r>
            <w:r>
              <w:rPr>
                <w:b w:val="0"/>
                <w:sz w:val="20"/>
                <w:szCs w:val="20"/>
              </w:rPr>
              <w:t>%</w:t>
            </w:r>
          </w:p>
        </w:tc>
      </w:tr>
      <w:tr w:rsidR="00433FD0" w:rsidRPr="00A604DD" w14:paraId="5E752972" w14:textId="77777777" w:rsidTr="00733935">
        <w:trPr>
          <w:trHeight w:val="20"/>
        </w:trPr>
        <w:tc>
          <w:tcPr>
            <w:tcW w:w="1913" w:type="pct"/>
            <w:shd w:val="clear" w:color="auto" w:fill="FFFFFF"/>
            <w:tcMar>
              <w:top w:w="0" w:type="dxa"/>
              <w:left w:w="57" w:type="dxa"/>
              <w:bottom w:w="0" w:type="dxa"/>
              <w:right w:w="57" w:type="dxa"/>
            </w:tcMar>
            <w:vAlign w:val="center"/>
            <w:hideMark/>
          </w:tcPr>
          <w:p w14:paraId="2AD36C47"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clear" w:color="auto" w:fill="FFFFFF"/>
          </w:tcPr>
          <w:p w14:paraId="0BEDA8E4"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9.0%</w:t>
            </w:r>
          </w:p>
        </w:tc>
        <w:tc>
          <w:tcPr>
            <w:tcW w:w="621" w:type="pct"/>
            <w:shd w:val="clear" w:color="auto" w:fill="FFFFFF"/>
          </w:tcPr>
          <w:p w14:paraId="3774DA6E"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8.2%</w:t>
            </w:r>
          </w:p>
        </w:tc>
        <w:tc>
          <w:tcPr>
            <w:tcW w:w="612" w:type="pct"/>
            <w:shd w:val="clear" w:color="auto" w:fill="FFFFFF"/>
          </w:tcPr>
          <w:p w14:paraId="18EC7482" w14:textId="77777777" w:rsidR="00433FD0" w:rsidRPr="00A604DD" w:rsidRDefault="00433FD0" w:rsidP="00733935">
            <w:pPr>
              <w:spacing w:before="0" w:line="276" w:lineRule="auto"/>
              <w:ind w:firstLine="0"/>
              <w:jc w:val="center"/>
              <w:rPr>
                <w:b w:val="0"/>
                <w:sz w:val="20"/>
                <w:szCs w:val="20"/>
              </w:rPr>
            </w:pPr>
            <w:r>
              <w:rPr>
                <w:b w:val="0"/>
                <w:sz w:val="20"/>
                <w:szCs w:val="20"/>
                <w:lang w:val="en-US"/>
              </w:rPr>
              <w:t>7.3</w:t>
            </w:r>
            <w:r w:rsidRPr="00A604DD">
              <w:rPr>
                <w:b w:val="0"/>
                <w:sz w:val="20"/>
                <w:szCs w:val="20"/>
              </w:rPr>
              <w:t>%</w:t>
            </w:r>
          </w:p>
        </w:tc>
        <w:tc>
          <w:tcPr>
            <w:tcW w:w="640" w:type="pct"/>
            <w:shd w:val="clear" w:color="auto" w:fill="FFFFFF"/>
            <w:hideMark/>
          </w:tcPr>
          <w:p w14:paraId="423E6669"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9.4%</w:t>
            </w:r>
          </w:p>
        </w:tc>
        <w:tc>
          <w:tcPr>
            <w:tcW w:w="593" w:type="pct"/>
            <w:shd w:val="clear" w:color="auto" w:fill="FFFFFF"/>
          </w:tcPr>
          <w:p w14:paraId="6EEB930C" w14:textId="77777777" w:rsidR="00433FD0" w:rsidRPr="00A604DD" w:rsidRDefault="00433FD0" w:rsidP="00733935">
            <w:pPr>
              <w:spacing w:before="0" w:line="276" w:lineRule="auto"/>
              <w:ind w:firstLine="0"/>
              <w:jc w:val="center"/>
              <w:rPr>
                <w:b w:val="0"/>
                <w:sz w:val="20"/>
                <w:szCs w:val="20"/>
              </w:rPr>
            </w:pPr>
            <w:r>
              <w:rPr>
                <w:b w:val="0"/>
                <w:sz w:val="20"/>
                <w:szCs w:val="20"/>
              </w:rPr>
              <w:t>1</w:t>
            </w:r>
            <w:r>
              <w:rPr>
                <w:b w:val="0"/>
                <w:sz w:val="20"/>
                <w:szCs w:val="20"/>
                <w:lang w:val="en-US"/>
              </w:rPr>
              <w:t>1</w:t>
            </w:r>
            <w:r>
              <w:rPr>
                <w:b w:val="0"/>
                <w:sz w:val="20"/>
                <w:szCs w:val="20"/>
              </w:rPr>
              <w:t>.</w:t>
            </w:r>
            <w:r>
              <w:rPr>
                <w:b w:val="0"/>
                <w:sz w:val="20"/>
                <w:szCs w:val="20"/>
                <w:lang w:val="en-US"/>
              </w:rPr>
              <w:t>0</w:t>
            </w:r>
            <w:r>
              <w:rPr>
                <w:b w:val="0"/>
                <w:sz w:val="20"/>
                <w:szCs w:val="20"/>
              </w:rPr>
              <w:t>%</w:t>
            </w:r>
          </w:p>
        </w:tc>
      </w:tr>
      <w:tr w:rsidR="00433FD0" w:rsidRPr="00A604DD" w14:paraId="0732A79A" w14:textId="77777777" w:rsidTr="00733935">
        <w:trPr>
          <w:trHeight w:val="20"/>
        </w:trPr>
        <w:tc>
          <w:tcPr>
            <w:tcW w:w="1913" w:type="pct"/>
            <w:shd w:val="clear" w:color="auto" w:fill="C6D9F1" w:themeFill="text2" w:themeFillTint="33"/>
            <w:tcMar>
              <w:top w:w="0" w:type="dxa"/>
              <w:left w:w="57" w:type="dxa"/>
              <w:bottom w:w="0" w:type="dxa"/>
              <w:right w:w="57" w:type="dxa"/>
            </w:tcMar>
            <w:vAlign w:val="center"/>
            <w:hideMark/>
          </w:tcPr>
          <w:p w14:paraId="4FC3DE71" w14:textId="77777777" w:rsidR="00433FD0" w:rsidRPr="00A604DD" w:rsidRDefault="00433FD0" w:rsidP="00733935">
            <w:pPr>
              <w:spacing w:before="0" w:line="276" w:lineRule="auto"/>
              <w:ind w:firstLine="0"/>
              <w:rPr>
                <w:b w:val="0"/>
                <w:sz w:val="20"/>
                <w:szCs w:val="20"/>
                <w:lang w:val="hy-AM"/>
              </w:rPr>
            </w:pPr>
            <w:r w:rsidRPr="00A604DD">
              <w:rPr>
                <w:rFonts w:cs="Arial"/>
                <w:sz w:val="20"/>
                <w:szCs w:val="20"/>
              </w:rPr>
              <w:t>ՍՈՑԻԱԼԱԿԱՆ</w:t>
            </w:r>
            <w:r w:rsidRPr="00A604DD">
              <w:rPr>
                <w:sz w:val="20"/>
                <w:szCs w:val="20"/>
              </w:rPr>
              <w:t xml:space="preserve"> </w:t>
            </w:r>
            <w:r w:rsidRPr="00A604DD">
              <w:rPr>
                <w:rFonts w:cs="Arial"/>
                <w:sz w:val="20"/>
                <w:szCs w:val="20"/>
              </w:rPr>
              <w:t>ՈԼՈՐՏ</w:t>
            </w:r>
          </w:p>
        </w:tc>
        <w:tc>
          <w:tcPr>
            <w:tcW w:w="621" w:type="pct"/>
            <w:shd w:val="clear" w:color="auto" w:fill="C6D9F1" w:themeFill="text2" w:themeFillTint="33"/>
          </w:tcPr>
          <w:p w14:paraId="283981B3" w14:textId="77777777" w:rsidR="00433FD0" w:rsidRPr="00A604DD" w:rsidRDefault="00433FD0" w:rsidP="00733935">
            <w:pPr>
              <w:spacing w:before="0" w:line="276" w:lineRule="auto"/>
              <w:ind w:firstLine="0"/>
              <w:jc w:val="center"/>
              <w:rPr>
                <w:rFonts w:cs="Arial"/>
                <w:b w:val="0"/>
                <w:bCs/>
                <w:sz w:val="20"/>
                <w:szCs w:val="20"/>
              </w:rPr>
            </w:pPr>
            <w:r w:rsidRPr="00A604DD">
              <w:rPr>
                <w:sz w:val="20"/>
                <w:szCs w:val="20"/>
              </w:rPr>
              <w:t>643,132.</w:t>
            </w:r>
            <w:r>
              <w:rPr>
                <w:sz w:val="20"/>
                <w:szCs w:val="20"/>
                <w:lang w:val="hy-AM"/>
              </w:rPr>
              <w:t>6</w:t>
            </w:r>
          </w:p>
        </w:tc>
        <w:tc>
          <w:tcPr>
            <w:tcW w:w="621" w:type="pct"/>
            <w:shd w:val="clear" w:color="auto" w:fill="C6D9F1" w:themeFill="text2" w:themeFillTint="33"/>
          </w:tcPr>
          <w:p w14:paraId="4131720A" w14:textId="77777777" w:rsidR="00433FD0" w:rsidRPr="00A604DD" w:rsidRDefault="00433FD0" w:rsidP="00733935">
            <w:pPr>
              <w:spacing w:before="0" w:line="276" w:lineRule="auto"/>
              <w:ind w:firstLine="0"/>
              <w:jc w:val="center"/>
              <w:rPr>
                <w:rFonts w:cs="Arial"/>
                <w:b w:val="0"/>
                <w:bCs/>
                <w:sz w:val="20"/>
                <w:szCs w:val="20"/>
              </w:rPr>
            </w:pPr>
            <w:r w:rsidRPr="00A604DD">
              <w:rPr>
                <w:sz w:val="20"/>
                <w:szCs w:val="20"/>
              </w:rPr>
              <w:t>716,099.0</w:t>
            </w:r>
          </w:p>
        </w:tc>
        <w:tc>
          <w:tcPr>
            <w:tcW w:w="612" w:type="pct"/>
            <w:shd w:val="clear" w:color="auto" w:fill="C6D9F1" w:themeFill="text2" w:themeFillTint="33"/>
          </w:tcPr>
          <w:p w14:paraId="20F0C473" w14:textId="77777777" w:rsidR="00433FD0" w:rsidRPr="0094616F" w:rsidRDefault="00433FD0" w:rsidP="00733935">
            <w:pPr>
              <w:spacing w:before="0" w:line="276" w:lineRule="auto"/>
              <w:ind w:firstLine="0"/>
              <w:jc w:val="center"/>
              <w:rPr>
                <w:sz w:val="20"/>
                <w:szCs w:val="20"/>
                <w:lang w:val="en-US"/>
              </w:rPr>
            </w:pPr>
            <w:r>
              <w:rPr>
                <w:sz w:val="20"/>
                <w:szCs w:val="20"/>
                <w:lang w:val="en-US"/>
              </w:rPr>
              <w:t>872</w:t>
            </w:r>
            <w:r w:rsidRPr="00A604DD">
              <w:rPr>
                <w:sz w:val="20"/>
                <w:szCs w:val="20"/>
              </w:rPr>
              <w:t>,</w:t>
            </w:r>
            <w:r>
              <w:rPr>
                <w:sz w:val="20"/>
                <w:szCs w:val="20"/>
                <w:lang w:val="en-US"/>
              </w:rPr>
              <w:t>233.8</w:t>
            </w:r>
          </w:p>
        </w:tc>
        <w:tc>
          <w:tcPr>
            <w:tcW w:w="640" w:type="pct"/>
            <w:shd w:val="clear" w:color="auto" w:fill="C6D9F1" w:themeFill="text2" w:themeFillTint="33"/>
            <w:tcMar>
              <w:top w:w="0" w:type="dxa"/>
              <w:left w:w="30" w:type="dxa"/>
              <w:bottom w:w="0" w:type="dxa"/>
              <w:right w:w="30" w:type="dxa"/>
            </w:tcMar>
            <w:hideMark/>
          </w:tcPr>
          <w:p w14:paraId="4FAD28F2" w14:textId="77777777" w:rsidR="00433FD0" w:rsidRPr="00A604DD" w:rsidRDefault="00433FD0" w:rsidP="00733935">
            <w:pPr>
              <w:spacing w:before="0" w:line="276" w:lineRule="auto"/>
              <w:ind w:firstLine="0"/>
              <w:jc w:val="center"/>
              <w:rPr>
                <w:rFonts w:cs="Arial"/>
                <w:b w:val="0"/>
                <w:bCs/>
                <w:sz w:val="20"/>
                <w:szCs w:val="20"/>
                <w:lang w:val="en-US"/>
              </w:rPr>
            </w:pPr>
            <w:r w:rsidRPr="00A604DD">
              <w:rPr>
                <w:sz w:val="20"/>
                <w:szCs w:val="20"/>
              </w:rPr>
              <w:t>806,603.0</w:t>
            </w:r>
          </w:p>
        </w:tc>
        <w:tc>
          <w:tcPr>
            <w:tcW w:w="593" w:type="pct"/>
            <w:shd w:val="clear" w:color="auto" w:fill="C6D9F1" w:themeFill="text2" w:themeFillTint="33"/>
          </w:tcPr>
          <w:p w14:paraId="4108BC75" w14:textId="77777777" w:rsidR="00433FD0" w:rsidRPr="006E2904" w:rsidRDefault="00433FD0" w:rsidP="00733935">
            <w:pPr>
              <w:spacing w:before="0" w:line="276" w:lineRule="auto"/>
              <w:ind w:firstLine="0"/>
              <w:jc w:val="center"/>
              <w:rPr>
                <w:sz w:val="20"/>
                <w:szCs w:val="20"/>
                <w:lang w:val="en-US"/>
              </w:rPr>
            </w:pPr>
            <w:r>
              <w:rPr>
                <w:sz w:val="20"/>
                <w:szCs w:val="20"/>
              </w:rPr>
              <w:t>9</w:t>
            </w:r>
            <w:r>
              <w:rPr>
                <w:sz w:val="20"/>
                <w:szCs w:val="20"/>
                <w:lang w:val="en-US"/>
              </w:rPr>
              <w:t>29</w:t>
            </w:r>
            <w:r>
              <w:rPr>
                <w:sz w:val="20"/>
                <w:szCs w:val="20"/>
              </w:rPr>
              <w:t>,</w:t>
            </w:r>
            <w:r>
              <w:rPr>
                <w:sz w:val="20"/>
                <w:szCs w:val="20"/>
                <w:lang w:val="en-US"/>
              </w:rPr>
              <w:t>399</w:t>
            </w:r>
            <w:r>
              <w:rPr>
                <w:sz w:val="20"/>
                <w:szCs w:val="20"/>
              </w:rPr>
              <w:t>.</w:t>
            </w:r>
            <w:r>
              <w:rPr>
                <w:sz w:val="20"/>
                <w:szCs w:val="20"/>
                <w:lang w:val="en-US"/>
              </w:rPr>
              <w:t>1</w:t>
            </w:r>
          </w:p>
        </w:tc>
      </w:tr>
      <w:tr w:rsidR="00433FD0" w:rsidRPr="00A604DD" w14:paraId="7BFB77F3" w14:textId="77777777" w:rsidTr="00733935">
        <w:trPr>
          <w:trHeight w:val="20"/>
        </w:trPr>
        <w:tc>
          <w:tcPr>
            <w:tcW w:w="1913" w:type="pct"/>
            <w:shd w:val="clear" w:color="auto" w:fill="FFFFFF"/>
            <w:tcMar>
              <w:top w:w="0" w:type="dxa"/>
              <w:left w:w="57" w:type="dxa"/>
              <w:bottom w:w="0" w:type="dxa"/>
              <w:right w:w="57" w:type="dxa"/>
            </w:tcMar>
            <w:vAlign w:val="center"/>
            <w:hideMark/>
          </w:tcPr>
          <w:p w14:paraId="3D548348"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clear" w:color="auto" w:fill="FFFFFF"/>
          </w:tcPr>
          <w:p w14:paraId="6E3D2DCE"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10.7%</w:t>
            </w:r>
          </w:p>
        </w:tc>
        <w:tc>
          <w:tcPr>
            <w:tcW w:w="621" w:type="pct"/>
            <w:shd w:val="clear" w:color="auto" w:fill="FFFFFF"/>
          </w:tcPr>
          <w:p w14:paraId="3C133112"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10.9%</w:t>
            </w:r>
          </w:p>
        </w:tc>
        <w:tc>
          <w:tcPr>
            <w:tcW w:w="612" w:type="pct"/>
            <w:shd w:val="clear" w:color="auto" w:fill="FFFFFF"/>
          </w:tcPr>
          <w:p w14:paraId="474E557B" w14:textId="77777777" w:rsidR="00433FD0" w:rsidRPr="00A604DD" w:rsidRDefault="00433FD0" w:rsidP="00733935">
            <w:pPr>
              <w:spacing w:before="0" w:line="276" w:lineRule="auto"/>
              <w:ind w:firstLine="0"/>
              <w:jc w:val="center"/>
              <w:rPr>
                <w:b w:val="0"/>
                <w:sz w:val="20"/>
                <w:szCs w:val="20"/>
              </w:rPr>
            </w:pPr>
            <w:r w:rsidRPr="00A604DD">
              <w:rPr>
                <w:b w:val="0"/>
                <w:sz w:val="20"/>
                <w:szCs w:val="20"/>
              </w:rPr>
              <w:t>1</w:t>
            </w:r>
            <w:r>
              <w:rPr>
                <w:b w:val="0"/>
                <w:sz w:val="20"/>
                <w:szCs w:val="20"/>
                <w:lang w:val="hy-AM"/>
              </w:rPr>
              <w:t>4</w:t>
            </w:r>
            <w:r w:rsidRPr="00A604DD">
              <w:rPr>
                <w:b w:val="0"/>
                <w:sz w:val="20"/>
                <w:szCs w:val="20"/>
              </w:rPr>
              <w:t>.1%</w:t>
            </w:r>
          </w:p>
        </w:tc>
        <w:tc>
          <w:tcPr>
            <w:tcW w:w="640" w:type="pct"/>
            <w:shd w:val="clear" w:color="auto" w:fill="FFFFFF"/>
            <w:hideMark/>
          </w:tcPr>
          <w:p w14:paraId="233236A3"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12.6%</w:t>
            </w:r>
          </w:p>
        </w:tc>
        <w:tc>
          <w:tcPr>
            <w:tcW w:w="593" w:type="pct"/>
            <w:shd w:val="clear" w:color="auto" w:fill="FFFFFF"/>
          </w:tcPr>
          <w:p w14:paraId="5866D4B8" w14:textId="77777777" w:rsidR="00433FD0" w:rsidRPr="00A604DD" w:rsidRDefault="00433FD0" w:rsidP="00733935">
            <w:pPr>
              <w:spacing w:before="0" w:line="276" w:lineRule="auto"/>
              <w:ind w:firstLine="0"/>
              <w:jc w:val="center"/>
              <w:rPr>
                <w:b w:val="0"/>
                <w:sz w:val="20"/>
                <w:szCs w:val="20"/>
              </w:rPr>
            </w:pPr>
            <w:r>
              <w:rPr>
                <w:b w:val="0"/>
                <w:sz w:val="20"/>
                <w:szCs w:val="20"/>
              </w:rPr>
              <w:t>11.</w:t>
            </w:r>
            <w:r>
              <w:rPr>
                <w:b w:val="0"/>
                <w:sz w:val="20"/>
                <w:szCs w:val="20"/>
                <w:lang w:val="en-US"/>
              </w:rPr>
              <w:t>8</w:t>
            </w:r>
            <w:r>
              <w:rPr>
                <w:b w:val="0"/>
                <w:sz w:val="20"/>
                <w:szCs w:val="20"/>
              </w:rPr>
              <w:t>%</w:t>
            </w:r>
          </w:p>
        </w:tc>
      </w:tr>
      <w:tr w:rsidR="00433FD0" w:rsidRPr="00A604DD" w14:paraId="3BCE0C94" w14:textId="77777777" w:rsidTr="00733935">
        <w:trPr>
          <w:trHeight w:val="20"/>
        </w:trPr>
        <w:tc>
          <w:tcPr>
            <w:tcW w:w="1913" w:type="pct"/>
            <w:shd w:val="clear" w:color="auto" w:fill="FFFFFF"/>
            <w:tcMar>
              <w:top w:w="0" w:type="dxa"/>
              <w:left w:w="57" w:type="dxa"/>
              <w:bottom w:w="0" w:type="dxa"/>
              <w:right w:w="57" w:type="dxa"/>
            </w:tcMar>
            <w:vAlign w:val="center"/>
            <w:hideMark/>
          </w:tcPr>
          <w:p w14:paraId="79358EB3" w14:textId="77777777" w:rsidR="00433FD0" w:rsidRPr="00A604DD" w:rsidRDefault="00433FD0" w:rsidP="00733935">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clear" w:color="auto" w:fill="FFFFFF"/>
          </w:tcPr>
          <w:p w14:paraId="16B058C0"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44.4%</w:t>
            </w:r>
          </w:p>
        </w:tc>
        <w:tc>
          <w:tcPr>
            <w:tcW w:w="621" w:type="pct"/>
            <w:shd w:val="clear" w:color="auto" w:fill="FFFFFF"/>
          </w:tcPr>
          <w:p w14:paraId="06496AA3" w14:textId="77777777" w:rsidR="00433FD0" w:rsidRPr="00A604DD" w:rsidRDefault="00433FD0" w:rsidP="00733935">
            <w:pPr>
              <w:spacing w:before="0" w:line="276" w:lineRule="auto"/>
              <w:ind w:firstLine="0"/>
              <w:jc w:val="center"/>
              <w:rPr>
                <w:rFonts w:cs="Arial"/>
                <w:b w:val="0"/>
                <w:color w:val="000000"/>
                <w:sz w:val="20"/>
                <w:szCs w:val="20"/>
              </w:rPr>
            </w:pPr>
            <w:r w:rsidRPr="00A604DD">
              <w:rPr>
                <w:b w:val="0"/>
                <w:sz w:val="20"/>
                <w:szCs w:val="20"/>
              </w:rPr>
              <w:t>43.9%</w:t>
            </w:r>
          </w:p>
        </w:tc>
        <w:tc>
          <w:tcPr>
            <w:tcW w:w="612" w:type="pct"/>
            <w:shd w:val="clear" w:color="auto" w:fill="FFFFFF"/>
          </w:tcPr>
          <w:p w14:paraId="498C9B1F" w14:textId="77777777" w:rsidR="00433FD0" w:rsidRPr="00A604DD" w:rsidRDefault="00433FD0" w:rsidP="00733935">
            <w:pPr>
              <w:spacing w:before="0" w:line="276" w:lineRule="auto"/>
              <w:ind w:firstLine="0"/>
              <w:jc w:val="center"/>
              <w:rPr>
                <w:b w:val="0"/>
                <w:sz w:val="20"/>
                <w:szCs w:val="20"/>
              </w:rPr>
            </w:pPr>
            <w:r w:rsidRPr="00A604DD">
              <w:rPr>
                <w:b w:val="0"/>
                <w:sz w:val="20"/>
                <w:szCs w:val="20"/>
              </w:rPr>
              <w:t>4</w:t>
            </w:r>
            <w:r>
              <w:rPr>
                <w:b w:val="0"/>
                <w:sz w:val="20"/>
                <w:szCs w:val="20"/>
                <w:lang w:val="en-US"/>
              </w:rPr>
              <w:t>6</w:t>
            </w:r>
            <w:r w:rsidRPr="00A604DD">
              <w:rPr>
                <w:b w:val="0"/>
                <w:sz w:val="20"/>
                <w:szCs w:val="20"/>
              </w:rPr>
              <w:t>.0%</w:t>
            </w:r>
          </w:p>
        </w:tc>
        <w:tc>
          <w:tcPr>
            <w:tcW w:w="640" w:type="pct"/>
            <w:shd w:val="clear" w:color="auto" w:fill="FFFFFF"/>
            <w:hideMark/>
          </w:tcPr>
          <w:p w14:paraId="3227DF09" w14:textId="77777777" w:rsidR="00433FD0" w:rsidRPr="00A604DD" w:rsidRDefault="00433FD0" w:rsidP="00733935">
            <w:pPr>
              <w:spacing w:before="0" w:line="276" w:lineRule="auto"/>
              <w:ind w:firstLine="0"/>
              <w:jc w:val="center"/>
              <w:rPr>
                <w:rFonts w:cs="Arial"/>
                <w:b w:val="0"/>
                <w:color w:val="000000"/>
                <w:sz w:val="20"/>
                <w:szCs w:val="20"/>
                <w:lang w:val="en-US"/>
              </w:rPr>
            </w:pPr>
            <w:r w:rsidRPr="00A604DD">
              <w:rPr>
                <w:b w:val="0"/>
                <w:sz w:val="20"/>
                <w:szCs w:val="20"/>
              </w:rPr>
              <w:t>43.6%</w:t>
            </w:r>
          </w:p>
        </w:tc>
        <w:tc>
          <w:tcPr>
            <w:tcW w:w="593" w:type="pct"/>
            <w:shd w:val="clear" w:color="auto" w:fill="FFFFFF"/>
          </w:tcPr>
          <w:p w14:paraId="3EA42FE4" w14:textId="77777777" w:rsidR="00433FD0" w:rsidRPr="00A604DD" w:rsidRDefault="00433FD0" w:rsidP="00733935">
            <w:pPr>
              <w:spacing w:before="0" w:line="276" w:lineRule="auto"/>
              <w:ind w:firstLine="0"/>
              <w:jc w:val="center"/>
              <w:rPr>
                <w:b w:val="0"/>
                <w:sz w:val="20"/>
                <w:szCs w:val="20"/>
              </w:rPr>
            </w:pPr>
            <w:r>
              <w:rPr>
                <w:b w:val="0"/>
                <w:sz w:val="20"/>
                <w:szCs w:val="20"/>
                <w:lang w:val="en-US"/>
              </w:rPr>
              <w:t>42</w:t>
            </w:r>
            <w:r>
              <w:rPr>
                <w:b w:val="0"/>
                <w:sz w:val="20"/>
                <w:szCs w:val="20"/>
              </w:rPr>
              <w:t>.</w:t>
            </w:r>
            <w:r>
              <w:rPr>
                <w:b w:val="0"/>
                <w:sz w:val="20"/>
                <w:szCs w:val="20"/>
                <w:lang w:val="en-US"/>
              </w:rPr>
              <w:t>5</w:t>
            </w:r>
            <w:r>
              <w:rPr>
                <w:b w:val="0"/>
                <w:sz w:val="20"/>
                <w:szCs w:val="20"/>
              </w:rPr>
              <w:t>%</w:t>
            </w:r>
          </w:p>
        </w:tc>
      </w:tr>
    </w:tbl>
    <w:p w14:paraId="6AC55FEE" w14:textId="77777777" w:rsidR="00433FD0" w:rsidRPr="00BB489E" w:rsidRDefault="00433FD0" w:rsidP="00433FD0">
      <w:pPr>
        <w:spacing w:before="0" w:line="276" w:lineRule="auto"/>
        <w:rPr>
          <w:rFonts w:cs="Arial"/>
          <w:b w:val="0"/>
          <w:lang w:val="hy-AM"/>
        </w:rPr>
      </w:pPr>
    </w:p>
    <w:p w14:paraId="30FE2952" w14:textId="77777777" w:rsidR="00433FD0" w:rsidRPr="00BB489E" w:rsidRDefault="00433FD0" w:rsidP="00433FD0">
      <w:pPr>
        <w:spacing w:before="0" w:line="276" w:lineRule="auto"/>
        <w:rPr>
          <w:rFonts w:cs="Arial"/>
          <w:b w:val="0"/>
          <w:lang w:val="hy-AM"/>
        </w:rPr>
      </w:pPr>
      <w:r w:rsidRPr="00BB489E">
        <w:rPr>
          <w:rFonts w:cs="Arial"/>
          <w:b w:val="0"/>
          <w:lang w:val="hy-AM"/>
        </w:rPr>
        <w:t>ՀՀ</w:t>
      </w:r>
      <w:r w:rsidRPr="00BB489E">
        <w:rPr>
          <w:b w:val="0"/>
          <w:lang w:val="af-ZA"/>
        </w:rPr>
        <w:t xml:space="preserve"> 20</w:t>
      </w:r>
      <w:r>
        <w:rPr>
          <w:b w:val="0"/>
          <w:lang w:val="af-ZA"/>
        </w:rPr>
        <w:t>18</w:t>
      </w:r>
      <w:r w:rsidRPr="00BB489E">
        <w:rPr>
          <w:b w:val="0"/>
          <w:lang w:val="af-ZA"/>
        </w:rPr>
        <w:t>-202</w:t>
      </w:r>
      <w:r>
        <w:rPr>
          <w:b w:val="0"/>
          <w:lang w:val="af-ZA"/>
        </w:rPr>
        <w:t>2</w:t>
      </w:r>
      <w:r w:rsidRPr="00BB489E">
        <w:rPr>
          <w:b w:val="0"/>
          <w:lang w:val="af-ZA"/>
        </w:rPr>
        <w:t xml:space="preserve"> </w:t>
      </w:r>
      <w:r w:rsidRPr="00BB489E">
        <w:rPr>
          <w:rFonts w:cs="Arial"/>
          <w:b w:val="0"/>
          <w:lang w:val="hy-AM"/>
        </w:rPr>
        <w:t>թվականների</w:t>
      </w:r>
      <w:r w:rsidRPr="00BB489E">
        <w:rPr>
          <w:b w:val="0"/>
          <w:lang w:val="af-ZA"/>
        </w:rPr>
        <w:t xml:space="preserve"> </w:t>
      </w:r>
      <w:r w:rsidRPr="00BB489E">
        <w:rPr>
          <w:rFonts w:cs="Arial"/>
          <w:b w:val="0"/>
          <w:lang w:val="hy-AM"/>
        </w:rPr>
        <w:t>պետական բյուջեի ծախսերն ըստ ոլորտների ունեն հետևյալ գրաֆիկական տեսքը.</w:t>
      </w:r>
    </w:p>
    <w:p w14:paraId="2183EC02" w14:textId="77777777" w:rsidR="00433FD0" w:rsidRPr="00BB489E" w:rsidRDefault="00433FD0" w:rsidP="00433FD0">
      <w:pPr>
        <w:spacing w:before="0" w:line="276" w:lineRule="auto"/>
        <w:rPr>
          <w:rFonts w:cs="Arial"/>
          <w:b w:val="0"/>
          <w:lang w:val="hy-AM"/>
        </w:rPr>
      </w:pPr>
      <w:r w:rsidRPr="0089559F">
        <w:rPr>
          <w:b w:val="0"/>
          <w:noProof/>
          <w:lang w:val="en-US" w:eastAsia="en-US"/>
        </w:rPr>
        <w:drawing>
          <wp:anchor distT="0" distB="0" distL="114300" distR="114300" simplePos="0" relativeHeight="251854848" behindDoc="0" locked="0" layoutInCell="1" allowOverlap="1" wp14:anchorId="7B6B0E99" wp14:editId="551BF8D8">
            <wp:simplePos x="0" y="0"/>
            <wp:positionH relativeFrom="column">
              <wp:posOffset>0</wp:posOffset>
            </wp:positionH>
            <wp:positionV relativeFrom="paragraph">
              <wp:posOffset>0</wp:posOffset>
            </wp:positionV>
            <wp:extent cx="6082665" cy="3307715"/>
            <wp:effectExtent l="0" t="0" r="13335" b="698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5D01CB90" w14:textId="77777777" w:rsidR="00433FD0" w:rsidRPr="00BB489E" w:rsidRDefault="00433FD0" w:rsidP="00433FD0">
      <w:pPr>
        <w:spacing w:before="0" w:line="276" w:lineRule="auto"/>
        <w:rPr>
          <w:rFonts w:cs="Arial"/>
          <w:b w:val="0"/>
          <w:lang w:val="hy-AM"/>
        </w:rPr>
      </w:pPr>
    </w:p>
    <w:p w14:paraId="28EB2E0D" w14:textId="77777777" w:rsidR="00433FD0" w:rsidRPr="00BB489E" w:rsidRDefault="00433FD0" w:rsidP="00433FD0">
      <w:pPr>
        <w:spacing w:before="0" w:line="276" w:lineRule="auto"/>
        <w:rPr>
          <w:rFonts w:cs="Arial"/>
          <w:b w:val="0"/>
          <w:lang w:val="hy-AM"/>
        </w:rPr>
      </w:pPr>
    </w:p>
    <w:p w14:paraId="61528149" w14:textId="77777777" w:rsidR="00433FD0" w:rsidRPr="00BB489E" w:rsidRDefault="00433FD0" w:rsidP="00433FD0">
      <w:pPr>
        <w:spacing w:before="0" w:line="276" w:lineRule="auto"/>
        <w:rPr>
          <w:rFonts w:cs="Arial"/>
          <w:b w:val="0"/>
          <w:lang w:val="hy-AM"/>
        </w:rPr>
      </w:pPr>
    </w:p>
    <w:p w14:paraId="3536C22F" w14:textId="77777777" w:rsidR="00433FD0" w:rsidRPr="00BB489E" w:rsidRDefault="00433FD0" w:rsidP="00433FD0">
      <w:pPr>
        <w:spacing w:before="0" w:line="276" w:lineRule="auto"/>
        <w:rPr>
          <w:rFonts w:cs="Arial"/>
          <w:b w:val="0"/>
          <w:color w:val="FF0000"/>
          <w:lang w:val="hy-AM"/>
        </w:rPr>
      </w:pPr>
    </w:p>
    <w:p w14:paraId="10C457CC" w14:textId="77777777" w:rsidR="00433FD0" w:rsidRPr="00BB489E" w:rsidRDefault="00433FD0" w:rsidP="00433FD0">
      <w:pPr>
        <w:spacing w:before="0" w:line="276" w:lineRule="auto"/>
        <w:rPr>
          <w:rFonts w:cs="Arial"/>
          <w:color w:val="FF0000"/>
          <w:lang w:val="hy-AM"/>
        </w:rPr>
      </w:pPr>
    </w:p>
    <w:p w14:paraId="5768F4F7" w14:textId="77777777" w:rsidR="00433FD0" w:rsidRPr="00BB489E" w:rsidRDefault="00433FD0" w:rsidP="00433FD0">
      <w:pPr>
        <w:spacing w:before="0" w:line="276" w:lineRule="auto"/>
        <w:rPr>
          <w:rFonts w:cs="Arial"/>
          <w:color w:val="FF0000"/>
          <w:lang w:val="hy-AM"/>
        </w:rPr>
      </w:pPr>
    </w:p>
    <w:p w14:paraId="708A88FC" w14:textId="77777777" w:rsidR="00433FD0" w:rsidRPr="00BB489E" w:rsidRDefault="00433FD0" w:rsidP="00433FD0">
      <w:pPr>
        <w:spacing w:before="0" w:line="276" w:lineRule="auto"/>
        <w:rPr>
          <w:rFonts w:ascii="Cambria Math" w:hAnsi="Cambria Math"/>
          <w:color w:val="FF0000"/>
          <w:lang w:val="hy-AM"/>
        </w:rPr>
      </w:pPr>
    </w:p>
    <w:p w14:paraId="0DB622E9" w14:textId="77777777" w:rsidR="00433FD0" w:rsidRPr="00BB489E" w:rsidRDefault="00433FD0" w:rsidP="00433FD0">
      <w:pPr>
        <w:spacing w:before="0" w:line="276" w:lineRule="auto"/>
        <w:ind w:firstLine="720"/>
        <w:jc w:val="left"/>
        <w:rPr>
          <w:lang w:val="hy-AM"/>
        </w:rPr>
      </w:pPr>
    </w:p>
    <w:p w14:paraId="1F6605C2" w14:textId="77777777" w:rsidR="00433FD0" w:rsidRPr="00BB489E" w:rsidRDefault="00433FD0" w:rsidP="00433FD0">
      <w:pPr>
        <w:spacing w:before="0" w:line="276" w:lineRule="auto"/>
        <w:ind w:firstLine="720"/>
        <w:rPr>
          <w:lang w:val="hy-AM"/>
        </w:rPr>
      </w:pPr>
    </w:p>
    <w:p w14:paraId="27F7B766" w14:textId="77777777" w:rsidR="00433FD0" w:rsidRPr="00BB489E" w:rsidRDefault="00433FD0" w:rsidP="00433FD0">
      <w:pPr>
        <w:spacing w:before="0" w:line="276" w:lineRule="auto"/>
        <w:ind w:firstLine="720"/>
        <w:rPr>
          <w:lang w:val="hy-AM"/>
        </w:rPr>
      </w:pPr>
    </w:p>
    <w:p w14:paraId="65438850" w14:textId="77777777" w:rsidR="00433FD0" w:rsidRPr="00BB489E" w:rsidRDefault="00433FD0" w:rsidP="00433FD0">
      <w:pPr>
        <w:spacing w:before="0" w:line="276" w:lineRule="auto"/>
        <w:ind w:firstLine="720"/>
        <w:rPr>
          <w:lang w:val="hy-AM"/>
        </w:rPr>
      </w:pPr>
    </w:p>
    <w:p w14:paraId="6AD1511B" w14:textId="77777777" w:rsidR="00433FD0" w:rsidRPr="00BB489E" w:rsidRDefault="00433FD0" w:rsidP="00433FD0">
      <w:pPr>
        <w:spacing w:before="0" w:line="276" w:lineRule="auto"/>
        <w:ind w:firstLine="720"/>
        <w:rPr>
          <w:lang w:val="hy-AM"/>
        </w:rPr>
      </w:pPr>
    </w:p>
    <w:p w14:paraId="7B217629" w14:textId="77777777" w:rsidR="00433FD0" w:rsidRDefault="00433FD0" w:rsidP="00433FD0">
      <w:pPr>
        <w:spacing w:before="0" w:line="276" w:lineRule="auto"/>
        <w:ind w:firstLine="600"/>
        <w:rPr>
          <w:b w:val="0"/>
          <w:lang w:val="hy-AM"/>
        </w:rPr>
      </w:pPr>
      <w:r w:rsidRPr="00BB489E">
        <w:rPr>
          <w:b w:val="0"/>
          <w:lang w:val="hy-AM"/>
        </w:rPr>
        <w:t>201</w:t>
      </w:r>
      <w:r w:rsidRPr="002F284A">
        <w:rPr>
          <w:b w:val="0"/>
          <w:lang w:val="hy-AM"/>
        </w:rPr>
        <w:t>8</w:t>
      </w:r>
      <w:r w:rsidRPr="00BB489E">
        <w:rPr>
          <w:b w:val="0"/>
          <w:lang w:val="hy-AM"/>
        </w:rPr>
        <w:t>-202</w:t>
      </w:r>
      <w:r>
        <w:rPr>
          <w:b w:val="0"/>
          <w:lang w:val="hy-AM"/>
        </w:rPr>
        <w:t>2</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պետական բյուջեի ընդամենը ծախսերում գերակայել են սոցիալական բնույթի ծախսերը (կրթություն, սոցիալական պաշտպանություն, առողջապահություն և այլն) միջինում 4</w:t>
      </w:r>
      <w:r w:rsidRPr="000F6E7B">
        <w:rPr>
          <w:b w:val="0"/>
          <w:lang w:val="hy-AM"/>
        </w:rPr>
        <w:t>4</w:t>
      </w:r>
      <w:r w:rsidRPr="00BB489E">
        <w:rPr>
          <w:b w:val="0"/>
          <w:lang w:val="hy-AM"/>
        </w:rPr>
        <w:t xml:space="preserve">%, պաշտպանության, հասարակական կարգի,  անվտանգության և դատական գործունեությանն՝ միջինում </w:t>
      </w:r>
      <w:r w:rsidRPr="00BA3AAA">
        <w:rPr>
          <w:b w:val="0"/>
          <w:lang w:val="hy-AM"/>
        </w:rPr>
        <w:t>26</w:t>
      </w:r>
      <w:r w:rsidRPr="00BB489E">
        <w:rPr>
          <w:b w:val="0"/>
          <w:lang w:val="hy-AM"/>
        </w:rPr>
        <w:t>%, ընդհանուր բնույթի հանրային ծառայությունների</w:t>
      </w:r>
      <w:r w:rsidRPr="00125424">
        <w:rPr>
          <w:b w:val="0"/>
          <w:lang w:val="hy-AM"/>
        </w:rPr>
        <w:t>,</w:t>
      </w:r>
      <w:r>
        <w:rPr>
          <w:b w:val="0"/>
          <w:lang w:val="hy-AM"/>
        </w:rPr>
        <w:t>այդ թվում հիմնական բաժիններին չդասվող պահուստային ֆոնդերի</w:t>
      </w:r>
      <w:r w:rsidRPr="00BB489E">
        <w:rPr>
          <w:b w:val="0"/>
          <w:lang w:val="hy-AM"/>
        </w:rPr>
        <w:t>՝ միջինում 2</w:t>
      </w:r>
      <w:r w:rsidRPr="00BA3AAA">
        <w:rPr>
          <w:b w:val="0"/>
          <w:lang w:val="hy-AM"/>
        </w:rPr>
        <w:t>1</w:t>
      </w:r>
      <w:r w:rsidRPr="00BB489E">
        <w:rPr>
          <w:b w:val="0"/>
          <w:lang w:val="hy-AM"/>
        </w:rPr>
        <w:t xml:space="preserve">%, տնտեսական ոլորտի՝ միջինում </w:t>
      </w:r>
      <w:r w:rsidRPr="00BA3AAA">
        <w:rPr>
          <w:b w:val="0"/>
          <w:lang w:val="hy-AM"/>
        </w:rPr>
        <w:t>9</w:t>
      </w:r>
      <w:r w:rsidRPr="00BB489E">
        <w:rPr>
          <w:b w:val="0"/>
          <w:lang w:val="hy-AM"/>
        </w:rPr>
        <w:t>% ֆինանսավորումը։ Այս միտումը կշանունակվի նաև 202</w:t>
      </w:r>
      <w:r w:rsidRPr="00C818F4">
        <w:rPr>
          <w:b w:val="0"/>
          <w:lang w:val="hy-AM"/>
        </w:rPr>
        <w:t>2</w:t>
      </w:r>
      <w:r w:rsidRPr="00BB489E">
        <w:rPr>
          <w:b w:val="0"/>
          <w:lang w:val="hy-AM"/>
        </w:rPr>
        <w:t xml:space="preserve"> թվականին։</w:t>
      </w:r>
      <w:r>
        <w:rPr>
          <w:b w:val="0"/>
          <w:lang w:val="hy-AM"/>
        </w:rPr>
        <w:t xml:space="preserve"> </w:t>
      </w:r>
    </w:p>
    <w:p w14:paraId="4DBEFEC0" w14:textId="77777777" w:rsidR="00433FD0" w:rsidRDefault="00433FD0" w:rsidP="00433FD0">
      <w:pPr>
        <w:spacing w:before="0" w:line="276" w:lineRule="auto"/>
        <w:ind w:firstLine="600"/>
        <w:rPr>
          <w:b w:val="0"/>
          <w:lang w:val="hy-AM"/>
        </w:rPr>
      </w:pPr>
      <w:r>
        <w:rPr>
          <w:b w:val="0"/>
          <w:lang w:val="hy-AM"/>
        </w:rPr>
        <w:t xml:space="preserve">2022թ. ընդհանուր բնույթի  հանրային ծառայությունների և պահուստային ֆոնդերի ոլորտին ուղղվելիք միջոցները նախատեսվել են շուրջ </w:t>
      </w:r>
      <w:r w:rsidRPr="006E2904">
        <w:rPr>
          <w:b w:val="0"/>
          <w:lang w:val="hy-AM"/>
        </w:rPr>
        <w:t>9</w:t>
      </w:r>
      <w:r w:rsidRPr="0065655B">
        <w:rPr>
          <w:b w:val="0"/>
          <w:lang w:val="hy-AM"/>
        </w:rPr>
        <w:t>9</w:t>
      </w:r>
      <w:r>
        <w:rPr>
          <w:b w:val="0"/>
          <w:lang w:val="hy-AM"/>
        </w:rPr>
        <w:t>,</w:t>
      </w:r>
      <w:r w:rsidRPr="0065655B">
        <w:rPr>
          <w:b w:val="0"/>
          <w:lang w:val="hy-AM"/>
        </w:rPr>
        <w:t>938</w:t>
      </w:r>
      <w:r>
        <w:rPr>
          <w:b w:val="0"/>
          <w:lang w:val="hy-AM"/>
        </w:rPr>
        <w:t>.4 մլն. դրամով ավել՝ համեմատած 2021 թվականի հետ: Ոլորտին ուղղվելիք հատկացումների աճը հիմնականում պայմանավորված է հիմնական բաժիններին չդասվող պահուստային ֆոնդերի՝ 2021 թվականի համեմատ շուրջ 6</w:t>
      </w:r>
      <w:r w:rsidRPr="006E2904">
        <w:rPr>
          <w:b w:val="0"/>
          <w:lang w:val="hy-AM"/>
        </w:rPr>
        <w:t>4</w:t>
      </w:r>
      <w:r>
        <w:rPr>
          <w:b w:val="0"/>
          <w:lang w:val="hy-AM"/>
        </w:rPr>
        <w:t>,</w:t>
      </w:r>
      <w:r w:rsidRPr="006E2904">
        <w:rPr>
          <w:b w:val="0"/>
          <w:lang w:val="hy-AM"/>
        </w:rPr>
        <w:t>740</w:t>
      </w:r>
      <w:r>
        <w:rPr>
          <w:b w:val="0"/>
          <w:lang w:val="hy-AM"/>
        </w:rPr>
        <w:t>.</w:t>
      </w:r>
      <w:r w:rsidRPr="006E2904">
        <w:rPr>
          <w:b w:val="0"/>
          <w:lang w:val="hy-AM"/>
        </w:rPr>
        <w:t>3</w:t>
      </w:r>
      <w:r>
        <w:rPr>
          <w:b w:val="0"/>
          <w:lang w:val="hy-AM"/>
        </w:rPr>
        <w:t xml:space="preserve"> մլն դրամ հավելյալ ֆինանսավորմամբ: </w:t>
      </w:r>
    </w:p>
    <w:p w14:paraId="333FEF55" w14:textId="77777777" w:rsidR="00433FD0" w:rsidRDefault="00433FD0" w:rsidP="00433FD0">
      <w:pPr>
        <w:spacing w:before="0" w:line="276" w:lineRule="auto"/>
        <w:ind w:firstLine="600"/>
        <w:rPr>
          <w:b w:val="0"/>
          <w:lang w:val="hy-AM"/>
        </w:rPr>
      </w:pPr>
      <w:r>
        <w:rPr>
          <w:b w:val="0"/>
          <w:lang w:val="hy-AM"/>
        </w:rPr>
        <w:t xml:space="preserve">2022թ. պետական բյուջեի նախագծով նախատեսվում է նաև </w:t>
      </w:r>
      <w:r w:rsidRPr="003C5193">
        <w:rPr>
          <w:b w:val="0"/>
          <w:lang w:val="hy-AM"/>
        </w:rPr>
        <w:t>պաշտպանությ</w:t>
      </w:r>
      <w:r>
        <w:rPr>
          <w:b w:val="0"/>
          <w:lang w:val="hy-AM"/>
        </w:rPr>
        <w:t>ա</w:t>
      </w:r>
      <w:r w:rsidRPr="003C5193">
        <w:rPr>
          <w:b w:val="0"/>
          <w:lang w:val="hy-AM"/>
        </w:rPr>
        <w:t>ն, հասարակական կարգ</w:t>
      </w:r>
      <w:r>
        <w:rPr>
          <w:b w:val="0"/>
          <w:lang w:val="hy-AM"/>
        </w:rPr>
        <w:t>ի</w:t>
      </w:r>
      <w:r w:rsidRPr="003C5193">
        <w:rPr>
          <w:b w:val="0"/>
          <w:lang w:val="hy-AM"/>
        </w:rPr>
        <w:t>, անվտանգությ</w:t>
      </w:r>
      <w:r>
        <w:rPr>
          <w:b w:val="0"/>
          <w:lang w:val="hy-AM"/>
        </w:rPr>
        <w:t>ա</w:t>
      </w:r>
      <w:r w:rsidRPr="003C5193">
        <w:rPr>
          <w:b w:val="0"/>
          <w:lang w:val="hy-AM"/>
        </w:rPr>
        <w:t xml:space="preserve">ն </w:t>
      </w:r>
      <w:r>
        <w:rPr>
          <w:b w:val="0"/>
          <w:lang w:val="hy-AM"/>
        </w:rPr>
        <w:t>և</w:t>
      </w:r>
      <w:r w:rsidRPr="003C5193">
        <w:rPr>
          <w:b w:val="0"/>
          <w:lang w:val="hy-AM"/>
        </w:rPr>
        <w:t xml:space="preserve"> դատական գործունեությ</w:t>
      </w:r>
      <w:r>
        <w:rPr>
          <w:b w:val="0"/>
          <w:lang w:val="hy-AM"/>
        </w:rPr>
        <w:t>ա</w:t>
      </w:r>
      <w:r w:rsidRPr="003C5193">
        <w:rPr>
          <w:b w:val="0"/>
          <w:lang w:val="hy-AM"/>
        </w:rPr>
        <w:t>ն</w:t>
      </w:r>
      <w:r>
        <w:rPr>
          <w:b w:val="0"/>
          <w:lang w:val="hy-AM"/>
        </w:rPr>
        <w:t xml:space="preserve"> ոլորտին հատկացվելիք միջոցների աճ՝ 2021 թվականի համեմատ շուրջ 50,049.1 մլն դրամի չափով, որը հիմնականում ուղղվելու է ռազմական պաշտպանության, հասարակական կարգի և անվտանգության, ազգային անվտանգության,</w:t>
      </w:r>
      <w:r w:rsidRPr="00780FA0">
        <w:rPr>
          <w:lang w:val="hy-AM"/>
        </w:rPr>
        <w:t xml:space="preserve"> </w:t>
      </w:r>
      <w:r>
        <w:rPr>
          <w:b w:val="0"/>
          <w:lang w:val="hy-AM"/>
        </w:rPr>
        <w:t>դ</w:t>
      </w:r>
      <w:r w:rsidRPr="00780FA0">
        <w:rPr>
          <w:b w:val="0"/>
          <w:lang w:val="hy-AM"/>
        </w:rPr>
        <w:t>ատական գործունե</w:t>
      </w:r>
      <w:r>
        <w:rPr>
          <w:b w:val="0"/>
          <w:lang w:val="hy-AM"/>
        </w:rPr>
        <w:t>ություն և իրավական պաշտպանությա</w:t>
      </w:r>
      <w:r w:rsidRPr="00780FA0">
        <w:rPr>
          <w:b w:val="0"/>
          <w:lang w:val="hy-AM"/>
        </w:rPr>
        <w:t>ն</w:t>
      </w:r>
      <w:r>
        <w:rPr>
          <w:b w:val="0"/>
          <w:lang w:val="hy-AM"/>
        </w:rPr>
        <w:t xml:space="preserve"> ապահովմանը:</w:t>
      </w:r>
    </w:p>
    <w:p w14:paraId="36CD52B7" w14:textId="77777777" w:rsidR="00433FD0" w:rsidRPr="00C23AFB" w:rsidRDefault="00433FD0" w:rsidP="00433FD0">
      <w:pPr>
        <w:spacing w:before="0" w:line="276" w:lineRule="auto"/>
        <w:ind w:firstLine="562"/>
        <w:rPr>
          <w:b w:val="0"/>
          <w:lang w:val="hy-AM"/>
        </w:rPr>
      </w:pPr>
      <w:r w:rsidRPr="00BB489E">
        <w:rPr>
          <w:b w:val="0"/>
          <w:lang w:val="hy-AM"/>
        </w:rPr>
        <w:t>202</w:t>
      </w:r>
      <w:r w:rsidRPr="00755469">
        <w:rPr>
          <w:b w:val="0"/>
          <w:lang w:val="hy-AM"/>
        </w:rPr>
        <w:t>2</w:t>
      </w:r>
      <w:r w:rsidRPr="00BB489E">
        <w:rPr>
          <w:b w:val="0"/>
          <w:lang w:val="hy-AM"/>
        </w:rPr>
        <w:t xml:space="preserve"> թվականի</w:t>
      </w:r>
      <w:r>
        <w:rPr>
          <w:b w:val="0"/>
          <w:lang w:val="hy-AM"/>
        </w:rPr>
        <w:t>ն, ինչպես և 2021 թվականին,</w:t>
      </w:r>
      <w:r w:rsidRPr="00BB489E">
        <w:rPr>
          <w:b w:val="0"/>
          <w:lang w:val="hy-AM"/>
        </w:rPr>
        <w:t xml:space="preserve"> տնտեսության ճյուղերի պետական ֆինանսավորումը նպատակաուղղված </w:t>
      </w:r>
      <w:r w:rsidRPr="000211C0">
        <w:rPr>
          <w:b w:val="0"/>
          <w:lang w:val="hy-AM"/>
        </w:rPr>
        <w:t>է</w:t>
      </w:r>
      <w:r w:rsidRPr="00BB489E">
        <w:rPr>
          <w:b w:val="0"/>
          <w:lang w:val="hy-AM"/>
        </w:rPr>
        <w:t xml:space="preserve"> լինելու ենթակառուցվածքների, տնտեսության իրական հատվածի, բարձր տեխնոլոգիական արդյունաբերական, ինչպես նաև բնապահպանական բարձր չափանիշներին համապատասխանող՝ արտահանմանը միտված մրցունակ և ներառական տնտեսության կառուցմանն ուղղված ծրագրերի իրականացմանը։</w:t>
      </w:r>
      <w:r>
        <w:rPr>
          <w:b w:val="0"/>
          <w:lang w:val="hy-AM"/>
        </w:rPr>
        <w:t xml:space="preserve"> 2022 թվականին տնտեսության ոլորտի հատկացումներն ուղղվելու են </w:t>
      </w:r>
      <w:r w:rsidRPr="00C23AFB">
        <w:rPr>
          <w:b w:val="0"/>
          <w:lang w:val="hy-AM"/>
        </w:rPr>
        <w:t>ՀՀ կ</w:t>
      </w:r>
      <w:r>
        <w:rPr>
          <w:b w:val="0"/>
          <w:lang w:val="hy-AM"/>
        </w:rPr>
        <w:t xml:space="preserve">առավարության 2021-2026թթ. ծրագրով սահմանված տնտեսության մրցունակության և արտադրողականության աճի, </w:t>
      </w:r>
      <w:r w:rsidRPr="0069070B">
        <w:rPr>
          <w:b w:val="0"/>
          <w:lang w:val="hy-AM"/>
        </w:rPr>
        <w:t>տնտեսական հնարավորությունների ընդլայն</w:t>
      </w:r>
      <w:r>
        <w:rPr>
          <w:b w:val="0"/>
          <w:lang w:val="hy-AM"/>
        </w:rPr>
        <w:t>ման</w:t>
      </w:r>
      <w:r w:rsidRPr="0069070B">
        <w:rPr>
          <w:b w:val="0"/>
          <w:lang w:val="hy-AM"/>
        </w:rPr>
        <w:t xml:space="preserve"> և դրանց հավասար հասանելիության </w:t>
      </w:r>
      <w:r>
        <w:rPr>
          <w:b w:val="0"/>
          <w:lang w:val="hy-AM"/>
        </w:rPr>
        <w:t>ապահովմանը:</w:t>
      </w:r>
    </w:p>
    <w:p w14:paraId="3E0069E9" w14:textId="77777777" w:rsidR="00433FD0" w:rsidRDefault="00433FD0" w:rsidP="00433FD0">
      <w:pPr>
        <w:spacing w:before="0"/>
        <w:rPr>
          <w:b w:val="0"/>
          <w:bCs/>
          <w:color w:val="4F81BD" w:themeColor="accent1"/>
          <w:sz w:val="18"/>
          <w:szCs w:val="18"/>
          <w:lang w:val="hy-AM"/>
        </w:rPr>
      </w:pPr>
    </w:p>
    <w:p w14:paraId="30EBDE18" w14:textId="248A3D50" w:rsidR="00433FD0" w:rsidRPr="00BB489E" w:rsidRDefault="003F382C" w:rsidP="003F382C">
      <w:pPr>
        <w:pStyle w:val="Caption"/>
        <w:rPr>
          <w:b/>
          <w:bCs w:val="0"/>
          <w:i/>
          <w:sz w:val="20"/>
          <w:szCs w:val="20"/>
          <w:lang w:val="hy-AM"/>
        </w:rPr>
      </w:pPr>
      <w:bookmarkStart w:id="254" w:name="_Toc83728703"/>
      <w:bookmarkStart w:id="255" w:name="_Toc83928951"/>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14</w:t>
      </w:r>
      <w:r>
        <w:fldChar w:fldCharType="end"/>
      </w:r>
      <w:r w:rsidR="00433FD0" w:rsidRPr="008150A1">
        <w:rPr>
          <w:rFonts w:ascii="Cambria Math" w:hAnsi="Cambria Math" w:cs="Cambria Math"/>
          <w:lang w:val="hy-AM"/>
        </w:rPr>
        <w:t>․</w:t>
      </w:r>
      <w:r w:rsidR="00433FD0" w:rsidRPr="00BB489E">
        <w:rPr>
          <w:rFonts w:ascii="Cambria Math" w:hAnsi="Cambria Math"/>
          <w:lang w:val="hy-AM"/>
        </w:rPr>
        <w:t xml:space="preserve"> </w:t>
      </w:r>
      <w:r w:rsidR="00433FD0" w:rsidRPr="00BB489E">
        <w:rPr>
          <w:rFonts w:cs="Arial"/>
          <w:i/>
          <w:sz w:val="20"/>
          <w:szCs w:val="20"/>
          <w:lang w:val="hy-AM"/>
        </w:rPr>
        <w:t>Տնտեսական ոլորտի</w:t>
      </w:r>
      <w:r w:rsidR="00433FD0" w:rsidRPr="00BB489E">
        <w:rPr>
          <w:i/>
          <w:sz w:val="20"/>
          <w:szCs w:val="20"/>
          <w:lang w:val="hy-AM"/>
        </w:rPr>
        <w:t xml:space="preserve"> 20</w:t>
      </w:r>
      <w:r w:rsidR="00433FD0" w:rsidRPr="00E04372">
        <w:rPr>
          <w:i/>
          <w:sz w:val="20"/>
          <w:szCs w:val="20"/>
          <w:lang w:val="hy-AM"/>
        </w:rPr>
        <w:t>18</w:t>
      </w:r>
      <w:r w:rsidR="00433FD0" w:rsidRPr="00BB489E">
        <w:rPr>
          <w:i/>
          <w:sz w:val="20"/>
          <w:szCs w:val="20"/>
          <w:lang w:val="hy-AM"/>
        </w:rPr>
        <w:t>-202</w:t>
      </w:r>
      <w:r w:rsidR="00433FD0" w:rsidRPr="00E04372">
        <w:rPr>
          <w:i/>
          <w:sz w:val="20"/>
          <w:szCs w:val="20"/>
          <w:lang w:val="hy-AM"/>
        </w:rPr>
        <w:t>2</w:t>
      </w:r>
      <w:r w:rsidR="00433FD0" w:rsidRPr="00BB489E">
        <w:rPr>
          <w:rFonts w:cs="Arial"/>
          <w:i/>
          <w:sz w:val="20"/>
          <w:szCs w:val="20"/>
          <w:lang w:val="hy-AM"/>
        </w:rPr>
        <w:t>թթ</w:t>
      </w:r>
      <w:r w:rsidR="00433FD0">
        <w:rPr>
          <w:rFonts w:ascii="Cambria Math" w:hAnsi="Cambria Math" w:cs="Arial"/>
          <w:i/>
          <w:sz w:val="20"/>
          <w:szCs w:val="20"/>
          <w:lang w:val="hy-AM"/>
        </w:rPr>
        <w:t>․</w:t>
      </w:r>
      <w:r w:rsidR="00433FD0" w:rsidRPr="00BB489E">
        <w:rPr>
          <w:i/>
          <w:sz w:val="20"/>
          <w:szCs w:val="20"/>
          <w:lang w:val="hy-AM"/>
        </w:rPr>
        <w:t xml:space="preserve"> </w:t>
      </w:r>
      <w:r w:rsidR="00433FD0" w:rsidRPr="00BB489E">
        <w:rPr>
          <w:rFonts w:cs="Arial"/>
          <w:i/>
          <w:sz w:val="20"/>
          <w:szCs w:val="20"/>
          <w:lang w:val="hy-AM"/>
        </w:rPr>
        <w:t>բյուջետային</w:t>
      </w:r>
      <w:r w:rsidR="00433FD0" w:rsidRPr="00BB489E">
        <w:rPr>
          <w:i/>
          <w:sz w:val="20"/>
          <w:szCs w:val="20"/>
          <w:lang w:val="hy-AM"/>
        </w:rPr>
        <w:t xml:space="preserve"> </w:t>
      </w:r>
      <w:r w:rsidR="00433FD0" w:rsidRPr="00BB489E">
        <w:rPr>
          <w:rFonts w:cs="Arial"/>
          <w:i/>
          <w:sz w:val="20"/>
          <w:szCs w:val="20"/>
          <w:lang w:val="hy-AM"/>
        </w:rPr>
        <w:t>ծախսերը</w:t>
      </w:r>
      <w:r w:rsidR="00433FD0" w:rsidRPr="00BB489E">
        <w:rPr>
          <w:i/>
          <w:sz w:val="20"/>
          <w:szCs w:val="20"/>
          <w:lang w:val="hy-AM"/>
        </w:rPr>
        <w:t xml:space="preserve"> (</w:t>
      </w:r>
      <w:r w:rsidR="00433FD0" w:rsidRPr="00BB489E">
        <w:rPr>
          <w:rFonts w:cs="Arial"/>
          <w:i/>
          <w:sz w:val="20"/>
          <w:szCs w:val="20"/>
          <w:lang w:val="hy-AM"/>
        </w:rPr>
        <w:t>մլն</w:t>
      </w:r>
      <w:r w:rsidR="00433FD0" w:rsidRPr="00BB489E">
        <w:rPr>
          <w:i/>
          <w:sz w:val="20"/>
          <w:szCs w:val="20"/>
          <w:lang w:val="hy-AM"/>
        </w:rPr>
        <w:t xml:space="preserve"> </w:t>
      </w:r>
      <w:r w:rsidR="00433FD0" w:rsidRPr="00BB489E">
        <w:rPr>
          <w:rFonts w:cs="Arial"/>
          <w:i/>
          <w:sz w:val="20"/>
          <w:szCs w:val="20"/>
          <w:lang w:val="hy-AM"/>
        </w:rPr>
        <w:t>դրամ</w:t>
      </w:r>
      <w:r w:rsidR="00433FD0" w:rsidRPr="00BB489E">
        <w:rPr>
          <w:i/>
          <w:sz w:val="20"/>
          <w:szCs w:val="20"/>
          <w:lang w:val="hy-AM"/>
        </w:rPr>
        <w:t>)</w:t>
      </w:r>
      <w:bookmarkEnd w:id="254"/>
      <w:bookmarkEnd w:id="255"/>
    </w:p>
    <w:tbl>
      <w:tblPr>
        <w:tblW w:w="5234" w:type="pct"/>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531"/>
        <w:gridCol w:w="1330"/>
        <w:gridCol w:w="1183"/>
        <w:gridCol w:w="1236"/>
        <w:gridCol w:w="1423"/>
        <w:gridCol w:w="1478"/>
      </w:tblGrid>
      <w:tr w:rsidR="00433FD0" w:rsidRPr="00BB489E" w14:paraId="785CCA23" w14:textId="77777777" w:rsidTr="00733935">
        <w:trPr>
          <w:trHeight w:val="20"/>
          <w:tblHeader/>
        </w:trPr>
        <w:tc>
          <w:tcPr>
            <w:tcW w:w="1734" w:type="pct"/>
            <w:tcBorders>
              <w:top w:val="double" w:sz="4" w:space="0" w:color="auto"/>
              <w:left w:val="double" w:sz="4"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14:paraId="63B41F60" w14:textId="77777777" w:rsidR="00433FD0" w:rsidRPr="00BB489E" w:rsidRDefault="00433FD0" w:rsidP="00733935">
            <w:pPr>
              <w:spacing w:before="0" w:line="276" w:lineRule="auto"/>
              <w:jc w:val="center"/>
              <w:rPr>
                <w:rFonts w:cs="Arial"/>
                <w:b w:val="0"/>
                <w:color w:val="FFFFFF" w:themeColor="background1"/>
                <w:sz w:val="20"/>
                <w:szCs w:val="20"/>
                <w:lang w:val="hy-AM"/>
              </w:rPr>
            </w:pPr>
            <w:r w:rsidRPr="00BB489E">
              <w:rPr>
                <w:rFonts w:cs="Arial"/>
                <w:b w:val="0"/>
                <w:color w:val="FFFFFF" w:themeColor="background1"/>
                <w:sz w:val="20"/>
                <w:szCs w:val="20"/>
                <w:lang w:val="hy-AM"/>
              </w:rPr>
              <w:t>Ցուցանիշներ</w:t>
            </w:r>
          </w:p>
        </w:tc>
        <w:tc>
          <w:tcPr>
            <w:tcW w:w="653"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14:paraId="10248BDB"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2018թ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581"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14:paraId="65160C33"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2019թ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07" w:type="pct"/>
            <w:tcBorders>
              <w:top w:val="double" w:sz="4" w:space="0" w:color="auto"/>
              <w:left w:val="single" w:sz="8" w:space="0" w:color="auto"/>
              <w:bottom w:val="single" w:sz="8" w:space="0" w:color="auto"/>
              <w:right w:val="single" w:sz="8" w:space="0" w:color="auto"/>
            </w:tcBorders>
            <w:shd w:val="clear" w:color="auto" w:fill="4F81BD" w:themeFill="accent1"/>
            <w:vAlign w:val="center"/>
            <w:hideMark/>
          </w:tcPr>
          <w:p w14:paraId="19DEF0D9" w14:textId="77777777" w:rsidR="00433FD0" w:rsidRDefault="00433FD0" w:rsidP="00733935">
            <w:pPr>
              <w:spacing w:before="0" w:line="276" w:lineRule="auto"/>
              <w:ind w:firstLine="0"/>
              <w:jc w:val="center"/>
              <w:rPr>
                <w:rFonts w:ascii="MS Gothic" w:eastAsia="MS Gothic" w:hAnsi="MS Gothic" w:cs="MS Gothic"/>
                <w:b w:val="0"/>
                <w:color w:val="FFFFFF" w:themeColor="background1"/>
                <w:sz w:val="20"/>
                <w:szCs w:val="20"/>
              </w:rPr>
            </w:pPr>
            <w:r w:rsidRPr="00BB489E">
              <w:rPr>
                <w:rFonts w:cs="Arial"/>
                <w:b w:val="0"/>
                <w:color w:val="FFFFFF" w:themeColor="background1"/>
                <w:sz w:val="20"/>
                <w:szCs w:val="20"/>
                <w:lang w:val="hy-AM"/>
              </w:rPr>
              <w:t>2020թ</w:t>
            </w:r>
            <w:r w:rsidRPr="00BB489E">
              <w:rPr>
                <w:rFonts w:ascii="MS Gothic" w:eastAsia="MS Gothic" w:hAnsi="MS Gothic" w:cs="MS Gothic" w:hint="eastAsia"/>
                <w:b w:val="0"/>
                <w:color w:val="FFFFFF" w:themeColor="background1"/>
                <w:sz w:val="20"/>
                <w:szCs w:val="20"/>
                <w:lang w:val="hy-AM"/>
              </w:rPr>
              <w:t>․</w:t>
            </w:r>
          </w:p>
          <w:p w14:paraId="18CA7306" w14:textId="77777777" w:rsidR="00433FD0" w:rsidRPr="00284569" w:rsidRDefault="00433FD0" w:rsidP="00733935">
            <w:pPr>
              <w:spacing w:before="0" w:line="276" w:lineRule="auto"/>
              <w:ind w:firstLine="0"/>
              <w:jc w:val="center"/>
              <w:rPr>
                <w:rFonts w:cs="Arial"/>
                <w:b w:val="0"/>
                <w:color w:val="FFFFFF" w:themeColor="background1"/>
                <w:sz w:val="20"/>
                <w:szCs w:val="20"/>
                <w:lang w:val="hy-AM"/>
              </w:rPr>
            </w:pPr>
            <w:r>
              <w:rPr>
                <w:rFonts w:cs="Arial"/>
                <w:b w:val="0"/>
                <w:color w:val="FFFFFF" w:themeColor="background1"/>
                <w:sz w:val="20"/>
                <w:szCs w:val="20"/>
                <w:lang w:val="hy-AM"/>
              </w:rPr>
              <w:t>փաստացի</w:t>
            </w:r>
          </w:p>
        </w:tc>
        <w:tc>
          <w:tcPr>
            <w:tcW w:w="699" w:type="pct"/>
            <w:tcBorders>
              <w:top w:val="double" w:sz="4" w:space="0" w:color="auto"/>
              <w:left w:val="single" w:sz="8" w:space="0" w:color="auto"/>
              <w:bottom w:val="single" w:sz="8" w:space="0" w:color="auto"/>
              <w:right w:val="double" w:sz="4" w:space="0" w:color="auto"/>
            </w:tcBorders>
            <w:shd w:val="clear" w:color="auto" w:fill="4F81BD" w:themeFill="accent1"/>
            <w:vAlign w:val="center"/>
            <w:hideMark/>
          </w:tcPr>
          <w:p w14:paraId="29AB7DE1"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2021թ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w:t>
            </w:r>
            <w:r>
              <w:rPr>
                <w:rFonts w:cs="Arial"/>
                <w:b w:val="0"/>
                <w:color w:val="FFFFFF" w:themeColor="background1"/>
                <w:sz w:val="20"/>
                <w:szCs w:val="20"/>
                <w:lang w:val="hy-AM"/>
              </w:rPr>
              <w:t>հաստատված</w:t>
            </w:r>
          </w:p>
        </w:tc>
        <w:tc>
          <w:tcPr>
            <w:tcW w:w="726" w:type="pct"/>
            <w:tcBorders>
              <w:top w:val="double" w:sz="4" w:space="0" w:color="auto"/>
              <w:left w:val="single" w:sz="8" w:space="0" w:color="auto"/>
              <w:bottom w:val="single" w:sz="8" w:space="0" w:color="auto"/>
              <w:right w:val="double" w:sz="4" w:space="0" w:color="auto"/>
            </w:tcBorders>
            <w:shd w:val="clear" w:color="auto" w:fill="4F81BD" w:themeFill="accent1"/>
            <w:vAlign w:val="center"/>
          </w:tcPr>
          <w:p w14:paraId="3308EC44"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Pr>
                <w:rFonts w:cs="Arial"/>
                <w:b w:val="0"/>
                <w:color w:val="FFFFFF" w:themeColor="background1"/>
                <w:sz w:val="20"/>
                <w:szCs w:val="20"/>
                <w:lang w:val="hy-AM"/>
              </w:rPr>
              <w:t>2022թ</w:t>
            </w:r>
            <w:r>
              <w:rPr>
                <w:rFonts w:ascii="Cambria Math" w:hAnsi="Cambria Math" w:cs="Arial"/>
                <w:b w:val="0"/>
                <w:color w:val="FFFFFF" w:themeColor="background1"/>
                <w:sz w:val="20"/>
                <w:szCs w:val="20"/>
                <w:lang w:val="hy-AM"/>
              </w:rPr>
              <w:t xml:space="preserve">․ </w:t>
            </w:r>
            <w:r>
              <w:rPr>
                <w:rFonts w:cs="Arial"/>
                <w:b w:val="0"/>
                <w:color w:val="FFFFFF" w:themeColor="background1"/>
                <w:sz w:val="20"/>
                <w:szCs w:val="20"/>
                <w:lang w:val="hy-AM"/>
              </w:rPr>
              <w:t xml:space="preserve">նախագիծ </w:t>
            </w:r>
          </w:p>
        </w:tc>
      </w:tr>
      <w:tr w:rsidR="00433FD0" w:rsidRPr="00BB489E" w14:paraId="755797B0"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1AC38DF7" w14:textId="77777777" w:rsidR="00433FD0" w:rsidRPr="00BB489E" w:rsidRDefault="00433FD0" w:rsidP="00733935">
            <w:pPr>
              <w:spacing w:before="0" w:line="276" w:lineRule="auto"/>
              <w:ind w:firstLine="0"/>
              <w:rPr>
                <w:rFonts w:cs="Arial"/>
                <w:sz w:val="20"/>
                <w:szCs w:val="20"/>
                <w:lang w:val="hy-AM"/>
              </w:rPr>
            </w:pPr>
            <w:r w:rsidRPr="00BB489E">
              <w:rPr>
                <w:rFonts w:cs="Arial"/>
                <w:sz w:val="20"/>
                <w:szCs w:val="20"/>
                <w:lang w:val="hy-AM"/>
              </w:rPr>
              <w:t>ՏՆՏԵՍԱԿԱՆ ՈԼՈՐՏ ԸՆԴԱՄԵՆԸ</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5B29E9E9" w14:textId="77777777" w:rsidR="00433FD0" w:rsidRPr="00BB489E" w:rsidRDefault="00433FD0" w:rsidP="00733935">
            <w:pPr>
              <w:spacing w:before="0" w:line="276" w:lineRule="auto"/>
              <w:ind w:firstLine="0"/>
              <w:jc w:val="center"/>
              <w:rPr>
                <w:sz w:val="20"/>
                <w:szCs w:val="20"/>
              </w:rPr>
            </w:pPr>
            <w:r w:rsidRPr="00BB489E">
              <w:rPr>
                <w:rFonts w:cs="Calibri"/>
                <w:bCs/>
                <w:sz w:val="20"/>
                <w:szCs w:val="20"/>
              </w:rPr>
              <w:t>129,599.4</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71FF7DC9" w14:textId="77777777" w:rsidR="00433FD0" w:rsidRPr="00BB489E" w:rsidRDefault="00433FD0" w:rsidP="00733935">
            <w:pPr>
              <w:spacing w:before="0" w:line="276" w:lineRule="auto"/>
              <w:ind w:firstLine="0"/>
              <w:jc w:val="center"/>
              <w:rPr>
                <w:sz w:val="20"/>
                <w:szCs w:val="20"/>
              </w:rPr>
            </w:pPr>
            <w:r w:rsidRPr="00BB489E">
              <w:rPr>
                <w:rFonts w:cs="Calibri"/>
                <w:bCs/>
                <w:sz w:val="20"/>
                <w:szCs w:val="20"/>
              </w:rPr>
              <w:t>133,980.8</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hideMark/>
          </w:tcPr>
          <w:p w14:paraId="718988AB" w14:textId="77777777" w:rsidR="00433FD0" w:rsidRPr="00BB489E" w:rsidRDefault="00433FD0" w:rsidP="00733935">
            <w:pPr>
              <w:spacing w:before="0" w:line="276" w:lineRule="auto"/>
              <w:ind w:firstLine="0"/>
              <w:jc w:val="center"/>
              <w:rPr>
                <w:sz w:val="20"/>
                <w:szCs w:val="20"/>
              </w:rPr>
            </w:pPr>
            <w:r w:rsidRPr="0071463D">
              <w:rPr>
                <w:rFonts w:cs="Calibri"/>
                <w:bCs/>
                <w:sz w:val="20"/>
                <w:szCs w:val="20"/>
              </w:rPr>
              <w:t>138,887.2</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444D03AE" w14:textId="77777777" w:rsidR="00433FD0" w:rsidRPr="00BB489E" w:rsidRDefault="00433FD0" w:rsidP="00733935">
            <w:pPr>
              <w:spacing w:before="0" w:line="276" w:lineRule="auto"/>
              <w:ind w:firstLine="0"/>
              <w:jc w:val="center"/>
              <w:rPr>
                <w:sz w:val="20"/>
                <w:szCs w:val="20"/>
                <w:lang w:val="en-US"/>
              </w:rPr>
            </w:pPr>
            <w:r w:rsidRPr="00BB489E">
              <w:rPr>
                <w:rFonts w:cs="Calibri"/>
                <w:bCs/>
                <w:sz w:val="20"/>
                <w:szCs w:val="20"/>
                <w:lang w:val="en-US"/>
              </w:rPr>
              <w:t>174</w:t>
            </w:r>
            <w:r w:rsidRPr="00BB489E">
              <w:rPr>
                <w:rFonts w:cs="Calibri"/>
                <w:bCs/>
                <w:sz w:val="20"/>
                <w:szCs w:val="20"/>
              </w:rPr>
              <w:t>,</w:t>
            </w:r>
            <w:r w:rsidRPr="00BB489E">
              <w:rPr>
                <w:rFonts w:cs="Calibri"/>
                <w:bCs/>
                <w:sz w:val="20"/>
                <w:szCs w:val="20"/>
                <w:lang w:val="en-US"/>
              </w:rPr>
              <w:t>531</w:t>
            </w:r>
            <w:r w:rsidRPr="00BB489E">
              <w:rPr>
                <w:rFonts w:cs="Calibri"/>
                <w:bCs/>
                <w:sz w:val="20"/>
                <w:szCs w:val="20"/>
              </w:rPr>
              <w:t>.</w:t>
            </w:r>
            <w:r w:rsidRPr="00BB489E">
              <w:rPr>
                <w:rFonts w:cs="Calibri"/>
                <w:bCs/>
                <w:sz w:val="20"/>
                <w:szCs w:val="20"/>
                <w:lang w:val="en-US"/>
              </w:rPr>
              <w:t>2</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5992F1EB" w14:textId="77777777" w:rsidR="00433FD0" w:rsidRPr="00755469" w:rsidRDefault="00433FD0" w:rsidP="00733935">
            <w:pPr>
              <w:spacing w:before="0" w:line="276" w:lineRule="auto"/>
              <w:ind w:firstLine="0"/>
              <w:jc w:val="center"/>
              <w:rPr>
                <w:rFonts w:ascii="Cambria Math" w:hAnsi="Cambria Math" w:cs="Calibri"/>
                <w:bCs/>
                <w:sz w:val="20"/>
                <w:szCs w:val="20"/>
                <w:lang w:val="hy-AM"/>
              </w:rPr>
            </w:pPr>
            <w:r w:rsidRPr="00755469">
              <w:rPr>
                <w:rFonts w:cs="Calibri"/>
                <w:bCs/>
                <w:sz w:val="20"/>
                <w:szCs w:val="20"/>
                <w:lang w:val="en-US"/>
              </w:rPr>
              <w:t>2</w:t>
            </w:r>
            <w:r>
              <w:rPr>
                <w:rFonts w:cs="Calibri"/>
                <w:bCs/>
                <w:sz w:val="20"/>
                <w:szCs w:val="20"/>
                <w:lang w:val="en-US"/>
              </w:rPr>
              <w:t>40</w:t>
            </w:r>
            <w:r w:rsidRPr="00755469">
              <w:rPr>
                <w:rFonts w:cs="Calibri"/>
                <w:bCs/>
                <w:sz w:val="20"/>
                <w:szCs w:val="20"/>
                <w:lang w:val="en-US"/>
              </w:rPr>
              <w:t>,09</w:t>
            </w:r>
            <w:r>
              <w:rPr>
                <w:rFonts w:cs="Calibri"/>
                <w:bCs/>
                <w:sz w:val="20"/>
                <w:szCs w:val="20"/>
                <w:lang w:val="en-US"/>
              </w:rPr>
              <w:t>8</w:t>
            </w:r>
            <w:r w:rsidRPr="00755469">
              <w:rPr>
                <w:rFonts w:ascii="Cambria Math" w:hAnsi="Cambria Math" w:cs="Cambria Math"/>
                <w:bCs/>
                <w:sz w:val="20"/>
                <w:szCs w:val="20"/>
                <w:lang w:val="en-US"/>
              </w:rPr>
              <w:t>․</w:t>
            </w:r>
            <w:r>
              <w:rPr>
                <w:rFonts w:ascii="Cambria Math" w:hAnsi="Cambria Math" w:cs="Cambria Math"/>
                <w:bCs/>
                <w:sz w:val="20"/>
                <w:szCs w:val="20"/>
                <w:lang w:val="en-US"/>
              </w:rPr>
              <w:t>1</w:t>
            </w:r>
          </w:p>
        </w:tc>
      </w:tr>
      <w:tr w:rsidR="00433FD0" w:rsidRPr="00BB489E" w14:paraId="0B055083"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3C633A8A"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45C9A6DC"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2.2</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641320E2"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2.0</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4CE16B92" w14:textId="77777777" w:rsidR="00433FD0" w:rsidRPr="0071463D" w:rsidRDefault="00433FD0" w:rsidP="00733935">
            <w:pPr>
              <w:spacing w:before="0" w:line="276" w:lineRule="auto"/>
              <w:ind w:firstLine="0"/>
              <w:jc w:val="center"/>
              <w:rPr>
                <w:rFonts w:cs="Arial"/>
                <w:b w:val="0"/>
                <w:bCs/>
                <w:color w:val="000000"/>
                <w:sz w:val="18"/>
                <w:szCs w:val="18"/>
              </w:rPr>
            </w:pPr>
            <w:r w:rsidRPr="0071463D">
              <w:rPr>
                <w:b w:val="0"/>
                <w:bCs/>
                <w:sz w:val="20"/>
                <w:szCs w:val="20"/>
              </w:rPr>
              <w:t>2.4%</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7EE8A856" w14:textId="77777777" w:rsidR="00433FD0" w:rsidRPr="00BB489E" w:rsidRDefault="00433FD0" w:rsidP="00733935">
            <w:pPr>
              <w:spacing w:before="0" w:line="276" w:lineRule="auto"/>
              <w:ind w:firstLine="0"/>
              <w:jc w:val="center"/>
              <w:rPr>
                <w:rFonts w:cs="Arial"/>
                <w:b w:val="0"/>
                <w:color w:val="000000"/>
                <w:sz w:val="18"/>
                <w:szCs w:val="18"/>
                <w:lang w:val="en-US"/>
              </w:rPr>
            </w:pPr>
            <w:r w:rsidRPr="00BB489E">
              <w:rPr>
                <w:rFonts w:cs="Arial"/>
                <w:b w:val="0"/>
                <w:color w:val="000000"/>
                <w:sz w:val="18"/>
                <w:szCs w:val="18"/>
              </w:rPr>
              <w:t>2.</w:t>
            </w:r>
            <w:r w:rsidRPr="00BB489E">
              <w:rPr>
                <w:rFonts w:cs="Arial"/>
                <w:b w:val="0"/>
                <w:color w:val="000000"/>
                <w:sz w:val="18"/>
                <w:szCs w:val="18"/>
                <w:lang w:val="en-US"/>
              </w:rPr>
              <w:t>7</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3E8EE573"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hy-AM"/>
              </w:rPr>
              <w:t>3</w:t>
            </w:r>
            <w:r>
              <w:rPr>
                <w:rFonts w:cs="Arial"/>
                <w:b w:val="0"/>
                <w:color w:val="000000"/>
                <w:sz w:val="18"/>
                <w:szCs w:val="18"/>
                <w:lang w:val="en-US"/>
              </w:rPr>
              <w:t>.1%</w:t>
            </w:r>
          </w:p>
        </w:tc>
      </w:tr>
      <w:tr w:rsidR="00433FD0" w:rsidRPr="00BB489E" w14:paraId="21854E1C" w14:textId="77777777" w:rsidTr="00733935">
        <w:trPr>
          <w:trHeight w:val="961"/>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65EE5BFF"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044C3E80"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9.0</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7C066773"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8.2</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1CBB9466" w14:textId="77777777" w:rsidR="00433FD0" w:rsidRPr="0071463D" w:rsidRDefault="00433FD0" w:rsidP="00733935">
            <w:pPr>
              <w:spacing w:before="0" w:line="276" w:lineRule="auto"/>
              <w:ind w:firstLine="0"/>
              <w:jc w:val="center"/>
              <w:rPr>
                <w:b w:val="0"/>
                <w:bCs/>
                <w:sz w:val="20"/>
                <w:szCs w:val="20"/>
              </w:rPr>
            </w:pPr>
            <w:r w:rsidRPr="0071463D">
              <w:rPr>
                <w:b w:val="0"/>
                <w:bCs/>
                <w:sz w:val="20"/>
                <w:szCs w:val="20"/>
              </w:rPr>
              <w:t>7.3%</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6338DD00"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9.4</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178341F0"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en-US"/>
              </w:rPr>
              <w:t>11.0%</w:t>
            </w:r>
          </w:p>
        </w:tc>
      </w:tr>
      <w:tr w:rsidR="00433FD0" w:rsidRPr="00BB489E" w14:paraId="01409BD1"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12124B50" w14:textId="77777777" w:rsidR="00433FD0" w:rsidRPr="00BB489E" w:rsidRDefault="00433FD0" w:rsidP="00733935">
            <w:pPr>
              <w:spacing w:before="0" w:line="276" w:lineRule="auto"/>
              <w:rPr>
                <w:b w:val="0"/>
                <w:sz w:val="20"/>
                <w:szCs w:val="20"/>
                <w:lang w:val="hy-AM"/>
              </w:rPr>
            </w:pPr>
            <w:r w:rsidRPr="00BB489E">
              <w:rPr>
                <w:rFonts w:cs="Arial"/>
                <w:b w:val="0"/>
                <w:sz w:val="20"/>
                <w:szCs w:val="20"/>
              </w:rPr>
              <w:t>այդ</w:t>
            </w:r>
            <w:r w:rsidRPr="00BB489E">
              <w:rPr>
                <w:b w:val="0"/>
                <w:sz w:val="20"/>
                <w:szCs w:val="20"/>
              </w:rPr>
              <w:t xml:space="preserve"> </w:t>
            </w:r>
            <w:r w:rsidRPr="00BB489E">
              <w:rPr>
                <w:rFonts w:cs="Arial"/>
                <w:b w:val="0"/>
                <w:sz w:val="20"/>
                <w:szCs w:val="20"/>
              </w:rPr>
              <w:t>թվում</w:t>
            </w:r>
            <w:r w:rsidRPr="00BB489E">
              <w:rPr>
                <w:b w:val="0"/>
                <w:sz w:val="20"/>
                <w:szCs w:val="20"/>
              </w:rPr>
              <w:t>`</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14:paraId="62DFE5F2" w14:textId="77777777" w:rsidR="00433FD0" w:rsidRPr="00BB489E" w:rsidRDefault="00433FD0" w:rsidP="00733935">
            <w:pPr>
              <w:spacing w:before="0" w:line="276" w:lineRule="auto"/>
              <w:jc w:val="center"/>
              <w:rPr>
                <w:b w:val="0"/>
                <w:sz w:val="20"/>
                <w:szCs w:val="20"/>
              </w:rPr>
            </w:pP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14:paraId="4285635C" w14:textId="77777777" w:rsidR="00433FD0" w:rsidRPr="00BB489E" w:rsidRDefault="00433FD0" w:rsidP="00733935">
            <w:pPr>
              <w:spacing w:before="0" w:line="276" w:lineRule="auto"/>
              <w:jc w:val="center"/>
              <w:rPr>
                <w:b w:val="0"/>
                <w:sz w:val="20"/>
                <w:szCs w:val="20"/>
              </w:rPr>
            </w:pP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tcPr>
          <w:p w14:paraId="12419039" w14:textId="77777777" w:rsidR="00433FD0" w:rsidRPr="00BB489E" w:rsidRDefault="00433FD0" w:rsidP="00733935">
            <w:pPr>
              <w:spacing w:before="0" w:line="276" w:lineRule="auto"/>
              <w:jc w:val="center"/>
              <w:rPr>
                <w:b w:val="0"/>
                <w:sz w:val="20"/>
                <w:szCs w:val="20"/>
              </w:rPr>
            </w:pP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tcPr>
          <w:p w14:paraId="78469F57" w14:textId="77777777" w:rsidR="00433FD0" w:rsidRPr="00BB489E" w:rsidRDefault="00433FD0" w:rsidP="00733935">
            <w:pPr>
              <w:spacing w:before="0" w:line="276" w:lineRule="auto"/>
              <w:jc w:val="center"/>
              <w:rPr>
                <w:b w:val="0"/>
                <w:sz w:val="20"/>
                <w:szCs w:val="20"/>
              </w:rPr>
            </w:pP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485BB521" w14:textId="77777777" w:rsidR="00433FD0" w:rsidRPr="00BB489E" w:rsidRDefault="00433FD0" w:rsidP="00733935">
            <w:pPr>
              <w:spacing w:before="0" w:line="276" w:lineRule="auto"/>
              <w:jc w:val="center"/>
              <w:rPr>
                <w:b w:val="0"/>
                <w:sz w:val="20"/>
                <w:szCs w:val="20"/>
              </w:rPr>
            </w:pPr>
          </w:p>
        </w:tc>
      </w:tr>
      <w:tr w:rsidR="00433FD0" w:rsidRPr="00BB489E" w14:paraId="19BB3A76"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26A658D3" w14:textId="77777777" w:rsidR="00433FD0" w:rsidRPr="00BB489E" w:rsidRDefault="00433FD0" w:rsidP="00733935">
            <w:pPr>
              <w:spacing w:before="0" w:line="276" w:lineRule="auto"/>
              <w:ind w:firstLine="0"/>
              <w:rPr>
                <w:sz w:val="20"/>
                <w:szCs w:val="20"/>
                <w:lang w:val="hy-AM"/>
              </w:rPr>
            </w:pPr>
            <w:r w:rsidRPr="00BB489E">
              <w:rPr>
                <w:sz w:val="20"/>
                <w:szCs w:val="20"/>
                <w:lang w:val="hy-AM"/>
              </w:rPr>
              <w:t>1.</w:t>
            </w:r>
            <w:r w:rsidRPr="00BB489E">
              <w:rPr>
                <w:rFonts w:cs="Arial"/>
                <w:sz w:val="20"/>
                <w:szCs w:val="20"/>
                <w:lang w:val="hy-AM"/>
              </w:rPr>
              <w:t>ՏՆՏԵՍԱԿԱՆ ՀԱՐԱԲԵՐՈՒԹՅՈՒՆՆԵՐ</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56AA5D76" w14:textId="77777777" w:rsidR="00433FD0" w:rsidRPr="00BB489E" w:rsidRDefault="00433FD0" w:rsidP="00733935">
            <w:pPr>
              <w:spacing w:before="0" w:line="276" w:lineRule="auto"/>
              <w:ind w:firstLine="0"/>
              <w:jc w:val="center"/>
              <w:rPr>
                <w:bCs/>
                <w:sz w:val="20"/>
                <w:szCs w:val="20"/>
              </w:rPr>
            </w:pPr>
            <w:r w:rsidRPr="00BB489E">
              <w:rPr>
                <w:rFonts w:cs="Calibri"/>
                <w:bCs/>
                <w:sz w:val="20"/>
                <w:szCs w:val="20"/>
              </w:rPr>
              <w:t>112,199.5</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60D04FCB" w14:textId="77777777" w:rsidR="00433FD0" w:rsidRPr="00BB489E" w:rsidRDefault="00433FD0" w:rsidP="00733935">
            <w:pPr>
              <w:spacing w:before="0" w:line="276" w:lineRule="auto"/>
              <w:ind w:firstLine="0"/>
              <w:jc w:val="center"/>
              <w:rPr>
                <w:bCs/>
                <w:sz w:val="20"/>
                <w:szCs w:val="20"/>
              </w:rPr>
            </w:pPr>
            <w:r w:rsidRPr="00BB489E">
              <w:rPr>
                <w:rFonts w:cs="Calibri"/>
                <w:bCs/>
                <w:sz w:val="20"/>
                <w:szCs w:val="20"/>
              </w:rPr>
              <w:t>111,916.2</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14:paraId="329211B0" w14:textId="77777777" w:rsidR="00433FD0" w:rsidRPr="00726C30" w:rsidRDefault="00433FD0" w:rsidP="00733935">
            <w:pPr>
              <w:spacing w:before="0" w:line="276" w:lineRule="auto"/>
              <w:ind w:firstLine="0"/>
              <w:jc w:val="center"/>
              <w:rPr>
                <w:bCs/>
                <w:sz w:val="20"/>
                <w:szCs w:val="20"/>
                <w:lang w:val="hy-AM"/>
              </w:rPr>
            </w:pPr>
            <w:r w:rsidRPr="00BB489E">
              <w:rPr>
                <w:rFonts w:cs="Calibri"/>
                <w:bCs/>
                <w:sz w:val="20"/>
                <w:szCs w:val="20"/>
              </w:rPr>
              <w:t>1</w:t>
            </w:r>
            <w:r>
              <w:rPr>
                <w:rFonts w:cs="Calibri"/>
                <w:bCs/>
                <w:sz w:val="20"/>
                <w:szCs w:val="20"/>
                <w:lang w:val="hy-AM"/>
              </w:rPr>
              <w:t>25</w:t>
            </w:r>
            <w:r w:rsidRPr="00BB489E">
              <w:rPr>
                <w:rFonts w:cs="Calibri"/>
                <w:bCs/>
                <w:sz w:val="20"/>
                <w:szCs w:val="20"/>
              </w:rPr>
              <w:t>,</w:t>
            </w:r>
            <w:r>
              <w:rPr>
                <w:rFonts w:cs="Calibri"/>
                <w:bCs/>
                <w:sz w:val="20"/>
                <w:szCs w:val="20"/>
                <w:lang w:val="hy-AM"/>
              </w:rPr>
              <w:t>559</w:t>
            </w:r>
            <w:r w:rsidRPr="00BB489E">
              <w:rPr>
                <w:rFonts w:cs="Calibri"/>
                <w:bCs/>
                <w:sz w:val="20"/>
                <w:szCs w:val="20"/>
              </w:rPr>
              <w:t>.</w:t>
            </w:r>
            <w:r>
              <w:rPr>
                <w:rFonts w:cs="Calibri"/>
                <w:bCs/>
                <w:sz w:val="20"/>
                <w:szCs w:val="20"/>
                <w:lang w:val="hy-AM"/>
              </w:rPr>
              <w:t>4</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28BD58D7" w14:textId="77777777" w:rsidR="00433FD0" w:rsidRPr="00BB489E" w:rsidRDefault="00433FD0" w:rsidP="00733935">
            <w:pPr>
              <w:spacing w:before="0" w:line="276" w:lineRule="auto"/>
              <w:ind w:firstLine="0"/>
              <w:jc w:val="center"/>
              <w:rPr>
                <w:bCs/>
                <w:sz w:val="20"/>
                <w:szCs w:val="20"/>
                <w:lang w:val="en-US"/>
              </w:rPr>
            </w:pPr>
            <w:r w:rsidRPr="00BB489E">
              <w:rPr>
                <w:rFonts w:cs="Calibri"/>
                <w:bCs/>
                <w:sz w:val="20"/>
                <w:szCs w:val="20"/>
              </w:rPr>
              <w:t>1</w:t>
            </w:r>
            <w:r w:rsidRPr="00BB489E">
              <w:rPr>
                <w:rFonts w:cs="Calibri"/>
                <w:bCs/>
                <w:sz w:val="20"/>
                <w:szCs w:val="20"/>
                <w:lang w:val="en-US"/>
              </w:rPr>
              <w:t>48</w:t>
            </w:r>
            <w:r w:rsidRPr="00BB489E">
              <w:rPr>
                <w:rFonts w:cs="Calibri"/>
                <w:bCs/>
                <w:sz w:val="20"/>
                <w:szCs w:val="20"/>
              </w:rPr>
              <w:t>,</w:t>
            </w:r>
            <w:r w:rsidRPr="00BB489E">
              <w:rPr>
                <w:rFonts w:cs="Calibri"/>
                <w:bCs/>
                <w:sz w:val="20"/>
                <w:szCs w:val="20"/>
                <w:lang w:val="en-US"/>
              </w:rPr>
              <w:t>944</w:t>
            </w:r>
            <w:r w:rsidRPr="00BB489E">
              <w:rPr>
                <w:rFonts w:cs="Calibri"/>
                <w:bCs/>
                <w:sz w:val="20"/>
                <w:szCs w:val="20"/>
              </w:rPr>
              <w:t>.</w:t>
            </w:r>
            <w:r w:rsidRPr="00BB489E">
              <w:rPr>
                <w:rFonts w:cs="Calibri"/>
                <w:bCs/>
                <w:sz w:val="20"/>
                <w:szCs w:val="20"/>
                <w:lang w:val="en-US"/>
              </w:rPr>
              <w:t>2</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03060A06" w14:textId="77777777" w:rsidR="00433FD0" w:rsidRPr="00755469" w:rsidRDefault="00433FD0" w:rsidP="00733935">
            <w:pPr>
              <w:spacing w:before="0" w:line="276" w:lineRule="auto"/>
              <w:ind w:firstLine="0"/>
              <w:jc w:val="center"/>
              <w:rPr>
                <w:rFonts w:cs="Calibri"/>
                <w:bCs/>
                <w:sz w:val="20"/>
                <w:szCs w:val="20"/>
                <w:lang w:val="en-US"/>
              </w:rPr>
            </w:pPr>
            <w:r>
              <w:rPr>
                <w:rFonts w:cs="Calibri"/>
                <w:bCs/>
                <w:sz w:val="20"/>
                <w:szCs w:val="20"/>
                <w:lang w:val="en-US"/>
              </w:rPr>
              <w:t>213,552.0</w:t>
            </w:r>
          </w:p>
        </w:tc>
      </w:tr>
      <w:tr w:rsidR="00433FD0" w:rsidRPr="00BB489E" w14:paraId="77E92B79"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3EBE6FC6"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2AD2E489"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1.86</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77961AEE"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1.70</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4942162" w14:textId="77777777" w:rsidR="00433FD0" w:rsidRPr="00BB489E" w:rsidRDefault="00433FD0" w:rsidP="00733935">
            <w:pPr>
              <w:spacing w:before="0" w:line="276" w:lineRule="auto"/>
              <w:ind w:firstLine="0"/>
              <w:jc w:val="center"/>
              <w:rPr>
                <w:rFonts w:cs="Arial"/>
                <w:b w:val="0"/>
                <w:color w:val="000000"/>
                <w:sz w:val="18"/>
                <w:szCs w:val="18"/>
              </w:rPr>
            </w:pPr>
            <w:r>
              <w:rPr>
                <w:rFonts w:cs="Arial"/>
                <w:b w:val="0"/>
                <w:color w:val="000000"/>
                <w:sz w:val="18"/>
                <w:szCs w:val="18"/>
                <w:lang w:val="hy-AM"/>
              </w:rPr>
              <w:t>2,03</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clear" w:color="auto" w:fill="FFFFFF"/>
            <w:vAlign w:val="center"/>
            <w:hideMark/>
          </w:tcPr>
          <w:p w14:paraId="51D18F6E" w14:textId="77777777" w:rsidR="00433FD0" w:rsidRPr="00BB489E" w:rsidRDefault="00433FD0" w:rsidP="00733935">
            <w:pPr>
              <w:spacing w:before="0" w:line="276" w:lineRule="auto"/>
              <w:ind w:firstLine="0"/>
              <w:jc w:val="center"/>
              <w:rPr>
                <w:rFonts w:cs="Arial"/>
                <w:b w:val="0"/>
                <w:color w:val="000000"/>
                <w:sz w:val="18"/>
                <w:szCs w:val="18"/>
                <w:lang w:val="en-US"/>
              </w:rPr>
            </w:pPr>
            <w:r w:rsidRPr="00BB489E">
              <w:rPr>
                <w:rFonts w:cs="Arial"/>
                <w:b w:val="0"/>
                <w:color w:val="000000"/>
                <w:sz w:val="18"/>
                <w:szCs w:val="18"/>
              </w:rPr>
              <w:t>2.</w:t>
            </w:r>
            <w:r w:rsidRPr="00BB489E">
              <w:rPr>
                <w:rFonts w:cs="Arial"/>
                <w:b w:val="0"/>
                <w:color w:val="000000"/>
                <w:sz w:val="18"/>
                <w:szCs w:val="18"/>
                <w:lang w:val="en-US"/>
              </w:rPr>
              <w:t>33</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clear" w:color="auto" w:fill="FFFFFF"/>
            <w:vAlign w:val="center"/>
          </w:tcPr>
          <w:p w14:paraId="6F785F33"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en-US"/>
              </w:rPr>
              <w:t>2.71%</w:t>
            </w:r>
          </w:p>
        </w:tc>
      </w:tr>
      <w:tr w:rsidR="00433FD0" w:rsidRPr="00BB489E" w14:paraId="4EA737B9"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4735BC37"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73825C2D"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7.8</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6B170E26"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6.9</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E86C5E8" w14:textId="77777777" w:rsidR="00433FD0" w:rsidRPr="00BB489E" w:rsidRDefault="00433FD0" w:rsidP="00733935">
            <w:pPr>
              <w:spacing w:before="0" w:line="276" w:lineRule="auto"/>
              <w:ind w:firstLine="0"/>
              <w:jc w:val="center"/>
              <w:rPr>
                <w:rFonts w:cs="Arial"/>
                <w:b w:val="0"/>
                <w:color w:val="000000"/>
                <w:sz w:val="18"/>
                <w:szCs w:val="18"/>
              </w:rPr>
            </w:pPr>
            <w:r>
              <w:rPr>
                <w:rFonts w:cs="Arial"/>
                <w:b w:val="0"/>
                <w:color w:val="000000"/>
                <w:sz w:val="18"/>
                <w:szCs w:val="18"/>
                <w:lang w:val="hy-AM"/>
              </w:rPr>
              <w:t>6</w:t>
            </w:r>
            <w:r w:rsidRPr="00BB489E">
              <w:rPr>
                <w:rFonts w:cs="Arial"/>
                <w:b w:val="0"/>
                <w:color w:val="000000"/>
                <w:sz w:val="18"/>
                <w:szCs w:val="18"/>
              </w:rPr>
              <w:t>.</w:t>
            </w:r>
            <w:r>
              <w:rPr>
                <w:rFonts w:cs="Arial"/>
                <w:b w:val="0"/>
                <w:color w:val="000000"/>
                <w:sz w:val="18"/>
                <w:szCs w:val="18"/>
                <w:lang w:val="hy-AM"/>
              </w:rPr>
              <w:t>6</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clear" w:color="auto" w:fill="FFFFFF"/>
            <w:vAlign w:val="center"/>
            <w:hideMark/>
          </w:tcPr>
          <w:p w14:paraId="43634A18"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8.0</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clear" w:color="auto" w:fill="FFFFFF"/>
            <w:vAlign w:val="center"/>
          </w:tcPr>
          <w:p w14:paraId="531E5B73"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en-US"/>
              </w:rPr>
              <w:t>9.8%</w:t>
            </w:r>
          </w:p>
        </w:tc>
      </w:tr>
      <w:tr w:rsidR="00433FD0" w:rsidRPr="00BB489E" w14:paraId="1BD134AA"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00119219" w14:textId="77777777" w:rsidR="00433FD0" w:rsidRPr="00BB489E" w:rsidRDefault="00433FD0" w:rsidP="00733935">
            <w:pPr>
              <w:spacing w:before="0" w:line="276" w:lineRule="auto"/>
              <w:ind w:firstLine="0"/>
              <w:jc w:val="left"/>
              <w:rPr>
                <w:sz w:val="20"/>
                <w:szCs w:val="20"/>
              </w:rPr>
            </w:pPr>
            <w:r w:rsidRPr="00BB489E">
              <w:rPr>
                <w:sz w:val="20"/>
                <w:szCs w:val="20"/>
              </w:rPr>
              <w:t>2.</w:t>
            </w:r>
            <w:r w:rsidRPr="00BB489E">
              <w:rPr>
                <w:bCs/>
                <w:sz w:val="20"/>
                <w:szCs w:val="20"/>
              </w:rPr>
              <w:t>ՇՐՋԱԿԱ  ՄԻՋԱՎԱՅՐԻ ՊԱՇՏՊԱՆՈՒԹՅՈՒՆ</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3D1E6D0C" w14:textId="77777777" w:rsidR="00433FD0" w:rsidRPr="00BB489E" w:rsidRDefault="00433FD0" w:rsidP="00733935">
            <w:pPr>
              <w:spacing w:before="0" w:line="276" w:lineRule="auto"/>
              <w:ind w:firstLine="0"/>
              <w:jc w:val="center"/>
              <w:rPr>
                <w:bCs/>
                <w:sz w:val="20"/>
                <w:szCs w:val="20"/>
              </w:rPr>
            </w:pPr>
            <w:r w:rsidRPr="00BB489E">
              <w:rPr>
                <w:rFonts w:cs="Calibri"/>
                <w:bCs/>
                <w:sz w:val="20"/>
                <w:szCs w:val="20"/>
              </w:rPr>
              <w:t>5,690.8</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534A4664" w14:textId="77777777" w:rsidR="00433FD0" w:rsidRPr="00BB489E" w:rsidRDefault="00433FD0" w:rsidP="00733935">
            <w:pPr>
              <w:spacing w:before="0" w:line="276" w:lineRule="auto"/>
              <w:ind w:firstLine="0"/>
              <w:jc w:val="center"/>
              <w:rPr>
                <w:bCs/>
                <w:sz w:val="20"/>
                <w:szCs w:val="20"/>
              </w:rPr>
            </w:pPr>
            <w:r w:rsidRPr="00BB489E">
              <w:rPr>
                <w:rFonts w:cs="Calibri"/>
                <w:bCs/>
                <w:sz w:val="20"/>
                <w:szCs w:val="20"/>
              </w:rPr>
              <w:t>5,816.9</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14:paraId="637B5A6B" w14:textId="77777777" w:rsidR="00433FD0" w:rsidRPr="00A15FAC" w:rsidRDefault="00433FD0" w:rsidP="00733935">
            <w:pPr>
              <w:spacing w:before="0" w:line="276" w:lineRule="auto"/>
              <w:ind w:firstLine="0"/>
              <w:jc w:val="center"/>
              <w:rPr>
                <w:bCs/>
                <w:sz w:val="20"/>
                <w:szCs w:val="20"/>
                <w:lang w:val="hy-AM"/>
              </w:rPr>
            </w:pPr>
            <w:r>
              <w:rPr>
                <w:rFonts w:cs="Calibri"/>
                <w:bCs/>
                <w:sz w:val="20"/>
                <w:szCs w:val="20"/>
                <w:lang w:val="hy-AM"/>
              </w:rPr>
              <w:t>4</w:t>
            </w:r>
            <w:r w:rsidRPr="00BB489E">
              <w:rPr>
                <w:rFonts w:cs="Calibri"/>
                <w:bCs/>
                <w:sz w:val="20"/>
                <w:szCs w:val="20"/>
              </w:rPr>
              <w:t>,</w:t>
            </w:r>
            <w:r>
              <w:rPr>
                <w:rFonts w:cs="Calibri"/>
                <w:bCs/>
                <w:sz w:val="20"/>
                <w:szCs w:val="20"/>
                <w:lang w:val="hy-AM"/>
              </w:rPr>
              <w:t>424</w:t>
            </w:r>
            <w:r w:rsidRPr="00BB489E">
              <w:rPr>
                <w:rFonts w:cs="Calibri"/>
                <w:bCs/>
                <w:sz w:val="20"/>
                <w:szCs w:val="20"/>
              </w:rPr>
              <w:t>.</w:t>
            </w:r>
            <w:r>
              <w:rPr>
                <w:rFonts w:cs="Calibri"/>
                <w:bCs/>
                <w:sz w:val="20"/>
                <w:szCs w:val="20"/>
                <w:lang w:val="hy-AM"/>
              </w:rPr>
              <w:t>2</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0E48B0E3" w14:textId="77777777" w:rsidR="00433FD0" w:rsidRPr="00BB489E" w:rsidRDefault="00433FD0" w:rsidP="00733935">
            <w:pPr>
              <w:spacing w:before="0" w:line="276" w:lineRule="auto"/>
              <w:ind w:firstLine="0"/>
              <w:jc w:val="center"/>
              <w:rPr>
                <w:bCs/>
                <w:sz w:val="20"/>
                <w:szCs w:val="20"/>
                <w:lang w:val="en-US"/>
              </w:rPr>
            </w:pPr>
            <w:r w:rsidRPr="00BB489E">
              <w:rPr>
                <w:rFonts w:cs="Calibri"/>
                <w:bCs/>
                <w:sz w:val="20"/>
                <w:szCs w:val="20"/>
              </w:rPr>
              <w:t>10,</w:t>
            </w:r>
            <w:r w:rsidRPr="00BB489E">
              <w:rPr>
                <w:rFonts w:cs="Calibri"/>
                <w:bCs/>
                <w:sz w:val="20"/>
                <w:szCs w:val="20"/>
                <w:lang w:val="en-US"/>
              </w:rPr>
              <w:t>892</w:t>
            </w:r>
            <w:r w:rsidRPr="00BB489E">
              <w:rPr>
                <w:rFonts w:cs="Calibri"/>
                <w:bCs/>
                <w:sz w:val="20"/>
                <w:szCs w:val="20"/>
              </w:rPr>
              <w:t>.</w:t>
            </w:r>
            <w:r w:rsidRPr="00BB489E">
              <w:rPr>
                <w:rFonts w:cs="Calibri"/>
                <w:bCs/>
                <w:sz w:val="20"/>
                <w:szCs w:val="20"/>
                <w:lang w:val="en-US"/>
              </w:rPr>
              <w:t>1</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15B6AB2A" w14:textId="77777777" w:rsidR="00433FD0" w:rsidRPr="00755469" w:rsidRDefault="00433FD0" w:rsidP="00733935">
            <w:pPr>
              <w:spacing w:before="0" w:line="276" w:lineRule="auto"/>
              <w:ind w:firstLine="0"/>
              <w:jc w:val="center"/>
              <w:rPr>
                <w:rFonts w:cs="Calibri"/>
                <w:bCs/>
                <w:sz w:val="20"/>
                <w:szCs w:val="20"/>
                <w:lang w:val="en-US"/>
              </w:rPr>
            </w:pPr>
            <w:r>
              <w:rPr>
                <w:rFonts w:cs="Calibri"/>
                <w:bCs/>
                <w:sz w:val="20"/>
                <w:szCs w:val="20"/>
                <w:lang w:val="en-US"/>
              </w:rPr>
              <w:t>9,934.0</w:t>
            </w:r>
          </w:p>
        </w:tc>
      </w:tr>
      <w:tr w:rsidR="00433FD0" w:rsidRPr="00BB489E" w14:paraId="5D01544C"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43DE1F65"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3B674407"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0.09</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03A98E53"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0.09</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1AC5A819"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w:t>
            </w:r>
            <w:r>
              <w:rPr>
                <w:rFonts w:cs="Arial"/>
                <w:b w:val="0"/>
                <w:color w:val="000000"/>
                <w:sz w:val="18"/>
                <w:szCs w:val="18"/>
                <w:lang w:val="hy-AM"/>
              </w:rPr>
              <w:t>07</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2BCE856D" w14:textId="77777777" w:rsidR="00433FD0" w:rsidRPr="00BB489E" w:rsidRDefault="00433FD0" w:rsidP="00733935">
            <w:pPr>
              <w:spacing w:before="0" w:line="276" w:lineRule="auto"/>
              <w:ind w:firstLine="0"/>
              <w:jc w:val="center"/>
              <w:rPr>
                <w:rFonts w:cs="Arial"/>
                <w:b w:val="0"/>
                <w:color w:val="000000"/>
                <w:sz w:val="18"/>
                <w:szCs w:val="18"/>
                <w:lang w:val="en-US"/>
              </w:rPr>
            </w:pPr>
            <w:r w:rsidRPr="00BB489E">
              <w:rPr>
                <w:rFonts w:cs="Arial"/>
                <w:b w:val="0"/>
                <w:color w:val="000000"/>
                <w:sz w:val="18"/>
                <w:szCs w:val="18"/>
              </w:rPr>
              <w:t>0.1</w:t>
            </w:r>
            <w:r w:rsidRPr="00BB489E">
              <w:rPr>
                <w:rFonts w:cs="Arial"/>
                <w:b w:val="0"/>
                <w:color w:val="000000"/>
                <w:sz w:val="18"/>
                <w:szCs w:val="18"/>
                <w:lang w:val="en-US"/>
              </w:rPr>
              <w:t>7</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2CE15EDF"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en-US"/>
              </w:rPr>
              <w:t>0.13%</w:t>
            </w:r>
          </w:p>
        </w:tc>
      </w:tr>
      <w:tr w:rsidR="00433FD0" w:rsidRPr="00BB489E" w14:paraId="0098E570"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170BC5CC"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39AFE2F3"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0.39</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2BA254D4"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0.36</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0D9D069C"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w:t>
            </w:r>
            <w:r>
              <w:rPr>
                <w:rFonts w:cs="Arial"/>
                <w:b w:val="0"/>
                <w:color w:val="000000"/>
                <w:sz w:val="18"/>
                <w:szCs w:val="18"/>
                <w:lang w:val="hy-AM"/>
              </w:rPr>
              <w:t>23</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5C134DFC" w14:textId="77777777" w:rsidR="00433FD0" w:rsidRPr="00BB489E" w:rsidRDefault="00433FD0" w:rsidP="00733935">
            <w:pPr>
              <w:spacing w:before="0" w:line="276" w:lineRule="auto"/>
              <w:ind w:firstLine="0"/>
              <w:jc w:val="center"/>
              <w:rPr>
                <w:rFonts w:cs="Arial"/>
                <w:b w:val="0"/>
                <w:color w:val="000000"/>
                <w:sz w:val="18"/>
                <w:szCs w:val="18"/>
                <w:lang w:val="en-US"/>
              </w:rPr>
            </w:pPr>
            <w:r w:rsidRPr="00BB489E">
              <w:rPr>
                <w:rFonts w:cs="Arial"/>
                <w:b w:val="0"/>
                <w:color w:val="000000"/>
                <w:sz w:val="18"/>
                <w:szCs w:val="18"/>
              </w:rPr>
              <w:t>0.5</w:t>
            </w:r>
            <w:r w:rsidRPr="00BB489E">
              <w:rPr>
                <w:rFonts w:cs="Arial"/>
                <w:b w:val="0"/>
                <w:color w:val="000000"/>
                <w:sz w:val="18"/>
                <w:szCs w:val="18"/>
                <w:lang w:val="en-US"/>
              </w:rPr>
              <w:t>9</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6BA3A90A"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en-US"/>
              </w:rPr>
              <w:t>0.45%</w:t>
            </w:r>
          </w:p>
        </w:tc>
      </w:tr>
      <w:tr w:rsidR="00433FD0" w:rsidRPr="00BB489E" w14:paraId="54C1E380"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04A6B675" w14:textId="77777777" w:rsidR="00433FD0" w:rsidRPr="00BB489E" w:rsidRDefault="00433FD0" w:rsidP="00733935">
            <w:pPr>
              <w:spacing w:before="0" w:line="276" w:lineRule="auto"/>
              <w:ind w:firstLine="0"/>
              <w:jc w:val="left"/>
              <w:rPr>
                <w:sz w:val="20"/>
                <w:szCs w:val="20"/>
                <w:lang w:val="hy-AM"/>
              </w:rPr>
            </w:pPr>
            <w:r w:rsidRPr="00E445D5">
              <w:rPr>
                <w:sz w:val="20"/>
                <w:szCs w:val="20"/>
              </w:rPr>
              <w:t>3</w:t>
            </w:r>
            <w:r w:rsidRPr="00BB489E">
              <w:rPr>
                <w:sz w:val="20"/>
                <w:szCs w:val="20"/>
                <w:lang w:val="hy-AM"/>
              </w:rPr>
              <w:t xml:space="preserve">. </w:t>
            </w:r>
            <w:r w:rsidRPr="00BB489E">
              <w:rPr>
                <w:bCs/>
                <w:sz w:val="20"/>
                <w:szCs w:val="20"/>
              </w:rPr>
              <w:t>ԲՆԱԿԱՐԱՆԱՅԻՆ</w:t>
            </w:r>
            <w:r w:rsidRPr="00E445D5">
              <w:rPr>
                <w:bCs/>
                <w:sz w:val="20"/>
                <w:szCs w:val="20"/>
              </w:rPr>
              <w:t xml:space="preserve"> </w:t>
            </w:r>
            <w:r w:rsidRPr="00BB489E">
              <w:rPr>
                <w:bCs/>
                <w:sz w:val="20"/>
                <w:szCs w:val="20"/>
              </w:rPr>
              <w:t>ՇԻՆԱՐԱՐՈՒԹՅՈՒՆ</w:t>
            </w:r>
            <w:r w:rsidRPr="00E445D5">
              <w:rPr>
                <w:bCs/>
                <w:sz w:val="20"/>
                <w:szCs w:val="20"/>
              </w:rPr>
              <w:t xml:space="preserve"> </w:t>
            </w:r>
            <w:r w:rsidRPr="00BB489E">
              <w:rPr>
                <w:bCs/>
                <w:sz w:val="20"/>
                <w:szCs w:val="20"/>
              </w:rPr>
              <w:t>ԵՎ</w:t>
            </w:r>
            <w:r w:rsidRPr="00E445D5">
              <w:rPr>
                <w:bCs/>
                <w:sz w:val="20"/>
                <w:szCs w:val="20"/>
              </w:rPr>
              <w:t xml:space="preserve"> </w:t>
            </w:r>
            <w:r w:rsidRPr="00BB489E">
              <w:rPr>
                <w:bCs/>
                <w:sz w:val="20"/>
                <w:szCs w:val="20"/>
              </w:rPr>
              <w:t>ԿՈՄՈՒՆԱԼ</w:t>
            </w:r>
            <w:r w:rsidRPr="00E445D5">
              <w:rPr>
                <w:bCs/>
                <w:sz w:val="20"/>
                <w:szCs w:val="20"/>
              </w:rPr>
              <w:t xml:space="preserve"> </w:t>
            </w:r>
            <w:r w:rsidRPr="00BB489E">
              <w:rPr>
                <w:bCs/>
                <w:sz w:val="20"/>
                <w:szCs w:val="20"/>
              </w:rPr>
              <w:t>ԾԱՌԱՅՈՒԹՅՈՒՆՆԵՐ</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0AB265E6" w14:textId="77777777" w:rsidR="00433FD0" w:rsidRPr="00BB489E" w:rsidRDefault="00433FD0" w:rsidP="00733935">
            <w:pPr>
              <w:spacing w:before="0" w:line="276" w:lineRule="auto"/>
              <w:ind w:firstLine="0"/>
              <w:jc w:val="center"/>
              <w:rPr>
                <w:bCs/>
                <w:sz w:val="20"/>
                <w:szCs w:val="20"/>
              </w:rPr>
            </w:pPr>
            <w:r w:rsidRPr="00BB489E">
              <w:rPr>
                <w:rFonts w:cs="Calibri"/>
                <w:bCs/>
                <w:sz w:val="20"/>
                <w:szCs w:val="20"/>
              </w:rPr>
              <w:t>11,709.0</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78FBDAC9" w14:textId="77777777" w:rsidR="00433FD0" w:rsidRPr="00BB489E" w:rsidRDefault="00433FD0" w:rsidP="00733935">
            <w:pPr>
              <w:spacing w:before="0" w:line="276" w:lineRule="auto"/>
              <w:ind w:firstLine="0"/>
              <w:jc w:val="center"/>
              <w:rPr>
                <w:bCs/>
                <w:sz w:val="20"/>
                <w:szCs w:val="20"/>
              </w:rPr>
            </w:pPr>
            <w:r w:rsidRPr="00BB489E">
              <w:rPr>
                <w:rFonts w:cs="Calibri"/>
                <w:bCs/>
                <w:sz w:val="20"/>
                <w:szCs w:val="20"/>
              </w:rPr>
              <w:t>16,247.5</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14:paraId="710554B9" w14:textId="77777777" w:rsidR="00433FD0" w:rsidRPr="00A15FAC" w:rsidRDefault="00433FD0" w:rsidP="00733935">
            <w:pPr>
              <w:spacing w:before="0" w:line="276" w:lineRule="auto"/>
              <w:ind w:firstLine="0"/>
              <w:jc w:val="center"/>
              <w:rPr>
                <w:bCs/>
                <w:sz w:val="20"/>
                <w:szCs w:val="20"/>
                <w:lang w:val="hy-AM"/>
              </w:rPr>
            </w:pPr>
            <w:r>
              <w:rPr>
                <w:rFonts w:cs="Calibri"/>
                <w:bCs/>
                <w:sz w:val="20"/>
                <w:szCs w:val="20"/>
                <w:lang w:val="hy-AM"/>
              </w:rPr>
              <w:t>8</w:t>
            </w:r>
            <w:r w:rsidRPr="00BB489E">
              <w:rPr>
                <w:rFonts w:cs="Calibri"/>
                <w:bCs/>
                <w:sz w:val="20"/>
                <w:szCs w:val="20"/>
              </w:rPr>
              <w:t>,9</w:t>
            </w:r>
            <w:r>
              <w:rPr>
                <w:rFonts w:cs="Calibri"/>
                <w:bCs/>
                <w:sz w:val="20"/>
                <w:szCs w:val="20"/>
                <w:lang w:val="hy-AM"/>
              </w:rPr>
              <w:t>03</w:t>
            </w:r>
            <w:r w:rsidRPr="00BB489E">
              <w:rPr>
                <w:rFonts w:cs="Calibri"/>
                <w:bCs/>
                <w:sz w:val="20"/>
                <w:szCs w:val="20"/>
              </w:rPr>
              <w:t>.</w:t>
            </w:r>
            <w:r>
              <w:rPr>
                <w:rFonts w:cs="Calibri"/>
                <w:bCs/>
                <w:sz w:val="20"/>
                <w:szCs w:val="20"/>
                <w:lang w:val="hy-AM"/>
              </w:rPr>
              <w:t>6</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74902B6C" w14:textId="77777777" w:rsidR="00433FD0" w:rsidRPr="00BB489E" w:rsidRDefault="00433FD0" w:rsidP="00733935">
            <w:pPr>
              <w:spacing w:before="0" w:line="276" w:lineRule="auto"/>
              <w:ind w:firstLine="0"/>
              <w:jc w:val="center"/>
              <w:rPr>
                <w:bCs/>
                <w:sz w:val="20"/>
                <w:szCs w:val="20"/>
                <w:lang w:val="en-US"/>
              </w:rPr>
            </w:pPr>
            <w:r w:rsidRPr="00BB489E">
              <w:rPr>
                <w:rFonts w:cs="Calibri"/>
                <w:bCs/>
                <w:sz w:val="20"/>
                <w:szCs w:val="20"/>
              </w:rPr>
              <w:t>14,</w:t>
            </w:r>
            <w:r w:rsidRPr="00BB489E">
              <w:rPr>
                <w:rFonts w:cs="Calibri"/>
                <w:bCs/>
                <w:sz w:val="20"/>
                <w:szCs w:val="20"/>
                <w:lang w:val="en-US"/>
              </w:rPr>
              <w:t>694</w:t>
            </w:r>
            <w:r w:rsidRPr="00BB489E">
              <w:rPr>
                <w:rFonts w:cs="Calibri"/>
                <w:bCs/>
                <w:sz w:val="20"/>
                <w:szCs w:val="20"/>
              </w:rPr>
              <w:t>.</w:t>
            </w:r>
            <w:r w:rsidRPr="00BB489E">
              <w:rPr>
                <w:rFonts w:cs="Calibri"/>
                <w:bCs/>
                <w:sz w:val="20"/>
                <w:szCs w:val="20"/>
                <w:lang w:val="en-US"/>
              </w:rPr>
              <w:t>9</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59DED5EE" w14:textId="77777777" w:rsidR="00433FD0" w:rsidRPr="00755469" w:rsidRDefault="00433FD0" w:rsidP="00733935">
            <w:pPr>
              <w:spacing w:before="0" w:line="276" w:lineRule="auto"/>
              <w:ind w:firstLine="0"/>
              <w:jc w:val="center"/>
              <w:rPr>
                <w:rFonts w:cs="Calibri"/>
                <w:bCs/>
                <w:sz w:val="20"/>
                <w:szCs w:val="20"/>
                <w:lang w:val="en-US"/>
              </w:rPr>
            </w:pPr>
            <w:r>
              <w:rPr>
                <w:rFonts w:cs="Calibri"/>
                <w:bCs/>
                <w:sz w:val="20"/>
                <w:szCs w:val="20"/>
                <w:lang w:val="en-US"/>
              </w:rPr>
              <w:t>16,611.9</w:t>
            </w:r>
          </w:p>
        </w:tc>
      </w:tr>
      <w:tr w:rsidR="00433FD0" w:rsidRPr="00BB489E" w14:paraId="15A28992" w14:textId="77777777" w:rsidTr="00733935">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2D418FC0"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473481F4"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0.19</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446A593D"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0.25</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3EEE4CB5"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w:t>
            </w:r>
            <w:r>
              <w:rPr>
                <w:rFonts w:cs="Arial"/>
                <w:b w:val="0"/>
                <w:color w:val="000000"/>
                <w:sz w:val="18"/>
                <w:szCs w:val="18"/>
                <w:lang w:val="hy-AM"/>
              </w:rPr>
              <w:t>01</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57018389" w14:textId="77777777" w:rsidR="00433FD0" w:rsidRPr="00BB489E" w:rsidRDefault="00433FD0" w:rsidP="00733935">
            <w:pPr>
              <w:spacing w:before="0" w:line="276" w:lineRule="auto"/>
              <w:ind w:firstLine="0"/>
              <w:jc w:val="center"/>
              <w:rPr>
                <w:rFonts w:cs="Arial"/>
                <w:b w:val="0"/>
                <w:color w:val="000000"/>
                <w:sz w:val="18"/>
                <w:szCs w:val="18"/>
                <w:lang w:val="en-US"/>
              </w:rPr>
            </w:pPr>
            <w:r w:rsidRPr="00BB489E">
              <w:rPr>
                <w:rFonts w:cs="Arial"/>
                <w:b w:val="0"/>
                <w:color w:val="000000"/>
                <w:sz w:val="18"/>
                <w:szCs w:val="18"/>
              </w:rPr>
              <w:t>0.2</w:t>
            </w:r>
            <w:r w:rsidRPr="00BB489E">
              <w:rPr>
                <w:rFonts w:cs="Arial"/>
                <w:b w:val="0"/>
                <w:color w:val="000000"/>
                <w:sz w:val="18"/>
                <w:szCs w:val="18"/>
                <w:lang w:val="en-US"/>
              </w:rPr>
              <w:t>3</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701FF90E"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en-US"/>
              </w:rPr>
              <w:t>0.21%</w:t>
            </w:r>
          </w:p>
        </w:tc>
      </w:tr>
      <w:tr w:rsidR="00433FD0" w:rsidRPr="00BB489E" w14:paraId="50560144" w14:textId="77777777" w:rsidTr="00733935">
        <w:trPr>
          <w:trHeight w:val="20"/>
        </w:trPr>
        <w:tc>
          <w:tcPr>
            <w:tcW w:w="1734" w:type="pct"/>
            <w:tcBorders>
              <w:top w:val="single" w:sz="8" w:space="0" w:color="auto"/>
              <w:left w:val="double" w:sz="4"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14:paraId="178466B4"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14:paraId="4D64D7DD"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0.81</w:t>
            </w:r>
            <w:r w:rsidRPr="00C05F21">
              <w:rPr>
                <w:sz w:val="20"/>
                <w:szCs w:val="20"/>
              </w:rPr>
              <w:t>%</w:t>
            </w:r>
          </w:p>
        </w:tc>
        <w:tc>
          <w:tcPr>
            <w:tcW w:w="581"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14:paraId="30BA1646" w14:textId="77777777" w:rsidR="00433FD0" w:rsidRPr="00BB489E" w:rsidRDefault="00433FD0" w:rsidP="00733935">
            <w:pPr>
              <w:spacing w:before="0" w:line="276" w:lineRule="auto"/>
              <w:ind w:firstLine="0"/>
              <w:jc w:val="center"/>
              <w:rPr>
                <w:rFonts w:cs="Arial"/>
                <w:b w:val="0"/>
                <w:color w:val="000000"/>
                <w:sz w:val="18"/>
                <w:szCs w:val="18"/>
              </w:rPr>
            </w:pPr>
            <w:r w:rsidRPr="00BB489E">
              <w:rPr>
                <w:rFonts w:cs="Arial"/>
                <w:b w:val="0"/>
                <w:color w:val="000000"/>
                <w:sz w:val="18"/>
                <w:szCs w:val="18"/>
              </w:rPr>
              <w:t>1.00</w:t>
            </w:r>
            <w:r w:rsidRPr="00C05F21">
              <w:rPr>
                <w:sz w:val="20"/>
                <w:szCs w:val="20"/>
              </w:rPr>
              <w:t>%</w:t>
            </w:r>
          </w:p>
        </w:tc>
        <w:tc>
          <w:tcPr>
            <w:tcW w:w="607" w:type="pct"/>
            <w:tcBorders>
              <w:top w:val="single" w:sz="8" w:space="0" w:color="auto"/>
              <w:left w:val="single" w:sz="8" w:space="0" w:color="auto"/>
              <w:bottom w:val="double" w:sz="4" w:space="0" w:color="auto"/>
              <w:right w:val="single" w:sz="8" w:space="0" w:color="auto"/>
            </w:tcBorders>
            <w:shd w:val="solid" w:color="FFFFFF" w:fill="auto"/>
            <w:tcMar>
              <w:top w:w="0" w:type="dxa"/>
              <w:left w:w="30" w:type="dxa"/>
              <w:bottom w:w="0" w:type="dxa"/>
              <w:right w:w="30" w:type="dxa"/>
            </w:tcMar>
            <w:vAlign w:val="center"/>
            <w:hideMark/>
          </w:tcPr>
          <w:p w14:paraId="6DF53EDD" w14:textId="77777777" w:rsidR="00433FD0" w:rsidRPr="00A15FAC" w:rsidRDefault="00433FD0" w:rsidP="00733935">
            <w:pPr>
              <w:spacing w:before="0" w:line="276" w:lineRule="auto"/>
              <w:ind w:firstLine="0"/>
              <w:jc w:val="center"/>
              <w:rPr>
                <w:b w:val="0"/>
                <w:bCs/>
                <w:sz w:val="20"/>
                <w:szCs w:val="20"/>
              </w:rPr>
            </w:pPr>
            <w:r w:rsidRPr="00A15FAC">
              <w:rPr>
                <w:b w:val="0"/>
                <w:bCs/>
                <w:sz w:val="20"/>
                <w:szCs w:val="20"/>
              </w:rPr>
              <w:t>0</w:t>
            </w:r>
            <w:r w:rsidRPr="00A15FAC">
              <w:rPr>
                <w:rFonts w:ascii="Cambria Math" w:hAnsi="Cambria Math" w:cs="Cambria Math"/>
                <w:b w:val="0"/>
                <w:bCs/>
                <w:sz w:val="20"/>
                <w:szCs w:val="20"/>
              </w:rPr>
              <w:t>․</w:t>
            </w:r>
            <w:r w:rsidRPr="00A15FAC">
              <w:rPr>
                <w:b w:val="0"/>
                <w:bCs/>
                <w:sz w:val="20"/>
                <w:szCs w:val="20"/>
              </w:rPr>
              <w:t>47%</w:t>
            </w:r>
          </w:p>
        </w:tc>
        <w:tc>
          <w:tcPr>
            <w:tcW w:w="699" w:type="pct"/>
            <w:tcBorders>
              <w:top w:val="single" w:sz="8" w:space="0" w:color="auto"/>
              <w:left w:val="single" w:sz="8" w:space="0" w:color="auto"/>
              <w:bottom w:val="double" w:sz="4" w:space="0" w:color="auto"/>
              <w:right w:val="double" w:sz="4" w:space="0" w:color="auto"/>
            </w:tcBorders>
            <w:shd w:val="solid" w:color="FFFFFF" w:fill="auto"/>
            <w:tcMar>
              <w:top w:w="0" w:type="dxa"/>
              <w:left w:w="30" w:type="dxa"/>
              <w:bottom w:w="0" w:type="dxa"/>
              <w:right w:w="30" w:type="dxa"/>
            </w:tcMar>
            <w:vAlign w:val="center"/>
            <w:hideMark/>
          </w:tcPr>
          <w:p w14:paraId="74799067" w14:textId="77777777" w:rsidR="00433FD0" w:rsidRPr="00BB489E" w:rsidRDefault="00433FD0" w:rsidP="00733935">
            <w:pPr>
              <w:spacing w:before="0" w:line="276" w:lineRule="auto"/>
              <w:ind w:firstLine="0"/>
              <w:jc w:val="center"/>
              <w:rPr>
                <w:rFonts w:cs="Arial"/>
                <w:b w:val="0"/>
                <w:color w:val="000000"/>
                <w:sz w:val="18"/>
                <w:szCs w:val="18"/>
                <w:lang w:val="en-US"/>
              </w:rPr>
            </w:pPr>
            <w:r w:rsidRPr="00BB489E">
              <w:rPr>
                <w:rFonts w:cs="Arial"/>
                <w:b w:val="0"/>
                <w:color w:val="000000"/>
                <w:sz w:val="18"/>
                <w:szCs w:val="18"/>
              </w:rPr>
              <w:t>0.</w:t>
            </w:r>
            <w:r w:rsidRPr="00BB489E">
              <w:rPr>
                <w:rFonts w:cs="Arial"/>
                <w:b w:val="0"/>
                <w:color w:val="000000"/>
                <w:sz w:val="18"/>
                <w:szCs w:val="18"/>
                <w:lang w:val="en-US"/>
              </w:rPr>
              <w:t>79</w:t>
            </w:r>
            <w:r w:rsidRPr="00C05F21">
              <w:rPr>
                <w:sz w:val="20"/>
                <w:szCs w:val="20"/>
              </w:rPr>
              <w:t>%</w:t>
            </w:r>
          </w:p>
        </w:tc>
        <w:tc>
          <w:tcPr>
            <w:tcW w:w="726" w:type="pct"/>
            <w:tcBorders>
              <w:top w:val="single" w:sz="8" w:space="0" w:color="auto"/>
              <w:left w:val="single" w:sz="8" w:space="0" w:color="auto"/>
              <w:bottom w:val="double" w:sz="4" w:space="0" w:color="auto"/>
              <w:right w:val="double" w:sz="4" w:space="0" w:color="auto"/>
            </w:tcBorders>
            <w:shd w:val="solid" w:color="FFFFFF" w:fill="auto"/>
            <w:vAlign w:val="center"/>
          </w:tcPr>
          <w:p w14:paraId="76A5C3D0" w14:textId="77777777" w:rsidR="00433FD0" w:rsidRPr="00755469" w:rsidRDefault="00433FD0" w:rsidP="00733935">
            <w:pPr>
              <w:spacing w:before="0" w:line="276" w:lineRule="auto"/>
              <w:ind w:firstLine="0"/>
              <w:jc w:val="center"/>
              <w:rPr>
                <w:rFonts w:cs="Arial"/>
                <w:b w:val="0"/>
                <w:color w:val="000000"/>
                <w:sz w:val="18"/>
                <w:szCs w:val="18"/>
                <w:lang w:val="en-US"/>
              </w:rPr>
            </w:pPr>
            <w:r>
              <w:rPr>
                <w:rFonts w:cs="Arial"/>
                <w:b w:val="0"/>
                <w:color w:val="000000"/>
                <w:sz w:val="18"/>
                <w:szCs w:val="18"/>
                <w:lang w:val="en-US"/>
              </w:rPr>
              <w:t>0.76%</w:t>
            </w:r>
          </w:p>
        </w:tc>
      </w:tr>
    </w:tbl>
    <w:p w14:paraId="0E7B6D8A" w14:textId="77777777" w:rsidR="00433FD0" w:rsidRPr="00BB489E" w:rsidRDefault="00433FD0" w:rsidP="00433FD0">
      <w:pPr>
        <w:spacing w:before="0" w:line="276" w:lineRule="auto"/>
        <w:rPr>
          <w:rFonts w:cs="Arial"/>
          <w:lang w:val="hy-AM"/>
        </w:rPr>
      </w:pPr>
    </w:p>
    <w:p w14:paraId="302606D3" w14:textId="77777777" w:rsidR="00433FD0" w:rsidRPr="00BB489E" w:rsidRDefault="00433FD0" w:rsidP="00433FD0">
      <w:pPr>
        <w:spacing w:before="0" w:line="276" w:lineRule="auto"/>
        <w:ind w:firstLine="600"/>
        <w:rPr>
          <w:b w:val="0"/>
          <w:lang w:val="hy-AM"/>
        </w:rPr>
      </w:pPr>
      <w:r w:rsidRPr="00BB489E">
        <w:rPr>
          <w:b w:val="0"/>
          <w:lang w:val="hy-AM"/>
        </w:rPr>
        <w:t>Սոցիալական ոլորտի խմբում 201</w:t>
      </w:r>
      <w:r w:rsidRPr="00C818F4">
        <w:rPr>
          <w:b w:val="0"/>
          <w:lang w:val="hy-AM"/>
        </w:rPr>
        <w:t>8</w:t>
      </w:r>
      <w:r w:rsidRPr="00BB489E">
        <w:rPr>
          <w:b w:val="0"/>
          <w:lang w:val="hy-AM"/>
        </w:rPr>
        <w:t>-202</w:t>
      </w:r>
      <w:r w:rsidRPr="00C818F4">
        <w:rPr>
          <w:b w:val="0"/>
          <w:lang w:val="hy-AM"/>
        </w:rPr>
        <w:t>1</w:t>
      </w:r>
      <w:r w:rsidRPr="00BB489E">
        <w:rPr>
          <w:b w:val="0"/>
          <w:lang w:val="hy-AM"/>
        </w:rPr>
        <w:t xml:space="preserve"> թվականներին առանցքային են եղել և 202</w:t>
      </w:r>
      <w:r w:rsidRPr="00C818F4">
        <w:rPr>
          <w:b w:val="0"/>
          <w:lang w:val="hy-AM"/>
        </w:rPr>
        <w:t>2</w:t>
      </w:r>
      <w:r w:rsidRPr="00BB489E">
        <w:rPr>
          <w:b w:val="0"/>
          <w:lang w:val="hy-AM"/>
        </w:rPr>
        <w:t xml:space="preserve"> շարունակվելու են կարևորվել հատկապես սոցիալական ապահովության,  կրթության և առողջապահության բնա</w:t>
      </w:r>
      <w:r w:rsidRPr="00BB489E">
        <w:rPr>
          <w:b w:val="0"/>
          <w:lang w:val="hy-AM"/>
        </w:rPr>
        <w:softHyphen/>
        <w:t>գա</w:t>
      </w:r>
      <w:r w:rsidRPr="00BB489E">
        <w:rPr>
          <w:b w:val="0"/>
          <w:lang w:val="hy-AM"/>
        </w:rPr>
        <w:softHyphen/>
        <w:t>վառ</w:t>
      </w:r>
      <w:r w:rsidRPr="00BB489E">
        <w:rPr>
          <w:b w:val="0"/>
          <w:lang w:val="hy-AM"/>
        </w:rPr>
        <w:softHyphen/>
        <w:t>նե</w:t>
      </w:r>
      <w:r w:rsidRPr="00BB489E">
        <w:rPr>
          <w:b w:val="0"/>
          <w:lang w:val="hy-AM"/>
        </w:rPr>
        <w:softHyphen/>
        <w:t>րի զարգաց</w:t>
      </w:r>
      <w:r w:rsidRPr="00BB489E">
        <w:rPr>
          <w:b w:val="0"/>
          <w:lang w:val="hy-AM"/>
        </w:rPr>
        <w:softHyphen/>
        <w:t xml:space="preserve">ման ռազմավարական ծրագրերի իրականացումը: </w:t>
      </w:r>
    </w:p>
    <w:p w14:paraId="3DE08F44" w14:textId="77777777" w:rsidR="00433FD0" w:rsidRPr="00BB489E" w:rsidRDefault="00433FD0" w:rsidP="00433FD0">
      <w:pPr>
        <w:spacing w:before="0" w:line="276" w:lineRule="auto"/>
        <w:ind w:firstLine="720"/>
        <w:rPr>
          <w:lang w:val="hy-AM"/>
        </w:rPr>
      </w:pPr>
    </w:p>
    <w:p w14:paraId="6AE4E989" w14:textId="2FAAE14A" w:rsidR="00433FD0" w:rsidRPr="00BB489E" w:rsidRDefault="003F382C" w:rsidP="003F382C">
      <w:pPr>
        <w:pStyle w:val="Caption"/>
        <w:rPr>
          <w:bCs w:val="0"/>
          <w:i/>
          <w:sz w:val="20"/>
          <w:szCs w:val="20"/>
          <w:lang w:val="hy-AM"/>
        </w:rPr>
      </w:pPr>
      <w:bookmarkStart w:id="256" w:name="_Toc83928952"/>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15</w:t>
      </w:r>
      <w:r>
        <w:fldChar w:fldCharType="end"/>
      </w:r>
      <w:r w:rsidR="00433FD0" w:rsidRPr="008150A1">
        <w:rPr>
          <w:rFonts w:ascii="Cambria Math" w:hAnsi="Cambria Math" w:cs="Cambria Math"/>
          <w:lang w:val="hy-AM"/>
        </w:rPr>
        <w:t>․</w:t>
      </w:r>
      <w:r w:rsidR="00433FD0" w:rsidRPr="00BB489E">
        <w:rPr>
          <w:rFonts w:ascii="Cambria Math" w:hAnsi="Cambria Math"/>
          <w:lang w:val="hy-AM"/>
        </w:rPr>
        <w:t xml:space="preserve"> </w:t>
      </w:r>
      <w:r w:rsidR="00433FD0" w:rsidRPr="00BB489E">
        <w:rPr>
          <w:i/>
          <w:sz w:val="20"/>
          <w:szCs w:val="20"/>
          <w:lang w:val="hy-AM"/>
        </w:rPr>
        <w:t>Սոցիալական ոլորտի 20</w:t>
      </w:r>
      <w:r w:rsidR="00433FD0" w:rsidRPr="00E04372">
        <w:rPr>
          <w:i/>
          <w:sz w:val="20"/>
          <w:szCs w:val="20"/>
          <w:lang w:val="hy-AM"/>
        </w:rPr>
        <w:t>18</w:t>
      </w:r>
      <w:r w:rsidR="00433FD0" w:rsidRPr="00BB489E">
        <w:rPr>
          <w:i/>
          <w:sz w:val="20"/>
          <w:szCs w:val="20"/>
          <w:lang w:val="hy-AM"/>
        </w:rPr>
        <w:t>-202</w:t>
      </w:r>
      <w:r w:rsidR="00433FD0" w:rsidRPr="00E04372">
        <w:rPr>
          <w:i/>
          <w:sz w:val="20"/>
          <w:szCs w:val="20"/>
          <w:lang w:val="hy-AM"/>
        </w:rPr>
        <w:t>2</w:t>
      </w:r>
      <w:r w:rsidR="00433FD0" w:rsidRPr="00BB489E">
        <w:rPr>
          <w:rFonts w:cs="Arial"/>
          <w:i/>
          <w:sz w:val="20"/>
          <w:szCs w:val="20"/>
          <w:lang w:val="hy-AM"/>
        </w:rPr>
        <w:t>թթ</w:t>
      </w:r>
      <w:r w:rsidR="00433FD0">
        <w:rPr>
          <w:rFonts w:ascii="Cambria Math" w:hAnsi="Cambria Math" w:cs="Arial"/>
          <w:i/>
          <w:sz w:val="20"/>
          <w:szCs w:val="20"/>
          <w:lang w:val="hy-AM"/>
        </w:rPr>
        <w:t>․</w:t>
      </w:r>
      <w:r w:rsidR="00433FD0" w:rsidRPr="00BB489E">
        <w:rPr>
          <w:i/>
          <w:sz w:val="20"/>
          <w:szCs w:val="20"/>
          <w:lang w:val="hy-AM"/>
        </w:rPr>
        <w:t xml:space="preserve"> բյուջետային ծախսերը  (մլն դրամ)</w:t>
      </w:r>
      <w:bookmarkEnd w:id="256"/>
    </w:p>
    <w:tbl>
      <w:tblPr>
        <w:tblW w:w="5315" w:type="pct"/>
        <w:tblInd w:w="-1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57"/>
        <w:gridCol w:w="1396"/>
        <w:gridCol w:w="1396"/>
        <w:gridCol w:w="1226"/>
        <w:gridCol w:w="1342"/>
        <w:gridCol w:w="1522"/>
      </w:tblGrid>
      <w:tr w:rsidR="00433FD0" w:rsidRPr="00BB489E" w14:paraId="57249E9D" w14:textId="77777777" w:rsidTr="00733935">
        <w:trPr>
          <w:trHeight w:val="20"/>
          <w:tblHeader/>
        </w:trPr>
        <w:tc>
          <w:tcPr>
            <w:tcW w:w="1672" w:type="pct"/>
            <w:tcBorders>
              <w:top w:val="double" w:sz="4" w:space="0" w:color="auto"/>
              <w:left w:val="double" w:sz="4"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14:paraId="6AE011B2" w14:textId="77777777" w:rsidR="00433FD0" w:rsidRPr="00BB489E" w:rsidRDefault="00433FD0" w:rsidP="00733935">
            <w:pPr>
              <w:spacing w:before="0" w:line="276" w:lineRule="auto"/>
              <w:jc w:val="center"/>
              <w:rPr>
                <w:rFonts w:cs="Arial"/>
                <w:b w:val="0"/>
                <w:color w:val="FFFFFF" w:themeColor="background1"/>
                <w:sz w:val="20"/>
                <w:szCs w:val="20"/>
                <w:lang w:val="hy-AM"/>
              </w:rPr>
            </w:pPr>
            <w:r w:rsidRPr="00BB489E">
              <w:rPr>
                <w:rFonts w:cs="Arial"/>
                <w:b w:val="0"/>
                <w:color w:val="FFFFFF" w:themeColor="background1"/>
                <w:sz w:val="20"/>
                <w:szCs w:val="20"/>
                <w:lang w:val="hy-AM"/>
              </w:rPr>
              <w:t>Ցուցանիշներ</w:t>
            </w:r>
          </w:p>
        </w:tc>
        <w:tc>
          <w:tcPr>
            <w:tcW w:w="675"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14:paraId="3113CD48"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2018թ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75"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14:paraId="5FB7011F"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2019թ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593" w:type="pct"/>
            <w:tcBorders>
              <w:top w:val="double" w:sz="4" w:space="0" w:color="auto"/>
              <w:left w:val="single" w:sz="6" w:space="0" w:color="auto"/>
              <w:bottom w:val="double" w:sz="4" w:space="0" w:color="auto"/>
              <w:right w:val="single" w:sz="6" w:space="0" w:color="auto"/>
            </w:tcBorders>
            <w:shd w:val="clear" w:color="auto" w:fill="4F81BD" w:themeFill="accent1"/>
            <w:vAlign w:val="center"/>
            <w:hideMark/>
          </w:tcPr>
          <w:p w14:paraId="0AB2E46C" w14:textId="77777777" w:rsidR="00433FD0" w:rsidRPr="00284569" w:rsidRDefault="00433FD0" w:rsidP="00733935">
            <w:pPr>
              <w:spacing w:before="0" w:line="276" w:lineRule="auto"/>
              <w:ind w:firstLine="0"/>
              <w:jc w:val="center"/>
              <w:rPr>
                <w:rFonts w:cs="Arial"/>
                <w:b w:val="0"/>
                <w:color w:val="FFFFFF" w:themeColor="background1"/>
                <w:sz w:val="20"/>
                <w:szCs w:val="20"/>
                <w:lang w:val="hy-AM"/>
              </w:rPr>
            </w:pPr>
            <w:r w:rsidRPr="00284569">
              <w:rPr>
                <w:rFonts w:cs="Arial"/>
                <w:b w:val="0"/>
                <w:color w:val="FFFFFF" w:themeColor="background1"/>
                <w:sz w:val="20"/>
                <w:szCs w:val="20"/>
                <w:lang w:val="hy-AM"/>
              </w:rPr>
              <w:t>2020թ</w:t>
            </w:r>
            <w:r w:rsidRPr="00284569">
              <w:rPr>
                <w:rFonts w:ascii="Cambria Math" w:hAnsi="Cambria Math" w:cs="Cambria Math"/>
                <w:b w:val="0"/>
                <w:color w:val="FFFFFF" w:themeColor="background1"/>
                <w:sz w:val="20"/>
                <w:szCs w:val="20"/>
                <w:lang w:val="hy-AM"/>
              </w:rPr>
              <w:t>․</w:t>
            </w:r>
            <w:r w:rsidRPr="00284569">
              <w:rPr>
                <w:rFonts w:cs="Arial"/>
                <w:b w:val="0"/>
                <w:color w:val="FFFFFF" w:themeColor="background1"/>
                <w:sz w:val="20"/>
                <w:szCs w:val="20"/>
                <w:lang w:val="hy-AM"/>
              </w:rPr>
              <w:t xml:space="preserve"> </w:t>
            </w:r>
            <w:r w:rsidRPr="00284569">
              <w:rPr>
                <w:rFonts w:cs="GHEA Grapalat"/>
                <w:b w:val="0"/>
                <w:color w:val="FFFFFF" w:themeColor="background1"/>
                <w:sz w:val="20"/>
                <w:szCs w:val="20"/>
                <w:lang w:val="hy-AM"/>
              </w:rPr>
              <w:t>փաստացի</w:t>
            </w:r>
          </w:p>
        </w:tc>
        <w:tc>
          <w:tcPr>
            <w:tcW w:w="649" w:type="pct"/>
            <w:tcBorders>
              <w:top w:val="double" w:sz="4" w:space="0" w:color="auto"/>
              <w:left w:val="single" w:sz="6" w:space="0" w:color="auto"/>
              <w:bottom w:val="double" w:sz="4" w:space="0" w:color="auto"/>
              <w:right w:val="double" w:sz="4" w:space="0" w:color="auto"/>
            </w:tcBorders>
            <w:shd w:val="clear" w:color="auto" w:fill="4F81BD" w:themeFill="accent1"/>
            <w:vAlign w:val="center"/>
            <w:hideMark/>
          </w:tcPr>
          <w:p w14:paraId="0BF1B4C4"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2021թ</w:t>
            </w:r>
            <w:r w:rsidRPr="00C818F4">
              <w:rPr>
                <w:rFonts w:ascii="Cambria Math" w:hAnsi="Cambria Math" w:cs="Cambria Math"/>
                <w:b w:val="0"/>
                <w:color w:val="FFFFFF" w:themeColor="background1"/>
                <w:sz w:val="20"/>
                <w:szCs w:val="20"/>
                <w:lang w:val="hy-AM"/>
              </w:rPr>
              <w:t>․</w:t>
            </w:r>
            <w:r w:rsidRPr="00BB489E">
              <w:rPr>
                <w:rFonts w:cs="Arial"/>
                <w:b w:val="0"/>
                <w:color w:val="FFFFFF" w:themeColor="background1"/>
                <w:sz w:val="20"/>
                <w:szCs w:val="20"/>
                <w:lang w:val="hy-AM"/>
              </w:rPr>
              <w:t xml:space="preserve"> </w:t>
            </w:r>
            <w:r>
              <w:rPr>
                <w:rFonts w:cs="Arial"/>
                <w:b w:val="0"/>
                <w:color w:val="FFFFFF" w:themeColor="background1"/>
                <w:sz w:val="20"/>
                <w:szCs w:val="20"/>
                <w:lang w:val="hy-AM"/>
              </w:rPr>
              <w:t>հաստատված</w:t>
            </w:r>
          </w:p>
        </w:tc>
        <w:tc>
          <w:tcPr>
            <w:tcW w:w="736" w:type="pct"/>
            <w:tcBorders>
              <w:top w:val="double" w:sz="4" w:space="0" w:color="auto"/>
              <w:left w:val="single" w:sz="6" w:space="0" w:color="auto"/>
              <w:bottom w:val="double" w:sz="4" w:space="0" w:color="auto"/>
              <w:right w:val="double" w:sz="4" w:space="0" w:color="auto"/>
            </w:tcBorders>
            <w:shd w:val="clear" w:color="auto" w:fill="4F81BD" w:themeFill="accent1"/>
            <w:vAlign w:val="center"/>
          </w:tcPr>
          <w:p w14:paraId="52B07927" w14:textId="77777777" w:rsidR="00433FD0" w:rsidRPr="00BB489E" w:rsidRDefault="00433FD0" w:rsidP="00733935">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w:t>
            </w:r>
            <w:r>
              <w:rPr>
                <w:rFonts w:cs="Arial"/>
                <w:b w:val="0"/>
                <w:color w:val="FFFFFF" w:themeColor="background1"/>
                <w:sz w:val="20"/>
                <w:szCs w:val="20"/>
                <w:lang w:val="hy-AM"/>
              </w:rPr>
              <w:t>2</w:t>
            </w:r>
            <w:r w:rsidRPr="00BB489E">
              <w:rPr>
                <w:rFonts w:cs="Arial"/>
                <w:b w:val="0"/>
                <w:color w:val="FFFFFF" w:themeColor="background1"/>
                <w:sz w:val="20"/>
                <w:szCs w:val="20"/>
                <w:lang w:val="hy-AM"/>
              </w:rPr>
              <w:t>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նախագիծ</w:t>
            </w:r>
          </w:p>
        </w:tc>
      </w:tr>
      <w:tr w:rsidR="00433FD0" w:rsidRPr="00BB489E" w14:paraId="39E64113" w14:textId="77777777" w:rsidTr="00733935">
        <w:trPr>
          <w:trHeight w:val="20"/>
        </w:trPr>
        <w:tc>
          <w:tcPr>
            <w:tcW w:w="1672" w:type="pct"/>
            <w:tcBorders>
              <w:top w:val="double" w:sz="4"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32E5D7E2" w14:textId="77777777" w:rsidR="00433FD0" w:rsidRPr="00BB489E" w:rsidRDefault="00433FD0" w:rsidP="00733935">
            <w:pPr>
              <w:spacing w:before="0" w:line="276" w:lineRule="auto"/>
              <w:ind w:firstLine="0"/>
              <w:jc w:val="left"/>
              <w:rPr>
                <w:rFonts w:cs="Arial"/>
                <w:b w:val="0"/>
                <w:sz w:val="20"/>
                <w:szCs w:val="20"/>
                <w:lang w:val="hy-AM"/>
              </w:rPr>
            </w:pPr>
            <w:r w:rsidRPr="00BB489E">
              <w:rPr>
                <w:rFonts w:cs="Arial"/>
                <w:sz w:val="20"/>
                <w:szCs w:val="20"/>
                <w:lang w:val="hy-AM"/>
              </w:rPr>
              <w:t>ՍՈՑԻԱԼԱԿԱՆ ՈԼՈՐՏ ԸՆԴԱՄԵՆԸ</w:t>
            </w:r>
          </w:p>
        </w:tc>
        <w:tc>
          <w:tcPr>
            <w:tcW w:w="675"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hideMark/>
          </w:tcPr>
          <w:p w14:paraId="3697D3B1" w14:textId="77777777" w:rsidR="00433FD0" w:rsidRPr="002D7391" w:rsidRDefault="00433FD0" w:rsidP="00733935">
            <w:pPr>
              <w:spacing w:before="0" w:line="276" w:lineRule="auto"/>
              <w:ind w:firstLine="0"/>
              <w:jc w:val="center"/>
              <w:rPr>
                <w:b w:val="0"/>
                <w:sz w:val="20"/>
                <w:szCs w:val="20"/>
              </w:rPr>
            </w:pPr>
            <w:r w:rsidRPr="002D7391">
              <w:rPr>
                <w:sz w:val="20"/>
                <w:szCs w:val="20"/>
              </w:rPr>
              <w:t xml:space="preserve"> 643,132.58 </w:t>
            </w:r>
          </w:p>
        </w:tc>
        <w:tc>
          <w:tcPr>
            <w:tcW w:w="675"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hideMark/>
          </w:tcPr>
          <w:p w14:paraId="79A0F7ED" w14:textId="77777777" w:rsidR="00433FD0" w:rsidRPr="002D7391" w:rsidRDefault="00433FD0" w:rsidP="00733935">
            <w:pPr>
              <w:spacing w:before="0" w:line="276" w:lineRule="auto"/>
              <w:ind w:firstLine="0"/>
              <w:jc w:val="center"/>
              <w:rPr>
                <w:b w:val="0"/>
                <w:sz w:val="20"/>
                <w:szCs w:val="20"/>
              </w:rPr>
            </w:pPr>
            <w:r w:rsidRPr="002D7391">
              <w:rPr>
                <w:sz w:val="20"/>
                <w:szCs w:val="20"/>
              </w:rPr>
              <w:t xml:space="preserve"> 716,099.00 </w:t>
            </w:r>
          </w:p>
        </w:tc>
        <w:tc>
          <w:tcPr>
            <w:tcW w:w="593"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30" w:type="dxa"/>
              <w:bottom w:w="0" w:type="dxa"/>
              <w:right w:w="30" w:type="dxa"/>
            </w:tcMar>
            <w:hideMark/>
          </w:tcPr>
          <w:p w14:paraId="2F543C01" w14:textId="77777777" w:rsidR="00433FD0" w:rsidRPr="003437E7" w:rsidRDefault="00433FD0" w:rsidP="00733935">
            <w:pPr>
              <w:spacing w:before="0" w:line="276" w:lineRule="auto"/>
              <w:ind w:firstLine="0"/>
              <w:jc w:val="center"/>
              <w:rPr>
                <w:sz w:val="20"/>
                <w:szCs w:val="20"/>
              </w:rPr>
            </w:pPr>
            <w:r w:rsidRPr="003437E7">
              <w:rPr>
                <w:sz w:val="20"/>
                <w:szCs w:val="20"/>
                <w:lang w:val="en-US"/>
              </w:rPr>
              <w:t>872</w:t>
            </w:r>
            <w:r w:rsidRPr="003437E7">
              <w:rPr>
                <w:sz w:val="20"/>
                <w:szCs w:val="20"/>
              </w:rPr>
              <w:t>,</w:t>
            </w:r>
            <w:r w:rsidRPr="003437E7">
              <w:rPr>
                <w:sz w:val="20"/>
                <w:szCs w:val="20"/>
                <w:lang w:val="en-US"/>
              </w:rPr>
              <w:t>233.8</w:t>
            </w:r>
          </w:p>
        </w:tc>
        <w:tc>
          <w:tcPr>
            <w:tcW w:w="649" w:type="pct"/>
            <w:tcBorders>
              <w:top w:val="double" w:sz="4" w:space="0" w:color="auto"/>
              <w:left w:val="single" w:sz="6"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hideMark/>
          </w:tcPr>
          <w:p w14:paraId="4D8EC469" w14:textId="77777777" w:rsidR="00433FD0" w:rsidRPr="002D7391" w:rsidRDefault="00433FD0" w:rsidP="00733935">
            <w:pPr>
              <w:spacing w:before="0" w:line="276" w:lineRule="auto"/>
              <w:ind w:firstLine="0"/>
              <w:jc w:val="center"/>
              <w:rPr>
                <w:b w:val="0"/>
                <w:sz w:val="20"/>
                <w:szCs w:val="20"/>
                <w:lang w:val="en-US"/>
              </w:rPr>
            </w:pPr>
            <w:r w:rsidRPr="002D7391">
              <w:rPr>
                <w:sz w:val="20"/>
                <w:szCs w:val="20"/>
              </w:rPr>
              <w:t xml:space="preserve">806,603.02 </w:t>
            </w:r>
          </w:p>
        </w:tc>
        <w:tc>
          <w:tcPr>
            <w:tcW w:w="736" w:type="pct"/>
            <w:tcBorders>
              <w:top w:val="double" w:sz="4" w:space="0" w:color="auto"/>
              <w:left w:val="single" w:sz="6" w:space="0" w:color="auto"/>
              <w:bottom w:val="single" w:sz="4" w:space="0" w:color="auto"/>
              <w:right w:val="double" w:sz="4" w:space="0" w:color="auto"/>
            </w:tcBorders>
            <w:shd w:val="clear" w:color="auto" w:fill="C6D9F1" w:themeFill="text2" w:themeFillTint="33"/>
          </w:tcPr>
          <w:p w14:paraId="7911C602" w14:textId="77777777" w:rsidR="00433FD0" w:rsidRPr="002164ED" w:rsidRDefault="00433FD0" w:rsidP="00733935">
            <w:pPr>
              <w:spacing w:before="0" w:line="276" w:lineRule="auto"/>
              <w:ind w:firstLine="0"/>
              <w:jc w:val="center"/>
              <w:rPr>
                <w:sz w:val="20"/>
                <w:szCs w:val="20"/>
                <w:lang w:val="en-US"/>
              </w:rPr>
            </w:pPr>
            <w:r w:rsidRPr="00841900">
              <w:rPr>
                <w:sz w:val="20"/>
                <w:szCs w:val="20"/>
              </w:rPr>
              <w:t>9</w:t>
            </w:r>
            <w:r>
              <w:rPr>
                <w:sz w:val="20"/>
                <w:szCs w:val="20"/>
                <w:lang w:val="en-US"/>
              </w:rPr>
              <w:t>29</w:t>
            </w:r>
            <w:r w:rsidRPr="00841900">
              <w:rPr>
                <w:sz w:val="20"/>
                <w:szCs w:val="20"/>
              </w:rPr>
              <w:t>,</w:t>
            </w:r>
            <w:r>
              <w:rPr>
                <w:sz w:val="20"/>
                <w:szCs w:val="20"/>
                <w:lang w:val="en-US"/>
              </w:rPr>
              <w:t>399</w:t>
            </w:r>
            <w:r w:rsidRPr="00841900">
              <w:rPr>
                <w:sz w:val="20"/>
                <w:szCs w:val="20"/>
              </w:rPr>
              <w:t>.</w:t>
            </w:r>
            <w:r>
              <w:rPr>
                <w:sz w:val="20"/>
                <w:szCs w:val="20"/>
                <w:lang w:val="en-US"/>
              </w:rPr>
              <w:t>1</w:t>
            </w:r>
          </w:p>
        </w:tc>
      </w:tr>
      <w:tr w:rsidR="00433FD0" w:rsidRPr="00BB489E" w14:paraId="411C98C7"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14:paraId="515B439A"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353D52A6" w14:textId="77777777" w:rsidR="00433FD0" w:rsidRPr="002D7391" w:rsidRDefault="00433FD0" w:rsidP="00733935">
            <w:pPr>
              <w:spacing w:before="0" w:line="276" w:lineRule="auto"/>
              <w:ind w:firstLine="0"/>
              <w:jc w:val="center"/>
              <w:rPr>
                <w:rFonts w:cs="Arial"/>
                <w:b w:val="0"/>
                <w:color w:val="000000"/>
                <w:sz w:val="20"/>
                <w:szCs w:val="20"/>
              </w:rPr>
            </w:pPr>
            <w:r w:rsidRPr="002D7391">
              <w:rPr>
                <w:sz w:val="20"/>
                <w:szCs w:val="20"/>
              </w:rPr>
              <w:t>10.7%</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C986CC5" w14:textId="77777777" w:rsidR="00433FD0" w:rsidRPr="002D7391" w:rsidRDefault="00433FD0" w:rsidP="00733935">
            <w:pPr>
              <w:spacing w:before="0" w:line="276" w:lineRule="auto"/>
              <w:ind w:firstLine="0"/>
              <w:jc w:val="center"/>
              <w:rPr>
                <w:rFonts w:cs="Arial"/>
                <w:b w:val="0"/>
                <w:color w:val="000000"/>
                <w:sz w:val="20"/>
                <w:szCs w:val="20"/>
              </w:rPr>
            </w:pPr>
            <w:r w:rsidRPr="002D7391">
              <w:rPr>
                <w:sz w:val="20"/>
                <w:szCs w:val="20"/>
              </w:rPr>
              <w:t>10.9%</w:t>
            </w:r>
          </w:p>
        </w:tc>
        <w:tc>
          <w:tcPr>
            <w:tcW w:w="5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E917976" w14:textId="77777777" w:rsidR="00433FD0" w:rsidRPr="003437E7" w:rsidRDefault="00433FD0" w:rsidP="00733935">
            <w:pPr>
              <w:spacing w:before="0" w:line="276" w:lineRule="auto"/>
              <w:ind w:firstLine="0"/>
              <w:jc w:val="center"/>
              <w:rPr>
                <w:rFonts w:cs="Arial"/>
                <w:color w:val="000000"/>
                <w:sz w:val="20"/>
                <w:szCs w:val="20"/>
              </w:rPr>
            </w:pPr>
            <w:r w:rsidRPr="003437E7">
              <w:rPr>
                <w:sz w:val="20"/>
                <w:szCs w:val="20"/>
              </w:rPr>
              <w:t>1</w:t>
            </w:r>
            <w:r w:rsidRPr="003437E7">
              <w:rPr>
                <w:sz w:val="20"/>
                <w:szCs w:val="20"/>
                <w:lang w:val="hy-AM"/>
              </w:rPr>
              <w:t>4</w:t>
            </w:r>
            <w:r w:rsidRPr="003437E7">
              <w:rPr>
                <w:sz w:val="20"/>
                <w:szCs w:val="20"/>
              </w:rPr>
              <w:t>.1%</w:t>
            </w:r>
          </w:p>
        </w:tc>
        <w:tc>
          <w:tcPr>
            <w:tcW w:w="649"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14:paraId="3DED910A" w14:textId="77777777" w:rsidR="00433FD0" w:rsidRPr="002D7391" w:rsidRDefault="00433FD0" w:rsidP="00733935">
            <w:pPr>
              <w:spacing w:before="0" w:line="276" w:lineRule="auto"/>
              <w:ind w:firstLine="0"/>
              <w:jc w:val="center"/>
              <w:rPr>
                <w:rFonts w:cs="Arial"/>
                <w:b w:val="0"/>
                <w:color w:val="000000"/>
                <w:sz w:val="20"/>
                <w:szCs w:val="20"/>
                <w:lang w:val="en-US"/>
              </w:rPr>
            </w:pPr>
            <w:r w:rsidRPr="002D7391">
              <w:rPr>
                <w:sz w:val="20"/>
                <w:szCs w:val="20"/>
              </w:rPr>
              <w:t>12.6%</w:t>
            </w:r>
          </w:p>
        </w:tc>
        <w:tc>
          <w:tcPr>
            <w:tcW w:w="736" w:type="pct"/>
            <w:tcBorders>
              <w:top w:val="single" w:sz="6" w:space="0" w:color="auto"/>
              <w:left w:val="single" w:sz="6" w:space="0" w:color="auto"/>
              <w:bottom w:val="single" w:sz="6" w:space="0" w:color="auto"/>
              <w:right w:val="double" w:sz="4" w:space="0" w:color="auto"/>
            </w:tcBorders>
          </w:tcPr>
          <w:p w14:paraId="5DE1F90F" w14:textId="77777777" w:rsidR="00433FD0" w:rsidRPr="00841900" w:rsidRDefault="00433FD0" w:rsidP="00733935">
            <w:pPr>
              <w:spacing w:before="0" w:line="276" w:lineRule="auto"/>
              <w:ind w:firstLine="0"/>
              <w:jc w:val="center"/>
              <w:rPr>
                <w:sz w:val="20"/>
                <w:szCs w:val="20"/>
              </w:rPr>
            </w:pPr>
            <w:r w:rsidRPr="00841900">
              <w:rPr>
                <w:sz w:val="20"/>
                <w:szCs w:val="20"/>
              </w:rPr>
              <w:t>11.</w:t>
            </w:r>
            <w:r>
              <w:rPr>
                <w:sz w:val="20"/>
                <w:szCs w:val="20"/>
                <w:lang w:val="en-US"/>
              </w:rPr>
              <w:t>8</w:t>
            </w:r>
            <w:r w:rsidRPr="00841900">
              <w:rPr>
                <w:sz w:val="20"/>
                <w:szCs w:val="20"/>
              </w:rPr>
              <w:t>%</w:t>
            </w:r>
          </w:p>
        </w:tc>
      </w:tr>
      <w:tr w:rsidR="00433FD0" w:rsidRPr="00BB489E" w14:paraId="76F1E9D3"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14:paraId="011DEC74"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404CFAA" w14:textId="77777777" w:rsidR="00433FD0" w:rsidRPr="002D7391" w:rsidRDefault="00433FD0" w:rsidP="00733935">
            <w:pPr>
              <w:spacing w:before="0" w:line="276" w:lineRule="auto"/>
              <w:ind w:firstLine="0"/>
              <w:jc w:val="center"/>
              <w:rPr>
                <w:rFonts w:cs="Arial"/>
                <w:b w:val="0"/>
                <w:color w:val="000000"/>
                <w:sz w:val="20"/>
                <w:szCs w:val="20"/>
              </w:rPr>
            </w:pPr>
            <w:r w:rsidRPr="002D7391">
              <w:rPr>
                <w:sz w:val="20"/>
                <w:szCs w:val="20"/>
              </w:rPr>
              <w:t>44.4%</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79FAF6E" w14:textId="77777777" w:rsidR="00433FD0" w:rsidRPr="002D7391" w:rsidRDefault="00433FD0" w:rsidP="00733935">
            <w:pPr>
              <w:spacing w:before="0" w:line="276" w:lineRule="auto"/>
              <w:ind w:firstLine="0"/>
              <w:jc w:val="center"/>
              <w:rPr>
                <w:rFonts w:cs="Arial"/>
                <w:b w:val="0"/>
                <w:color w:val="000000"/>
                <w:sz w:val="20"/>
                <w:szCs w:val="20"/>
              </w:rPr>
            </w:pPr>
            <w:r w:rsidRPr="002D7391">
              <w:rPr>
                <w:sz w:val="20"/>
                <w:szCs w:val="20"/>
              </w:rPr>
              <w:t>43.9%</w:t>
            </w:r>
          </w:p>
        </w:tc>
        <w:tc>
          <w:tcPr>
            <w:tcW w:w="5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41A124F" w14:textId="77777777" w:rsidR="00433FD0" w:rsidRPr="003437E7" w:rsidRDefault="00433FD0" w:rsidP="00733935">
            <w:pPr>
              <w:spacing w:before="0" w:line="276" w:lineRule="auto"/>
              <w:ind w:firstLine="0"/>
              <w:jc w:val="center"/>
              <w:rPr>
                <w:rFonts w:cs="Arial"/>
                <w:color w:val="000000"/>
                <w:sz w:val="20"/>
                <w:szCs w:val="20"/>
              </w:rPr>
            </w:pPr>
            <w:r w:rsidRPr="003437E7">
              <w:rPr>
                <w:sz w:val="20"/>
                <w:szCs w:val="20"/>
              </w:rPr>
              <w:t>4</w:t>
            </w:r>
            <w:r w:rsidRPr="003437E7">
              <w:rPr>
                <w:sz w:val="20"/>
                <w:szCs w:val="20"/>
                <w:lang w:val="en-US"/>
              </w:rPr>
              <w:t>6</w:t>
            </w:r>
            <w:r w:rsidRPr="003437E7">
              <w:rPr>
                <w:sz w:val="20"/>
                <w:szCs w:val="20"/>
              </w:rPr>
              <w:t>.0%</w:t>
            </w:r>
          </w:p>
        </w:tc>
        <w:tc>
          <w:tcPr>
            <w:tcW w:w="649"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14:paraId="373D4A93" w14:textId="77777777" w:rsidR="00433FD0" w:rsidRPr="002D7391" w:rsidRDefault="00433FD0" w:rsidP="00733935">
            <w:pPr>
              <w:spacing w:before="0" w:line="276" w:lineRule="auto"/>
              <w:ind w:firstLine="0"/>
              <w:jc w:val="center"/>
              <w:rPr>
                <w:rFonts w:cs="Arial"/>
                <w:b w:val="0"/>
                <w:color w:val="000000"/>
                <w:sz w:val="20"/>
                <w:szCs w:val="20"/>
                <w:lang w:val="en-US"/>
              </w:rPr>
            </w:pPr>
            <w:r w:rsidRPr="002D7391">
              <w:rPr>
                <w:sz w:val="20"/>
                <w:szCs w:val="20"/>
              </w:rPr>
              <w:t>43.6%</w:t>
            </w:r>
          </w:p>
        </w:tc>
        <w:tc>
          <w:tcPr>
            <w:tcW w:w="736" w:type="pct"/>
            <w:tcBorders>
              <w:top w:val="single" w:sz="6" w:space="0" w:color="auto"/>
              <w:left w:val="single" w:sz="6" w:space="0" w:color="auto"/>
              <w:bottom w:val="single" w:sz="6" w:space="0" w:color="auto"/>
              <w:right w:val="double" w:sz="4" w:space="0" w:color="auto"/>
            </w:tcBorders>
          </w:tcPr>
          <w:p w14:paraId="4562B621" w14:textId="77777777" w:rsidR="00433FD0" w:rsidRPr="00841900" w:rsidRDefault="00433FD0" w:rsidP="00733935">
            <w:pPr>
              <w:spacing w:before="0" w:line="276" w:lineRule="auto"/>
              <w:ind w:firstLine="0"/>
              <w:jc w:val="center"/>
              <w:rPr>
                <w:sz w:val="20"/>
                <w:szCs w:val="20"/>
              </w:rPr>
            </w:pPr>
            <w:r>
              <w:rPr>
                <w:sz w:val="20"/>
                <w:szCs w:val="20"/>
                <w:lang w:val="en-US"/>
              </w:rPr>
              <w:t>42</w:t>
            </w:r>
            <w:r w:rsidRPr="00841900">
              <w:rPr>
                <w:sz w:val="20"/>
                <w:szCs w:val="20"/>
              </w:rPr>
              <w:t>.</w:t>
            </w:r>
            <w:r>
              <w:rPr>
                <w:sz w:val="20"/>
                <w:szCs w:val="20"/>
                <w:lang w:val="en-US"/>
              </w:rPr>
              <w:t>5</w:t>
            </w:r>
            <w:r w:rsidRPr="00841900">
              <w:rPr>
                <w:sz w:val="20"/>
                <w:szCs w:val="20"/>
              </w:rPr>
              <w:t>%</w:t>
            </w:r>
          </w:p>
        </w:tc>
      </w:tr>
      <w:tr w:rsidR="00433FD0" w:rsidRPr="00BB489E" w14:paraId="385BADD5" w14:textId="77777777" w:rsidTr="00733935">
        <w:trPr>
          <w:trHeight w:val="20"/>
        </w:trPr>
        <w:tc>
          <w:tcPr>
            <w:tcW w:w="1672" w:type="pct"/>
            <w:tcBorders>
              <w:top w:val="single" w:sz="6" w:space="0" w:color="auto"/>
              <w:left w:val="double" w:sz="4" w:space="0" w:color="auto"/>
              <w:bottom w:val="single" w:sz="6" w:space="0" w:color="auto"/>
              <w:right w:val="single" w:sz="4" w:space="0" w:color="auto"/>
            </w:tcBorders>
            <w:shd w:val="solid" w:color="FFFFFF" w:fill="auto"/>
            <w:tcMar>
              <w:top w:w="0" w:type="dxa"/>
              <w:left w:w="57" w:type="dxa"/>
              <w:bottom w:w="0" w:type="dxa"/>
              <w:right w:w="85" w:type="dxa"/>
            </w:tcMar>
            <w:vAlign w:val="center"/>
            <w:hideMark/>
          </w:tcPr>
          <w:p w14:paraId="39A43BB0" w14:textId="77777777" w:rsidR="00433FD0" w:rsidRPr="00BB489E" w:rsidRDefault="00433FD0" w:rsidP="00733935">
            <w:pPr>
              <w:spacing w:before="0" w:line="276" w:lineRule="auto"/>
              <w:jc w:val="left"/>
              <w:rPr>
                <w:b w:val="0"/>
                <w:sz w:val="20"/>
                <w:szCs w:val="20"/>
              </w:rPr>
            </w:pPr>
            <w:r w:rsidRPr="00BB489E">
              <w:rPr>
                <w:rFonts w:cs="Arial"/>
                <w:b w:val="0"/>
                <w:sz w:val="20"/>
                <w:szCs w:val="20"/>
              </w:rPr>
              <w:t>այդ</w:t>
            </w:r>
            <w:r w:rsidRPr="00BB489E">
              <w:rPr>
                <w:b w:val="0"/>
                <w:sz w:val="20"/>
                <w:szCs w:val="20"/>
              </w:rPr>
              <w:t xml:space="preserve"> </w:t>
            </w:r>
            <w:r w:rsidRPr="00BB489E">
              <w:rPr>
                <w:rFonts w:cs="Arial"/>
                <w:b w:val="0"/>
                <w:sz w:val="20"/>
                <w:szCs w:val="20"/>
              </w:rPr>
              <w:t>թվում</w:t>
            </w:r>
            <w:r w:rsidRPr="00BB489E">
              <w:rPr>
                <w:b w:val="0"/>
                <w:sz w:val="20"/>
                <w:szCs w:val="20"/>
              </w:rPr>
              <w:t>`</w:t>
            </w:r>
          </w:p>
        </w:tc>
        <w:tc>
          <w:tcPr>
            <w:tcW w:w="675"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14:paraId="6C92A879" w14:textId="77777777" w:rsidR="00433FD0" w:rsidRPr="00BB489E" w:rsidRDefault="00433FD0" w:rsidP="00733935">
            <w:pPr>
              <w:spacing w:before="0" w:line="276" w:lineRule="auto"/>
              <w:jc w:val="center"/>
              <w:rPr>
                <w:b w:val="0"/>
                <w:sz w:val="20"/>
                <w:szCs w:val="20"/>
                <w:lang w:val="hy-AM"/>
              </w:rPr>
            </w:pPr>
          </w:p>
        </w:tc>
        <w:tc>
          <w:tcPr>
            <w:tcW w:w="675"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14:paraId="51562C7B" w14:textId="77777777" w:rsidR="00433FD0" w:rsidRPr="00BB489E" w:rsidRDefault="00433FD0" w:rsidP="00733935">
            <w:pPr>
              <w:spacing w:before="0" w:line="276" w:lineRule="auto"/>
              <w:jc w:val="center"/>
              <w:rPr>
                <w:b w:val="0"/>
                <w:sz w:val="20"/>
                <w:szCs w:val="20"/>
                <w:lang w:val="hy-AM"/>
              </w:rPr>
            </w:pPr>
          </w:p>
        </w:tc>
        <w:tc>
          <w:tcPr>
            <w:tcW w:w="593" w:type="pct"/>
            <w:tcBorders>
              <w:top w:val="single" w:sz="4" w:space="0" w:color="auto"/>
              <w:left w:val="single" w:sz="4" w:space="0" w:color="auto"/>
              <w:bottom w:val="single" w:sz="4" w:space="0" w:color="auto"/>
              <w:right w:val="single" w:sz="4" w:space="0" w:color="auto"/>
            </w:tcBorders>
            <w:shd w:val="solid" w:color="FFFFFF" w:fill="auto"/>
            <w:tcMar>
              <w:top w:w="0" w:type="dxa"/>
              <w:left w:w="30" w:type="dxa"/>
              <w:bottom w:w="0" w:type="dxa"/>
              <w:right w:w="30" w:type="dxa"/>
            </w:tcMar>
            <w:vAlign w:val="center"/>
          </w:tcPr>
          <w:p w14:paraId="71F554B4" w14:textId="77777777" w:rsidR="00433FD0" w:rsidRPr="00BB489E" w:rsidRDefault="00433FD0" w:rsidP="00733935">
            <w:pPr>
              <w:spacing w:before="0" w:line="276" w:lineRule="auto"/>
              <w:jc w:val="center"/>
              <w:rPr>
                <w:b w:val="0"/>
                <w:sz w:val="20"/>
                <w:szCs w:val="20"/>
                <w:lang w:val="hy-AM"/>
              </w:rPr>
            </w:pPr>
          </w:p>
        </w:tc>
        <w:tc>
          <w:tcPr>
            <w:tcW w:w="649" w:type="pct"/>
            <w:tcBorders>
              <w:top w:val="single" w:sz="4" w:space="0" w:color="auto"/>
              <w:left w:val="single" w:sz="4" w:space="0" w:color="auto"/>
              <w:bottom w:val="single" w:sz="4" w:space="0" w:color="auto"/>
              <w:right w:val="double" w:sz="4" w:space="0" w:color="auto"/>
            </w:tcBorders>
            <w:shd w:val="solid" w:color="FFFFFF" w:fill="auto"/>
            <w:tcMar>
              <w:top w:w="0" w:type="dxa"/>
              <w:left w:w="30" w:type="dxa"/>
              <w:bottom w:w="0" w:type="dxa"/>
              <w:right w:w="30" w:type="dxa"/>
            </w:tcMar>
            <w:vAlign w:val="center"/>
          </w:tcPr>
          <w:p w14:paraId="6BBF7E6A" w14:textId="77777777" w:rsidR="00433FD0" w:rsidRPr="00BB489E" w:rsidRDefault="00433FD0" w:rsidP="00733935">
            <w:pPr>
              <w:spacing w:before="0" w:line="276" w:lineRule="auto"/>
              <w:jc w:val="center"/>
              <w:rPr>
                <w:b w:val="0"/>
                <w:sz w:val="20"/>
                <w:szCs w:val="20"/>
                <w:lang w:val="hy-AM"/>
              </w:rPr>
            </w:pPr>
          </w:p>
        </w:tc>
        <w:tc>
          <w:tcPr>
            <w:tcW w:w="736" w:type="pct"/>
            <w:tcBorders>
              <w:top w:val="single" w:sz="4" w:space="0" w:color="auto"/>
              <w:left w:val="single" w:sz="4" w:space="0" w:color="auto"/>
              <w:bottom w:val="single" w:sz="4" w:space="0" w:color="auto"/>
              <w:right w:val="double" w:sz="4" w:space="0" w:color="auto"/>
            </w:tcBorders>
            <w:shd w:val="solid" w:color="FFFFFF" w:fill="auto"/>
            <w:vAlign w:val="center"/>
          </w:tcPr>
          <w:p w14:paraId="2C61A09F" w14:textId="77777777" w:rsidR="00433FD0" w:rsidRPr="00841900" w:rsidRDefault="00433FD0" w:rsidP="00733935">
            <w:pPr>
              <w:spacing w:before="0" w:line="276" w:lineRule="auto"/>
              <w:ind w:firstLine="0"/>
              <w:jc w:val="center"/>
              <w:rPr>
                <w:sz w:val="20"/>
                <w:szCs w:val="20"/>
              </w:rPr>
            </w:pPr>
          </w:p>
        </w:tc>
      </w:tr>
      <w:tr w:rsidR="00433FD0" w:rsidRPr="00BB489E" w14:paraId="72F429A4" w14:textId="77777777" w:rsidTr="00733935">
        <w:trPr>
          <w:trHeight w:val="20"/>
        </w:trPr>
        <w:tc>
          <w:tcPr>
            <w:tcW w:w="1672" w:type="pct"/>
            <w:tcBorders>
              <w:top w:val="single" w:sz="6" w:space="0" w:color="auto"/>
              <w:left w:val="double" w:sz="4" w:space="0" w:color="auto"/>
              <w:bottom w:val="single" w:sz="6" w:space="0" w:color="auto"/>
              <w:right w:val="single" w:sz="4" w:space="0" w:color="auto"/>
            </w:tcBorders>
            <w:shd w:val="clear" w:color="auto" w:fill="C6D9F1" w:themeFill="text2" w:themeFillTint="33"/>
            <w:tcMar>
              <w:top w:w="0" w:type="dxa"/>
              <w:left w:w="57" w:type="dxa"/>
              <w:bottom w:w="0" w:type="dxa"/>
              <w:right w:w="85" w:type="dxa"/>
            </w:tcMar>
            <w:vAlign w:val="center"/>
            <w:hideMark/>
          </w:tcPr>
          <w:p w14:paraId="30289574" w14:textId="77777777" w:rsidR="00433FD0" w:rsidRPr="00BB489E" w:rsidRDefault="00433FD0" w:rsidP="00733935">
            <w:pPr>
              <w:spacing w:before="0" w:line="276" w:lineRule="auto"/>
              <w:ind w:firstLine="0"/>
              <w:jc w:val="left"/>
              <w:rPr>
                <w:b w:val="0"/>
                <w:sz w:val="20"/>
                <w:szCs w:val="20"/>
                <w:lang w:val="hy-AM"/>
              </w:rPr>
            </w:pPr>
            <w:r w:rsidRPr="00BB489E">
              <w:rPr>
                <w:sz w:val="20"/>
                <w:szCs w:val="20"/>
                <w:lang w:val="hy-AM"/>
              </w:rPr>
              <w:t xml:space="preserve">1. </w:t>
            </w:r>
            <w:r w:rsidRPr="00BB489E">
              <w:rPr>
                <w:rFonts w:cs="Arial"/>
                <w:sz w:val="20"/>
                <w:szCs w:val="20"/>
                <w:lang w:val="hy-AM"/>
              </w:rPr>
              <w:t>ԿՐԹՈՒԹՅՈՒՆ</w:t>
            </w:r>
          </w:p>
        </w:tc>
        <w:tc>
          <w:tcPr>
            <w:tcW w:w="675"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14:paraId="1FFA4B26" w14:textId="77777777" w:rsidR="00433FD0" w:rsidRPr="00BB489E" w:rsidRDefault="00433FD0" w:rsidP="00733935">
            <w:pPr>
              <w:spacing w:before="0" w:line="276" w:lineRule="auto"/>
              <w:ind w:firstLine="0"/>
              <w:jc w:val="center"/>
              <w:rPr>
                <w:b w:val="0"/>
                <w:sz w:val="20"/>
                <w:szCs w:val="20"/>
              </w:rPr>
            </w:pPr>
            <w:r w:rsidRPr="00BB489E">
              <w:rPr>
                <w:rFonts w:cs="Calibri"/>
                <w:bCs/>
                <w:sz w:val="20"/>
                <w:szCs w:val="20"/>
              </w:rPr>
              <w:t>121,626.5</w:t>
            </w:r>
          </w:p>
        </w:tc>
        <w:tc>
          <w:tcPr>
            <w:tcW w:w="675"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14:paraId="6021B9A2" w14:textId="77777777" w:rsidR="00433FD0" w:rsidRPr="00BB489E" w:rsidRDefault="00433FD0" w:rsidP="00733935">
            <w:pPr>
              <w:spacing w:before="0" w:line="276" w:lineRule="auto"/>
              <w:ind w:firstLine="0"/>
              <w:jc w:val="center"/>
              <w:rPr>
                <w:b w:val="0"/>
                <w:sz w:val="20"/>
                <w:szCs w:val="20"/>
              </w:rPr>
            </w:pPr>
            <w:r w:rsidRPr="00BB489E">
              <w:rPr>
                <w:rFonts w:cs="Calibri"/>
                <w:bCs/>
                <w:sz w:val="20"/>
                <w:szCs w:val="20"/>
              </w:rPr>
              <w:t>129,336.3</w:t>
            </w:r>
          </w:p>
        </w:tc>
        <w:tc>
          <w:tcPr>
            <w:tcW w:w="593"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30" w:type="dxa"/>
              <w:bottom w:w="0" w:type="dxa"/>
              <w:right w:w="30" w:type="dxa"/>
            </w:tcMar>
            <w:vAlign w:val="center"/>
            <w:hideMark/>
          </w:tcPr>
          <w:p w14:paraId="08DB6AF9" w14:textId="77777777" w:rsidR="00433FD0" w:rsidRPr="003437E7" w:rsidRDefault="00433FD0" w:rsidP="00733935">
            <w:pPr>
              <w:spacing w:before="0" w:line="276" w:lineRule="auto"/>
              <w:ind w:firstLine="0"/>
              <w:jc w:val="center"/>
              <w:rPr>
                <w:b w:val="0"/>
                <w:sz w:val="20"/>
                <w:szCs w:val="20"/>
                <w:lang w:val="hy-AM"/>
              </w:rPr>
            </w:pPr>
            <w:r>
              <w:rPr>
                <w:rFonts w:cs="Calibri"/>
                <w:bCs/>
                <w:sz w:val="20"/>
                <w:szCs w:val="20"/>
                <w:lang w:val="hy-AM"/>
              </w:rPr>
              <w:t>143</w:t>
            </w:r>
            <w:r w:rsidRPr="00BB489E">
              <w:rPr>
                <w:rFonts w:cs="Calibri"/>
                <w:bCs/>
                <w:sz w:val="20"/>
                <w:szCs w:val="20"/>
              </w:rPr>
              <w:t>,</w:t>
            </w:r>
            <w:r>
              <w:rPr>
                <w:rFonts w:cs="Calibri"/>
                <w:bCs/>
                <w:sz w:val="20"/>
                <w:szCs w:val="20"/>
                <w:lang w:val="hy-AM"/>
              </w:rPr>
              <w:t>796</w:t>
            </w:r>
            <w:r w:rsidRPr="00BB489E">
              <w:rPr>
                <w:rFonts w:cs="Calibri"/>
                <w:bCs/>
                <w:sz w:val="20"/>
                <w:szCs w:val="20"/>
              </w:rPr>
              <w:t>.</w:t>
            </w:r>
            <w:r>
              <w:rPr>
                <w:rFonts w:cs="Calibri"/>
                <w:bCs/>
                <w:sz w:val="20"/>
                <w:szCs w:val="20"/>
                <w:lang w:val="hy-AM"/>
              </w:rPr>
              <w:t>3</w:t>
            </w:r>
          </w:p>
        </w:tc>
        <w:tc>
          <w:tcPr>
            <w:tcW w:w="649" w:type="pct"/>
            <w:tcBorders>
              <w:top w:val="single" w:sz="4" w:space="0" w:color="auto"/>
              <w:left w:val="single" w:sz="4"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64A3943E" w14:textId="77777777" w:rsidR="00433FD0" w:rsidRPr="00BB489E" w:rsidRDefault="00433FD0" w:rsidP="00733935">
            <w:pPr>
              <w:spacing w:before="0" w:line="276" w:lineRule="auto"/>
              <w:ind w:firstLine="0"/>
              <w:jc w:val="center"/>
              <w:rPr>
                <w:b w:val="0"/>
                <w:sz w:val="20"/>
                <w:szCs w:val="20"/>
              </w:rPr>
            </w:pPr>
            <w:r w:rsidRPr="00BB489E">
              <w:rPr>
                <w:rFonts w:cs="Calibri"/>
                <w:bCs/>
                <w:sz w:val="20"/>
                <w:szCs w:val="20"/>
              </w:rPr>
              <w:t>153,</w:t>
            </w:r>
            <w:r w:rsidRPr="00BB489E">
              <w:rPr>
                <w:rFonts w:cs="Calibri"/>
                <w:bCs/>
                <w:sz w:val="20"/>
                <w:szCs w:val="20"/>
                <w:lang w:val="en-US"/>
              </w:rPr>
              <w:t>593</w:t>
            </w:r>
            <w:r w:rsidRPr="00BB489E">
              <w:rPr>
                <w:rFonts w:cs="Calibri"/>
                <w:bCs/>
                <w:sz w:val="20"/>
                <w:szCs w:val="20"/>
              </w:rPr>
              <w:t>.3</w:t>
            </w:r>
          </w:p>
        </w:tc>
        <w:tc>
          <w:tcPr>
            <w:tcW w:w="736" w:type="pct"/>
            <w:tcBorders>
              <w:top w:val="single" w:sz="4" w:space="0" w:color="auto"/>
              <w:left w:val="single" w:sz="4" w:space="0" w:color="auto"/>
              <w:bottom w:val="single" w:sz="4" w:space="0" w:color="auto"/>
              <w:right w:val="double" w:sz="4" w:space="0" w:color="auto"/>
            </w:tcBorders>
            <w:shd w:val="clear" w:color="auto" w:fill="C6D9F1" w:themeFill="text2" w:themeFillTint="33"/>
            <w:vAlign w:val="center"/>
          </w:tcPr>
          <w:p w14:paraId="727AFACB" w14:textId="77777777" w:rsidR="00433FD0" w:rsidRPr="00841900" w:rsidRDefault="00433FD0" w:rsidP="00733935">
            <w:pPr>
              <w:spacing w:before="0" w:line="276" w:lineRule="auto"/>
              <w:ind w:firstLine="0"/>
              <w:jc w:val="center"/>
              <w:rPr>
                <w:sz w:val="20"/>
                <w:szCs w:val="20"/>
              </w:rPr>
            </w:pPr>
            <w:r w:rsidRPr="00841900">
              <w:rPr>
                <w:sz w:val="20"/>
                <w:szCs w:val="20"/>
              </w:rPr>
              <w:t>19</w:t>
            </w:r>
            <w:r>
              <w:rPr>
                <w:sz w:val="20"/>
                <w:szCs w:val="20"/>
                <w:lang w:val="en-US"/>
              </w:rPr>
              <w:t>2</w:t>
            </w:r>
            <w:r w:rsidRPr="00841900">
              <w:rPr>
                <w:sz w:val="20"/>
                <w:szCs w:val="20"/>
              </w:rPr>
              <w:t>,</w:t>
            </w:r>
            <w:r>
              <w:rPr>
                <w:sz w:val="20"/>
                <w:szCs w:val="20"/>
                <w:lang w:val="en-US"/>
              </w:rPr>
              <w:t>7</w:t>
            </w:r>
            <w:r w:rsidRPr="00841900">
              <w:rPr>
                <w:sz w:val="20"/>
                <w:szCs w:val="20"/>
              </w:rPr>
              <w:t>59.2</w:t>
            </w:r>
          </w:p>
        </w:tc>
      </w:tr>
      <w:tr w:rsidR="00433FD0" w:rsidRPr="00BB489E" w14:paraId="5E657415"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1BEE6800"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24187F60" w14:textId="77777777" w:rsidR="00433FD0" w:rsidRPr="003437E7" w:rsidRDefault="00433FD0" w:rsidP="00733935">
            <w:pPr>
              <w:spacing w:before="0" w:line="276" w:lineRule="auto"/>
              <w:ind w:firstLine="0"/>
              <w:jc w:val="center"/>
              <w:rPr>
                <w:rFonts w:cs="Arial"/>
                <w:b w:val="0"/>
                <w:bCs/>
                <w:color w:val="000000"/>
                <w:sz w:val="20"/>
                <w:szCs w:val="20"/>
              </w:rPr>
            </w:pPr>
            <w:r w:rsidRPr="003437E7">
              <w:rPr>
                <w:b w:val="0"/>
                <w:bCs/>
                <w:sz w:val="20"/>
                <w:szCs w:val="20"/>
              </w:rPr>
              <w:t>2.0%</w:t>
            </w:r>
          </w:p>
        </w:tc>
        <w:tc>
          <w:tcPr>
            <w:tcW w:w="675"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5ADB4244" w14:textId="77777777" w:rsidR="00433FD0" w:rsidRPr="003437E7" w:rsidRDefault="00433FD0" w:rsidP="00733935">
            <w:pPr>
              <w:spacing w:before="0" w:line="276" w:lineRule="auto"/>
              <w:ind w:firstLine="0"/>
              <w:jc w:val="center"/>
              <w:rPr>
                <w:rFonts w:cs="Arial"/>
                <w:b w:val="0"/>
                <w:bCs/>
                <w:color w:val="000000"/>
                <w:sz w:val="20"/>
                <w:szCs w:val="20"/>
              </w:rPr>
            </w:pPr>
            <w:r w:rsidRPr="003437E7">
              <w:rPr>
                <w:b w:val="0"/>
                <w:bCs/>
                <w:sz w:val="20"/>
                <w:szCs w:val="20"/>
              </w:rPr>
              <w:t>2.0%</w:t>
            </w:r>
          </w:p>
        </w:tc>
        <w:tc>
          <w:tcPr>
            <w:tcW w:w="593" w:type="pct"/>
            <w:tcBorders>
              <w:top w:val="single" w:sz="4" w:space="0" w:color="auto"/>
              <w:left w:val="single" w:sz="6" w:space="0" w:color="auto"/>
              <w:bottom w:val="single" w:sz="6" w:space="0" w:color="auto"/>
              <w:right w:val="single" w:sz="6" w:space="0" w:color="auto"/>
            </w:tcBorders>
            <w:shd w:val="clear" w:color="auto" w:fill="FFFFFF"/>
            <w:hideMark/>
          </w:tcPr>
          <w:p w14:paraId="288A13FB" w14:textId="77777777" w:rsidR="00433FD0" w:rsidRPr="003437E7" w:rsidRDefault="00433FD0" w:rsidP="00733935">
            <w:pPr>
              <w:spacing w:before="0" w:line="276" w:lineRule="auto"/>
              <w:ind w:firstLine="0"/>
              <w:jc w:val="center"/>
              <w:rPr>
                <w:rFonts w:cs="Arial"/>
                <w:b w:val="0"/>
                <w:bCs/>
                <w:color w:val="000000"/>
                <w:sz w:val="20"/>
                <w:szCs w:val="20"/>
              </w:rPr>
            </w:pPr>
            <w:r w:rsidRPr="003437E7">
              <w:rPr>
                <w:b w:val="0"/>
                <w:bCs/>
                <w:sz w:val="20"/>
                <w:szCs w:val="20"/>
              </w:rPr>
              <w:t>2.</w:t>
            </w:r>
            <w:r>
              <w:rPr>
                <w:b w:val="0"/>
                <w:bCs/>
                <w:sz w:val="20"/>
                <w:szCs w:val="20"/>
                <w:lang w:val="hy-AM"/>
              </w:rPr>
              <w:t>3</w:t>
            </w:r>
            <w:r w:rsidRPr="003437E7">
              <w:rPr>
                <w:b w:val="0"/>
                <w:bCs/>
                <w:sz w:val="20"/>
                <w:szCs w:val="20"/>
              </w:rPr>
              <w:t>%</w:t>
            </w:r>
          </w:p>
        </w:tc>
        <w:tc>
          <w:tcPr>
            <w:tcW w:w="649" w:type="pct"/>
            <w:tcBorders>
              <w:top w:val="single" w:sz="4" w:space="0" w:color="auto"/>
              <w:left w:val="single" w:sz="6" w:space="0" w:color="auto"/>
              <w:bottom w:val="single" w:sz="6" w:space="0" w:color="auto"/>
              <w:right w:val="double" w:sz="4" w:space="0" w:color="auto"/>
            </w:tcBorders>
            <w:shd w:val="clear" w:color="auto" w:fill="FFFFFF"/>
            <w:hideMark/>
          </w:tcPr>
          <w:p w14:paraId="542D3F87" w14:textId="77777777" w:rsidR="00433FD0" w:rsidRPr="003437E7" w:rsidRDefault="00433FD0" w:rsidP="00733935">
            <w:pPr>
              <w:spacing w:before="0" w:line="276" w:lineRule="auto"/>
              <w:ind w:firstLine="0"/>
              <w:jc w:val="center"/>
              <w:rPr>
                <w:rFonts w:cs="Arial"/>
                <w:b w:val="0"/>
                <w:bCs/>
                <w:color w:val="000000"/>
                <w:sz w:val="20"/>
                <w:szCs w:val="20"/>
                <w:lang w:val="en-US"/>
              </w:rPr>
            </w:pPr>
            <w:r w:rsidRPr="003437E7">
              <w:rPr>
                <w:b w:val="0"/>
                <w:bCs/>
                <w:sz w:val="20"/>
                <w:szCs w:val="20"/>
              </w:rPr>
              <w:t>2.4%</w:t>
            </w:r>
          </w:p>
        </w:tc>
        <w:tc>
          <w:tcPr>
            <w:tcW w:w="736" w:type="pct"/>
            <w:tcBorders>
              <w:top w:val="single" w:sz="4" w:space="0" w:color="auto"/>
              <w:left w:val="single" w:sz="6" w:space="0" w:color="auto"/>
              <w:bottom w:val="single" w:sz="6" w:space="0" w:color="auto"/>
              <w:right w:val="double" w:sz="4" w:space="0" w:color="auto"/>
            </w:tcBorders>
            <w:shd w:val="clear" w:color="auto" w:fill="FFFFFF"/>
          </w:tcPr>
          <w:p w14:paraId="66EAF27C" w14:textId="77777777" w:rsidR="00433FD0" w:rsidRPr="003437E7" w:rsidRDefault="00433FD0" w:rsidP="00733935">
            <w:pPr>
              <w:spacing w:before="0" w:line="276" w:lineRule="auto"/>
              <w:ind w:firstLine="0"/>
              <w:jc w:val="center"/>
              <w:rPr>
                <w:b w:val="0"/>
                <w:bCs/>
                <w:sz w:val="20"/>
                <w:szCs w:val="20"/>
              </w:rPr>
            </w:pPr>
            <w:r w:rsidRPr="003437E7">
              <w:rPr>
                <w:b w:val="0"/>
                <w:bCs/>
                <w:sz w:val="20"/>
                <w:szCs w:val="20"/>
              </w:rPr>
              <w:t>2.5%</w:t>
            </w:r>
          </w:p>
        </w:tc>
      </w:tr>
      <w:tr w:rsidR="00433FD0" w:rsidRPr="00BB489E" w14:paraId="76F58BE4"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75233F30"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643C146A" w14:textId="77777777" w:rsidR="00433FD0" w:rsidRPr="003437E7" w:rsidRDefault="00433FD0" w:rsidP="00733935">
            <w:pPr>
              <w:spacing w:before="0" w:line="276" w:lineRule="auto"/>
              <w:ind w:firstLine="0"/>
              <w:jc w:val="center"/>
              <w:rPr>
                <w:rFonts w:cs="Arial"/>
                <w:b w:val="0"/>
                <w:bCs/>
                <w:color w:val="000000"/>
                <w:sz w:val="20"/>
                <w:szCs w:val="20"/>
              </w:rPr>
            </w:pPr>
            <w:r w:rsidRPr="003437E7">
              <w:rPr>
                <w:b w:val="0"/>
                <w:bCs/>
                <w:sz w:val="20"/>
                <w:szCs w:val="20"/>
              </w:rPr>
              <w:t>8.4%</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6FE809A3" w14:textId="77777777" w:rsidR="00433FD0" w:rsidRPr="003437E7" w:rsidRDefault="00433FD0" w:rsidP="00733935">
            <w:pPr>
              <w:spacing w:before="0" w:line="276" w:lineRule="auto"/>
              <w:ind w:firstLine="0"/>
              <w:jc w:val="center"/>
              <w:rPr>
                <w:rFonts w:cs="Arial"/>
                <w:b w:val="0"/>
                <w:bCs/>
                <w:color w:val="000000"/>
                <w:sz w:val="20"/>
                <w:szCs w:val="20"/>
              </w:rPr>
            </w:pPr>
            <w:r w:rsidRPr="003437E7">
              <w:rPr>
                <w:b w:val="0"/>
                <w:bCs/>
                <w:sz w:val="20"/>
                <w:szCs w:val="20"/>
              </w:rPr>
              <w:t>7.9%</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33C697F8" w14:textId="77777777" w:rsidR="00433FD0" w:rsidRPr="003437E7" w:rsidRDefault="00433FD0" w:rsidP="00733935">
            <w:pPr>
              <w:spacing w:before="0" w:line="276" w:lineRule="auto"/>
              <w:ind w:firstLine="0"/>
              <w:jc w:val="center"/>
              <w:rPr>
                <w:rFonts w:cs="Arial"/>
                <w:b w:val="0"/>
                <w:bCs/>
                <w:color w:val="000000"/>
                <w:sz w:val="20"/>
                <w:szCs w:val="20"/>
              </w:rPr>
            </w:pPr>
            <w:r w:rsidRPr="003437E7">
              <w:rPr>
                <w:b w:val="0"/>
                <w:bCs/>
                <w:sz w:val="20"/>
                <w:szCs w:val="20"/>
                <w:lang w:val="hy-AM"/>
              </w:rPr>
              <w:t>7</w:t>
            </w:r>
            <w:r w:rsidRPr="003437E7">
              <w:rPr>
                <w:b w:val="0"/>
                <w:bCs/>
                <w:sz w:val="20"/>
                <w:szCs w:val="20"/>
              </w:rPr>
              <w:t>.</w:t>
            </w:r>
            <w:r w:rsidRPr="003437E7">
              <w:rPr>
                <w:b w:val="0"/>
                <w:bCs/>
                <w:sz w:val="20"/>
                <w:szCs w:val="20"/>
                <w:lang w:val="hy-AM"/>
              </w:rPr>
              <w:t>6</w:t>
            </w:r>
            <w:r w:rsidRPr="003437E7">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64C0D258" w14:textId="77777777" w:rsidR="00433FD0" w:rsidRPr="003437E7" w:rsidRDefault="00433FD0" w:rsidP="00733935">
            <w:pPr>
              <w:spacing w:before="0" w:line="276" w:lineRule="auto"/>
              <w:ind w:firstLine="0"/>
              <w:jc w:val="center"/>
              <w:rPr>
                <w:rFonts w:cs="Arial"/>
                <w:b w:val="0"/>
                <w:bCs/>
                <w:color w:val="000000"/>
                <w:sz w:val="20"/>
                <w:szCs w:val="20"/>
                <w:lang w:val="en-US"/>
              </w:rPr>
            </w:pPr>
            <w:r w:rsidRPr="003437E7">
              <w:rPr>
                <w:b w:val="0"/>
                <w:bCs/>
                <w:sz w:val="20"/>
                <w:szCs w:val="20"/>
              </w:rPr>
              <w:t>8.3%</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54525E39" w14:textId="77777777" w:rsidR="00433FD0" w:rsidRPr="003437E7" w:rsidRDefault="00433FD0" w:rsidP="00733935">
            <w:pPr>
              <w:spacing w:before="0" w:line="276" w:lineRule="auto"/>
              <w:ind w:firstLine="0"/>
              <w:jc w:val="center"/>
              <w:rPr>
                <w:b w:val="0"/>
                <w:bCs/>
                <w:sz w:val="20"/>
                <w:szCs w:val="20"/>
              </w:rPr>
            </w:pPr>
            <w:r w:rsidRPr="003437E7">
              <w:rPr>
                <w:b w:val="0"/>
                <w:bCs/>
                <w:sz w:val="20"/>
                <w:szCs w:val="20"/>
              </w:rPr>
              <w:t>8.</w:t>
            </w:r>
            <w:r w:rsidRPr="003437E7">
              <w:rPr>
                <w:b w:val="0"/>
                <w:bCs/>
                <w:sz w:val="20"/>
                <w:szCs w:val="20"/>
                <w:lang w:val="en-US"/>
              </w:rPr>
              <w:t>8</w:t>
            </w:r>
            <w:r w:rsidRPr="003437E7">
              <w:rPr>
                <w:b w:val="0"/>
                <w:bCs/>
                <w:sz w:val="20"/>
                <w:szCs w:val="20"/>
              </w:rPr>
              <w:t>%</w:t>
            </w:r>
          </w:p>
        </w:tc>
      </w:tr>
      <w:tr w:rsidR="00433FD0" w:rsidRPr="00BB489E" w14:paraId="49365166"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4504AC34" w14:textId="77777777" w:rsidR="00433FD0" w:rsidRPr="00BB489E" w:rsidRDefault="00433FD0" w:rsidP="00733935">
            <w:pPr>
              <w:spacing w:before="0" w:line="276" w:lineRule="auto"/>
              <w:ind w:firstLine="0"/>
              <w:jc w:val="left"/>
              <w:rPr>
                <w:b w:val="0"/>
                <w:sz w:val="20"/>
                <w:szCs w:val="20"/>
                <w:lang w:val="hy-AM"/>
              </w:rPr>
            </w:pPr>
            <w:r w:rsidRPr="00BB489E">
              <w:rPr>
                <w:sz w:val="20"/>
                <w:szCs w:val="20"/>
                <w:lang w:val="hy-AM"/>
              </w:rPr>
              <w:t xml:space="preserve">2. </w:t>
            </w:r>
            <w:r w:rsidRPr="00BB489E">
              <w:rPr>
                <w:rFonts w:cs="Arial"/>
                <w:sz w:val="20"/>
                <w:szCs w:val="20"/>
                <w:lang w:val="hy-AM"/>
              </w:rPr>
              <w:t>ՍՈՑԻԱԼԱԿԱՆ</w:t>
            </w:r>
            <w:r w:rsidRPr="00BB489E">
              <w:rPr>
                <w:sz w:val="20"/>
                <w:szCs w:val="20"/>
                <w:lang w:val="hy-AM"/>
              </w:rPr>
              <w:t xml:space="preserve"> </w:t>
            </w:r>
            <w:r w:rsidRPr="00BB489E">
              <w:rPr>
                <w:rFonts w:cs="Arial"/>
                <w:sz w:val="20"/>
                <w:szCs w:val="20"/>
                <w:lang w:val="hy-AM"/>
              </w:rPr>
              <w:t>ՊԱՇՏՊԱՆՈՒԹՅՈՒՆ</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5F4F22D3" w14:textId="77777777" w:rsidR="00433FD0" w:rsidRPr="00BB489E" w:rsidRDefault="00433FD0" w:rsidP="00733935">
            <w:pPr>
              <w:spacing w:before="0" w:line="276" w:lineRule="auto"/>
              <w:ind w:firstLine="0"/>
              <w:jc w:val="center"/>
              <w:rPr>
                <w:rFonts w:cs="Arial"/>
                <w:b w:val="0"/>
                <w:bCs/>
                <w:sz w:val="20"/>
                <w:szCs w:val="20"/>
              </w:rPr>
            </w:pPr>
            <w:r w:rsidRPr="00BB489E">
              <w:rPr>
                <w:rFonts w:cs="Calibri"/>
                <w:bCs/>
                <w:sz w:val="20"/>
                <w:szCs w:val="20"/>
              </w:rPr>
              <w:t>416,625.8</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79F7F3FB" w14:textId="77777777" w:rsidR="00433FD0" w:rsidRPr="00BB489E" w:rsidRDefault="00433FD0" w:rsidP="00733935">
            <w:pPr>
              <w:spacing w:before="0" w:line="276" w:lineRule="auto"/>
              <w:ind w:firstLine="0"/>
              <w:jc w:val="center"/>
              <w:rPr>
                <w:rFonts w:cs="Arial"/>
                <w:b w:val="0"/>
                <w:bCs/>
                <w:sz w:val="20"/>
                <w:szCs w:val="20"/>
              </w:rPr>
            </w:pPr>
            <w:r w:rsidRPr="00BB489E">
              <w:rPr>
                <w:rFonts w:cs="Calibri"/>
                <w:bCs/>
                <w:sz w:val="20"/>
                <w:szCs w:val="20"/>
              </w:rPr>
              <w:t>453,921.2</w:t>
            </w:r>
          </w:p>
        </w:tc>
        <w:tc>
          <w:tcPr>
            <w:tcW w:w="5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14:paraId="3857E3A3" w14:textId="77777777" w:rsidR="00433FD0" w:rsidRPr="00F92324" w:rsidRDefault="00433FD0" w:rsidP="00733935">
            <w:pPr>
              <w:spacing w:before="0" w:line="276" w:lineRule="auto"/>
              <w:ind w:firstLine="0"/>
              <w:jc w:val="center"/>
              <w:rPr>
                <w:rFonts w:cs="Arial"/>
                <w:b w:val="0"/>
                <w:bCs/>
                <w:sz w:val="20"/>
                <w:szCs w:val="20"/>
                <w:lang w:val="hy-AM"/>
              </w:rPr>
            </w:pPr>
            <w:r>
              <w:rPr>
                <w:rFonts w:cs="Calibri"/>
                <w:bCs/>
                <w:sz w:val="20"/>
                <w:szCs w:val="20"/>
                <w:lang w:val="hy-AM"/>
              </w:rPr>
              <w:t>546</w:t>
            </w:r>
            <w:r w:rsidRPr="00BB489E">
              <w:rPr>
                <w:rFonts w:cs="Calibri"/>
                <w:bCs/>
                <w:sz w:val="20"/>
                <w:szCs w:val="20"/>
              </w:rPr>
              <w:t>,</w:t>
            </w:r>
            <w:r>
              <w:rPr>
                <w:rFonts w:cs="Calibri"/>
                <w:bCs/>
                <w:sz w:val="20"/>
                <w:szCs w:val="20"/>
                <w:lang w:val="hy-AM"/>
              </w:rPr>
              <w:t>575</w:t>
            </w:r>
            <w:r w:rsidRPr="00BB489E">
              <w:rPr>
                <w:rFonts w:cs="Calibri"/>
                <w:bCs/>
                <w:sz w:val="20"/>
                <w:szCs w:val="20"/>
              </w:rPr>
              <w:t>.</w:t>
            </w:r>
            <w:r>
              <w:rPr>
                <w:rFonts w:cs="Calibri"/>
                <w:bCs/>
                <w:sz w:val="20"/>
                <w:szCs w:val="20"/>
                <w:lang w:val="hy-AM"/>
              </w:rPr>
              <w:t>7</w:t>
            </w:r>
          </w:p>
        </w:tc>
        <w:tc>
          <w:tcPr>
            <w:tcW w:w="649"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1EC4BD02" w14:textId="77777777" w:rsidR="00433FD0" w:rsidRPr="00BB489E" w:rsidRDefault="00433FD0" w:rsidP="00733935">
            <w:pPr>
              <w:spacing w:before="0" w:line="276" w:lineRule="auto"/>
              <w:ind w:firstLine="0"/>
              <w:jc w:val="center"/>
              <w:rPr>
                <w:rFonts w:cs="Arial"/>
                <w:b w:val="0"/>
                <w:bCs/>
                <w:sz w:val="20"/>
                <w:szCs w:val="20"/>
                <w:lang w:val="en-US"/>
              </w:rPr>
            </w:pPr>
            <w:r w:rsidRPr="00BB489E">
              <w:rPr>
                <w:rFonts w:cs="Calibri"/>
                <w:bCs/>
                <w:sz w:val="20"/>
                <w:szCs w:val="20"/>
              </w:rPr>
              <w:t>504,8</w:t>
            </w:r>
            <w:r w:rsidRPr="00BB489E">
              <w:rPr>
                <w:rFonts w:cs="Calibri"/>
                <w:bCs/>
                <w:sz w:val="20"/>
                <w:szCs w:val="20"/>
                <w:lang w:val="en-US"/>
              </w:rPr>
              <w:t>75</w:t>
            </w:r>
            <w:r w:rsidRPr="00BB489E">
              <w:rPr>
                <w:rFonts w:cs="Calibri"/>
                <w:bCs/>
                <w:sz w:val="20"/>
                <w:szCs w:val="20"/>
              </w:rPr>
              <w:t>.</w:t>
            </w:r>
            <w:r w:rsidRPr="00BB489E">
              <w:rPr>
                <w:rFonts w:cs="Calibri"/>
                <w:bCs/>
                <w:sz w:val="20"/>
                <w:szCs w:val="20"/>
                <w:lang w:val="en-US"/>
              </w:rPr>
              <w:t>9</w:t>
            </w:r>
          </w:p>
        </w:tc>
        <w:tc>
          <w:tcPr>
            <w:tcW w:w="736"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14:paraId="7C93B291" w14:textId="77777777" w:rsidR="00433FD0" w:rsidRPr="00841900" w:rsidRDefault="00433FD0" w:rsidP="00733935">
            <w:pPr>
              <w:spacing w:before="0" w:line="276" w:lineRule="auto"/>
              <w:ind w:firstLine="0"/>
              <w:jc w:val="center"/>
              <w:rPr>
                <w:sz w:val="20"/>
                <w:szCs w:val="20"/>
              </w:rPr>
            </w:pPr>
            <w:r w:rsidRPr="00841900">
              <w:rPr>
                <w:sz w:val="20"/>
                <w:szCs w:val="20"/>
              </w:rPr>
              <w:t>581,419.8</w:t>
            </w:r>
          </w:p>
        </w:tc>
      </w:tr>
      <w:tr w:rsidR="00433FD0" w:rsidRPr="00BB489E" w14:paraId="5D310302"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43DD7F1C"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236232D6"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6.9%</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0944F12B"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6.9%</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34E4C5A7"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8.</w:t>
            </w:r>
            <w:r w:rsidRPr="002510B4">
              <w:rPr>
                <w:b w:val="0"/>
                <w:bCs/>
                <w:sz w:val="20"/>
                <w:szCs w:val="20"/>
                <w:lang w:val="hy-AM"/>
              </w:rPr>
              <w:t>8</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477F7900" w14:textId="77777777" w:rsidR="00433FD0" w:rsidRPr="002510B4" w:rsidRDefault="00433FD0" w:rsidP="00733935">
            <w:pPr>
              <w:spacing w:before="0" w:line="276" w:lineRule="auto"/>
              <w:ind w:firstLine="0"/>
              <w:jc w:val="center"/>
              <w:rPr>
                <w:rFonts w:cs="Arial"/>
                <w:b w:val="0"/>
                <w:bCs/>
                <w:color w:val="000000"/>
                <w:sz w:val="20"/>
                <w:szCs w:val="20"/>
                <w:lang w:val="en-US"/>
              </w:rPr>
            </w:pPr>
            <w:r w:rsidRPr="002510B4">
              <w:rPr>
                <w:b w:val="0"/>
                <w:bCs/>
                <w:sz w:val="20"/>
                <w:szCs w:val="20"/>
              </w:rPr>
              <w:t>7.9%</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0051CCF8" w14:textId="77777777" w:rsidR="00433FD0" w:rsidRPr="002510B4" w:rsidRDefault="00433FD0" w:rsidP="00733935">
            <w:pPr>
              <w:spacing w:before="0" w:line="276" w:lineRule="auto"/>
              <w:ind w:firstLine="0"/>
              <w:jc w:val="center"/>
              <w:rPr>
                <w:b w:val="0"/>
                <w:bCs/>
                <w:sz w:val="20"/>
                <w:szCs w:val="20"/>
              </w:rPr>
            </w:pPr>
            <w:r w:rsidRPr="002510B4">
              <w:rPr>
                <w:b w:val="0"/>
                <w:bCs/>
                <w:sz w:val="20"/>
                <w:szCs w:val="20"/>
              </w:rPr>
              <w:t>7.39%</w:t>
            </w:r>
          </w:p>
        </w:tc>
      </w:tr>
      <w:tr w:rsidR="00433FD0" w:rsidRPr="00BB489E" w14:paraId="0BFA9F24"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3C4D576B"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7E1F771D"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28.8%</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18298C2C"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27.9%</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0CF3388C"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lang w:val="hy-AM"/>
              </w:rPr>
              <w:t>28,8</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69CD0E0D" w14:textId="77777777" w:rsidR="00433FD0" w:rsidRPr="002510B4" w:rsidRDefault="00433FD0" w:rsidP="00733935">
            <w:pPr>
              <w:spacing w:before="0" w:line="276" w:lineRule="auto"/>
              <w:ind w:firstLine="0"/>
              <w:jc w:val="center"/>
              <w:rPr>
                <w:rFonts w:cs="Arial"/>
                <w:b w:val="0"/>
                <w:bCs/>
                <w:color w:val="000000"/>
                <w:sz w:val="20"/>
                <w:szCs w:val="20"/>
                <w:lang w:val="en-US"/>
              </w:rPr>
            </w:pPr>
            <w:r w:rsidRPr="002510B4">
              <w:rPr>
                <w:b w:val="0"/>
                <w:bCs/>
                <w:sz w:val="20"/>
                <w:szCs w:val="20"/>
              </w:rPr>
              <w:t>27.3%</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7AA0F597" w14:textId="77777777" w:rsidR="00433FD0" w:rsidRPr="002510B4" w:rsidRDefault="00433FD0" w:rsidP="00733935">
            <w:pPr>
              <w:spacing w:before="0" w:line="276" w:lineRule="auto"/>
              <w:ind w:firstLine="0"/>
              <w:jc w:val="center"/>
              <w:rPr>
                <w:b w:val="0"/>
                <w:bCs/>
                <w:sz w:val="20"/>
                <w:szCs w:val="20"/>
              </w:rPr>
            </w:pPr>
            <w:r w:rsidRPr="002510B4">
              <w:rPr>
                <w:b w:val="0"/>
                <w:bCs/>
                <w:sz w:val="20"/>
                <w:szCs w:val="20"/>
              </w:rPr>
              <w:t>26.</w:t>
            </w:r>
            <w:r w:rsidRPr="002510B4">
              <w:rPr>
                <w:b w:val="0"/>
                <w:bCs/>
                <w:sz w:val="20"/>
                <w:szCs w:val="20"/>
                <w:lang w:val="en-US"/>
              </w:rPr>
              <w:t>6</w:t>
            </w:r>
            <w:r w:rsidRPr="002510B4">
              <w:rPr>
                <w:b w:val="0"/>
                <w:bCs/>
                <w:sz w:val="20"/>
                <w:szCs w:val="20"/>
              </w:rPr>
              <w:t>%</w:t>
            </w:r>
          </w:p>
        </w:tc>
      </w:tr>
      <w:tr w:rsidR="00433FD0" w:rsidRPr="00BB489E" w14:paraId="2CA1A195"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28B7D02B" w14:textId="77777777" w:rsidR="00433FD0" w:rsidRPr="00BB489E" w:rsidRDefault="00433FD0" w:rsidP="00733935">
            <w:pPr>
              <w:spacing w:before="0" w:line="276" w:lineRule="auto"/>
              <w:ind w:firstLine="0"/>
              <w:jc w:val="left"/>
              <w:rPr>
                <w:b w:val="0"/>
                <w:sz w:val="20"/>
                <w:szCs w:val="20"/>
                <w:lang w:val="hy-AM"/>
              </w:rPr>
            </w:pPr>
            <w:r w:rsidRPr="00BB489E">
              <w:rPr>
                <w:sz w:val="20"/>
                <w:szCs w:val="20"/>
                <w:lang w:val="hy-AM"/>
              </w:rPr>
              <w:t xml:space="preserve">3. </w:t>
            </w:r>
            <w:r w:rsidRPr="00BB489E">
              <w:rPr>
                <w:rFonts w:cs="Arial"/>
                <w:sz w:val="20"/>
                <w:szCs w:val="20"/>
                <w:lang w:val="hy-AM"/>
              </w:rPr>
              <w:t>ԱՌՈՂՋԱՊԱՀՈՒԹՅՈՒՆ</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2EB9BBEB" w14:textId="77777777" w:rsidR="00433FD0" w:rsidRPr="00BB489E" w:rsidRDefault="00433FD0" w:rsidP="00733935">
            <w:pPr>
              <w:spacing w:before="0" w:line="276" w:lineRule="auto"/>
              <w:ind w:firstLine="0"/>
              <w:jc w:val="center"/>
              <w:rPr>
                <w:b w:val="0"/>
                <w:bCs/>
                <w:sz w:val="20"/>
                <w:szCs w:val="20"/>
              </w:rPr>
            </w:pPr>
            <w:r w:rsidRPr="00BB489E">
              <w:rPr>
                <w:rFonts w:cs="Calibri"/>
                <w:bCs/>
                <w:sz w:val="20"/>
                <w:szCs w:val="20"/>
              </w:rPr>
              <w:t>79,574,1</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266AE5FD" w14:textId="77777777" w:rsidR="00433FD0" w:rsidRPr="00BB489E" w:rsidRDefault="00433FD0" w:rsidP="00733935">
            <w:pPr>
              <w:spacing w:before="0" w:line="276" w:lineRule="auto"/>
              <w:ind w:firstLine="0"/>
              <w:jc w:val="center"/>
              <w:rPr>
                <w:b w:val="0"/>
                <w:bCs/>
                <w:sz w:val="20"/>
                <w:szCs w:val="20"/>
              </w:rPr>
            </w:pPr>
            <w:r w:rsidRPr="00BB489E">
              <w:rPr>
                <w:rFonts w:cs="Calibri"/>
                <w:bCs/>
                <w:sz w:val="20"/>
                <w:szCs w:val="20"/>
              </w:rPr>
              <w:t>99,283,0</w:t>
            </w:r>
          </w:p>
        </w:tc>
        <w:tc>
          <w:tcPr>
            <w:tcW w:w="5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14:paraId="6E05D68D" w14:textId="77777777" w:rsidR="00433FD0" w:rsidRPr="00F92324" w:rsidRDefault="00433FD0" w:rsidP="00733935">
            <w:pPr>
              <w:spacing w:before="0" w:line="276" w:lineRule="auto"/>
              <w:ind w:firstLine="0"/>
              <w:jc w:val="center"/>
              <w:rPr>
                <w:b w:val="0"/>
                <w:bCs/>
                <w:sz w:val="20"/>
                <w:szCs w:val="20"/>
                <w:lang w:val="hy-AM"/>
              </w:rPr>
            </w:pPr>
            <w:r>
              <w:rPr>
                <w:rFonts w:cs="Calibri"/>
                <w:bCs/>
                <w:sz w:val="20"/>
                <w:szCs w:val="20"/>
                <w:lang w:val="hy-AM"/>
              </w:rPr>
              <w:t>148</w:t>
            </w:r>
            <w:r w:rsidRPr="00BB489E">
              <w:rPr>
                <w:rFonts w:cs="Calibri"/>
                <w:bCs/>
                <w:sz w:val="20"/>
                <w:szCs w:val="20"/>
              </w:rPr>
              <w:t>,</w:t>
            </w:r>
            <w:r>
              <w:rPr>
                <w:rFonts w:cs="Calibri"/>
                <w:bCs/>
                <w:sz w:val="20"/>
                <w:szCs w:val="20"/>
                <w:lang w:val="hy-AM"/>
              </w:rPr>
              <w:t>236</w:t>
            </w:r>
            <w:r w:rsidRPr="00BB489E">
              <w:rPr>
                <w:rFonts w:cs="Calibri"/>
                <w:bCs/>
                <w:sz w:val="20"/>
                <w:szCs w:val="20"/>
              </w:rPr>
              <w:t>.</w:t>
            </w:r>
            <w:r>
              <w:rPr>
                <w:rFonts w:cs="Calibri"/>
                <w:bCs/>
                <w:sz w:val="20"/>
                <w:szCs w:val="20"/>
                <w:lang w:val="hy-AM"/>
              </w:rPr>
              <w:t>7</w:t>
            </w:r>
          </w:p>
        </w:tc>
        <w:tc>
          <w:tcPr>
            <w:tcW w:w="649"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7104CF8A" w14:textId="77777777" w:rsidR="00433FD0" w:rsidRPr="00BB489E" w:rsidRDefault="00433FD0" w:rsidP="00733935">
            <w:pPr>
              <w:spacing w:before="0" w:line="276" w:lineRule="auto"/>
              <w:ind w:firstLine="0"/>
              <w:jc w:val="center"/>
              <w:rPr>
                <w:b w:val="0"/>
                <w:bCs/>
                <w:sz w:val="20"/>
                <w:szCs w:val="20"/>
                <w:lang w:val="en-US"/>
              </w:rPr>
            </w:pPr>
            <w:r w:rsidRPr="00BB489E">
              <w:rPr>
                <w:rFonts w:cs="Calibri"/>
                <w:bCs/>
                <w:sz w:val="20"/>
                <w:szCs w:val="20"/>
                <w:lang w:val="en-US"/>
              </w:rPr>
              <w:t>117</w:t>
            </w:r>
            <w:r w:rsidRPr="00BB489E">
              <w:rPr>
                <w:rFonts w:cs="Calibri"/>
                <w:bCs/>
                <w:sz w:val="20"/>
                <w:szCs w:val="20"/>
              </w:rPr>
              <w:t>,</w:t>
            </w:r>
            <w:r w:rsidRPr="00BB489E">
              <w:rPr>
                <w:rFonts w:cs="Calibri"/>
                <w:bCs/>
                <w:sz w:val="20"/>
                <w:szCs w:val="20"/>
                <w:lang w:val="en-US"/>
              </w:rPr>
              <w:t>548</w:t>
            </w:r>
            <w:r w:rsidRPr="00BB489E">
              <w:rPr>
                <w:rFonts w:cs="Calibri"/>
                <w:bCs/>
                <w:sz w:val="20"/>
                <w:szCs w:val="20"/>
              </w:rPr>
              <w:t>.</w:t>
            </w:r>
            <w:r w:rsidRPr="00BB489E">
              <w:rPr>
                <w:rFonts w:cs="Calibri"/>
                <w:bCs/>
                <w:sz w:val="20"/>
                <w:szCs w:val="20"/>
                <w:lang w:val="en-US"/>
              </w:rPr>
              <w:t>5</w:t>
            </w:r>
          </w:p>
        </w:tc>
        <w:tc>
          <w:tcPr>
            <w:tcW w:w="736"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14:paraId="609AC5C3" w14:textId="77777777" w:rsidR="00433FD0" w:rsidRPr="00841900" w:rsidRDefault="00433FD0" w:rsidP="00733935">
            <w:pPr>
              <w:spacing w:before="0" w:line="276" w:lineRule="auto"/>
              <w:ind w:firstLine="0"/>
              <w:jc w:val="center"/>
              <w:rPr>
                <w:sz w:val="20"/>
                <w:szCs w:val="20"/>
              </w:rPr>
            </w:pPr>
            <w:r w:rsidRPr="00841900">
              <w:rPr>
                <w:sz w:val="20"/>
                <w:szCs w:val="20"/>
              </w:rPr>
              <w:t>12</w:t>
            </w:r>
            <w:r>
              <w:rPr>
                <w:sz w:val="20"/>
                <w:szCs w:val="20"/>
                <w:lang w:val="en-US"/>
              </w:rPr>
              <w:t>2</w:t>
            </w:r>
            <w:r w:rsidRPr="00841900">
              <w:rPr>
                <w:sz w:val="20"/>
                <w:szCs w:val="20"/>
              </w:rPr>
              <w:t>,715.7</w:t>
            </w:r>
          </w:p>
        </w:tc>
      </w:tr>
      <w:tr w:rsidR="00433FD0" w:rsidRPr="00BB489E" w14:paraId="64042292"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4FC09F81"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2BB3F18E"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1.3%</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31469853"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1.5%</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7C4E636B" w14:textId="77777777" w:rsidR="00433FD0" w:rsidRPr="002510B4" w:rsidRDefault="00433FD0" w:rsidP="00733935">
            <w:pPr>
              <w:spacing w:before="0" w:line="276" w:lineRule="auto"/>
              <w:ind w:firstLine="0"/>
              <w:jc w:val="center"/>
              <w:rPr>
                <w:b w:val="0"/>
                <w:bCs/>
                <w:sz w:val="20"/>
                <w:szCs w:val="20"/>
              </w:rPr>
            </w:pPr>
            <w:r w:rsidRPr="002510B4">
              <w:rPr>
                <w:b w:val="0"/>
                <w:bCs/>
                <w:sz w:val="20"/>
                <w:szCs w:val="20"/>
              </w:rPr>
              <w:t>2</w:t>
            </w:r>
            <w:r w:rsidRPr="002510B4">
              <w:rPr>
                <w:rFonts w:ascii="Cambria Math" w:hAnsi="Cambria Math" w:cs="Cambria Math"/>
                <w:b w:val="0"/>
                <w:bCs/>
                <w:sz w:val="20"/>
                <w:szCs w:val="20"/>
              </w:rPr>
              <w:t>․</w:t>
            </w:r>
            <w:r w:rsidRPr="002510B4">
              <w:rPr>
                <w:b w:val="0"/>
                <w:bCs/>
                <w:sz w:val="20"/>
                <w:szCs w:val="20"/>
              </w:rPr>
              <w:t>3%</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6648F3B5" w14:textId="77777777" w:rsidR="00433FD0" w:rsidRPr="002510B4" w:rsidRDefault="00433FD0" w:rsidP="00733935">
            <w:pPr>
              <w:spacing w:before="0" w:line="276" w:lineRule="auto"/>
              <w:ind w:firstLine="0"/>
              <w:jc w:val="center"/>
              <w:rPr>
                <w:rFonts w:cs="Arial"/>
                <w:b w:val="0"/>
                <w:bCs/>
                <w:color w:val="000000"/>
                <w:sz w:val="20"/>
                <w:szCs w:val="20"/>
                <w:lang w:val="en-US"/>
              </w:rPr>
            </w:pPr>
            <w:r w:rsidRPr="002510B4">
              <w:rPr>
                <w:b w:val="0"/>
                <w:bCs/>
                <w:sz w:val="20"/>
                <w:szCs w:val="20"/>
              </w:rPr>
              <w:t>1.8%</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17BA6011" w14:textId="77777777" w:rsidR="00433FD0" w:rsidRPr="002510B4" w:rsidRDefault="00433FD0" w:rsidP="00733935">
            <w:pPr>
              <w:spacing w:before="0" w:line="276" w:lineRule="auto"/>
              <w:ind w:firstLine="0"/>
              <w:jc w:val="center"/>
              <w:rPr>
                <w:b w:val="0"/>
                <w:bCs/>
                <w:sz w:val="20"/>
                <w:szCs w:val="20"/>
              </w:rPr>
            </w:pPr>
            <w:r w:rsidRPr="002510B4">
              <w:rPr>
                <w:b w:val="0"/>
                <w:bCs/>
                <w:sz w:val="20"/>
                <w:szCs w:val="20"/>
              </w:rPr>
              <w:t>1.5</w:t>
            </w:r>
            <w:r w:rsidRPr="002510B4">
              <w:rPr>
                <w:b w:val="0"/>
                <w:bCs/>
                <w:sz w:val="20"/>
                <w:szCs w:val="20"/>
                <w:lang w:val="en-US"/>
              </w:rPr>
              <w:t>6</w:t>
            </w:r>
            <w:r w:rsidRPr="002510B4">
              <w:rPr>
                <w:b w:val="0"/>
                <w:bCs/>
                <w:sz w:val="20"/>
                <w:szCs w:val="20"/>
              </w:rPr>
              <w:t>%</w:t>
            </w:r>
          </w:p>
        </w:tc>
      </w:tr>
      <w:tr w:rsidR="00433FD0" w:rsidRPr="00BB489E" w14:paraId="327B7B0A" w14:textId="77777777" w:rsidTr="00733935">
        <w:trPr>
          <w:trHeight w:val="426"/>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0DAF364D" w14:textId="77777777" w:rsidR="00433FD0" w:rsidRPr="00BB489E" w:rsidRDefault="00433FD0" w:rsidP="00733935">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15C2D3BC"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5.5%</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6E4189C4"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6.1%</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634F266D"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lang w:val="hy-AM"/>
              </w:rPr>
              <w:t>7</w:t>
            </w:r>
            <w:r w:rsidRPr="002510B4">
              <w:rPr>
                <w:rFonts w:ascii="Cambria Math" w:hAnsi="Cambria Math"/>
                <w:b w:val="0"/>
                <w:bCs/>
                <w:sz w:val="20"/>
                <w:szCs w:val="20"/>
                <w:lang w:val="hy-AM"/>
              </w:rPr>
              <w:t>․</w:t>
            </w:r>
            <w:r w:rsidRPr="002510B4">
              <w:rPr>
                <w:b w:val="0"/>
                <w:bCs/>
                <w:sz w:val="20"/>
                <w:szCs w:val="20"/>
                <w:lang w:val="hy-AM"/>
              </w:rPr>
              <w:t>8</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6E82181C"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6.4%</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0FE3D553" w14:textId="77777777" w:rsidR="00433FD0" w:rsidRPr="002510B4" w:rsidRDefault="00433FD0" w:rsidP="00733935">
            <w:pPr>
              <w:spacing w:before="0" w:line="276" w:lineRule="auto"/>
              <w:ind w:firstLine="0"/>
              <w:jc w:val="center"/>
              <w:rPr>
                <w:b w:val="0"/>
                <w:bCs/>
                <w:sz w:val="20"/>
                <w:szCs w:val="20"/>
              </w:rPr>
            </w:pPr>
            <w:r w:rsidRPr="002510B4">
              <w:rPr>
                <w:b w:val="0"/>
                <w:bCs/>
                <w:sz w:val="20"/>
                <w:szCs w:val="20"/>
              </w:rPr>
              <w:t>5.6%</w:t>
            </w:r>
          </w:p>
        </w:tc>
      </w:tr>
      <w:tr w:rsidR="00433FD0" w:rsidRPr="00BB489E" w14:paraId="2DA94775" w14:textId="77777777" w:rsidTr="00733935">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462BF6B7" w14:textId="77777777" w:rsidR="00433FD0" w:rsidRPr="00BB489E" w:rsidRDefault="00433FD0" w:rsidP="00733935">
            <w:pPr>
              <w:spacing w:before="0" w:line="276" w:lineRule="auto"/>
              <w:ind w:firstLine="0"/>
              <w:rPr>
                <w:b w:val="0"/>
                <w:sz w:val="20"/>
                <w:szCs w:val="20"/>
                <w:lang w:val="hy-AM"/>
              </w:rPr>
            </w:pPr>
            <w:r w:rsidRPr="00BB489E">
              <w:rPr>
                <w:sz w:val="20"/>
                <w:szCs w:val="20"/>
              </w:rPr>
              <w:t>4</w:t>
            </w:r>
            <w:r w:rsidRPr="00BB489E">
              <w:rPr>
                <w:sz w:val="20"/>
                <w:szCs w:val="20"/>
                <w:lang w:val="hy-AM"/>
              </w:rPr>
              <w:t xml:space="preserve">. </w:t>
            </w:r>
            <w:r w:rsidRPr="00BB489E">
              <w:rPr>
                <w:rFonts w:cs="Arial"/>
                <w:sz w:val="20"/>
                <w:szCs w:val="20"/>
                <w:lang w:val="hy-AM"/>
              </w:rPr>
              <w:t>ՀԱՆԳԻՍՏ, ՄՇԱԿՈՒՅԹ ԵՎ ԿՐՈՆ</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1FA49A48" w14:textId="77777777" w:rsidR="00433FD0" w:rsidRPr="00BB489E" w:rsidRDefault="00433FD0" w:rsidP="00733935">
            <w:pPr>
              <w:spacing w:before="0" w:line="276" w:lineRule="auto"/>
              <w:ind w:firstLine="0"/>
              <w:jc w:val="center"/>
              <w:rPr>
                <w:b w:val="0"/>
                <w:bCs/>
                <w:sz w:val="20"/>
                <w:szCs w:val="20"/>
              </w:rPr>
            </w:pPr>
            <w:r w:rsidRPr="00BB489E">
              <w:rPr>
                <w:rFonts w:cs="Calibri"/>
                <w:bCs/>
                <w:sz w:val="20"/>
                <w:szCs w:val="20"/>
              </w:rPr>
              <w:t>25,306.0</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08BF80CB" w14:textId="77777777" w:rsidR="00433FD0" w:rsidRPr="00BB489E" w:rsidRDefault="00433FD0" w:rsidP="00733935">
            <w:pPr>
              <w:spacing w:before="0" w:line="276" w:lineRule="auto"/>
              <w:ind w:firstLine="0"/>
              <w:jc w:val="center"/>
              <w:rPr>
                <w:b w:val="0"/>
                <w:bCs/>
                <w:sz w:val="20"/>
                <w:szCs w:val="20"/>
              </w:rPr>
            </w:pPr>
            <w:r w:rsidRPr="00BB489E">
              <w:rPr>
                <w:rFonts w:cs="Calibri"/>
                <w:bCs/>
                <w:sz w:val="20"/>
                <w:szCs w:val="20"/>
              </w:rPr>
              <w:t>33,558,3</w:t>
            </w:r>
          </w:p>
        </w:tc>
        <w:tc>
          <w:tcPr>
            <w:tcW w:w="5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14:paraId="35BCADE9" w14:textId="77777777" w:rsidR="00433FD0" w:rsidRPr="00F92324" w:rsidRDefault="00433FD0" w:rsidP="00733935">
            <w:pPr>
              <w:spacing w:before="0" w:line="276" w:lineRule="auto"/>
              <w:ind w:firstLine="0"/>
              <w:jc w:val="center"/>
              <w:rPr>
                <w:b w:val="0"/>
                <w:bCs/>
                <w:sz w:val="20"/>
                <w:szCs w:val="20"/>
                <w:lang w:val="hy-AM"/>
              </w:rPr>
            </w:pPr>
            <w:r w:rsidRPr="00BB489E">
              <w:rPr>
                <w:rFonts w:cs="Calibri"/>
                <w:bCs/>
                <w:sz w:val="20"/>
                <w:szCs w:val="20"/>
              </w:rPr>
              <w:t>3</w:t>
            </w:r>
            <w:r>
              <w:rPr>
                <w:rFonts w:cs="Calibri"/>
                <w:bCs/>
                <w:sz w:val="20"/>
                <w:szCs w:val="20"/>
                <w:lang w:val="hy-AM"/>
              </w:rPr>
              <w:t>3</w:t>
            </w:r>
            <w:r w:rsidRPr="00BB489E">
              <w:rPr>
                <w:rFonts w:cs="Calibri"/>
                <w:bCs/>
                <w:sz w:val="20"/>
                <w:szCs w:val="20"/>
              </w:rPr>
              <w:t>,</w:t>
            </w:r>
            <w:r>
              <w:rPr>
                <w:rFonts w:cs="Calibri"/>
                <w:bCs/>
                <w:sz w:val="20"/>
                <w:szCs w:val="20"/>
                <w:lang w:val="hy-AM"/>
              </w:rPr>
              <w:t>625</w:t>
            </w:r>
            <w:r w:rsidRPr="00BB489E">
              <w:rPr>
                <w:rFonts w:cs="Calibri"/>
                <w:bCs/>
                <w:sz w:val="20"/>
                <w:szCs w:val="20"/>
              </w:rPr>
              <w:t>.</w:t>
            </w:r>
            <w:r>
              <w:rPr>
                <w:rFonts w:cs="Calibri"/>
                <w:bCs/>
                <w:sz w:val="20"/>
                <w:szCs w:val="20"/>
                <w:lang w:val="hy-AM"/>
              </w:rPr>
              <w:t>0</w:t>
            </w:r>
          </w:p>
        </w:tc>
        <w:tc>
          <w:tcPr>
            <w:tcW w:w="649"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22688608" w14:textId="77777777" w:rsidR="00433FD0" w:rsidRPr="00BB489E" w:rsidRDefault="00433FD0" w:rsidP="00733935">
            <w:pPr>
              <w:spacing w:before="0" w:line="276" w:lineRule="auto"/>
              <w:ind w:firstLine="0"/>
              <w:jc w:val="center"/>
              <w:rPr>
                <w:b w:val="0"/>
                <w:bCs/>
                <w:sz w:val="20"/>
                <w:szCs w:val="20"/>
                <w:lang w:val="en-US"/>
              </w:rPr>
            </w:pPr>
            <w:r w:rsidRPr="00BB489E">
              <w:rPr>
                <w:rFonts w:cs="Calibri"/>
                <w:bCs/>
                <w:sz w:val="20"/>
                <w:szCs w:val="20"/>
              </w:rPr>
              <w:t>30,5</w:t>
            </w:r>
            <w:r w:rsidRPr="00BB489E">
              <w:rPr>
                <w:rFonts w:cs="Calibri"/>
                <w:bCs/>
                <w:sz w:val="20"/>
                <w:szCs w:val="20"/>
                <w:lang w:val="en-US"/>
              </w:rPr>
              <w:t>85</w:t>
            </w:r>
            <w:r w:rsidRPr="00BB489E">
              <w:rPr>
                <w:rFonts w:cs="Calibri"/>
                <w:bCs/>
                <w:sz w:val="20"/>
                <w:szCs w:val="20"/>
              </w:rPr>
              <w:t>.</w:t>
            </w:r>
            <w:r w:rsidRPr="00BB489E">
              <w:rPr>
                <w:rFonts w:cs="Calibri"/>
                <w:bCs/>
                <w:sz w:val="20"/>
                <w:szCs w:val="20"/>
                <w:lang w:val="en-US"/>
              </w:rPr>
              <w:t>0</w:t>
            </w:r>
          </w:p>
        </w:tc>
        <w:tc>
          <w:tcPr>
            <w:tcW w:w="736"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14:paraId="1EEAB833" w14:textId="77777777" w:rsidR="00433FD0" w:rsidRPr="00125424" w:rsidRDefault="00433FD0" w:rsidP="00733935">
            <w:pPr>
              <w:spacing w:before="0" w:line="276" w:lineRule="auto"/>
              <w:ind w:firstLine="0"/>
              <w:jc w:val="center"/>
              <w:rPr>
                <w:rFonts w:cs="Calibri"/>
                <w:bCs/>
                <w:sz w:val="20"/>
                <w:szCs w:val="20"/>
                <w:lang w:val="en-US"/>
              </w:rPr>
            </w:pPr>
            <w:r>
              <w:rPr>
                <w:rFonts w:cs="Calibri"/>
                <w:bCs/>
                <w:sz w:val="20"/>
                <w:szCs w:val="20"/>
                <w:lang w:val="en-US"/>
              </w:rPr>
              <w:t>32,504.2</w:t>
            </w:r>
          </w:p>
        </w:tc>
      </w:tr>
      <w:tr w:rsidR="00433FD0" w:rsidRPr="00BB489E" w14:paraId="3E4BD96B" w14:textId="77777777" w:rsidTr="00733935">
        <w:trPr>
          <w:trHeight w:val="395"/>
        </w:trPr>
        <w:tc>
          <w:tcPr>
            <w:tcW w:w="1672" w:type="pct"/>
            <w:tcBorders>
              <w:top w:val="single" w:sz="6" w:space="0" w:color="auto"/>
              <w:left w:val="double" w:sz="4" w:space="0" w:color="auto"/>
              <w:bottom w:val="single" w:sz="6" w:space="0" w:color="auto"/>
              <w:right w:val="single" w:sz="6" w:space="0" w:color="auto"/>
            </w:tcBorders>
            <w:shd w:val="solid" w:color="FFFFFF" w:fill="auto"/>
            <w:tcMar>
              <w:top w:w="0" w:type="dxa"/>
              <w:left w:w="57" w:type="dxa"/>
              <w:bottom w:w="0" w:type="dxa"/>
              <w:right w:w="85" w:type="dxa"/>
            </w:tcMar>
            <w:vAlign w:val="center"/>
            <w:hideMark/>
          </w:tcPr>
          <w:p w14:paraId="52271F8E"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14:paraId="41F27270"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0.4%</w:t>
            </w:r>
          </w:p>
        </w:tc>
        <w:tc>
          <w:tcPr>
            <w:tcW w:w="675"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14:paraId="0D1D0317"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0.5%</w:t>
            </w:r>
          </w:p>
        </w:tc>
        <w:tc>
          <w:tcPr>
            <w:tcW w:w="593" w:type="pct"/>
            <w:tcBorders>
              <w:top w:val="single" w:sz="6" w:space="0" w:color="auto"/>
              <w:left w:val="single" w:sz="6" w:space="0" w:color="auto"/>
              <w:bottom w:val="single" w:sz="6" w:space="0" w:color="auto"/>
              <w:right w:val="single" w:sz="6" w:space="0" w:color="auto"/>
            </w:tcBorders>
            <w:shd w:val="solid" w:color="FFFFFF" w:fill="auto"/>
            <w:tcMar>
              <w:top w:w="0" w:type="dxa"/>
              <w:left w:w="30" w:type="dxa"/>
              <w:bottom w:w="0" w:type="dxa"/>
              <w:right w:w="30" w:type="dxa"/>
            </w:tcMar>
            <w:hideMark/>
          </w:tcPr>
          <w:p w14:paraId="2D0C3903"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0.</w:t>
            </w:r>
            <w:r w:rsidRPr="002510B4">
              <w:rPr>
                <w:b w:val="0"/>
                <w:bCs/>
                <w:sz w:val="20"/>
                <w:szCs w:val="20"/>
                <w:lang w:val="hy-AM"/>
              </w:rPr>
              <w:t>2</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solid" w:color="FFFFFF" w:fill="auto"/>
            <w:tcMar>
              <w:top w:w="0" w:type="dxa"/>
              <w:left w:w="30" w:type="dxa"/>
              <w:bottom w:w="0" w:type="dxa"/>
              <w:right w:w="30" w:type="dxa"/>
            </w:tcMar>
            <w:hideMark/>
          </w:tcPr>
          <w:p w14:paraId="48F3EFA5" w14:textId="77777777" w:rsidR="00433FD0" w:rsidRPr="002510B4" w:rsidRDefault="00433FD0" w:rsidP="00733935">
            <w:pPr>
              <w:spacing w:before="0" w:line="276" w:lineRule="auto"/>
              <w:ind w:firstLine="0"/>
              <w:jc w:val="center"/>
              <w:rPr>
                <w:rFonts w:cs="Arial"/>
                <w:b w:val="0"/>
                <w:bCs/>
                <w:color w:val="000000"/>
                <w:sz w:val="20"/>
                <w:szCs w:val="20"/>
                <w:lang w:val="en-US"/>
              </w:rPr>
            </w:pPr>
            <w:r w:rsidRPr="002510B4">
              <w:rPr>
                <w:b w:val="0"/>
                <w:bCs/>
                <w:sz w:val="20"/>
                <w:szCs w:val="20"/>
              </w:rPr>
              <w:t>0.5%</w:t>
            </w:r>
          </w:p>
        </w:tc>
        <w:tc>
          <w:tcPr>
            <w:tcW w:w="736" w:type="pct"/>
            <w:tcBorders>
              <w:top w:val="single" w:sz="6" w:space="0" w:color="auto"/>
              <w:left w:val="single" w:sz="6" w:space="0" w:color="auto"/>
              <w:bottom w:val="single" w:sz="6" w:space="0" w:color="auto"/>
              <w:right w:val="double" w:sz="4" w:space="0" w:color="auto"/>
            </w:tcBorders>
            <w:shd w:val="solid" w:color="FFFFFF" w:fill="auto"/>
          </w:tcPr>
          <w:p w14:paraId="513D78B0" w14:textId="77777777" w:rsidR="00433FD0" w:rsidRPr="002510B4" w:rsidRDefault="00433FD0" w:rsidP="00733935">
            <w:pPr>
              <w:spacing w:before="0" w:line="276" w:lineRule="auto"/>
              <w:ind w:firstLine="0"/>
              <w:jc w:val="center"/>
              <w:rPr>
                <w:b w:val="0"/>
                <w:bCs/>
                <w:sz w:val="20"/>
                <w:szCs w:val="20"/>
                <w:lang w:val="en-US"/>
              </w:rPr>
            </w:pPr>
            <w:r w:rsidRPr="002510B4">
              <w:rPr>
                <w:b w:val="0"/>
                <w:bCs/>
                <w:sz w:val="20"/>
                <w:szCs w:val="20"/>
                <w:lang w:val="en-US"/>
              </w:rPr>
              <w:t>0.41%</w:t>
            </w:r>
          </w:p>
        </w:tc>
      </w:tr>
      <w:tr w:rsidR="00433FD0" w:rsidRPr="00BB489E" w14:paraId="0D448942" w14:textId="77777777" w:rsidTr="00733935">
        <w:trPr>
          <w:trHeight w:val="20"/>
        </w:trPr>
        <w:tc>
          <w:tcPr>
            <w:tcW w:w="1672" w:type="pct"/>
            <w:tcBorders>
              <w:top w:val="single" w:sz="6" w:space="0" w:color="auto"/>
              <w:left w:val="double" w:sz="4" w:space="0" w:color="auto"/>
              <w:bottom w:val="double" w:sz="4" w:space="0" w:color="auto"/>
              <w:right w:val="single" w:sz="6" w:space="0" w:color="auto"/>
            </w:tcBorders>
            <w:shd w:val="solid" w:color="FFFFFF" w:fill="auto"/>
            <w:tcMar>
              <w:top w:w="0" w:type="dxa"/>
              <w:left w:w="57" w:type="dxa"/>
              <w:bottom w:w="0" w:type="dxa"/>
              <w:right w:w="85" w:type="dxa"/>
            </w:tcMar>
            <w:vAlign w:val="center"/>
            <w:hideMark/>
          </w:tcPr>
          <w:p w14:paraId="7EE0C3C5" w14:textId="77777777" w:rsidR="00433FD0" w:rsidRPr="00BB489E" w:rsidRDefault="00433FD0" w:rsidP="00733935">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14:paraId="0FC35DF9"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1.7%</w:t>
            </w:r>
          </w:p>
        </w:tc>
        <w:tc>
          <w:tcPr>
            <w:tcW w:w="675"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14:paraId="54F8C13E"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2.1%</w:t>
            </w:r>
          </w:p>
        </w:tc>
        <w:tc>
          <w:tcPr>
            <w:tcW w:w="593" w:type="pct"/>
            <w:tcBorders>
              <w:top w:val="single" w:sz="6" w:space="0" w:color="auto"/>
              <w:left w:val="single" w:sz="6" w:space="0" w:color="auto"/>
              <w:bottom w:val="double" w:sz="4" w:space="0" w:color="auto"/>
              <w:right w:val="single" w:sz="6" w:space="0" w:color="auto"/>
            </w:tcBorders>
            <w:shd w:val="solid" w:color="FFFFFF" w:fill="auto"/>
            <w:tcMar>
              <w:top w:w="0" w:type="dxa"/>
              <w:left w:w="30" w:type="dxa"/>
              <w:bottom w:w="0" w:type="dxa"/>
              <w:right w:w="30" w:type="dxa"/>
            </w:tcMar>
            <w:hideMark/>
          </w:tcPr>
          <w:p w14:paraId="661A52AB" w14:textId="77777777" w:rsidR="00433FD0" w:rsidRPr="002510B4" w:rsidRDefault="00433FD0" w:rsidP="00733935">
            <w:pPr>
              <w:spacing w:before="0" w:line="276" w:lineRule="auto"/>
              <w:ind w:firstLine="0"/>
              <w:jc w:val="center"/>
              <w:rPr>
                <w:rFonts w:cs="Arial"/>
                <w:b w:val="0"/>
                <w:bCs/>
                <w:color w:val="000000"/>
                <w:sz w:val="20"/>
                <w:szCs w:val="20"/>
              </w:rPr>
            </w:pPr>
            <w:r w:rsidRPr="002510B4">
              <w:rPr>
                <w:b w:val="0"/>
                <w:bCs/>
                <w:sz w:val="20"/>
                <w:szCs w:val="20"/>
              </w:rPr>
              <w:t>1.</w:t>
            </w:r>
            <w:r w:rsidRPr="002510B4">
              <w:rPr>
                <w:b w:val="0"/>
                <w:bCs/>
                <w:sz w:val="20"/>
                <w:szCs w:val="20"/>
                <w:lang w:val="hy-AM"/>
              </w:rPr>
              <w:t>8</w:t>
            </w:r>
            <w:r w:rsidRPr="002510B4">
              <w:rPr>
                <w:b w:val="0"/>
                <w:bCs/>
                <w:sz w:val="20"/>
                <w:szCs w:val="20"/>
              </w:rPr>
              <w:t>%</w:t>
            </w:r>
          </w:p>
        </w:tc>
        <w:tc>
          <w:tcPr>
            <w:tcW w:w="649" w:type="pct"/>
            <w:tcBorders>
              <w:top w:val="single" w:sz="6" w:space="0" w:color="auto"/>
              <w:left w:val="single" w:sz="6" w:space="0" w:color="auto"/>
              <w:bottom w:val="double" w:sz="4" w:space="0" w:color="auto"/>
              <w:right w:val="double" w:sz="4" w:space="0" w:color="auto"/>
            </w:tcBorders>
            <w:shd w:val="solid" w:color="FFFFFF" w:fill="auto"/>
            <w:tcMar>
              <w:top w:w="0" w:type="dxa"/>
              <w:left w:w="30" w:type="dxa"/>
              <w:bottom w:w="0" w:type="dxa"/>
              <w:right w:w="30" w:type="dxa"/>
            </w:tcMar>
            <w:hideMark/>
          </w:tcPr>
          <w:p w14:paraId="1AE26096" w14:textId="77777777" w:rsidR="00433FD0" w:rsidRPr="002510B4" w:rsidRDefault="00433FD0" w:rsidP="00733935">
            <w:pPr>
              <w:spacing w:before="0" w:line="276" w:lineRule="auto"/>
              <w:ind w:firstLine="0"/>
              <w:jc w:val="center"/>
              <w:rPr>
                <w:rFonts w:cs="Arial"/>
                <w:b w:val="0"/>
                <w:bCs/>
                <w:color w:val="000000"/>
                <w:sz w:val="20"/>
                <w:szCs w:val="20"/>
                <w:lang w:val="en-US"/>
              </w:rPr>
            </w:pPr>
            <w:r w:rsidRPr="002510B4">
              <w:rPr>
                <w:b w:val="0"/>
                <w:bCs/>
                <w:sz w:val="20"/>
                <w:szCs w:val="20"/>
              </w:rPr>
              <w:t>1.7%</w:t>
            </w:r>
          </w:p>
        </w:tc>
        <w:tc>
          <w:tcPr>
            <w:tcW w:w="736" w:type="pct"/>
            <w:tcBorders>
              <w:top w:val="single" w:sz="6" w:space="0" w:color="auto"/>
              <w:left w:val="single" w:sz="6" w:space="0" w:color="auto"/>
              <w:bottom w:val="double" w:sz="4" w:space="0" w:color="auto"/>
              <w:right w:val="double" w:sz="4" w:space="0" w:color="auto"/>
            </w:tcBorders>
            <w:shd w:val="solid" w:color="FFFFFF" w:fill="auto"/>
          </w:tcPr>
          <w:p w14:paraId="79A014A2" w14:textId="77777777" w:rsidR="00433FD0" w:rsidRPr="002510B4" w:rsidRDefault="00433FD0" w:rsidP="00733935">
            <w:pPr>
              <w:spacing w:before="0" w:line="276" w:lineRule="auto"/>
              <w:ind w:firstLine="0"/>
              <w:jc w:val="center"/>
              <w:rPr>
                <w:b w:val="0"/>
                <w:bCs/>
                <w:sz w:val="20"/>
                <w:szCs w:val="20"/>
                <w:lang w:val="en-US"/>
              </w:rPr>
            </w:pPr>
            <w:r w:rsidRPr="002510B4">
              <w:rPr>
                <w:b w:val="0"/>
                <w:bCs/>
                <w:sz w:val="20"/>
                <w:szCs w:val="20"/>
                <w:lang w:val="en-US"/>
              </w:rPr>
              <w:t>1.5%</w:t>
            </w:r>
          </w:p>
        </w:tc>
      </w:tr>
    </w:tbl>
    <w:p w14:paraId="19526CF0" w14:textId="77777777" w:rsidR="00433FD0" w:rsidRPr="00BB489E" w:rsidRDefault="00433FD0" w:rsidP="00433FD0">
      <w:pPr>
        <w:spacing w:before="0" w:line="276" w:lineRule="auto"/>
        <w:rPr>
          <w:lang w:val="hy-AM"/>
        </w:rPr>
      </w:pPr>
    </w:p>
    <w:p w14:paraId="0A2A035D" w14:textId="77777777" w:rsidR="00433FD0" w:rsidRPr="00BB489E" w:rsidRDefault="00433FD0" w:rsidP="00433FD0">
      <w:pPr>
        <w:spacing w:before="0" w:line="276" w:lineRule="auto"/>
        <w:ind w:firstLine="600"/>
        <w:rPr>
          <w:b w:val="0"/>
          <w:lang w:val="hy-AM"/>
        </w:rPr>
      </w:pPr>
      <w:r w:rsidRPr="00BB489E">
        <w:rPr>
          <w:b w:val="0"/>
          <w:lang w:val="hy-AM"/>
        </w:rPr>
        <w:t>201</w:t>
      </w:r>
      <w:r w:rsidRPr="00284569">
        <w:rPr>
          <w:b w:val="0"/>
          <w:lang w:val="hy-AM"/>
        </w:rPr>
        <w:t>8</w:t>
      </w:r>
      <w:r w:rsidRPr="00BB489E">
        <w:rPr>
          <w:b w:val="0"/>
          <w:lang w:val="hy-AM"/>
        </w:rPr>
        <w:t>-202</w:t>
      </w:r>
      <w:r w:rsidRPr="00284569">
        <w:rPr>
          <w:b w:val="0"/>
          <w:lang w:val="hy-AM"/>
        </w:rPr>
        <w:t>2</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ժամանակահատվածում կրթության և առողջապահության ոլորտների ֆինանսավորումը ՀՆԱ նկատմամբ փոփոխական բնույթ է կրել։</w:t>
      </w:r>
      <w:r w:rsidRPr="00BB489E">
        <w:rPr>
          <w:b w:val="0"/>
          <w:lang w:val="hy-AM"/>
        </w:rPr>
        <w:tab/>
      </w:r>
    </w:p>
    <w:p w14:paraId="08CFC7E7" w14:textId="77777777" w:rsidR="00433FD0" w:rsidRPr="00BB489E" w:rsidRDefault="00433FD0" w:rsidP="00433FD0">
      <w:pPr>
        <w:spacing w:before="0" w:line="276" w:lineRule="auto"/>
        <w:ind w:firstLine="600"/>
        <w:rPr>
          <w:b w:val="0"/>
          <w:lang w:val="hy-AM"/>
        </w:rPr>
      </w:pPr>
      <w:r w:rsidRPr="00BB489E">
        <w:rPr>
          <w:b w:val="0"/>
          <w:lang w:val="hy-AM"/>
        </w:rPr>
        <w:t xml:space="preserve"> 202</w:t>
      </w:r>
      <w:r w:rsidRPr="00284569">
        <w:rPr>
          <w:b w:val="0"/>
          <w:lang w:val="hy-AM"/>
        </w:rPr>
        <w:t>2</w:t>
      </w:r>
      <w:r w:rsidRPr="00BB489E">
        <w:rPr>
          <w:b w:val="0"/>
          <w:lang w:val="hy-AM"/>
        </w:rPr>
        <w:t>թ</w:t>
      </w:r>
      <w:r w:rsidRPr="00BB489E">
        <w:rPr>
          <w:rFonts w:ascii="MS Gothic" w:eastAsia="MS Gothic" w:hAnsi="MS Gothic" w:cs="MS Gothic" w:hint="eastAsia"/>
          <w:b w:val="0"/>
          <w:lang w:val="hy-AM"/>
        </w:rPr>
        <w:t>․</w:t>
      </w:r>
      <w:r w:rsidRPr="00BB489E">
        <w:rPr>
          <w:b w:val="0"/>
          <w:lang w:val="hy-AM"/>
        </w:rPr>
        <w:t xml:space="preserve"> համար այս ոլորտների բյուջետային ծախսերի չափաքանակները սահմանելիս առաջնային է դիտարկվել նշված ոլորտների համար ծախսեր/ՀՆԱ  ցուցանիշի առաջանցիկ մակարդակի ապահովումը։ </w:t>
      </w:r>
    </w:p>
    <w:p w14:paraId="2634967A" w14:textId="77777777" w:rsidR="00433FD0" w:rsidRPr="004E506C" w:rsidRDefault="00433FD0" w:rsidP="00433FD0">
      <w:pPr>
        <w:spacing w:before="0" w:line="276" w:lineRule="auto"/>
        <w:ind w:firstLine="600"/>
        <w:rPr>
          <w:b w:val="0"/>
          <w:lang w:val="hy-AM"/>
        </w:rPr>
      </w:pPr>
      <w:r w:rsidRPr="00BB489E">
        <w:rPr>
          <w:b w:val="0"/>
          <w:lang w:val="hy-AM"/>
        </w:rPr>
        <w:t>201</w:t>
      </w:r>
      <w:r w:rsidRPr="00284569">
        <w:rPr>
          <w:b w:val="0"/>
          <w:lang w:val="hy-AM"/>
        </w:rPr>
        <w:t>8</w:t>
      </w:r>
      <w:r w:rsidRPr="00BB489E">
        <w:rPr>
          <w:b w:val="0"/>
          <w:lang w:val="hy-AM"/>
        </w:rPr>
        <w:t>-202</w:t>
      </w:r>
      <w:r>
        <w:rPr>
          <w:b w:val="0"/>
          <w:lang w:val="hy-AM"/>
        </w:rPr>
        <w:t>1</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ընթացքում կրթության ոլորտին ուղղված պետական միջոցները կազմել են համապատասխանաբար 121,626.5, 129,336.3</w:t>
      </w:r>
      <w:r w:rsidRPr="00125424">
        <w:rPr>
          <w:b w:val="0"/>
          <w:lang w:val="hy-AM"/>
        </w:rPr>
        <w:t xml:space="preserve">, </w:t>
      </w:r>
      <w:r w:rsidRPr="002510B4">
        <w:rPr>
          <w:b w:val="0"/>
          <w:lang w:val="hy-AM"/>
        </w:rPr>
        <w:t xml:space="preserve">143,796.3 </w:t>
      </w:r>
      <w:r>
        <w:rPr>
          <w:b w:val="0"/>
          <w:lang w:val="hy-AM"/>
        </w:rPr>
        <w:t xml:space="preserve">և </w:t>
      </w:r>
      <w:r w:rsidRPr="00125424">
        <w:rPr>
          <w:b w:val="0"/>
          <w:lang w:val="hy-AM"/>
        </w:rPr>
        <w:t>153,593.3</w:t>
      </w:r>
      <w:r>
        <w:rPr>
          <w:b w:val="0"/>
          <w:lang w:val="hy-AM"/>
        </w:rPr>
        <w:t xml:space="preserve">  </w:t>
      </w:r>
      <w:r w:rsidRPr="00BB489E">
        <w:rPr>
          <w:b w:val="0"/>
          <w:lang w:val="hy-AM"/>
        </w:rPr>
        <w:t>մլն</w:t>
      </w:r>
      <w:r w:rsidRPr="00125424">
        <w:rPr>
          <w:rFonts w:ascii="Cambria Math" w:hAnsi="Cambria Math" w:cs="Cambria Math"/>
          <w:b w:val="0"/>
          <w:lang w:val="hy-AM"/>
        </w:rPr>
        <w:t>․</w:t>
      </w:r>
      <w:r>
        <w:rPr>
          <w:rFonts w:ascii="Cambria Math" w:hAnsi="Cambria Math" w:cs="Cambria Math"/>
          <w:b w:val="0"/>
          <w:lang w:val="hy-AM"/>
        </w:rPr>
        <w:t xml:space="preserve"> </w:t>
      </w:r>
      <w:r w:rsidRPr="00BB489E">
        <w:rPr>
          <w:b w:val="0"/>
          <w:lang w:val="hy-AM"/>
        </w:rPr>
        <w:t>դրամ։ 202</w:t>
      </w:r>
      <w:r w:rsidRPr="00284569">
        <w:rPr>
          <w:b w:val="0"/>
          <w:lang w:val="hy-AM"/>
        </w:rPr>
        <w:t>2</w:t>
      </w:r>
      <w:r w:rsidRPr="00BB489E">
        <w:rPr>
          <w:b w:val="0"/>
          <w:lang w:val="hy-AM"/>
        </w:rPr>
        <w:t>թ</w:t>
      </w:r>
      <w:r w:rsidRPr="00125424">
        <w:rPr>
          <w:rFonts w:ascii="Cambria Math" w:hAnsi="Cambria Math" w:cs="Cambria Math"/>
          <w:b w:val="0"/>
          <w:lang w:val="hy-AM"/>
        </w:rPr>
        <w:t>․</w:t>
      </w:r>
      <w:r w:rsidRPr="00BB489E">
        <w:rPr>
          <w:b w:val="0"/>
          <w:lang w:val="hy-AM"/>
        </w:rPr>
        <w:t xml:space="preserve"> ոլորտի ֆինանսավորման համար հատկացվելիք </w:t>
      </w:r>
      <w:r w:rsidRPr="002510B4">
        <w:rPr>
          <w:b w:val="0"/>
          <w:lang w:val="hy-AM"/>
        </w:rPr>
        <w:t>192,759.2</w:t>
      </w:r>
      <w:r>
        <w:rPr>
          <w:b w:val="0"/>
          <w:lang w:val="hy-AM"/>
        </w:rPr>
        <w:t xml:space="preserve"> </w:t>
      </w:r>
      <w:r w:rsidRPr="00BB489E">
        <w:rPr>
          <w:b w:val="0"/>
          <w:lang w:val="hy-AM"/>
        </w:rPr>
        <w:t>մլն</w:t>
      </w:r>
      <w:r w:rsidRPr="00125424">
        <w:rPr>
          <w:rFonts w:ascii="Cambria Math" w:hAnsi="Cambria Math" w:cs="Cambria Math"/>
          <w:b w:val="0"/>
          <w:lang w:val="hy-AM"/>
        </w:rPr>
        <w:t>․</w:t>
      </w:r>
      <w:r>
        <w:rPr>
          <w:rFonts w:ascii="Cambria Math" w:hAnsi="Cambria Math" w:cs="Cambria Math"/>
          <w:b w:val="0"/>
          <w:lang w:val="hy-AM"/>
        </w:rPr>
        <w:t xml:space="preserve"> </w:t>
      </w:r>
      <w:r w:rsidRPr="00BB489E">
        <w:rPr>
          <w:b w:val="0"/>
          <w:lang w:val="hy-AM"/>
        </w:rPr>
        <w:t>դրամը նախատեսվում է համամասնորեն ուղղել կրթության առանձին տեսակների՝ նախադպրոցական, տարրական, միջնակարգ, մասնագիտական, բարձրագույն, հետբուհական, ինչպես նաև կրթությանը տրամադրվող օժանդակ ծառայությունների ֆինանսավորմանը։</w:t>
      </w:r>
      <w:r>
        <w:rPr>
          <w:b w:val="0"/>
          <w:lang w:val="hy-AM"/>
        </w:rPr>
        <w:t xml:space="preserve"> </w:t>
      </w:r>
      <w:r w:rsidRPr="004E506C">
        <w:rPr>
          <w:b w:val="0"/>
          <w:lang w:val="hy-AM"/>
        </w:rPr>
        <w:t xml:space="preserve">ԵՄ աջակցությամբ իրականացվող դրամաշնորհային ծրագրի շրջանակներում ուսումնական հաստատությունների շենքային պայմանների բարելավման նպատակով պլանավորվում է ծախսել 6,048.1 մլն. դրամ: </w:t>
      </w:r>
    </w:p>
    <w:p w14:paraId="4A7D8A94" w14:textId="77777777" w:rsidR="00433FD0" w:rsidRPr="00BB489E" w:rsidRDefault="00433FD0" w:rsidP="00433FD0">
      <w:pPr>
        <w:spacing w:before="0" w:line="276" w:lineRule="auto"/>
        <w:ind w:firstLine="600"/>
        <w:rPr>
          <w:b w:val="0"/>
          <w:lang w:val="hy-AM"/>
        </w:rPr>
      </w:pPr>
      <w:r w:rsidRPr="00BB489E">
        <w:rPr>
          <w:b w:val="0"/>
          <w:lang w:val="hy-AM"/>
        </w:rPr>
        <w:t>Առողջապահության ոլորտի ֆինանսավորումը 201</w:t>
      </w:r>
      <w:r w:rsidRPr="00284569">
        <w:rPr>
          <w:b w:val="0"/>
          <w:lang w:val="hy-AM"/>
        </w:rPr>
        <w:t>8</w:t>
      </w:r>
      <w:r w:rsidRPr="00BB489E">
        <w:rPr>
          <w:b w:val="0"/>
          <w:lang w:val="hy-AM"/>
        </w:rPr>
        <w:t>-202</w:t>
      </w:r>
      <w:r>
        <w:rPr>
          <w:b w:val="0"/>
          <w:lang w:val="hy-AM"/>
        </w:rPr>
        <w:t>1</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համապատասխանաբար կազմել է 79,574,1, 99,283,0</w:t>
      </w:r>
      <w:r>
        <w:rPr>
          <w:b w:val="0"/>
          <w:lang w:val="hy-AM"/>
        </w:rPr>
        <w:t>,</w:t>
      </w:r>
      <w:r w:rsidRPr="00BB489E">
        <w:rPr>
          <w:b w:val="0"/>
          <w:lang w:val="hy-AM"/>
        </w:rPr>
        <w:t xml:space="preserve"> </w:t>
      </w:r>
      <w:r w:rsidRPr="002510B4">
        <w:rPr>
          <w:b w:val="0"/>
          <w:lang w:val="hy-AM"/>
        </w:rPr>
        <w:t>148,236.7</w:t>
      </w:r>
      <w:r>
        <w:rPr>
          <w:b w:val="0"/>
          <w:lang w:val="hy-AM"/>
        </w:rPr>
        <w:t xml:space="preserve"> և </w:t>
      </w:r>
      <w:r w:rsidRPr="00BB489E">
        <w:rPr>
          <w:b w:val="0"/>
          <w:lang w:val="hy-AM"/>
        </w:rPr>
        <w:t xml:space="preserve"> </w:t>
      </w:r>
      <w:r w:rsidRPr="00125424">
        <w:rPr>
          <w:b w:val="0"/>
          <w:lang w:val="hy-AM"/>
        </w:rPr>
        <w:t>117,548.5</w:t>
      </w:r>
      <w:r>
        <w:rPr>
          <w:b w:val="0"/>
          <w:lang w:val="hy-AM"/>
        </w:rPr>
        <w:t xml:space="preserve"> </w:t>
      </w:r>
      <w:r w:rsidRPr="00BB489E">
        <w:rPr>
          <w:b w:val="0"/>
          <w:lang w:val="hy-AM"/>
        </w:rPr>
        <w:t>մլն</w:t>
      </w:r>
      <w:r w:rsidRPr="00BB489E">
        <w:rPr>
          <w:rFonts w:ascii="MS Gothic" w:eastAsia="MS Gothic" w:hAnsi="MS Gothic" w:cs="MS Gothic" w:hint="eastAsia"/>
          <w:b w:val="0"/>
          <w:lang w:val="hy-AM"/>
        </w:rPr>
        <w:t>․</w:t>
      </w:r>
      <w:r w:rsidRPr="00BB489E">
        <w:rPr>
          <w:b w:val="0"/>
          <w:lang w:val="hy-AM"/>
        </w:rPr>
        <w:t xml:space="preserve"> դրամ։ 202</w:t>
      </w:r>
      <w:r w:rsidRPr="00284569">
        <w:rPr>
          <w:b w:val="0"/>
          <w:lang w:val="hy-AM"/>
        </w:rPr>
        <w:t>2</w:t>
      </w:r>
      <w:r w:rsidRPr="00BB489E">
        <w:rPr>
          <w:b w:val="0"/>
          <w:lang w:val="hy-AM"/>
        </w:rPr>
        <w:t>թ</w:t>
      </w:r>
      <w:r w:rsidRPr="00BB489E">
        <w:rPr>
          <w:rFonts w:ascii="MS Gothic" w:eastAsia="MS Gothic" w:hAnsi="MS Gothic" w:cs="MS Gothic" w:hint="eastAsia"/>
          <w:b w:val="0"/>
          <w:lang w:val="hy-AM"/>
        </w:rPr>
        <w:t>․</w:t>
      </w:r>
      <w:r w:rsidRPr="00BB489E">
        <w:rPr>
          <w:b w:val="0"/>
          <w:lang w:val="hy-AM"/>
        </w:rPr>
        <w:t xml:space="preserve"> ոլորտին ուղղվող ծախսերը </w:t>
      </w:r>
      <w:r>
        <w:rPr>
          <w:b w:val="0"/>
          <w:lang w:val="hy-AM"/>
        </w:rPr>
        <w:t>նախորդ տարվա հաեմատ ավելացել են 5,167,2 մլն</w:t>
      </w:r>
      <w:r w:rsidRPr="00A53AB0">
        <w:rPr>
          <w:rFonts w:ascii="Cambria Math" w:hAnsi="Cambria Math" w:cs="Cambria Math"/>
          <w:b w:val="0"/>
          <w:lang w:val="hy-AM"/>
        </w:rPr>
        <w:t>․</w:t>
      </w:r>
      <w:r w:rsidRPr="00A53AB0">
        <w:rPr>
          <w:b w:val="0"/>
          <w:lang w:val="hy-AM"/>
        </w:rPr>
        <w:t xml:space="preserve"> </w:t>
      </w:r>
      <w:r w:rsidRPr="00A53AB0">
        <w:rPr>
          <w:rFonts w:cs="GHEA Grapalat"/>
          <w:b w:val="0"/>
          <w:lang w:val="hy-AM"/>
        </w:rPr>
        <w:t>դրամով</w:t>
      </w:r>
      <w:r w:rsidRPr="00A53AB0">
        <w:rPr>
          <w:b w:val="0"/>
          <w:lang w:val="hy-AM"/>
        </w:rPr>
        <w:t xml:space="preserve"> </w:t>
      </w:r>
      <w:r>
        <w:rPr>
          <w:b w:val="0"/>
          <w:lang w:val="hy-AM"/>
        </w:rPr>
        <w:t xml:space="preserve">և </w:t>
      </w:r>
      <w:r w:rsidRPr="00BB489E">
        <w:rPr>
          <w:b w:val="0"/>
          <w:lang w:val="hy-AM"/>
        </w:rPr>
        <w:t xml:space="preserve">պլանավորվում են </w:t>
      </w:r>
      <w:r w:rsidRPr="002510B4">
        <w:rPr>
          <w:b w:val="0"/>
          <w:lang w:val="hy-AM"/>
        </w:rPr>
        <w:t>122,715.7</w:t>
      </w:r>
      <w:r>
        <w:rPr>
          <w:b w:val="0"/>
          <w:lang w:val="hy-AM"/>
        </w:rPr>
        <w:t xml:space="preserve"> </w:t>
      </w:r>
      <w:r w:rsidRPr="00BB489E">
        <w:rPr>
          <w:b w:val="0"/>
          <w:lang w:val="hy-AM"/>
        </w:rPr>
        <w:t>մլն</w:t>
      </w:r>
      <w:r w:rsidRPr="00125424">
        <w:rPr>
          <w:rFonts w:ascii="Cambria Math" w:hAnsi="Cambria Math" w:cs="Cambria Math"/>
          <w:b w:val="0"/>
          <w:lang w:val="hy-AM"/>
        </w:rPr>
        <w:t>․</w:t>
      </w:r>
      <w:r w:rsidRPr="00BB489E">
        <w:rPr>
          <w:b w:val="0"/>
          <w:lang w:val="hy-AM"/>
        </w:rPr>
        <w:t xml:space="preserve"> դրամի չափով, որոնք, հաշվի առնելով 2020</w:t>
      </w:r>
      <w:r w:rsidRPr="00284569">
        <w:rPr>
          <w:b w:val="0"/>
          <w:lang w:val="hy-AM"/>
        </w:rPr>
        <w:t>-2021</w:t>
      </w:r>
      <w:r w:rsidRPr="00BB489E">
        <w:rPr>
          <w:b w:val="0"/>
          <w:lang w:val="hy-AM"/>
        </w:rPr>
        <w:t>թ</w:t>
      </w:r>
      <w:r>
        <w:rPr>
          <w:b w:val="0"/>
          <w:lang w:val="hy-AM"/>
        </w:rPr>
        <w:t>թ</w:t>
      </w:r>
      <w:r w:rsidRPr="00BB489E">
        <w:rPr>
          <w:rFonts w:ascii="MS Gothic" w:eastAsia="MS Gothic" w:hAnsi="MS Gothic" w:cs="MS Gothic" w:hint="eastAsia"/>
          <w:b w:val="0"/>
          <w:lang w:val="hy-AM"/>
        </w:rPr>
        <w:t>․</w:t>
      </w:r>
      <w:r w:rsidRPr="00BB489E">
        <w:rPr>
          <w:b w:val="0"/>
          <w:lang w:val="hy-AM"/>
        </w:rPr>
        <w:t xml:space="preserve"> համավարակով պայմանավորված առողջապահության համակարգի համաշխարհային արդի մարտահրավերներն, առաջնահերթ ուղղվելու են վերջինիս դեմ պայքարի միջոցառումների իրականացմանը,</w:t>
      </w:r>
      <w:r>
        <w:rPr>
          <w:b w:val="0"/>
          <w:lang w:val="hy-AM"/>
        </w:rPr>
        <w:t xml:space="preserve"> հանրությանը պատվաստանյութերով ապահովմանը,</w:t>
      </w:r>
      <w:r w:rsidRPr="00BB489E">
        <w:rPr>
          <w:b w:val="0"/>
          <w:lang w:val="hy-AM"/>
        </w:rPr>
        <w:t xml:space="preserve"> առողջապահական համակարգի ռիսկերին արագ և համարժեք արձագանքմանը։ </w:t>
      </w:r>
      <w:r>
        <w:rPr>
          <w:b w:val="0"/>
          <w:lang w:val="hy-AM"/>
        </w:rPr>
        <w:t xml:space="preserve">Միաժամանակ, համաձայն </w:t>
      </w:r>
      <w:r w:rsidRPr="00C23AFB">
        <w:rPr>
          <w:b w:val="0"/>
          <w:lang w:val="hy-AM"/>
        </w:rPr>
        <w:t>ՀՀ կ</w:t>
      </w:r>
      <w:r>
        <w:rPr>
          <w:b w:val="0"/>
          <w:lang w:val="hy-AM"/>
        </w:rPr>
        <w:t>առավարության 2021-2026թթ. ծրագրի առաջնահերթությունների, առողջապահության ոլորտի ֆինանսավորումը 2022 թվականին ուղղվելու է նաև</w:t>
      </w:r>
      <w:r w:rsidRPr="00B85B03">
        <w:rPr>
          <w:lang w:val="hy-AM"/>
        </w:rPr>
        <w:t xml:space="preserve"> </w:t>
      </w:r>
      <w:r w:rsidRPr="00B85B03">
        <w:rPr>
          <w:b w:val="0"/>
          <w:lang w:val="hy-AM"/>
        </w:rPr>
        <w:t>մարզային առողջապահական կազմակերպությունների շենքային և նյութատեխնիկակա</w:t>
      </w:r>
      <w:r>
        <w:rPr>
          <w:b w:val="0"/>
          <w:lang w:val="hy-AM"/>
        </w:rPr>
        <w:t xml:space="preserve">ն պայմանների բարելավման աշխատանքների իրականացմանը:  </w:t>
      </w:r>
    </w:p>
    <w:p w14:paraId="4D3A3BD0" w14:textId="77777777" w:rsidR="00433FD0" w:rsidRPr="00BB489E" w:rsidRDefault="00433FD0" w:rsidP="00433FD0">
      <w:pPr>
        <w:spacing w:before="0" w:line="276" w:lineRule="auto"/>
        <w:ind w:firstLine="600"/>
        <w:rPr>
          <w:b w:val="0"/>
          <w:lang w:val="hy-AM"/>
        </w:rPr>
      </w:pPr>
      <w:r w:rsidRPr="00BB489E">
        <w:rPr>
          <w:b w:val="0"/>
          <w:lang w:val="hy-AM"/>
        </w:rPr>
        <w:t>201</w:t>
      </w:r>
      <w:r w:rsidRPr="00284569">
        <w:rPr>
          <w:b w:val="0"/>
          <w:lang w:val="hy-AM"/>
        </w:rPr>
        <w:t>8</w:t>
      </w:r>
      <w:r w:rsidRPr="00BB489E">
        <w:rPr>
          <w:b w:val="0"/>
          <w:lang w:val="hy-AM"/>
        </w:rPr>
        <w:t>-202</w:t>
      </w:r>
      <w:r>
        <w:rPr>
          <w:b w:val="0"/>
          <w:lang w:val="hy-AM"/>
        </w:rPr>
        <w:t>1</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սոցիալական պաշտպանության ոլորտի ֆինանսավորում</w:t>
      </w:r>
      <w:r>
        <w:rPr>
          <w:b w:val="0"/>
          <w:lang w:val="hy-AM"/>
        </w:rPr>
        <w:t xml:space="preserve">ն աճողական բնույթ է կրել՝ </w:t>
      </w:r>
      <w:r w:rsidRPr="00BB489E">
        <w:rPr>
          <w:b w:val="0"/>
          <w:lang w:val="hy-AM"/>
        </w:rPr>
        <w:t>համապատասխանաբար կազմել</w:t>
      </w:r>
      <w:r>
        <w:rPr>
          <w:b w:val="0"/>
          <w:lang w:val="hy-AM"/>
        </w:rPr>
        <w:t>ով</w:t>
      </w:r>
      <w:r w:rsidRPr="00BB489E">
        <w:rPr>
          <w:b w:val="0"/>
          <w:lang w:val="hy-AM"/>
        </w:rPr>
        <w:t xml:space="preserve"> 416,625.8, 453,921.2</w:t>
      </w:r>
      <w:r>
        <w:rPr>
          <w:b w:val="0"/>
          <w:lang w:val="hy-AM"/>
        </w:rPr>
        <w:t>,</w:t>
      </w:r>
      <w:r w:rsidRPr="00BB489E">
        <w:rPr>
          <w:b w:val="0"/>
          <w:lang w:val="hy-AM"/>
        </w:rPr>
        <w:t xml:space="preserve"> </w:t>
      </w:r>
      <w:r w:rsidRPr="002510B4">
        <w:rPr>
          <w:b w:val="0"/>
          <w:lang w:val="hy-AM"/>
        </w:rPr>
        <w:t>546,575.7</w:t>
      </w:r>
      <w:r>
        <w:rPr>
          <w:b w:val="0"/>
          <w:lang w:val="hy-AM"/>
        </w:rPr>
        <w:t xml:space="preserve"> և </w:t>
      </w:r>
      <w:r w:rsidRPr="00BB489E">
        <w:rPr>
          <w:b w:val="0"/>
          <w:lang w:val="hy-AM"/>
        </w:rPr>
        <w:t xml:space="preserve"> 504,875.9 մլն</w:t>
      </w:r>
      <w:r w:rsidRPr="00BB489E">
        <w:rPr>
          <w:rFonts w:ascii="MS Gothic" w:eastAsia="MS Gothic" w:hAnsi="MS Gothic" w:cs="MS Gothic" w:hint="eastAsia"/>
          <w:b w:val="0"/>
          <w:lang w:val="hy-AM"/>
        </w:rPr>
        <w:t>․</w:t>
      </w:r>
      <w:r w:rsidRPr="00BB489E">
        <w:rPr>
          <w:b w:val="0"/>
          <w:lang w:val="hy-AM"/>
        </w:rPr>
        <w:t xml:space="preserve"> դրամ։ 202</w:t>
      </w:r>
      <w:r>
        <w:rPr>
          <w:b w:val="0"/>
          <w:lang w:val="hy-AM"/>
        </w:rPr>
        <w:t>2</w:t>
      </w:r>
      <w:r w:rsidRPr="00BB489E">
        <w:rPr>
          <w:b w:val="0"/>
          <w:lang w:val="hy-AM"/>
        </w:rPr>
        <w:t xml:space="preserve"> թվականի</w:t>
      </w:r>
      <w:r>
        <w:rPr>
          <w:b w:val="0"/>
          <w:lang w:val="hy-AM"/>
        </w:rPr>
        <w:t xml:space="preserve"> այս միտումը շարունակվելու է և</w:t>
      </w:r>
      <w:r w:rsidRPr="00BB489E">
        <w:rPr>
          <w:b w:val="0"/>
          <w:lang w:val="hy-AM"/>
        </w:rPr>
        <w:t xml:space="preserve"> պետական բյուջեի նախագծով այս ոլորտին </w:t>
      </w:r>
      <w:r>
        <w:rPr>
          <w:b w:val="0"/>
          <w:lang w:val="hy-AM"/>
        </w:rPr>
        <w:t xml:space="preserve">նախատեսվում է հատկացնել </w:t>
      </w:r>
      <w:r w:rsidRPr="001E490D">
        <w:rPr>
          <w:b w:val="0"/>
          <w:lang w:val="hy-AM"/>
        </w:rPr>
        <w:t>581,419.8</w:t>
      </w:r>
      <w:r w:rsidRPr="00BB489E">
        <w:rPr>
          <w:b w:val="0"/>
          <w:lang w:val="hy-AM"/>
        </w:rPr>
        <w:t xml:space="preserve"> մլն</w:t>
      </w:r>
      <w:r w:rsidRPr="00BB489E">
        <w:rPr>
          <w:rFonts w:ascii="MS Gothic" w:eastAsia="MS Gothic" w:hAnsi="MS Gothic" w:cs="MS Gothic" w:hint="eastAsia"/>
          <w:b w:val="0"/>
          <w:lang w:val="hy-AM"/>
        </w:rPr>
        <w:t>․</w:t>
      </w:r>
      <w:r w:rsidRPr="00BB489E">
        <w:rPr>
          <w:b w:val="0"/>
          <w:lang w:val="hy-AM"/>
        </w:rPr>
        <w:t xml:space="preserve">դրամ, </w:t>
      </w:r>
      <w:r>
        <w:rPr>
          <w:b w:val="0"/>
          <w:lang w:val="hy-AM"/>
        </w:rPr>
        <w:t xml:space="preserve">որը, </w:t>
      </w:r>
      <w:r w:rsidRPr="00BB489E">
        <w:rPr>
          <w:b w:val="0"/>
          <w:lang w:val="hy-AM"/>
        </w:rPr>
        <w:t>ինչպես և դիտարկվող տարիների ընթացքում</w:t>
      </w:r>
      <w:r>
        <w:rPr>
          <w:b w:val="0"/>
          <w:lang w:val="hy-AM"/>
        </w:rPr>
        <w:t>,</w:t>
      </w:r>
      <w:r w:rsidRPr="00BB489E">
        <w:rPr>
          <w:b w:val="0"/>
          <w:lang w:val="hy-AM"/>
        </w:rPr>
        <w:t xml:space="preserve"> առաջնահերթ ուղղվելու </w:t>
      </w:r>
      <w:r>
        <w:rPr>
          <w:b w:val="0"/>
          <w:lang w:val="hy-AM"/>
        </w:rPr>
        <w:t>է</w:t>
      </w:r>
      <w:r w:rsidRPr="00BB489E">
        <w:rPr>
          <w:b w:val="0"/>
          <w:lang w:val="hy-AM"/>
        </w:rPr>
        <w:t xml:space="preserve"> տարեցներին և հաշմանդամներին աջակցության տրամադրմանը, ինչպես նաև գործազրկության, սոցիալական հատուկ արտոնությունների, բնակարային ապահովման, ընտանեկան նպաստների տրամադրման և այլ սոցիալական ծառայությունների ապահովմանը։</w:t>
      </w:r>
      <w:r>
        <w:rPr>
          <w:b w:val="0"/>
          <w:color w:val="FF0000"/>
          <w:lang w:val="hy-AM"/>
        </w:rPr>
        <w:t xml:space="preserve"> </w:t>
      </w:r>
      <w:r>
        <w:rPr>
          <w:b w:val="0"/>
          <w:lang w:val="hy-AM"/>
        </w:rPr>
        <w:t xml:space="preserve">Բացի այդ, </w:t>
      </w:r>
      <w:r w:rsidRPr="00C23AFB">
        <w:rPr>
          <w:b w:val="0"/>
          <w:lang w:val="hy-AM"/>
        </w:rPr>
        <w:t>ՀՀ կ</w:t>
      </w:r>
      <w:r>
        <w:rPr>
          <w:b w:val="0"/>
          <w:lang w:val="hy-AM"/>
        </w:rPr>
        <w:t xml:space="preserve">առավարության 2021-2026թթ. ծրագրով սահմանված առաջնահերթություններից ելնելով, ոլորտի հատկացումները ուղղվելու են </w:t>
      </w:r>
      <w:r w:rsidRPr="00B81707">
        <w:rPr>
          <w:b w:val="0"/>
          <w:lang w:val="hy-AM"/>
        </w:rPr>
        <w:t>ծնելիությ</w:t>
      </w:r>
      <w:r>
        <w:rPr>
          <w:b w:val="0"/>
          <w:lang w:val="hy-AM"/>
        </w:rPr>
        <w:t>ան</w:t>
      </w:r>
      <w:r w:rsidRPr="00B81707">
        <w:rPr>
          <w:b w:val="0"/>
          <w:lang w:val="hy-AM"/>
        </w:rPr>
        <w:t xml:space="preserve"> խթան</w:t>
      </w:r>
      <w:r>
        <w:rPr>
          <w:b w:val="0"/>
          <w:lang w:val="hy-AM"/>
        </w:rPr>
        <w:t>մանը</w:t>
      </w:r>
      <w:r w:rsidRPr="00B81707">
        <w:rPr>
          <w:b w:val="0"/>
          <w:lang w:val="hy-AM"/>
        </w:rPr>
        <w:t xml:space="preserve"> և բազմազավակ ընտանիքներին պետական աջակցությ</w:t>
      </w:r>
      <w:r w:rsidRPr="000211C0">
        <w:rPr>
          <w:b w:val="0"/>
          <w:lang w:val="hy-AM"/>
        </w:rPr>
        <w:t>ա</w:t>
      </w:r>
      <w:r w:rsidRPr="00B81707">
        <w:rPr>
          <w:b w:val="0"/>
          <w:lang w:val="hy-AM"/>
        </w:rPr>
        <w:t>ն ցուցաբեր</w:t>
      </w:r>
      <w:r>
        <w:rPr>
          <w:b w:val="0"/>
          <w:lang w:val="hy-AM"/>
        </w:rPr>
        <w:t>մանը:</w:t>
      </w:r>
    </w:p>
    <w:p w14:paraId="4E15718E" w14:textId="77777777" w:rsidR="00433FD0" w:rsidRPr="00505318" w:rsidRDefault="00433FD0" w:rsidP="00433FD0">
      <w:pPr>
        <w:spacing w:before="0" w:line="276" w:lineRule="auto"/>
        <w:ind w:firstLine="562"/>
        <w:rPr>
          <w:b w:val="0"/>
          <w:lang w:val="hy-AM"/>
        </w:rPr>
      </w:pPr>
      <w:r w:rsidRPr="00BB489E">
        <w:rPr>
          <w:b w:val="0"/>
          <w:lang w:val="hy-AM"/>
        </w:rPr>
        <w:t>202</w:t>
      </w:r>
      <w:r w:rsidRPr="00755469">
        <w:rPr>
          <w:b w:val="0"/>
          <w:lang w:val="hy-AM"/>
        </w:rPr>
        <w:t>2</w:t>
      </w:r>
      <w:r w:rsidRPr="00BB489E">
        <w:rPr>
          <w:b w:val="0"/>
          <w:lang w:val="hy-AM"/>
        </w:rPr>
        <w:t xml:space="preserve"> թվականի ընթացքում պետական բյուջեների ծախ</w:t>
      </w:r>
      <w:r w:rsidRPr="00BB489E">
        <w:rPr>
          <w:b w:val="0"/>
          <w:lang w:val="hy-AM"/>
        </w:rPr>
        <w:softHyphen/>
        <w:t>սերի ընդհանուր ծավալը որոշ կախ</w:t>
      </w:r>
      <w:r w:rsidRPr="00BB489E">
        <w:rPr>
          <w:b w:val="0"/>
          <w:lang w:val="hy-AM"/>
        </w:rPr>
        <w:softHyphen/>
        <w:t>վածության մեջ կլինի նաև արտաքին հոսքերից:</w:t>
      </w:r>
    </w:p>
    <w:p w14:paraId="27B22A02" w14:textId="77777777" w:rsidR="00433FD0" w:rsidRDefault="00433FD0" w:rsidP="00433FD0">
      <w:pPr>
        <w:spacing w:before="0"/>
        <w:rPr>
          <w:b w:val="0"/>
          <w:bCs/>
          <w:sz w:val="18"/>
          <w:szCs w:val="18"/>
          <w:lang w:val="hy-AM"/>
        </w:rPr>
      </w:pPr>
    </w:p>
    <w:p w14:paraId="790244E6" w14:textId="77777777" w:rsidR="00433FD0" w:rsidRDefault="00433FD0" w:rsidP="00433FD0">
      <w:pPr>
        <w:spacing w:before="0"/>
        <w:rPr>
          <w:b w:val="0"/>
          <w:bCs/>
          <w:sz w:val="18"/>
          <w:szCs w:val="18"/>
          <w:lang w:val="hy-AM"/>
        </w:rPr>
      </w:pPr>
    </w:p>
    <w:p w14:paraId="671A11E8" w14:textId="77777777" w:rsidR="00433FD0" w:rsidRDefault="00433FD0" w:rsidP="00433FD0">
      <w:pPr>
        <w:spacing w:before="0"/>
        <w:rPr>
          <w:b w:val="0"/>
          <w:bCs/>
          <w:sz w:val="18"/>
          <w:szCs w:val="18"/>
          <w:lang w:val="hy-AM"/>
        </w:rPr>
      </w:pPr>
    </w:p>
    <w:p w14:paraId="6E2DCFEA" w14:textId="77777777" w:rsidR="00433FD0" w:rsidRDefault="00433FD0" w:rsidP="00433FD0">
      <w:pPr>
        <w:spacing w:before="0"/>
        <w:rPr>
          <w:b w:val="0"/>
          <w:bCs/>
          <w:sz w:val="18"/>
          <w:szCs w:val="18"/>
          <w:lang w:val="hy-AM"/>
        </w:rPr>
      </w:pPr>
    </w:p>
    <w:p w14:paraId="17684159" w14:textId="5FA6600C" w:rsidR="00433FD0" w:rsidRPr="0054547F" w:rsidRDefault="00E0510E" w:rsidP="00E0510E">
      <w:pPr>
        <w:pStyle w:val="Caption"/>
        <w:rPr>
          <w:b/>
          <w:bCs w:val="0"/>
          <w:lang w:val="hy-AM"/>
        </w:rPr>
      </w:pPr>
      <w:bookmarkStart w:id="257" w:name="_Toc83718603"/>
      <w:bookmarkStart w:id="258" w:name="_Toc83929503"/>
      <w:r w:rsidRPr="008B1D49">
        <w:rPr>
          <w:lang w:val="hy-AM"/>
        </w:rPr>
        <w:t xml:space="preserve">Գծապատկեր </w:t>
      </w:r>
      <w:r>
        <w:fldChar w:fldCharType="begin"/>
      </w:r>
      <w:r w:rsidRPr="008B1D49">
        <w:rPr>
          <w:lang w:val="hy-AM"/>
        </w:rPr>
        <w:instrText xml:space="preserve"> SEQ Գծապատկեր \* ARABIC </w:instrText>
      </w:r>
      <w:r>
        <w:fldChar w:fldCharType="separate"/>
      </w:r>
      <w:r w:rsidR="0077355D">
        <w:rPr>
          <w:noProof/>
          <w:lang w:val="hy-AM"/>
        </w:rPr>
        <w:t>6</w:t>
      </w:r>
      <w:r>
        <w:fldChar w:fldCharType="end"/>
      </w:r>
      <w:r w:rsidR="00433FD0" w:rsidRPr="0054547F">
        <w:rPr>
          <w:rFonts w:ascii="Cambria Math" w:hAnsi="Cambria Math" w:cs="Cambria Math"/>
          <w:b/>
          <w:bCs w:val="0"/>
          <w:lang w:val="hy-AM"/>
        </w:rPr>
        <w:t>․</w:t>
      </w:r>
      <w:r w:rsidR="00433FD0" w:rsidRPr="0054547F">
        <w:rPr>
          <w:b/>
          <w:bCs w:val="0"/>
          <w:lang w:val="hy-AM"/>
        </w:rPr>
        <w:t xml:space="preserve"> 2018-2022 թթ</w:t>
      </w:r>
      <w:r w:rsidR="00433FD0" w:rsidRPr="0054547F">
        <w:rPr>
          <w:rFonts w:ascii="Cambria Math" w:hAnsi="Cambria Math" w:cs="Cambria Math"/>
          <w:b/>
          <w:bCs w:val="0"/>
          <w:lang w:val="hy-AM"/>
        </w:rPr>
        <w:t>․</w:t>
      </w:r>
      <w:r w:rsidR="00433FD0" w:rsidRPr="0054547F">
        <w:rPr>
          <w:b/>
          <w:bCs w:val="0"/>
          <w:lang w:val="hy-AM"/>
        </w:rPr>
        <w:t xml:space="preserve"> վարկային, դրամաշնորհային միջոցների հաշվին ֆինանսավորումը, կշիռը ՀՆԱ-ում, կշիռը ընդամենը ծախսերում</w:t>
      </w:r>
      <w:bookmarkEnd w:id="257"/>
      <w:bookmarkEnd w:id="258"/>
    </w:p>
    <w:p w14:paraId="159FA5C3" w14:textId="77777777" w:rsidR="00433FD0" w:rsidRPr="00505318" w:rsidRDefault="00433FD0" w:rsidP="00433FD0">
      <w:pPr>
        <w:keepNext/>
        <w:spacing w:before="0" w:line="276" w:lineRule="auto"/>
        <w:ind w:firstLine="360"/>
      </w:pPr>
      <w:r>
        <w:rPr>
          <w:noProof/>
          <w:lang w:val="en-US" w:eastAsia="en-US"/>
        </w:rPr>
        <w:drawing>
          <wp:inline distT="0" distB="0" distL="0" distR="0" wp14:anchorId="2D265AA6" wp14:editId="33706686">
            <wp:extent cx="5943600" cy="3711575"/>
            <wp:effectExtent l="0" t="0" r="0" b="3175"/>
            <wp:docPr id="35" name="Chart 3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8A6E6AF" w14:textId="77777777" w:rsidR="00433FD0" w:rsidRPr="00505318" w:rsidRDefault="00433FD0" w:rsidP="00433FD0">
      <w:pPr>
        <w:spacing w:before="0" w:line="276" w:lineRule="auto"/>
        <w:ind w:firstLine="720"/>
        <w:rPr>
          <w:rFonts w:cs="Sylfaen"/>
          <w:highlight w:val="yellow"/>
        </w:rPr>
      </w:pPr>
    </w:p>
    <w:p w14:paraId="25EC8DEF" w14:textId="1D0968E2" w:rsidR="00433FD0" w:rsidRPr="005F516C" w:rsidRDefault="003F382C" w:rsidP="003F382C">
      <w:pPr>
        <w:pStyle w:val="Caption"/>
        <w:rPr>
          <w:b/>
          <w:bCs w:val="0"/>
          <w:lang w:val="hy-AM"/>
        </w:rPr>
      </w:pPr>
      <w:bookmarkStart w:id="259" w:name="_Toc83728704"/>
      <w:bookmarkStart w:id="260" w:name="_Toc83928953"/>
      <w:r>
        <w:t xml:space="preserve">Աղյուսակ </w:t>
      </w:r>
      <w:r>
        <w:fldChar w:fldCharType="begin"/>
      </w:r>
      <w:r>
        <w:instrText xml:space="preserve"> SEQ Աղյուսակ \* ARABIC </w:instrText>
      </w:r>
      <w:r>
        <w:fldChar w:fldCharType="separate"/>
      </w:r>
      <w:r w:rsidR="0077355D">
        <w:rPr>
          <w:noProof/>
        </w:rPr>
        <w:t>16</w:t>
      </w:r>
      <w:r>
        <w:fldChar w:fldCharType="end"/>
      </w:r>
      <w:r w:rsidR="00433FD0" w:rsidRPr="008150A1">
        <w:rPr>
          <w:rFonts w:ascii="Cambria Math" w:hAnsi="Cambria Math" w:cs="Cambria Math"/>
          <w:lang w:val="hy-AM"/>
        </w:rPr>
        <w:t>․</w:t>
      </w:r>
      <w:r w:rsidR="00433FD0" w:rsidRPr="005F516C">
        <w:rPr>
          <w:lang w:val="hy-AM"/>
        </w:rPr>
        <w:t xml:space="preserve"> </w:t>
      </w:r>
      <w:r w:rsidR="00433FD0" w:rsidRPr="005F516C">
        <w:rPr>
          <w:i/>
          <w:sz w:val="20"/>
          <w:szCs w:val="20"/>
          <w:lang w:val="hy-AM"/>
        </w:rPr>
        <w:t>Արտաքին աղբյուրներից 2022թ. ստացվելիք միջոցների (վարկերի և պաշտո</w:t>
      </w:r>
      <w:r w:rsidR="00433FD0" w:rsidRPr="005F516C">
        <w:rPr>
          <w:i/>
          <w:sz w:val="20"/>
          <w:szCs w:val="20"/>
          <w:lang w:val="hy-AM"/>
        </w:rPr>
        <w:softHyphen/>
        <w:t>նական դրամաշնորհներ) հաշվին ֆինանսավորվող ծախսերը</w:t>
      </w:r>
      <w:bookmarkEnd w:id="259"/>
      <w:bookmarkEnd w:id="260"/>
    </w:p>
    <w:tbl>
      <w:tblPr>
        <w:tblStyle w:val="GridTable4-Accent111"/>
        <w:tblW w:w="9491" w:type="dxa"/>
        <w:tblLook w:val="04A0" w:firstRow="1" w:lastRow="0" w:firstColumn="1" w:lastColumn="0" w:noHBand="0" w:noVBand="1"/>
      </w:tblPr>
      <w:tblGrid>
        <w:gridCol w:w="2610"/>
        <w:gridCol w:w="1391"/>
        <w:gridCol w:w="1440"/>
        <w:gridCol w:w="1530"/>
        <w:gridCol w:w="1260"/>
        <w:gridCol w:w="1260"/>
      </w:tblGrid>
      <w:tr w:rsidR="00433FD0" w:rsidRPr="00DE3AEF" w14:paraId="75DE5876" w14:textId="77777777" w:rsidTr="0073393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10" w:type="dxa"/>
            <w:hideMark/>
          </w:tcPr>
          <w:p w14:paraId="7F0DD2CD" w14:textId="77777777" w:rsidR="00433FD0" w:rsidRPr="00453D56" w:rsidRDefault="00433FD0" w:rsidP="00733935">
            <w:pPr>
              <w:spacing w:before="0" w:line="276" w:lineRule="auto"/>
              <w:jc w:val="center"/>
              <w:rPr>
                <w:rFonts w:cs="Arial"/>
                <w:b/>
                <w:color w:val="FFFFFF" w:themeColor="background1"/>
                <w:sz w:val="20"/>
                <w:szCs w:val="20"/>
                <w:lang w:val="hy-AM"/>
              </w:rPr>
            </w:pPr>
            <w:r w:rsidRPr="00453D56">
              <w:rPr>
                <w:rFonts w:cs="Arial"/>
                <w:b/>
                <w:color w:val="FFFFFF" w:themeColor="background1"/>
                <w:sz w:val="20"/>
                <w:szCs w:val="20"/>
                <w:lang w:val="hy-AM"/>
              </w:rPr>
              <w:t>Ցուցանիշներ</w:t>
            </w:r>
          </w:p>
        </w:tc>
        <w:tc>
          <w:tcPr>
            <w:tcW w:w="1391" w:type="dxa"/>
            <w:hideMark/>
          </w:tcPr>
          <w:p w14:paraId="505CFF87" w14:textId="77777777" w:rsidR="00433FD0" w:rsidRPr="00DE3AEF" w:rsidRDefault="00433FD0" w:rsidP="00733935">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2018թ.</w:t>
            </w:r>
          </w:p>
        </w:tc>
        <w:tc>
          <w:tcPr>
            <w:tcW w:w="1440" w:type="dxa"/>
            <w:hideMark/>
          </w:tcPr>
          <w:p w14:paraId="1AC3BE07" w14:textId="77777777" w:rsidR="00433FD0" w:rsidRPr="00DE3AEF" w:rsidRDefault="00433FD0" w:rsidP="00733935">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2019թ.</w:t>
            </w:r>
          </w:p>
        </w:tc>
        <w:tc>
          <w:tcPr>
            <w:tcW w:w="1530" w:type="dxa"/>
            <w:hideMark/>
          </w:tcPr>
          <w:p w14:paraId="625DE02B" w14:textId="77777777" w:rsidR="00433FD0" w:rsidRPr="00DE3AEF" w:rsidRDefault="00433FD0" w:rsidP="00733935">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2020 թ.</w:t>
            </w:r>
          </w:p>
        </w:tc>
        <w:tc>
          <w:tcPr>
            <w:tcW w:w="1260" w:type="dxa"/>
          </w:tcPr>
          <w:p w14:paraId="466DB25A" w14:textId="77777777" w:rsidR="00433FD0" w:rsidRPr="00DE3AEF" w:rsidRDefault="00433FD0" w:rsidP="00733935">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2021թ.</w:t>
            </w:r>
          </w:p>
        </w:tc>
        <w:tc>
          <w:tcPr>
            <w:tcW w:w="1260" w:type="dxa"/>
            <w:hideMark/>
          </w:tcPr>
          <w:p w14:paraId="796013A3" w14:textId="77777777" w:rsidR="00433FD0" w:rsidRPr="00DE3AEF" w:rsidRDefault="00433FD0" w:rsidP="00733935">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202</w:t>
            </w:r>
            <w:r w:rsidRPr="00DE3AEF">
              <w:rPr>
                <w:rFonts w:cs="Calibri"/>
                <w:sz w:val="20"/>
                <w:szCs w:val="20"/>
                <w:lang w:val="hy-AM"/>
              </w:rPr>
              <w:t>2</w:t>
            </w:r>
            <w:r w:rsidRPr="00DE3AEF">
              <w:rPr>
                <w:rFonts w:cs="Calibri"/>
                <w:sz w:val="20"/>
                <w:szCs w:val="20"/>
              </w:rPr>
              <w:t>թ.</w:t>
            </w:r>
          </w:p>
        </w:tc>
      </w:tr>
      <w:tr w:rsidR="00433FD0" w:rsidRPr="00DE3AEF" w14:paraId="19275356" w14:textId="77777777" w:rsidTr="00733935">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610" w:type="dxa"/>
            <w:hideMark/>
          </w:tcPr>
          <w:p w14:paraId="6DF497A2" w14:textId="77777777" w:rsidR="00433FD0" w:rsidRPr="00DE3AEF" w:rsidRDefault="00433FD0" w:rsidP="00733935">
            <w:pPr>
              <w:spacing w:before="0" w:line="240" w:lineRule="auto"/>
              <w:ind w:firstLine="0"/>
              <w:jc w:val="left"/>
              <w:rPr>
                <w:rFonts w:cs="Calibri"/>
                <w:b/>
                <w:bCs w:val="0"/>
                <w:color w:val="000000"/>
                <w:sz w:val="20"/>
                <w:szCs w:val="20"/>
              </w:rPr>
            </w:pPr>
            <w:r w:rsidRPr="00DE3AEF">
              <w:rPr>
                <w:rFonts w:cs="Sylfaen"/>
                <w:color w:val="000000"/>
                <w:sz w:val="20"/>
                <w:szCs w:val="20"/>
                <w:lang w:val="hy-AM"/>
              </w:rPr>
              <w:t>Արտաքին աղբյուրների հաշվին ֆինանսավորվող ծախսերի ծավալը (մլն դրամ)</w:t>
            </w:r>
          </w:p>
        </w:tc>
        <w:tc>
          <w:tcPr>
            <w:tcW w:w="1391" w:type="dxa"/>
            <w:hideMark/>
          </w:tcPr>
          <w:p w14:paraId="5B6A09ED"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69,364.1</w:t>
            </w:r>
          </w:p>
        </w:tc>
        <w:tc>
          <w:tcPr>
            <w:tcW w:w="1440" w:type="dxa"/>
            <w:hideMark/>
          </w:tcPr>
          <w:p w14:paraId="0E0BAE7B"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76,301.5</w:t>
            </w:r>
          </w:p>
        </w:tc>
        <w:tc>
          <w:tcPr>
            <w:tcW w:w="1530" w:type="dxa"/>
            <w:hideMark/>
          </w:tcPr>
          <w:p w14:paraId="71314EF1"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161,535.7</w:t>
            </w:r>
          </w:p>
        </w:tc>
        <w:tc>
          <w:tcPr>
            <w:tcW w:w="1260" w:type="dxa"/>
          </w:tcPr>
          <w:p w14:paraId="0BAE5E7A"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8</w:t>
            </w:r>
            <w:r w:rsidRPr="00DE3AEF">
              <w:rPr>
                <w:rFonts w:cs="Calibri"/>
                <w:color w:val="000000"/>
                <w:lang w:val="hy-AM"/>
              </w:rPr>
              <w:t>6</w:t>
            </w:r>
            <w:r w:rsidRPr="00DE3AEF">
              <w:rPr>
                <w:rFonts w:cs="Calibri"/>
                <w:color w:val="000000"/>
              </w:rPr>
              <w:t>,</w:t>
            </w:r>
            <w:r w:rsidRPr="00DE3AEF">
              <w:rPr>
                <w:rFonts w:cs="Calibri"/>
                <w:color w:val="000000"/>
                <w:lang w:val="hy-AM"/>
              </w:rPr>
              <w:t>707</w:t>
            </w:r>
            <w:r w:rsidRPr="00DE3AEF">
              <w:rPr>
                <w:rFonts w:cs="Calibri"/>
                <w:color w:val="000000"/>
              </w:rPr>
              <w:t>.</w:t>
            </w:r>
            <w:r w:rsidRPr="00DE3AEF">
              <w:rPr>
                <w:rFonts w:cs="Calibri"/>
                <w:color w:val="000000"/>
                <w:lang w:val="hy-AM"/>
              </w:rPr>
              <w:t>3</w:t>
            </w:r>
          </w:p>
        </w:tc>
        <w:tc>
          <w:tcPr>
            <w:tcW w:w="1260" w:type="dxa"/>
          </w:tcPr>
          <w:p w14:paraId="3B6B2997"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lang w:val="en-US"/>
              </w:rPr>
            </w:pPr>
            <w:r>
              <w:rPr>
                <w:rFonts w:cs="Calibri"/>
                <w:color w:val="000000"/>
                <w:lang w:val="en-US"/>
              </w:rPr>
              <w:t>132,972.0</w:t>
            </w:r>
          </w:p>
        </w:tc>
      </w:tr>
      <w:tr w:rsidR="00433FD0" w:rsidRPr="00757C76" w14:paraId="0DE4D0E7" w14:textId="77777777" w:rsidTr="00733935">
        <w:trPr>
          <w:trHeight w:val="780"/>
        </w:trPr>
        <w:tc>
          <w:tcPr>
            <w:cnfStyle w:val="001000000000" w:firstRow="0" w:lastRow="0" w:firstColumn="1" w:lastColumn="0" w:oddVBand="0" w:evenVBand="0" w:oddHBand="0" w:evenHBand="0" w:firstRowFirstColumn="0" w:firstRowLastColumn="0" w:lastRowFirstColumn="0" w:lastRowLastColumn="0"/>
            <w:tcW w:w="2610" w:type="dxa"/>
            <w:hideMark/>
          </w:tcPr>
          <w:p w14:paraId="14B4B6AD" w14:textId="77777777" w:rsidR="00433FD0" w:rsidRPr="00DE3AEF" w:rsidRDefault="00433FD0" w:rsidP="00733935">
            <w:pPr>
              <w:spacing w:before="0" w:line="240" w:lineRule="auto"/>
              <w:ind w:firstLine="0"/>
              <w:jc w:val="left"/>
              <w:rPr>
                <w:rFonts w:cs="Calibri"/>
                <w:color w:val="000000"/>
                <w:sz w:val="20"/>
                <w:szCs w:val="20"/>
              </w:rPr>
            </w:pPr>
            <w:r w:rsidRPr="00DE3AEF">
              <w:rPr>
                <w:rFonts w:cs="Calibri"/>
                <w:color w:val="000000"/>
                <w:sz w:val="20"/>
                <w:szCs w:val="20"/>
                <w:lang w:val="hy-AM"/>
              </w:rPr>
              <w:t xml:space="preserve">- </w:t>
            </w:r>
            <w:r w:rsidRPr="00DE3AEF">
              <w:rPr>
                <w:rFonts w:cs="Calibri"/>
                <w:color w:val="000000"/>
                <w:sz w:val="20"/>
                <w:szCs w:val="20"/>
              </w:rPr>
              <w:t>հ</w:t>
            </w:r>
            <w:r w:rsidRPr="00DE3AEF">
              <w:rPr>
                <w:rFonts w:cs="Calibri"/>
                <w:color w:val="000000"/>
                <w:sz w:val="20"/>
                <w:szCs w:val="20"/>
                <w:lang w:val="hy-AM"/>
              </w:rPr>
              <w:t>արաբերությունը ՀՆԱ-ի նկատմամբ (%)</w:t>
            </w:r>
          </w:p>
        </w:tc>
        <w:tc>
          <w:tcPr>
            <w:tcW w:w="1391" w:type="dxa"/>
            <w:hideMark/>
          </w:tcPr>
          <w:p w14:paraId="73D0D9AB" w14:textId="77777777" w:rsidR="00433FD0" w:rsidRPr="00DE3AEF" w:rsidRDefault="00433FD0" w:rsidP="0073393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1.2%</w:t>
            </w:r>
          </w:p>
        </w:tc>
        <w:tc>
          <w:tcPr>
            <w:tcW w:w="1440" w:type="dxa"/>
            <w:hideMark/>
          </w:tcPr>
          <w:p w14:paraId="2E3B789F" w14:textId="77777777" w:rsidR="00433FD0" w:rsidRPr="00DE3AEF" w:rsidRDefault="00433FD0" w:rsidP="0073393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1.2%</w:t>
            </w:r>
          </w:p>
        </w:tc>
        <w:tc>
          <w:tcPr>
            <w:tcW w:w="1530" w:type="dxa"/>
            <w:hideMark/>
          </w:tcPr>
          <w:p w14:paraId="3A8F3D36" w14:textId="77777777" w:rsidR="00433FD0" w:rsidRPr="00DE3AEF" w:rsidRDefault="00433FD0" w:rsidP="0073393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2.</w:t>
            </w:r>
            <w:r w:rsidRPr="00DE3AEF">
              <w:rPr>
                <w:rFonts w:cs="Calibri"/>
                <w:color w:val="000000"/>
                <w:sz w:val="20"/>
                <w:szCs w:val="20"/>
                <w:lang w:val="en-US"/>
              </w:rPr>
              <w:t>6</w:t>
            </w:r>
            <w:r w:rsidRPr="00DE3AEF">
              <w:rPr>
                <w:rFonts w:cs="Calibri"/>
                <w:color w:val="000000"/>
                <w:sz w:val="20"/>
                <w:szCs w:val="20"/>
              </w:rPr>
              <w:t>%</w:t>
            </w:r>
          </w:p>
        </w:tc>
        <w:tc>
          <w:tcPr>
            <w:tcW w:w="1260" w:type="dxa"/>
          </w:tcPr>
          <w:p w14:paraId="242C051B" w14:textId="77777777" w:rsidR="00433FD0" w:rsidRPr="00DE3AEF" w:rsidRDefault="00433FD0" w:rsidP="0073393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1.</w:t>
            </w:r>
            <w:r w:rsidRPr="00DE3AEF">
              <w:rPr>
                <w:rFonts w:cs="Calibri"/>
                <w:color w:val="000000"/>
                <w:sz w:val="20"/>
                <w:szCs w:val="20"/>
                <w:lang w:val="hy-AM"/>
              </w:rPr>
              <w:t>4</w:t>
            </w:r>
            <w:r w:rsidRPr="00DE3AEF">
              <w:rPr>
                <w:rFonts w:cs="Calibri"/>
                <w:color w:val="000000"/>
                <w:sz w:val="20"/>
                <w:szCs w:val="20"/>
              </w:rPr>
              <w:t>%</w:t>
            </w:r>
          </w:p>
        </w:tc>
        <w:tc>
          <w:tcPr>
            <w:tcW w:w="1260" w:type="dxa"/>
          </w:tcPr>
          <w:p w14:paraId="47CC9109" w14:textId="77777777" w:rsidR="00433FD0" w:rsidRPr="00DE3AEF" w:rsidRDefault="00433FD0" w:rsidP="00733935">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US"/>
              </w:rPr>
            </w:pPr>
            <w:r>
              <w:rPr>
                <w:rFonts w:cs="Calibri"/>
                <w:color w:val="000000"/>
                <w:sz w:val="20"/>
                <w:szCs w:val="20"/>
                <w:lang w:val="en-US"/>
              </w:rPr>
              <w:t>1</w:t>
            </w:r>
            <w:r w:rsidRPr="00DE3AEF">
              <w:rPr>
                <w:rFonts w:cs="Calibri"/>
                <w:color w:val="000000"/>
                <w:sz w:val="20"/>
                <w:szCs w:val="20"/>
                <w:lang w:val="en-US"/>
              </w:rPr>
              <w:t>.</w:t>
            </w:r>
            <w:r>
              <w:rPr>
                <w:rFonts w:cs="Calibri"/>
                <w:color w:val="000000"/>
                <w:sz w:val="20"/>
                <w:szCs w:val="20"/>
                <w:lang w:val="en-US"/>
              </w:rPr>
              <w:t>7</w:t>
            </w:r>
            <w:r w:rsidRPr="00DE3AEF">
              <w:rPr>
                <w:rFonts w:cs="Calibri"/>
                <w:color w:val="000000"/>
                <w:sz w:val="20"/>
                <w:szCs w:val="20"/>
                <w:lang w:val="en-US"/>
              </w:rPr>
              <w:t>%</w:t>
            </w:r>
          </w:p>
        </w:tc>
      </w:tr>
      <w:tr w:rsidR="00433FD0" w:rsidRPr="00DE3AEF" w14:paraId="2373F42F" w14:textId="77777777" w:rsidTr="00733935">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610" w:type="dxa"/>
            <w:hideMark/>
          </w:tcPr>
          <w:p w14:paraId="1E2EDE19" w14:textId="77777777" w:rsidR="00433FD0" w:rsidRPr="00DE3AEF" w:rsidRDefault="00433FD0" w:rsidP="00733935">
            <w:pPr>
              <w:spacing w:before="0" w:line="240" w:lineRule="auto"/>
              <w:ind w:firstLine="0"/>
              <w:jc w:val="left"/>
              <w:rPr>
                <w:rFonts w:cs="Calibri"/>
                <w:color w:val="000000"/>
                <w:sz w:val="20"/>
                <w:szCs w:val="20"/>
              </w:rPr>
            </w:pPr>
            <w:r w:rsidRPr="00DE3AEF">
              <w:rPr>
                <w:rFonts w:cs="Calibri"/>
                <w:color w:val="000000"/>
                <w:sz w:val="20"/>
                <w:szCs w:val="20"/>
                <w:lang w:val="hy-AM"/>
              </w:rPr>
              <w:t>-</w:t>
            </w:r>
            <w:r w:rsidRPr="00DE3AEF">
              <w:rPr>
                <w:rFonts w:cs="Calibri"/>
                <w:color w:val="000000"/>
                <w:sz w:val="20"/>
                <w:szCs w:val="20"/>
              </w:rPr>
              <w:t xml:space="preserve"> </w:t>
            </w:r>
            <w:r w:rsidRPr="00DE3AEF">
              <w:rPr>
                <w:rFonts w:cs="Calibri"/>
                <w:color w:val="000000"/>
                <w:sz w:val="20"/>
                <w:szCs w:val="20"/>
                <w:lang w:val="hy-AM"/>
              </w:rPr>
              <w:t>տեսակարար կշիռը ծախսերի ամբողջ ծավալում (%)</w:t>
            </w:r>
          </w:p>
        </w:tc>
        <w:tc>
          <w:tcPr>
            <w:tcW w:w="1391" w:type="dxa"/>
            <w:hideMark/>
          </w:tcPr>
          <w:p w14:paraId="070B370F"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4.8%</w:t>
            </w:r>
          </w:p>
        </w:tc>
        <w:tc>
          <w:tcPr>
            <w:tcW w:w="1440" w:type="dxa"/>
            <w:hideMark/>
          </w:tcPr>
          <w:p w14:paraId="544BE2FC"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4.7%</w:t>
            </w:r>
          </w:p>
        </w:tc>
        <w:tc>
          <w:tcPr>
            <w:tcW w:w="1530" w:type="dxa"/>
            <w:hideMark/>
          </w:tcPr>
          <w:p w14:paraId="7E4FC1A6"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8.</w:t>
            </w:r>
            <w:r w:rsidRPr="00DE3AEF">
              <w:rPr>
                <w:rFonts w:cs="Calibri"/>
                <w:color w:val="000000"/>
                <w:sz w:val="20"/>
                <w:szCs w:val="20"/>
                <w:lang w:val="en-US"/>
              </w:rPr>
              <w:t>9</w:t>
            </w:r>
            <w:r w:rsidRPr="00DE3AEF">
              <w:rPr>
                <w:rFonts w:cs="Calibri"/>
                <w:color w:val="000000"/>
                <w:sz w:val="20"/>
                <w:szCs w:val="20"/>
              </w:rPr>
              <w:t>%</w:t>
            </w:r>
          </w:p>
        </w:tc>
        <w:tc>
          <w:tcPr>
            <w:tcW w:w="1260" w:type="dxa"/>
          </w:tcPr>
          <w:p w14:paraId="54C4F0EB"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4.</w:t>
            </w:r>
            <w:r w:rsidRPr="00DE3AEF">
              <w:rPr>
                <w:rFonts w:cs="Calibri"/>
                <w:color w:val="000000"/>
                <w:sz w:val="20"/>
                <w:szCs w:val="20"/>
                <w:lang w:val="hy-AM"/>
              </w:rPr>
              <w:t>7</w:t>
            </w:r>
            <w:r w:rsidRPr="00DE3AEF">
              <w:rPr>
                <w:rFonts w:cs="Calibri"/>
                <w:color w:val="000000"/>
                <w:sz w:val="20"/>
                <w:szCs w:val="20"/>
              </w:rPr>
              <w:t>%</w:t>
            </w:r>
          </w:p>
        </w:tc>
        <w:tc>
          <w:tcPr>
            <w:tcW w:w="1260" w:type="dxa"/>
          </w:tcPr>
          <w:p w14:paraId="225B4BB4" w14:textId="77777777" w:rsidR="00433FD0" w:rsidRPr="00DE3AEF" w:rsidRDefault="00433FD0" w:rsidP="00733935">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US"/>
              </w:rPr>
            </w:pPr>
            <w:r>
              <w:rPr>
                <w:rFonts w:cs="Calibri"/>
                <w:color w:val="000000"/>
                <w:sz w:val="20"/>
                <w:szCs w:val="20"/>
                <w:lang w:val="en-US"/>
              </w:rPr>
              <w:t>6</w:t>
            </w:r>
            <w:r w:rsidRPr="00DE3AEF">
              <w:rPr>
                <w:rFonts w:cs="Calibri"/>
                <w:color w:val="000000"/>
                <w:sz w:val="20"/>
                <w:szCs w:val="20"/>
                <w:lang w:val="en-US"/>
              </w:rPr>
              <w:t>.</w:t>
            </w:r>
            <w:r>
              <w:rPr>
                <w:rFonts w:cs="Calibri"/>
                <w:color w:val="000000"/>
                <w:sz w:val="20"/>
                <w:szCs w:val="20"/>
                <w:lang w:val="en-US"/>
              </w:rPr>
              <w:t>0</w:t>
            </w:r>
            <w:r w:rsidRPr="00DE3AEF">
              <w:rPr>
                <w:rFonts w:cs="Calibri"/>
                <w:color w:val="000000"/>
                <w:sz w:val="20"/>
                <w:szCs w:val="20"/>
                <w:lang w:val="en-US"/>
              </w:rPr>
              <w:t>%</w:t>
            </w:r>
          </w:p>
        </w:tc>
      </w:tr>
    </w:tbl>
    <w:p w14:paraId="326B86F7" w14:textId="77777777" w:rsidR="00433FD0" w:rsidRPr="00505318" w:rsidRDefault="00433FD0" w:rsidP="00433FD0">
      <w:pPr>
        <w:spacing w:before="0" w:line="276" w:lineRule="auto"/>
        <w:ind w:firstLine="720"/>
        <w:rPr>
          <w:rFonts w:cs="Sylfaen"/>
          <w:highlight w:val="yellow"/>
        </w:rPr>
      </w:pPr>
    </w:p>
    <w:p w14:paraId="62258E0A" w14:textId="77777777" w:rsidR="00433FD0" w:rsidRPr="00CD7785" w:rsidRDefault="00433FD0" w:rsidP="00433FD0">
      <w:pPr>
        <w:spacing w:before="0" w:line="276" w:lineRule="auto"/>
        <w:rPr>
          <w:b w:val="0"/>
        </w:rPr>
      </w:pPr>
      <w:r w:rsidRPr="00CD7785">
        <w:rPr>
          <w:rFonts w:cs="Arial"/>
          <w:b w:val="0"/>
          <w:lang w:val="hy-AM"/>
        </w:rPr>
        <w:t>Արտաքին</w:t>
      </w:r>
      <w:r w:rsidRPr="00CD7785">
        <w:rPr>
          <w:b w:val="0"/>
          <w:lang w:val="hy-AM"/>
        </w:rPr>
        <w:t xml:space="preserve">  </w:t>
      </w:r>
      <w:r w:rsidRPr="00CD7785">
        <w:rPr>
          <w:rFonts w:cs="Arial"/>
          <w:b w:val="0"/>
          <w:lang w:val="hy-AM"/>
        </w:rPr>
        <w:t>աղբյուրներից</w:t>
      </w:r>
      <w:r w:rsidRPr="00CD7785">
        <w:rPr>
          <w:b w:val="0"/>
          <w:lang w:val="hy-AM"/>
        </w:rPr>
        <w:t xml:space="preserve"> </w:t>
      </w:r>
      <w:r w:rsidRPr="00CD7785">
        <w:rPr>
          <w:rFonts w:cs="Arial"/>
          <w:b w:val="0"/>
          <w:lang w:val="hy-AM"/>
        </w:rPr>
        <w:t>վարկերի</w:t>
      </w:r>
      <w:r w:rsidRPr="00CD7785">
        <w:rPr>
          <w:b w:val="0"/>
          <w:lang w:val="hy-AM"/>
        </w:rPr>
        <w:t xml:space="preserve"> </w:t>
      </w:r>
      <w:r w:rsidRPr="00CD7785">
        <w:rPr>
          <w:rFonts w:cs="Arial"/>
          <w:b w:val="0"/>
          <w:lang w:val="hy-AM"/>
        </w:rPr>
        <w:t>և</w:t>
      </w:r>
      <w:r w:rsidRPr="00CD7785">
        <w:rPr>
          <w:b w:val="0"/>
          <w:lang w:val="hy-AM"/>
        </w:rPr>
        <w:t xml:space="preserve"> </w:t>
      </w:r>
      <w:r w:rsidRPr="00CD7785">
        <w:rPr>
          <w:rFonts w:cs="Arial"/>
          <w:b w:val="0"/>
          <w:lang w:val="hy-AM"/>
        </w:rPr>
        <w:t>պաշտոնական</w:t>
      </w:r>
      <w:r w:rsidRPr="00CD7785">
        <w:rPr>
          <w:b w:val="0"/>
          <w:lang w:val="hy-AM"/>
        </w:rPr>
        <w:t xml:space="preserve"> </w:t>
      </w:r>
      <w:r w:rsidRPr="00CD7785">
        <w:rPr>
          <w:rFonts w:cs="Arial"/>
          <w:b w:val="0"/>
          <w:lang w:val="hy-AM"/>
        </w:rPr>
        <w:t>դրամաշնորհների</w:t>
      </w:r>
      <w:r w:rsidRPr="00CD7785">
        <w:rPr>
          <w:b w:val="0"/>
          <w:lang w:val="hy-AM"/>
        </w:rPr>
        <w:t xml:space="preserve"> </w:t>
      </w:r>
      <w:r w:rsidRPr="00CD7785">
        <w:rPr>
          <w:rFonts w:cs="Arial"/>
          <w:b w:val="0"/>
          <w:lang w:val="hy-AM"/>
        </w:rPr>
        <w:t>տեսքով</w:t>
      </w:r>
      <w:r w:rsidRPr="00CD7785">
        <w:rPr>
          <w:b w:val="0"/>
          <w:lang w:val="hy-AM"/>
        </w:rPr>
        <w:t xml:space="preserve"> </w:t>
      </w:r>
      <w:r w:rsidRPr="00CD7785">
        <w:rPr>
          <w:rFonts w:cs="Arial"/>
          <w:b w:val="0"/>
          <w:lang w:val="hy-AM"/>
        </w:rPr>
        <w:t>ստաց</w:t>
      </w:r>
      <w:r w:rsidRPr="00CD7785">
        <w:rPr>
          <w:b w:val="0"/>
          <w:lang w:val="hy-AM"/>
        </w:rPr>
        <w:softHyphen/>
      </w:r>
      <w:r w:rsidRPr="00CD7785">
        <w:rPr>
          <w:rFonts w:cs="Arial"/>
          <w:b w:val="0"/>
          <w:lang w:val="hy-AM"/>
        </w:rPr>
        <w:t>վե</w:t>
      </w:r>
      <w:r w:rsidRPr="00CD7785">
        <w:rPr>
          <w:b w:val="0"/>
          <w:lang w:val="hy-AM"/>
        </w:rPr>
        <w:softHyphen/>
      </w:r>
      <w:r w:rsidRPr="00CD7785">
        <w:rPr>
          <w:rFonts w:cs="Arial"/>
          <w:b w:val="0"/>
          <w:lang w:val="hy-AM"/>
        </w:rPr>
        <w:t>լիք</w:t>
      </w:r>
      <w:r w:rsidRPr="00CD7785">
        <w:rPr>
          <w:b w:val="0"/>
          <w:lang w:val="hy-AM"/>
        </w:rPr>
        <w:t xml:space="preserve"> </w:t>
      </w:r>
      <w:r w:rsidRPr="00CD7785">
        <w:rPr>
          <w:rFonts w:cs="Arial"/>
          <w:b w:val="0"/>
          <w:lang w:val="hy-AM"/>
        </w:rPr>
        <w:t>մի</w:t>
      </w:r>
      <w:r w:rsidRPr="00CD7785">
        <w:rPr>
          <w:b w:val="0"/>
          <w:lang w:val="hy-AM"/>
        </w:rPr>
        <w:softHyphen/>
      </w:r>
      <w:r w:rsidRPr="00CD7785">
        <w:rPr>
          <w:rFonts w:cs="Arial"/>
          <w:b w:val="0"/>
          <w:lang w:val="hy-AM"/>
        </w:rPr>
        <w:t>ջոցների</w:t>
      </w:r>
      <w:r w:rsidRPr="00CD7785">
        <w:rPr>
          <w:b w:val="0"/>
          <w:lang w:val="hy-AM"/>
        </w:rPr>
        <w:t xml:space="preserve"> </w:t>
      </w:r>
      <w:r w:rsidRPr="00CD7785">
        <w:rPr>
          <w:rFonts w:cs="Arial"/>
          <w:b w:val="0"/>
          <w:lang w:val="hy-AM"/>
        </w:rPr>
        <w:t>հաշվին</w:t>
      </w:r>
      <w:r w:rsidRPr="00CD7785">
        <w:rPr>
          <w:b w:val="0"/>
          <w:lang w:val="hy-AM"/>
        </w:rPr>
        <w:t xml:space="preserve"> 2022 </w:t>
      </w:r>
      <w:r w:rsidRPr="00CD7785">
        <w:rPr>
          <w:rFonts w:cs="Arial"/>
          <w:b w:val="0"/>
          <w:lang w:val="hy-AM"/>
        </w:rPr>
        <w:t>թվականին ֆինանսավորվող</w:t>
      </w:r>
      <w:r w:rsidRPr="00CD7785">
        <w:rPr>
          <w:b w:val="0"/>
          <w:lang w:val="hy-AM"/>
        </w:rPr>
        <w:t xml:space="preserve"> </w:t>
      </w:r>
      <w:r w:rsidRPr="00CD7785">
        <w:rPr>
          <w:rFonts w:cs="Arial"/>
          <w:b w:val="0"/>
          <w:lang w:val="hy-AM"/>
        </w:rPr>
        <w:t>ծախսերի</w:t>
      </w:r>
      <w:r w:rsidRPr="00CD7785">
        <w:rPr>
          <w:b w:val="0"/>
          <w:lang w:val="hy-AM"/>
        </w:rPr>
        <w:t xml:space="preserve"> </w:t>
      </w:r>
      <w:r w:rsidRPr="00CD7785">
        <w:rPr>
          <w:rFonts w:cs="Arial"/>
          <w:b w:val="0"/>
          <w:lang w:val="hy-AM"/>
        </w:rPr>
        <w:t>տեսակարար կշիռը</w:t>
      </w:r>
      <w:r w:rsidRPr="00CD7785">
        <w:rPr>
          <w:b w:val="0"/>
          <w:lang w:val="hy-AM"/>
        </w:rPr>
        <w:t xml:space="preserve"> </w:t>
      </w:r>
      <w:r w:rsidRPr="00CD7785">
        <w:rPr>
          <w:rFonts w:cs="Arial"/>
          <w:b w:val="0"/>
          <w:lang w:val="hy-AM"/>
        </w:rPr>
        <w:t>ծախսերի</w:t>
      </w:r>
      <w:r w:rsidRPr="00CD7785">
        <w:rPr>
          <w:b w:val="0"/>
          <w:lang w:val="hy-AM"/>
        </w:rPr>
        <w:t xml:space="preserve"> </w:t>
      </w:r>
      <w:r w:rsidRPr="00CD7785">
        <w:rPr>
          <w:rFonts w:cs="Arial"/>
          <w:b w:val="0"/>
          <w:lang w:val="hy-AM"/>
        </w:rPr>
        <w:t>ամբողջ</w:t>
      </w:r>
      <w:r w:rsidRPr="00CD7785">
        <w:rPr>
          <w:b w:val="0"/>
          <w:lang w:val="hy-AM"/>
        </w:rPr>
        <w:t xml:space="preserve"> </w:t>
      </w:r>
      <w:r w:rsidRPr="00CD7785">
        <w:rPr>
          <w:rFonts w:cs="Arial"/>
          <w:b w:val="0"/>
          <w:lang w:val="hy-AM"/>
        </w:rPr>
        <w:t>ծավալում</w:t>
      </w:r>
      <w:r w:rsidRPr="00CD7785">
        <w:rPr>
          <w:b w:val="0"/>
          <w:lang w:val="hy-AM"/>
        </w:rPr>
        <w:t xml:space="preserve"> </w:t>
      </w:r>
      <w:r w:rsidRPr="00CD7785">
        <w:rPr>
          <w:rFonts w:cs="Arial"/>
          <w:b w:val="0"/>
          <w:lang w:val="hy-AM"/>
        </w:rPr>
        <w:t>կազմում</w:t>
      </w:r>
      <w:r w:rsidRPr="00CD7785">
        <w:rPr>
          <w:b w:val="0"/>
          <w:lang w:val="hy-AM"/>
        </w:rPr>
        <w:t xml:space="preserve"> </w:t>
      </w:r>
      <w:r w:rsidRPr="00CD7785">
        <w:rPr>
          <w:rFonts w:cs="Arial"/>
          <w:b w:val="0"/>
          <w:lang w:val="hy-AM"/>
        </w:rPr>
        <w:t>է</w:t>
      </w:r>
      <w:r w:rsidRPr="00CD7785">
        <w:rPr>
          <w:b w:val="0"/>
          <w:lang w:val="hy-AM"/>
        </w:rPr>
        <w:t xml:space="preserve"> </w:t>
      </w:r>
      <w:r w:rsidRPr="00E53981">
        <w:rPr>
          <w:b w:val="0"/>
        </w:rPr>
        <w:t>6</w:t>
      </w:r>
      <w:r w:rsidRPr="00CD7785">
        <w:rPr>
          <w:b w:val="0"/>
        </w:rPr>
        <w:t>.</w:t>
      </w:r>
      <w:r w:rsidRPr="00DD63BE">
        <w:rPr>
          <w:b w:val="0"/>
        </w:rPr>
        <w:t>0</w:t>
      </w:r>
      <w:r w:rsidRPr="00CD7785">
        <w:rPr>
          <w:b w:val="0"/>
          <w:lang w:val="hy-AM"/>
        </w:rPr>
        <w:t xml:space="preserve">% </w:t>
      </w:r>
      <w:r w:rsidRPr="00CD7785">
        <w:rPr>
          <w:rFonts w:cs="Arial"/>
          <w:b w:val="0"/>
          <w:lang w:val="hy-AM"/>
        </w:rPr>
        <w:t>և</w:t>
      </w:r>
      <w:r w:rsidRPr="00CD7785">
        <w:rPr>
          <w:b w:val="0"/>
          <w:lang w:val="hy-AM"/>
        </w:rPr>
        <w:t xml:space="preserve"> </w:t>
      </w:r>
      <w:r w:rsidRPr="00CD7785">
        <w:rPr>
          <w:rFonts w:cs="Arial"/>
          <w:b w:val="0"/>
          <w:lang w:val="hy-AM"/>
        </w:rPr>
        <w:t>ՀՆԱ</w:t>
      </w:r>
      <w:r w:rsidRPr="00CD7785">
        <w:rPr>
          <w:b w:val="0"/>
          <w:lang w:val="hy-AM"/>
        </w:rPr>
        <w:t>-</w:t>
      </w:r>
      <w:r w:rsidRPr="00CD7785">
        <w:rPr>
          <w:rFonts w:cs="Arial"/>
          <w:b w:val="0"/>
          <w:lang w:val="hy-AM"/>
        </w:rPr>
        <w:t>ի</w:t>
      </w:r>
      <w:r w:rsidRPr="00CD7785">
        <w:rPr>
          <w:b w:val="0"/>
          <w:lang w:val="hy-AM"/>
        </w:rPr>
        <w:t xml:space="preserve"> </w:t>
      </w:r>
      <w:r w:rsidRPr="00CD7785">
        <w:rPr>
          <w:rFonts w:cs="Arial"/>
          <w:b w:val="0"/>
          <w:lang w:val="hy-AM"/>
        </w:rPr>
        <w:t>նկատ</w:t>
      </w:r>
      <w:r w:rsidRPr="00CD7785">
        <w:rPr>
          <w:b w:val="0"/>
          <w:lang w:val="hy-AM"/>
        </w:rPr>
        <w:softHyphen/>
      </w:r>
      <w:r w:rsidRPr="00CD7785">
        <w:rPr>
          <w:rFonts w:cs="Arial"/>
          <w:b w:val="0"/>
          <w:lang w:val="hy-AM"/>
        </w:rPr>
        <w:t>մամբ՝</w:t>
      </w:r>
      <w:r w:rsidRPr="00CD7785">
        <w:rPr>
          <w:b w:val="0"/>
          <w:lang w:val="hy-AM"/>
        </w:rPr>
        <w:t xml:space="preserve"> </w:t>
      </w:r>
      <w:r w:rsidRPr="00E53981">
        <w:rPr>
          <w:b w:val="0"/>
        </w:rPr>
        <w:t>1</w:t>
      </w:r>
      <w:r w:rsidRPr="00CD7785">
        <w:rPr>
          <w:b w:val="0"/>
        </w:rPr>
        <w:t>.</w:t>
      </w:r>
      <w:r w:rsidRPr="00E53981">
        <w:rPr>
          <w:b w:val="0"/>
        </w:rPr>
        <w:t>7</w:t>
      </w:r>
      <w:r w:rsidRPr="00CD7785">
        <w:rPr>
          <w:b w:val="0"/>
          <w:lang w:val="hy-AM"/>
        </w:rPr>
        <w:t xml:space="preserve">%: </w:t>
      </w:r>
    </w:p>
    <w:p w14:paraId="55C70D71" w14:textId="77777777" w:rsidR="00433FD0" w:rsidRPr="00A53AB0" w:rsidRDefault="00433FD0" w:rsidP="00433FD0">
      <w:pPr>
        <w:spacing w:before="0" w:line="276" w:lineRule="auto"/>
        <w:rPr>
          <w:b w:val="0"/>
          <w:color w:val="FF0000"/>
        </w:rPr>
      </w:pPr>
    </w:p>
    <w:p w14:paraId="505B92E6" w14:textId="77777777" w:rsidR="00433FD0" w:rsidRDefault="00433FD0" w:rsidP="00433FD0">
      <w:pPr>
        <w:spacing w:before="0" w:line="276" w:lineRule="auto"/>
        <w:ind w:firstLine="562"/>
        <w:contextualSpacing w:val="0"/>
        <w:rPr>
          <w:rFonts w:cs="Sylfaen"/>
          <w:b w:val="0"/>
          <w:iCs/>
          <w:szCs w:val="22"/>
          <w:lang w:eastAsia="en-GB"/>
        </w:rPr>
      </w:pPr>
    </w:p>
    <w:p w14:paraId="641F5C24" w14:textId="77777777" w:rsidR="00433FD0" w:rsidRPr="00475A80" w:rsidRDefault="00433FD0" w:rsidP="00433FD0"/>
    <w:p w14:paraId="209D6F45" w14:textId="6C66AA80" w:rsidR="00453D56" w:rsidRPr="00A83C94" w:rsidRDefault="00453D56" w:rsidP="00AB7355">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61" w:name="_Toc83996366"/>
      <w:r w:rsidRPr="00A83C94">
        <w:rPr>
          <w:rFonts w:eastAsia="Calibri" w:cs="GHEA Grapalat"/>
          <w:bCs/>
          <w:sz w:val="24"/>
          <w:szCs w:val="26"/>
          <w:lang w:val="af-ZA" w:eastAsia="en-US"/>
        </w:rPr>
        <w:t>2022</w:t>
      </w:r>
      <w:r w:rsidR="00AB7355" w:rsidRPr="00A83C94">
        <w:rPr>
          <w:rFonts w:eastAsia="Calibri" w:cs="GHEA Grapalat"/>
          <w:bCs/>
          <w:sz w:val="24"/>
          <w:szCs w:val="26"/>
          <w:lang w:val="af-ZA" w:eastAsia="en-US"/>
        </w:rPr>
        <w:t xml:space="preserve"> </w:t>
      </w:r>
      <w:r w:rsidRPr="00A83C94">
        <w:rPr>
          <w:rFonts w:eastAsia="Calibri" w:cs="GHEA Grapalat"/>
          <w:bCs/>
          <w:sz w:val="24"/>
          <w:szCs w:val="26"/>
          <w:lang w:val="af-ZA" w:eastAsia="en-US"/>
        </w:rPr>
        <w:t>Թ</w:t>
      </w:r>
      <w:r w:rsidR="00AB7355" w:rsidRPr="00A83C94">
        <w:rPr>
          <w:rFonts w:eastAsia="Calibri" w:cs="GHEA Grapalat"/>
          <w:bCs/>
          <w:sz w:val="24"/>
          <w:szCs w:val="26"/>
          <w:lang w:val="af-ZA" w:eastAsia="en-US"/>
        </w:rPr>
        <w:t>ՎԱԿԱՆԻ</w:t>
      </w:r>
      <w:r w:rsidRPr="00A83C94">
        <w:rPr>
          <w:rFonts w:eastAsia="Calibri" w:cs="GHEA Grapalat"/>
          <w:bCs/>
          <w:sz w:val="24"/>
          <w:szCs w:val="26"/>
          <w:lang w:val="af-ZA" w:eastAsia="en-US"/>
        </w:rPr>
        <w:t xml:space="preserve"> ԲՅՈՒՋԵԻ ԱՌԱՋՆԱՀԵՐԹՈՒԹՅՈՒՆՆԵՐ</w:t>
      </w:r>
      <w:bookmarkEnd w:id="248"/>
      <w:bookmarkEnd w:id="249"/>
      <w:r w:rsidRPr="00A83C94">
        <w:rPr>
          <w:rFonts w:eastAsia="Calibri" w:cs="GHEA Grapalat"/>
          <w:bCs/>
          <w:sz w:val="24"/>
          <w:szCs w:val="26"/>
          <w:lang w:val="af-ZA" w:eastAsia="en-US"/>
        </w:rPr>
        <w:t>Ը</w:t>
      </w:r>
      <w:bookmarkEnd w:id="261"/>
    </w:p>
    <w:p w14:paraId="52C260FD" w14:textId="77777777" w:rsidR="00453D56" w:rsidRPr="00A83C94" w:rsidRDefault="00453D56" w:rsidP="00453D56">
      <w:pPr>
        <w:spacing w:before="40" w:after="60" w:line="276" w:lineRule="auto"/>
        <w:ind w:firstLine="475"/>
        <w:contextualSpacing w:val="0"/>
        <w:rPr>
          <w:rFonts w:eastAsiaTheme="minorEastAsia" w:cstheme="minorBidi"/>
          <w:b w:val="0"/>
          <w:szCs w:val="22"/>
          <w:lang w:val="hy-AM" w:eastAsia="en-US"/>
        </w:rPr>
      </w:pPr>
      <w:r w:rsidRPr="00A83C94">
        <w:rPr>
          <w:rFonts w:eastAsiaTheme="minorEastAsia" w:cstheme="minorBidi"/>
          <w:b w:val="0"/>
          <w:szCs w:val="22"/>
          <w:lang w:val="hy-AM" w:eastAsia="en-US"/>
        </w:rPr>
        <w:t>ՀՀ կառավարության ծրագրին համապատասխան ծախսային քաղաքականության արդյունավետության բարձրացման տեսանկյունից միջնաժամկետ ժամանակահատվածում կարևորվում է հանրային ֆինանսների նպատակային, խնայողաբար և ադյունավետ օգտագործումը, ինչի արդյունքում 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14:paraId="42D682FB" w14:textId="61719023" w:rsidR="00813A99" w:rsidRPr="00A83C94" w:rsidRDefault="00453D56" w:rsidP="00813A99">
      <w:pPr>
        <w:spacing w:before="0" w:line="276" w:lineRule="auto"/>
        <w:ind w:firstLine="475"/>
        <w:contextualSpacing w:val="0"/>
        <w:rPr>
          <w:rFonts w:eastAsiaTheme="minorEastAsia" w:cs="Arial"/>
          <w:b w:val="0"/>
          <w:szCs w:val="22"/>
          <w:lang w:val="hy-AM" w:eastAsia="en-US"/>
        </w:rPr>
      </w:pPr>
      <w:r w:rsidRPr="00A83C94">
        <w:rPr>
          <w:rFonts w:eastAsiaTheme="minorEastAsia" w:cstheme="minorBidi"/>
          <w:b w:val="0"/>
          <w:szCs w:val="22"/>
          <w:lang w:val="hy-AM" w:eastAsia="en-US"/>
        </w:rPr>
        <w:t>2022թ</w:t>
      </w:r>
      <w:r w:rsidR="00813A99">
        <w:rPr>
          <w:rFonts w:eastAsiaTheme="minorEastAsia" w:cstheme="minorBidi"/>
          <w:b w:val="0"/>
          <w:szCs w:val="22"/>
          <w:lang w:val="hy-AM" w:eastAsia="en-US"/>
        </w:rPr>
        <w:t>.</w:t>
      </w:r>
      <w:r w:rsidRPr="00A83C94">
        <w:rPr>
          <w:rFonts w:eastAsiaTheme="minorEastAsia" w:cstheme="minorBidi"/>
          <w:b w:val="0"/>
          <w:szCs w:val="22"/>
          <w:lang w:val="hy-AM" w:eastAsia="en-US"/>
        </w:rPr>
        <w:t xml:space="preserve"> </w:t>
      </w:r>
      <w:r w:rsidR="00813A99">
        <w:rPr>
          <w:rFonts w:eastAsiaTheme="minorEastAsia" w:cstheme="minorBidi"/>
          <w:b w:val="0"/>
          <w:szCs w:val="22"/>
          <w:lang w:val="hy-AM" w:eastAsia="en-US"/>
        </w:rPr>
        <w:t>բյուջեի 6-րդ</w:t>
      </w:r>
      <w:r w:rsidRPr="00A83C94">
        <w:rPr>
          <w:rFonts w:eastAsiaTheme="minorEastAsia" w:cstheme="minorBidi"/>
          <w:b w:val="0"/>
          <w:szCs w:val="22"/>
          <w:lang w:val="hy-AM" w:eastAsia="en-US"/>
        </w:rPr>
        <w:t xml:space="preserve"> հավելվածով ներկայացվել են </w:t>
      </w:r>
      <w:r w:rsidR="00813A99" w:rsidRPr="00813A99">
        <w:rPr>
          <w:rFonts w:eastAsiaTheme="minorEastAsia" w:cstheme="minorBidi"/>
          <w:b w:val="0"/>
          <w:szCs w:val="22"/>
          <w:lang w:val="hy-AM" w:eastAsia="en-US"/>
        </w:rPr>
        <w:t xml:space="preserve">ծախսային  </w:t>
      </w:r>
      <w:r w:rsidR="00813A99">
        <w:rPr>
          <w:rFonts w:eastAsiaTheme="minorEastAsia" w:cstheme="minorBidi"/>
          <w:b w:val="0"/>
          <w:szCs w:val="22"/>
          <w:lang w:val="hy-AM" w:eastAsia="en-US"/>
        </w:rPr>
        <w:t>առաջնահերթությունները</w:t>
      </w:r>
      <w:r w:rsidR="00813A99" w:rsidRPr="00813A99">
        <w:rPr>
          <w:rFonts w:eastAsiaTheme="minorEastAsia" w:cstheme="minorBidi"/>
          <w:b w:val="0"/>
          <w:szCs w:val="22"/>
          <w:lang w:val="hy-AM" w:eastAsia="en-US"/>
        </w:rPr>
        <w:t xml:space="preserve">՝ </w:t>
      </w:r>
      <w:r w:rsidR="00813A99" w:rsidRPr="00813A99">
        <w:rPr>
          <w:rFonts w:eastAsiaTheme="minorEastAsia" w:cstheme="minorBidi"/>
          <w:b w:val="0"/>
          <w:szCs w:val="22"/>
          <w:lang w:val="hy-AM" w:eastAsia="en-US"/>
        </w:rPr>
        <w:t>7</w:t>
      </w:r>
      <w:r w:rsidR="00813A99" w:rsidRPr="00A83C94">
        <w:rPr>
          <w:rFonts w:eastAsiaTheme="minorEastAsia" w:cstheme="minorBidi"/>
          <w:b w:val="0"/>
          <w:szCs w:val="22"/>
          <w:lang w:val="hy-AM" w:eastAsia="en-US"/>
        </w:rPr>
        <w:t>6,</w:t>
      </w:r>
      <w:r w:rsidR="00813A99" w:rsidRPr="00813A99">
        <w:rPr>
          <w:rFonts w:eastAsiaTheme="minorEastAsia" w:cstheme="minorBidi"/>
          <w:b w:val="0"/>
          <w:szCs w:val="22"/>
          <w:lang w:val="hy-AM" w:eastAsia="en-US"/>
        </w:rPr>
        <w:t>455</w:t>
      </w:r>
      <w:r w:rsidR="00813A99" w:rsidRPr="00A83C94">
        <w:rPr>
          <w:rFonts w:eastAsiaTheme="minorEastAsia" w:cstheme="minorBidi"/>
          <w:b w:val="0"/>
          <w:szCs w:val="22"/>
          <w:lang w:val="hy-AM" w:eastAsia="en-US"/>
        </w:rPr>
        <w:t xml:space="preserve"> մլրդ դրամ</w:t>
      </w:r>
      <w:r w:rsidR="00813A99" w:rsidRPr="00813A99">
        <w:rPr>
          <w:rFonts w:eastAsiaTheme="minorEastAsia" w:cstheme="minorBidi"/>
          <w:b w:val="0"/>
          <w:szCs w:val="22"/>
          <w:lang w:val="hy-AM" w:eastAsia="en-US"/>
        </w:rPr>
        <w:t>ի չափով</w:t>
      </w:r>
      <w:r w:rsidRPr="00A83C94">
        <w:rPr>
          <w:rFonts w:eastAsiaTheme="minorEastAsia" w:cstheme="minorBidi"/>
          <w:b w:val="0"/>
          <w:szCs w:val="22"/>
          <w:lang w:val="hy-AM" w:eastAsia="en-US"/>
        </w:rPr>
        <w:t xml:space="preserve">: </w:t>
      </w:r>
    </w:p>
    <w:p w14:paraId="060FA939" w14:textId="2E5E9257" w:rsidR="00453D56" w:rsidRPr="00A83C94" w:rsidRDefault="00453D56" w:rsidP="00FA67A9">
      <w:pPr>
        <w:spacing w:before="0" w:line="276" w:lineRule="auto"/>
        <w:ind w:firstLine="475"/>
        <w:contextualSpacing w:val="0"/>
        <w:rPr>
          <w:rFonts w:eastAsiaTheme="minorEastAsia" w:cstheme="minorBidi"/>
          <w:b w:val="0"/>
          <w:szCs w:val="22"/>
          <w:lang w:val="hy-AM" w:eastAsia="en-US"/>
        </w:rPr>
      </w:pPr>
      <w:r w:rsidRPr="00A83C94">
        <w:rPr>
          <w:rFonts w:eastAsiaTheme="minorEastAsia" w:cstheme="minorBidi"/>
          <w:b w:val="0"/>
          <w:szCs w:val="22"/>
          <w:lang w:val="hy-AM" w:eastAsia="en-US"/>
        </w:rPr>
        <w:t>ԲԳԿ-ների կողմից ներկայացված առաջնահերթությունները 2022թ.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2022թ ընթացքում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պետական բյուջեի դեֆիցիտի սահմանաչափի ավելացման պարագայում վերջիններիս ֆինանսավորումը պետք է իրականացվեն առաջնահերթ կարգով՝ կապիտալ ծախսերի դեպքում հիմք ընդունելով համապատասխան նախագծանախահաշվային փաստաթղթերի հիման վրա այդ աշխատանքների արժեքների ճշգրտումները։</w:t>
      </w:r>
    </w:p>
    <w:p w14:paraId="68ADBCE7" w14:textId="025510A5" w:rsidR="000123D5" w:rsidRPr="00A83C94" w:rsidRDefault="00453D56" w:rsidP="00FA67A9">
      <w:pPr>
        <w:spacing w:before="0" w:line="276" w:lineRule="auto"/>
        <w:ind w:firstLine="475"/>
        <w:rPr>
          <w:lang w:val="hy-AM"/>
        </w:rPr>
      </w:pPr>
      <w:r w:rsidRPr="00A83C94">
        <w:rPr>
          <w:rFonts w:eastAsiaTheme="minorEastAsia" w:cstheme="minorBidi"/>
          <w:b w:val="0"/>
          <w:szCs w:val="22"/>
          <w:lang w:val="hy-AM" w:eastAsia="en-US"/>
        </w:rPr>
        <w:t>Առաջնահերթություններում</w:t>
      </w:r>
      <w:r w:rsidRPr="00A83C94">
        <w:rPr>
          <w:rFonts w:eastAsiaTheme="minorEastAsia" w:cs="Arial"/>
          <w:b w:val="0"/>
          <w:szCs w:val="22"/>
          <w:lang w:val="hy-AM" w:eastAsia="en-US"/>
        </w:rPr>
        <w:t xml:space="preserve"> կարևորվում է նաև կ</w:t>
      </w:r>
      <w:r w:rsidRPr="00A83C94">
        <w:rPr>
          <w:rFonts w:eastAsiaTheme="minorEastAsia" w:cstheme="minorBidi"/>
          <w:b w:val="0"/>
          <w:szCs w:val="22"/>
          <w:lang w:val="hy-AM" w:eastAsia="en-US"/>
        </w:rPr>
        <w:t>ապիտալ ծրագրերի դերը, որոնք իրենց ուրույն տեղն են գտել նաև ՊՖԿՀ բարեփոխումների ռազմավարությունում, որտեղ «Հանրային ներդրումների կառավարման» համակարգի ներդրումը դիտվում է որպես կապիտալ ծրագրերի գնահատման, առաջնահերթությունների որոշման և ֆինանսավորման համար անհրաժեշտ ռեսուրսների հաշվարկման առանցքային գործիքակազմի բաղադրիչներից մեկը: Այս միջոցառման իրականացումը ապագայում կնպաստի կապիտալ ծախսերի իրականացման արդյունավետության բարձրացմանը՝ խթանելով երկարաժամկետ տնտեսական աճի արագացումը:</w:t>
      </w:r>
      <w:r w:rsidR="000123D5" w:rsidRPr="00A83C94">
        <w:rPr>
          <w:b w:val="0"/>
          <w:lang w:val="hy-AM"/>
        </w:rPr>
        <w:br w:type="page"/>
      </w:r>
    </w:p>
    <w:p w14:paraId="6C34DBE2" w14:textId="77777777" w:rsidR="00E85612" w:rsidRPr="00A83C94" w:rsidRDefault="00E85612" w:rsidP="007C65A5">
      <w:pPr>
        <w:keepNext/>
        <w:tabs>
          <w:tab w:val="left" w:pos="709"/>
        </w:tabs>
        <w:spacing w:before="0" w:line="276" w:lineRule="auto"/>
        <w:ind w:firstLine="0"/>
        <w:jc w:val="left"/>
        <w:outlineLvl w:val="2"/>
        <w:rPr>
          <w:rFonts w:eastAsia="Calibri" w:cs="GHEA Grapalat"/>
          <w:bCs/>
          <w:sz w:val="24"/>
          <w:lang w:val="af-ZA" w:eastAsia="en-US"/>
        </w:rPr>
      </w:pPr>
      <w:bookmarkStart w:id="262" w:name="_Toc83996367"/>
      <w:r w:rsidRPr="00A83C94">
        <w:rPr>
          <w:rFonts w:eastAsia="Calibri" w:cs="GHEA Grapalat"/>
          <w:bCs/>
          <w:sz w:val="24"/>
          <w:lang w:val="af-ZA" w:eastAsia="en-US"/>
        </w:rPr>
        <w:t xml:space="preserve">ԾԱԽՍԵՐՆ ԸՍՏ </w:t>
      </w:r>
      <w:r w:rsidRPr="00A83C94">
        <w:rPr>
          <w:rFonts w:eastAsia="Calibri" w:cs="GHEA Grapalat"/>
          <w:bCs/>
          <w:sz w:val="24"/>
          <w:lang w:val="hy-AM" w:eastAsia="en-US"/>
        </w:rPr>
        <w:t>ԲՅՈՒՋԵՏԱՅԻՆ ԳԼԽԱՎՈՐ ԿԱՐԳԱԴՐԻՉՆԵՐԻ</w:t>
      </w:r>
      <w:bookmarkEnd w:id="262"/>
    </w:p>
    <w:p w14:paraId="0F0D4504" w14:textId="77777777" w:rsidR="00442DED" w:rsidRPr="00A83C94" w:rsidRDefault="00442DED" w:rsidP="007C65A5">
      <w:pPr>
        <w:keepNext/>
        <w:tabs>
          <w:tab w:val="left" w:pos="709"/>
        </w:tabs>
        <w:spacing w:before="0" w:line="276" w:lineRule="auto"/>
        <w:ind w:firstLine="0"/>
        <w:jc w:val="center"/>
        <w:outlineLvl w:val="2"/>
        <w:rPr>
          <w:rFonts w:eastAsia="Calibri" w:cs="GHEA Grapalat"/>
          <w:sz w:val="24"/>
          <w:lang w:val="af-ZA" w:eastAsia="en-US"/>
        </w:rPr>
      </w:pPr>
      <w:bookmarkStart w:id="263" w:name="_Toc57655473"/>
      <w:bookmarkStart w:id="264" w:name="_Toc83996368"/>
      <w:r w:rsidRPr="00A83C94">
        <w:rPr>
          <w:rFonts w:eastAsia="Calibri" w:cs="GHEA Grapalat"/>
          <w:sz w:val="24"/>
          <w:lang w:val="af-ZA" w:eastAsia="en-US"/>
        </w:rPr>
        <w:t>Պետական կառավարման համակարգի մարմինների պահպանման ծախսեր</w:t>
      </w:r>
      <w:bookmarkEnd w:id="263"/>
      <w:bookmarkEnd w:id="264"/>
    </w:p>
    <w:p w14:paraId="5D9FD444" w14:textId="77777777" w:rsidR="002F5005" w:rsidRPr="00A83C94" w:rsidRDefault="002F5005" w:rsidP="002F5005">
      <w:pPr>
        <w:pStyle w:val="BodyText2"/>
      </w:pPr>
      <w:r w:rsidRPr="00A83C94">
        <w:t xml:space="preserve">Ոլորտը ներառում է Սահմանադրությամբ և օրենքով ստեղծված պետական մարմինների պահպանմանն ուղղված բյուջետային ծրագրերի ու միջոցառումների շրջանակը, որն ընդգրկում է պետական իշխանության մարմինների (օրենսդիր, գործադիր և դատական), Սահմանադրությամբ և օրենքով ստեղծված ինքնավար և անկախ մարմինների ընթացիկ պահպանումը և տեխնիկական միջոցներով ապահովումը: </w:t>
      </w:r>
    </w:p>
    <w:p w14:paraId="579F24CB" w14:textId="1E70842C" w:rsidR="002F5005" w:rsidRPr="00A83C94" w:rsidRDefault="002F5005" w:rsidP="002F5005">
      <w:pPr>
        <w:pStyle w:val="BodyText2"/>
      </w:pPr>
      <w:r w:rsidRPr="00A83C94">
        <w:t>Պետական կառավարման համակարգի մարմինների պահպանման ծախսերի ընդհանուր գումարը ՀՀ 2022 թվականի պետական բյուջեի նախագծում ծրագրավորված է 133,6</w:t>
      </w:r>
      <w:r w:rsidR="0049233C">
        <w:t>4</w:t>
      </w:r>
      <w:r w:rsidR="006F02BB" w:rsidRPr="006F02BB">
        <w:t>4</w:t>
      </w:r>
      <w:r w:rsidRPr="00A83C94">
        <w:t>.</w:t>
      </w:r>
      <w:r w:rsidR="006F02BB" w:rsidRPr="006F02BB">
        <w:t>9</w:t>
      </w:r>
      <w:r w:rsidRPr="00A83C94">
        <w:t xml:space="preserve">  մլն դրամի չափով, որը 2020 թվականի բյուջետային տարվա փաստացի և 2021 թվականի բյուջետային տարվա համար հաստատված համապատասխան ցուցանիշների նկատմամբ կազմում է համապատասխանաբար 119.0 և 102.</w:t>
      </w:r>
      <w:r w:rsidR="004D4FD3" w:rsidRPr="00A83C94">
        <w:t>1</w:t>
      </w:r>
      <w:r w:rsidRPr="00A83C94">
        <w:t xml:space="preserve"> տոկոս: </w:t>
      </w:r>
    </w:p>
    <w:p w14:paraId="0F5375C3" w14:textId="3E5EB0B2" w:rsidR="002F5005" w:rsidRPr="00A83C94" w:rsidRDefault="002F5005" w:rsidP="002F5005">
      <w:pPr>
        <w:pStyle w:val="BodyText2"/>
      </w:pPr>
      <w:r w:rsidRPr="00A83C94">
        <w:t>ՀՀ 2022 թվականի պետական բյուջեի նախագծում ծրագրավորված պետական կառավարման համակարգի մարմինների պահպանման ընթացիկ ծախսերը նախատեսվել են  131,7</w:t>
      </w:r>
      <w:r w:rsidR="0049233C">
        <w:t>5</w:t>
      </w:r>
      <w:r w:rsidR="006F02BB" w:rsidRPr="007A6CCF">
        <w:t>5</w:t>
      </w:r>
      <w:r w:rsidRPr="00A83C94">
        <w:t>.</w:t>
      </w:r>
      <w:r w:rsidR="006F02BB" w:rsidRPr="007A6CCF">
        <w:t>0</w:t>
      </w:r>
      <w:r w:rsidRPr="00A83C94">
        <w:t xml:space="preserve"> մլն դրամի չափով, իսկ ոչ ֆինանսական (կապիտալ) ակտիվների գծով ծախսերը նախատեսվել են 1,88</w:t>
      </w:r>
      <w:r w:rsidR="007A6CCF" w:rsidRPr="0052299C">
        <w:t>9</w:t>
      </w:r>
      <w:r w:rsidRPr="00A83C94">
        <w:t>.</w:t>
      </w:r>
      <w:r w:rsidR="007A6CCF" w:rsidRPr="0052299C">
        <w:t>9</w:t>
      </w:r>
      <w:r w:rsidRPr="00A83C94">
        <w:t xml:space="preserve"> մլն դրամի չափով` առանձին պետական մարմիններում կարողությունների զարգացման նպատակով:</w:t>
      </w:r>
    </w:p>
    <w:p w14:paraId="00D75A12" w14:textId="0FD9708A" w:rsidR="00442DED" w:rsidRPr="00A83C94" w:rsidRDefault="002F5005" w:rsidP="002F5005">
      <w:pPr>
        <w:pStyle w:val="BodyText2"/>
      </w:pPr>
      <w:r w:rsidRPr="00A83C94">
        <w:t>Հանրային կառավարման համակարգի խորքային բարեփոխումների անհրաժեշտությունն ամրագրված է ՀՀ կառավարության 2021 թվականի օգոստոսի 18-ի N 1363-Ա որոշմամբ հավանության արժանացած ՀՀ կառավարության 2021-2026թթ. հնգամյա ծրագրով: Կառավարությունը 2019 թվականից ձեռնամուխ է եղել հանրային կառավարման համակարգում համընդգրկուն բարեփոխումների օրակարգ ձևավորելու ու իրագործելու գործին: Մի շարք կարևոր ռազմավարություններ ու գործողությունների ծրագրեր են ընդունվել և սկսել իրագործվել, որոնցից՝ հակակոռուպցիոն, պետական ֆինանսների կառավարման, թվայնացման, դատաիրավական բարեփոխումների և այլն: Կառավարությունն ընդունելու է նաև հանրային կառավարման բարեփոխումների մինչև 2030 թվականը ռազմավարությունը:</w:t>
      </w:r>
    </w:p>
    <w:p w14:paraId="60A71949" w14:textId="77777777" w:rsidR="00442DED" w:rsidRPr="00A83C94" w:rsidRDefault="00442DED" w:rsidP="007C65A5">
      <w:pPr>
        <w:pStyle w:val="BodyText2"/>
      </w:pPr>
      <w:r w:rsidRPr="00A83C94">
        <w:t xml:space="preserve">Պետական կառավարման համակարգի մարմինների պահպանման ծախսերը ՀՀ 2022 թվականի բյուջեի նախագծում նախատեսելիս դրանք դիտարկվել են Կառավարության ծրագրով նախանշված ուղղությունների և նպատակների համապատասխանության տեսանկյունից, ինչպես նաև հաշվի են առնվել պետական կառավարման համակարգի ինստիտուցիոնալ բարեփոխումները՝ համաձայն առանձին ոլորտների ռազմավարական ծրագրերի: </w:t>
      </w:r>
    </w:p>
    <w:p w14:paraId="058200EE" w14:textId="77777777" w:rsidR="00442DED" w:rsidRPr="00A83C94" w:rsidRDefault="00442DED" w:rsidP="007C65A5">
      <w:pPr>
        <w:pStyle w:val="BodyText2"/>
      </w:pPr>
      <w:r w:rsidRPr="00A83C94">
        <w:t>Մասնավորապես, ՀՀ կառավարության 2019թ. հոկտեմբերի 3-ի «Հայաստանի Հանրապետության հակակոռուպցիոն ռազմավարությունը և դրա իրականացման 2019-2022 թվականների միջոցառումների ծրագիրը հաստատելու մասին» որոշման դրույթներին համապատասխան, 2021 թվականի մարտի 24-ին ընդունվել է  «Հակակոռուպցիոն կոմիտեի մասին» ՀՕ-147-Ն օրենքը (այսուհետ՝ Օրենք), որից հետո դեռևս շարունակում են ընդունվել Հակակոռուպցիոն կոմիտեի (այսուհետ՝ Կոմիտե) ստեղծման և ձևավորման հետ կապված, ինչպես նաև գործունեության ոլորտը կարգավորող մի շարք իրավական ակտեր: Այդ կապակցությամբ, 2022 թվականի պետական բյուջեի նախագիծը կազմելիս հաշվի են առնվում Կոմիտեի ստեղծման և աշխատակազմի ձևավորման հետ կապված վերը նշված բոլոր կարգավորումները: Միաժամանակ, Օրենքի 48-րդ հոդվածի 20-րդ մասի համաձայն՝ օրենքն ուժի մեջ մտնելու օրվանից ուժը կորցրած է ճանաչվում 2007 թվականի նոյեմբերի 28-ին ընդունված «Հատուկ քննչական ծառայության մասին» ՀՕ-255-Ն օրենքը, և դադարեցված է համարվում հատուկ քննչական ծառայության գործունեությունը:</w:t>
      </w:r>
    </w:p>
    <w:p w14:paraId="676A6F9E" w14:textId="1EAC5D2F" w:rsidR="00442DED" w:rsidRPr="00A83C94" w:rsidRDefault="00442DED" w:rsidP="007C65A5">
      <w:pPr>
        <w:pStyle w:val="BodyText2"/>
      </w:pPr>
      <w:r w:rsidRPr="00A83C94">
        <w:t>Միաժամանակ, ինչպես վերոհիշյալ ռազմավարությամբ, այնպես էլ Կառավարության ծրագրով ամրագրված է հակաոռուպցիոն համակարգի մարմինների ստեղծման անհրաժեշտությունը, մասնավորապես, կոռուպցիայի դեմ պայքար</w:t>
      </w:r>
      <w:r w:rsidR="00682233" w:rsidRPr="00682233">
        <w:t>ի</w:t>
      </w:r>
      <w:r w:rsidRPr="00A83C94">
        <w:t xml:space="preserve"> ինստիտուցիոնալ համակարգի կայացման և շարունակական զարգացման տեսանկյունից կարևորվում է նաև հակակոռուպցիոն մասնագիտացված դատարան</w:t>
      </w:r>
      <w:r w:rsidR="00682233" w:rsidRPr="00682233">
        <w:t>ներ</w:t>
      </w:r>
      <w:r w:rsidRPr="00A83C94">
        <w:t>ի ստեղծումը, որոնք պետք է օգտվեն բավարար մարդկային, վարչական և նյութական ռեսուրսներից, ինչը կհանգեցնի մասնագիտացված դատավորների կողմից գործերի առավել որակյալ, բազմակողմանի և արդյունավետ լուծմանը:</w:t>
      </w:r>
    </w:p>
    <w:p w14:paraId="7948F356" w14:textId="155C529E" w:rsidR="00442DED" w:rsidRPr="00A83C94" w:rsidRDefault="00442DED" w:rsidP="007C65A5">
      <w:pPr>
        <w:pStyle w:val="BodyText2"/>
      </w:pPr>
      <w:r w:rsidRPr="00A83C94">
        <w:t>Այս կապակցությամբ Դատական օրենսգրքում կատարված փոփոխության արդյունքում Բարձրագույն դատական խորհուրդը մինչդատական քրեական վարույթի գործերի, ինչպես նաև կոռուպցիոն հանցագործությունների հետ կապված գործերի քննության համար ավելացնում է դատավորների թվակազմը՝ առաջին ատյանի ընդհանուր իրավասության դատարանում՝ մինչև քսանմեկ դատավորով՝ ըստ դատարանների և նստավայրերի, ինչպես նաև վերաքննիչ դատարան</w:t>
      </w:r>
      <w:r w:rsidR="00682233" w:rsidRPr="00682233">
        <w:t>ներ</w:t>
      </w:r>
      <w:r w:rsidRPr="00A83C94">
        <w:t xml:space="preserve">ում՝ </w:t>
      </w:r>
      <w:r w:rsidR="0017730C">
        <w:t>ինը</w:t>
      </w:r>
      <w:r w:rsidRPr="00A83C94">
        <w:t xml:space="preserve"> դատավորով։</w:t>
      </w:r>
    </w:p>
    <w:p w14:paraId="7EAC1C81" w14:textId="77777777" w:rsidR="00442DED" w:rsidRPr="00A83C94" w:rsidRDefault="00442DED" w:rsidP="007C65A5">
      <w:pPr>
        <w:pStyle w:val="BodyText2"/>
      </w:pPr>
      <w:r w:rsidRPr="00A83C94">
        <w:t>Ստորև ներկայացվում են պետական կառավարման համակարգին առնչվող օրենսդրական և իրավական այն կարգավորումները, որոնք անմիջականորեն որոշակի ազդեցություն են ունեցել 2022 թվականի պետական կառավարման համակարգի պահպանման ծախսերի գծով միջոցառումների ձևավորման և դրանց ծրագրավորման վրա:</w:t>
      </w:r>
    </w:p>
    <w:p w14:paraId="2BCE8138" w14:textId="77777777" w:rsidR="00442DED" w:rsidRPr="00A83C94" w:rsidRDefault="00442DED" w:rsidP="007C65A5">
      <w:pPr>
        <w:pStyle w:val="BodyText2"/>
      </w:pPr>
      <w:r w:rsidRPr="00A83C94">
        <w:t>«Սոցիալական աջակցության մասին» օրենքում 2020թ. մարտի 4-ի ՀՕ-97-Ն օրենքով կատարված փոփոխությունների համաձայն՝ ծառայություններ մատուցող մարմինները սոցիալական աջակցության բնագավառում Հայաստանի Հանրապետության կառավարության լիազորած պետական մարմնի (ՀՀ աշխատանքի և սոցիալական հարցերի նախարարության) ենթակա մարմնի (Միասնական սոցիալական ծառայության) տարածքային ստորաբաժանումներն են, այսինքն՝ օրենքով սահմանվել է, որ սոցիալական ծառայություններ կարող են մատուցել միայն նախարարության ենթակա մարմնի ստորաբաժանումները։</w:t>
      </w:r>
    </w:p>
    <w:p w14:paraId="2C3FFAAA" w14:textId="77777777" w:rsidR="00442DED" w:rsidRPr="00A83C94" w:rsidRDefault="00442DED" w:rsidP="007C65A5">
      <w:pPr>
        <w:pStyle w:val="BodyText2"/>
      </w:pPr>
      <w:r w:rsidRPr="00A83C94">
        <w:t>Սոցիալական աջակցության տարածքային մարմինները մարզպետարանների և համայնքների ենթակայությունից ՀՀ աշխատանքի և սոցիալական հարցերի նախարարության ենթակայության ներքո տեղափոխելու նպատակով համատասխան փոփոփություններ են կատարվել «Սոցիալական աջակցության մասին», «Տեղական ինքնակառավարման մասին» և «Երևան քաղաքում տեղական ինքնակառավարման մասին» ՀՀ օրենքներում և ՀՀ Ընտանեկան օրենսգրքում: Նշված համատեքստում իրականացվեց սոցիալական ծառայություններ մատուցող մարմինների կառուցվածքագործառույթային ինտեգրում։ Արդյունքում, սոցիալական պաշտպանության ոլորտի բոլոր 4 մարմինները  (ՀՀ աշխատանքի և սոցիալական հարցերի նախարարության սոցիալական ապահովության ծառայություն, բժշկասոցիալական փորձաքննության, զբաղվածության պետական գրասենյակներ և մարզային ենթակայության սոցիալական աջակցության 38 գործակալություններ և համայնքային ենթակայության սոցիալական աջակցության 17 բաժիններ) միավորցին մեկ մարմնում՝ Միասնական սոցիալական  ծառայությունում՝ նախկինում գործող Սոցիալական ապահովության ծառայության հիմքի վրա, և Միասնական սոցիալական ծառայությանը վերապահվել է վերոգրյալ բոլոր 4 մարմինների գործառույթները:</w:t>
      </w:r>
    </w:p>
    <w:p w14:paraId="2D8023E0" w14:textId="77777777" w:rsidR="00442DED" w:rsidRPr="00A83C94" w:rsidRDefault="00442DED" w:rsidP="007C65A5">
      <w:pPr>
        <w:pStyle w:val="BodyText2"/>
      </w:pPr>
      <w:r w:rsidRPr="00A83C94">
        <w:t xml:space="preserve">Հայաստանի Հանրապետության կառավարության 2019 թվականի հոկտեմբերի 3-ի «Հայաստանի Հանրապետության հակակոռուպցիոն ռազմավարությունը և դրա իրականացման 2019-2022 թվականների միջոցառումների ծրագիրը հաստատելու մասին» N 1332-Ն որոշման միջոցառումների ծրագրի 1-ին կետի կարգավորումներով և «Կուսակցությունների մասին» սահմանադրական օրենքում և հարակից օրենքներում փոփոխություններ և լրացումներ կատարելու մասին» Հայաստանի Հանրապետության օրենքների նախագծերով, ինչպես նաև այլ իրավական ակտերով ընդլայնվել է Կոռուպցիայի կանխարգելման հանձնաժողովի լիազորությունների շրջանակը: Մասնավորապես, «Հանրային ծառայության մասին» օրենքում կատարված լրացումների արդյունքում ընդլայնվել է գույքի, եկամուտների, շահերի և ծախսերի հայտարարագիր ներկայացնող անձանց շրջանակը։ Բացի այդ, «Կուսակցությունների մասին» սահմանադրական օրենքում կատարված փոփոխությունների համաձայն կուսակցության մշտապես գործող ղեկավար մարմնի անդամները, իսկ այլ ղեկավար մարմինների դեպքում՝ այդ մարմնի անդամները պարտավոր են Կոռուպցիայի կանխարգելման հանձնաժողով ներկայացնել իրենց գույքի և եկամուտների հայտարարագիր։  </w:t>
      </w:r>
    </w:p>
    <w:p w14:paraId="27ED133B" w14:textId="77777777" w:rsidR="00442DED" w:rsidRPr="00A83C94" w:rsidRDefault="00442DED" w:rsidP="007C65A5">
      <w:pPr>
        <w:pStyle w:val="BodyText2"/>
      </w:pPr>
      <w:r w:rsidRPr="00A83C94">
        <w:t>«Թմրամիջոցների և հոգեմետ (հոգեներգործուն) նյութերի մասին» օրենքում լրացումներ և փոփոխություններ կատարելու մասին» օրենով արտադրական կանեփի օրինական շրջանառության նկատմամբ վերահսկողության լիազորությունը վերապահվել է ՀՀ շուկայի վերահսկողության տեսչական մարմնին, իսկ «Վարչական իրավախախտումների վերաբերյալ» օրենքում կատարված լրացման արդյունքում արտադրական կանեփի օրինական շրջանառության վերաբերյալ գործերը քննում և վարչական տույժեր է նշանակում ՀՀ շուկայի վերահսկողության տեսչական մարմինը:</w:t>
      </w:r>
    </w:p>
    <w:p w14:paraId="4D078384" w14:textId="77777777" w:rsidR="00442DED" w:rsidRPr="00A83C94" w:rsidRDefault="00442DED" w:rsidP="007C65A5">
      <w:pPr>
        <w:pStyle w:val="BodyText2"/>
      </w:pPr>
      <w:r w:rsidRPr="00A83C94">
        <w:t>ՀՀ շուկայի վերահսկողության տեսչական մարմնին վերապահված նոր լիազորությունները ամրագրվել են կանոնադրությամբ, ստեղծելով նաև համապատասխան կառուցվածքային ստորաբաժանումներ:</w:t>
      </w:r>
    </w:p>
    <w:p w14:paraId="344D4AED" w14:textId="77777777" w:rsidR="00442DED" w:rsidRPr="00A83C94" w:rsidRDefault="00442DED" w:rsidP="007C65A5">
      <w:pPr>
        <w:pStyle w:val="BodyText2"/>
      </w:pPr>
      <w:r w:rsidRPr="00A83C94">
        <w:t>«Պետական սահմանի մասին» օրենքում կատարված լրացումների արդյունքում սահմանվել է, որ պետական սահմանի անցման կետերում ավտոտրանսպորտային օրենսդրության պահպանման նկատմամբ վերահսկողությունն իրականացնում է տրանսպորտի բնագավառում վերահսկողություն իրականացնող տեսչական մարմինը՝ ՀՀ քաղաքաշինության, տեխնիկական և հրդեհային անվտանգության տեսչական մարմինը:</w:t>
      </w:r>
    </w:p>
    <w:p w14:paraId="14403620" w14:textId="77777777" w:rsidR="00442DED" w:rsidRPr="00A83C94" w:rsidRDefault="00442DED" w:rsidP="007C65A5">
      <w:pPr>
        <w:pStyle w:val="BodyText2"/>
      </w:pPr>
      <w:r w:rsidRPr="00A83C94">
        <w:t>2021 թվականի հունվարի 19-ին ընդունվել է «Քաղաքացիական կացության ակտերի գրանցման մասին» օրենքը, որի պահանջներին համապատասխան կատարվել են համակարգային բարեփոխումներ և քաղաքացիական կացության ակտերի գրանցման հետ կապված գործառույթների կատարման համար տեղական ինքնակառավարման մարմիններում ստեղծվել են սպասարկման կենտրոններ՝ ՔԿԱԳ տարածքային մարմինների փոխարեն, ինչպես նաև ՀՀ կառավարության 2021 թվականի սեպտեմբերի 16-ին N 1531-Ն որոշմամբ հաստատվել է սպասարկման կենտրոնների նստավայրերի ցանկը և հաստիքային միավորների թիվը:</w:t>
      </w:r>
    </w:p>
    <w:p w14:paraId="7E691CCC" w14:textId="77777777" w:rsidR="00442DED" w:rsidRPr="00A83C94" w:rsidRDefault="00442DED" w:rsidP="007C65A5">
      <w:pPr>
        <w:pStyle w:val="BodyText2"/>
      </w:pPr>
      <w:r w:rsidRPr="00A83C94">
        <w:t>ՀՀ կառավարության 2021 թվականի ապրիլի 15-ի N 554-Ա որոշմամբ Իրանի Իսլամական Հանրապետությունում ստեղծվել է Հայաստանի Հանրապետության առևտրական կցորդի հաստիք:</w:t>
      </w:r>
    </w:p>
    <w:p w14:paraId="2182C0A3" w14:textId="77777777" w:rsidR="00442DED" w:rsidRPr="00A83C94" w:rsidRDefault="00442DED" w:rsidP="007C65A5">
      <w:pPr>
        <w:pStyle w:val="BodyText2"/>
      </w:pPr>
    </w:p>
    <w:p w14:paraId="3024F0E0" w14:textId="77777777" w:rsidR="00442DED" w:rsidRPr="00A83C94" w:rsidRDefault="00442DED" w:rsidP="007C65A5">
      <w:pPr>
        <w:pStyle w:val="BodyText2"/>
        <w:jc w:val="center"/>
        <w:rPr>
          <w:b/>
        </w:rPr>
      </w:pPr>
      <w:r w:rsidRPr="00A83C94">
        <w:rPr>
          <w:b/>
        </w:rPr>
        <w:t>Պետական կառավարման համակարգի մարմինների պահպանման ծախսերի ծրագրավորման առանձնահատկությունները</w:t>
      </w:r>
    </w:p>
    <w:p w14:paraId="0123FD3C" w14:textId="77777777" w:rsidR="00442DED" w:rsidRPr="00A83C94" w:rsidRDefault="00442DED" w:rsidP="007C65A5">
      <w:pPr>
        <w:pStyle w:val="BodyText2"/>
      </w:pPr>
      <w:r w:rsidRPr="00A83C94">
        <w:t>Պետական կառավարման համակարգի մարմինների պահպանման ծախսերը ՀՀ 2022 թվականի պե</w:t>
      </w:r>
      <w:r w:rsidRPr="00A83C94">
        <w:softHyphen/>
      </w:r>
      <w:r w:rsidRPr="00A83C94">
        <w:softHyphen/>
        <w:t>տա</w:t>
      </w:r>
      <w:r w:rsidRPr="00A83C94">
        <w:softHyphen/>
      </w:r>
      <w:r w:rsidRPr="00A83C94">
        <w:softHyphen/>
      </w:r>
      <w:r w:rsidRPr="00A83C94">
        <w:softHyphen/>
      </w:r>
      <w:r w:rsidRPr="00A83C94">
        <w:softHyphen/>
        <w:t>կան բյուջեի նախագծում գլխավորապես ծրագրավորվել են հիմք ընդունելով ՀՀ կառավա</w:t>
      </w:r>
      <w:r w:rsidRPr="00A83C94">
        <w:softHyphen/>
        <w:t>րու</w:t>
      </w:r>
      <w:r w:rsidRPr="00A83C94">
        <w:softHyphen/>
        <w:t>թյան 2021 թվականի հուլիսի 12-ի N</w:t>
      </w:r>
      <w:r w:rsidRPr="00A83C94">
        <w:rPr>
          <w:rFonts w:ascii="Calibri" w:hAnsi="Calibri" w:cs="Calibri"/>
        </w:rPr>
        <w:t> </w:t>
      </w:r>
      <w:r w:rsidRPr="00A83C94">
        <w:t>1171-Ն որոշմամբ հաստատված Հայաստանի Հանրապետության 2022-2024 թվականների պետական միջ</w:t>
      </w:r>
      <w:r w:rsidRPr="00A83C94">
        <w:softHyphen/>
      </w:r>
      <w:r w:rsidRPr="00A83C94">
        <w:softHyphen/>
      </w:r>
      <w:r w:rsidRPr="00A83C94">
        <w:softHyphen/>
        <w:t>նա</w:t>
      </w:r>
      <w:r w:rsidRPr="00A83C94">
        <w:softHyphen/>
      </w:r>
      <w:r w:rsidRPr="00A83C94">
        <w:softHyphen/>
        <w:t xml:space="preserve">ժամկետ ծախսերի ծրագրային ցուցանիշները, ինչպես նաև, ըստ անհրաժեշտության, կատարվել են փոփոխություններ՝ պայմանավորված միջնաժամկետ ծախսերի ծրագրի ընդունումից հետո պահպանման ծախսերին առնչվող օրենսդրական և իրավական ակտերում կատարված փոփոխություններով: </w:t>
      </w:r>
    </w:p>
    <w:p w14:paraId="5CB692DA" w14:textId="77777777" w:rsidR="00442DED" w:rsidRPr="00A83C94" w:rsidRDefault="00442DED" w:rsidP="007C65A5">
      <w:pPr>
        <w:pStyle w:val="BodyText2"/>
      </w:pPr>
      <w:r w:rsidRPr="00A83C94">
        <w:tab/>
        <w:t xml:space="preserve">ՀՀ 2022 թվականի պետական բյուջեի նախագծում պետական կառավարման համակարգի մարմինների պահպանման ծախսերը հաշվարկելիս հաշվի են առնվել կառուցվածքային և գործառութային կարգավորումների արդյունքում ՀՀ վարչապետի որոշմամբ հաստատված համապատասխան մարմինների աշխատողների առավելագույն թվաքանակի փոփոխությունները։ </w:t>
      </w:r>
    </w:p>
    <w:p w14:paraId="632CADE7" w14:textId="77777777" w:rsidR="00442DED" w:rsidRPr="00A83C94" w:rsidRDefault="00442DED" w:rsidP="007C65A5">
      <w:pPr>
        <w:pStyle w:val="BodyText2"/>
      </w:pPr>
      <w:r w:rsidRPr="00A83C94">
        <w:t>Ծախսերի ծրագրավորման սկզբունքները ըստ առանձին ծախսային ուղղու</w:t>
      </w:r>
      <w:r w:rsidRPr="00A83C94">
        <w:softHyphen/>
        <w:t>թյունների.</w:t>
      </w:r>
    </w:p>
    <w:p w14:paraId="44187420" w14:textId="77777777" w:rsidR="00442DED" w:rsidRPr="00A83C94" w:rsidRDefault="00442DED" w:rsidP="007C65A5">
      <w:pPr>
        <w:pStyle w:val="BodyText2"/>
      </w:pPr>
      <w:r w:rsidRPr="00A83C94">
        <w:t>Աշխատավարձի ֆոնդ</w:t>
      </w:r>
    </w:p>
    <w:p w14:paraId="792BB71A" w14:textId="77777777" w:rsidR="00442DED" w:rsidRPr="00A83C94" w:rsidRDefault="00442DED" w:rsidP="00A66926">
      <w:pPr>
        <w:pStyle w:val="BodyText2"/>
      </w:pPr>
      <w:r w:rsidRPr="00A83C94">
        <w:t>Պետական կառավարման համակարգի մարմինների պահպանման ծախսերում աշխա</w:t>
      </w:r>
      <w:r w:rsidRPr="00A83C94">
        <w:softHyphen/>
        <w:t>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«Պետական պաշտոններ և պետական ծառայության պաշտոններ զբաղեցնող անձանց վարձատրության մասին» ՀՀ օրենքի դրույթներին և ՀՀ կառավարության 2014 թվականի հուլիսի 3-ի «Պետական իշխանության մարմիններում քաղաքա</w:t>
      </w:r>
      <w:r w:rsidRPr="00A83C94">
        <w:softHyphen/>
        <w:t>ցիական աշխատանք կատարող և տեխնիկական սպասարկում իրականացնող անձանց պաշտո</w:t>
      </w:r>
      <w:r w:rsidRPr="00A83C94">
        <w:softHyphen/>
      </w:r>
      <w:r w:rsidRPr="00A83C94">
        <w:softHyphen/>
        <w:t>նային դրույքաչափերը սահմանելու մասին» N 737-Ն որոշման պահանջներին համապատասխան։</w:t>
      </w:r>
    </w:p>
    <w:p w14:paraId="1D1C6B97" w14:textId="77777777" w:rsidR="00442DED" w:rsidRPr="00A83C94" w:rsidRDefault="00442DED" w:rsidP="00A66926">
      <w:pPr>
        <w:pStyle w:val="BodyText2"/>
      </w:pPr>
      <w:r w:rsidRPr="00A83C94">
        <w:t>2022 թվականի համար աշխատավարձի ֆոնդի հաշվարկման հիմքում բազային աշխա</w:t>
      </w:r>
      <w:r w:rsidRPr="00A83C94">
        <w:softHyphen/>
        <w:t xml:space="preserve">տավարձի չափ է ընդունվել 66140.0 դրամը: </w:t>
      </w:r>
    </w:p>
    <w:p w14:paraId="76CFF87F" w14:textId="77777777" w:rsidR="00A66926" w:rsidRPr="00A83C94" w:rsidRDefault="00A66926" w:rsidP="00A66926">
      <w:pPr>
        <w:pStyle w:val="BodyText2"/>
      </w:pPr>
      <w:r w:rsidRPr="00A83C94">
        <w:t>Աշխատավարձի ֆոնդը ծրագրավորվել է հաշ</w:t>
      </w:r>
      <w:r w:rsidRPr="00A83C94">
        <w:softHyphen/>
        <w:t>վի առ</w:t>
      </w:r>
      <w:r w:rsidRPr="00A83C94">
        <w:softHyphen/>
        <w:t>նե</w:t>
      </w:r>
      <w:r w:rsidRPr="00A83C94">
        <w:softHyphen/>
        <w:t>լով՝ պետական պաշտոն զբաղեցնող անձանց պաշտոնային դրույքաչափերի նկատմամբ գործող օրենսդրությամբ նախա</w:t>
      </w:r>
      <w:r w:rsidRPr="00A83C94">
        <w:softHyphen/>
        <w:t>տեսված հավելավճարները (դասային, դիվանագիտական աստիճանների, կոչման, աշխատանքային ստա</w:t>
      </w:r>
      <w:r w:rsidRPr="00A83C94">
        <w:softHyphen/>
        <w:t xml:space="preserve">ժի և այլն), </w:t>
      </w:r>
      <w:r w:rsidRPr="00A66926">
        <w:t xml:space="preserve">հավելումները (բարձր լեռնային, ծանր, վնասակար աշխատանքների համար և այլն) և պետական ծառայողների հիմնական աշխատավարձի բնականոն աճերը, ինչպես նաև ՀՀ օրենսդրությամբ սահմանված նվազագույն աշխատավարձի չափը չգերազանցող աշխատավարձ ստացողների համար՝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վճարի գումարը </w:t>
      </w:r>
      <w:bookmarkStart w:id="265" w:name="_Hlk51424056"/>
      <w:r w:rsidRPr="00A66926">
        <w:t>և «Նվազագույն ամսական աշխատավարձի մասին» ՀՀ</w:t>
      </w:r>
      <w:bookmarkEnd w:id="265"/>
      <w:r w:rsidRPr="00A66926">
        <w:t xml:space="preserve"> օրենքի պահանջները:</w:t>
      </w:r>
    </w:p>
    <w:p w14:paraId="627C411E" w14:textId="77777777" w:rsidR="00442DED" w:rsidRPr="00A83C94" w:rsidRDefault="00442DED" w:rsidP="00A66926">
      <w:pPr>
        <w:pStyle w:val="BodyText2"/>
      </w:pPr>
      <w:r w:rsidRPr="00A83C94">
        <w:t>Աշխատավարձի ֆոնդում նախատեսվել է նաև հանրային ծառայողների պարգևատրման ֆոնդ` նրանց 2021 թվականի տարեկան աշխատավարձի ֆոնդի 10 տոկոսի չափով: Միաժամանակ, պետական կառավարման համակարգի մարմինների պահպանման ծախսերում նախատեսված պարգևատրման գումարները հաշվարկվել են աշխատավարձի տարեկան ֆոնդի 30%-ի չափով (ներառյալ պետական ծառայողների պարգևատրումը):</w:t>
      </w:r>
    </w:p>
    <w:p w14:paraId="53DAF656" w14:textId="77777777" w:rsidR="00442DED" w:rsidRPr="00A83C94" w:rsidRDefault="00442DED" w:rsidP="007C65A5">
      <w:pPr>
        <w:pStyle w:val="BodyText2"/>
      </w:pPr>
      <w:r w:rsidRPr="00A83C94">
        <w:t xml:space="preserve"> Էներգետիկ ծառայությունների` էլեկտրաէներգիայի, վառելիքի և ջեռուցման ծախսերը ծրագրավորվել են ՀՀ կառա</w:t>
      </w:r>
      <w:r w:rsidRPr="00A83C94">
        <w:softHyphen/>
        <w:t>վարության 2005 թվականի ապրիլի 28-ի «Հայաստանի Հանրա</w:t>
      </w:r>
      <w:r w:rsidRPr="00A83C94">
        <w:softHyphen/>
        <w:t>պետության պետական բյուջեի նախագծում Հայաստանի Հանրապետության պետական մար</w:t>
      </w:r>
      <w:r w:rsidRPr="00A83C94">
        <w:softHyphen/>
        <w:t>մինների գծով բյուջե</w:t>
      </w:r>
      <w:r w:rsidRPr="00A83C94">
        <w:softHyphen/>
        <w:t>տային ծախ</w:t>
      </w:r>
      <w:r w:rsidRPr="00A83C94">
        <w:softHyphen/>
        <w:t>սե</w:t>
      </w:r>
      <w:r w:rsidRPr="00A83C94">
        <w:softHyphen/>
        <w:t>րի առանձին տեսակների ջեռուցման, վառելիքի և էլեկտրա</w:t>
      </w:r>
      <w:r w:rsidRPr="00A83C94">
        <w:softHyphen/>
        <w:t>էներգիայի ձեռք</w:t>
      </w:r>
      <w:r w:rsidRPr="00A83C94">
        <w:softHyphen/>
        <w:t>բերման ծա</w:t>
      </w:r>
      <w:r w:rsidRPr="00A83C94">
        <w:softHyphen/>
        <w:t>վալ</w:t>
      </w:r>
      <w:r w:rsidRPr="00A83C94">
        <w:softHyphen/>
        <w:t>ների հաշվարկման հիմքում դրվող նորմաները հաս</w:t>
      </w:r>
      <w:r w:rsidRPr="00A83C94">
        <w:softHyphen/>
        <w:t>տատելու մասին» N 629-Ն որոշ</w:t>
      </w:r>
      <w:r w:rsidRPr="00A83C94">
        <w:softHyphen/>
        <w:t>ման պա</w:t>
      </w:r>
      <w:r w:rsidRPr="00A83C94">
        <w:softHyphen/>
        <w:t>հանջ</w:t>
      </w:r>
      <w:r w:rsidRPr="00A83C94">
        <w:softHyphen/>
      </w:r>
      <w:r w:rsidRPr="00A83C94">
        <w:softHyphen/>
        <w:t>նե</w:t>
      </w:r>
      <w:r w:rsidRPr="00A83C94">
        <w:softHyphen/>
        <w:t>րին համապատասխան` հաշվի առնելով գործող սակագ</w:t>
      </w:r>
      <w:r w:rsidRPr="00A83C94">
        <w:softHyphen/>
        <w:t>ները։ Բնական գազի սակագինը սահ</w:t>
      </w:r>
      <w:r w:rsidRPr="00A83C94">
        <w:softHyphen/>
        <w:t>ման</w:t>
      </w:r>
      <w:r w:rsidRPr="00A83C94">
        <w:softHyphen/>
        <w:t>վել է Հանրային ծառայությունները կարգավորող հանձնաժողովի 2020 թվականի հունիսի 19-ի N</w:t>
      </w:r>
      <w:r w:rsidRPr="00A83C94">
        <w:rPr>
          <w:rFonts w:ascii="Calibri" w:hAnsi="Calibri" w:cs="Calibri"/>
        </w:rPr>
        <w:t> </w:t>
      </w:r>
      <w:r w:rsidRPr="00A83C94">
        <w:t>221-Ն որոշմամբ (յուրաքանչյուր հազար խորանարդ մետր բնական գազի սակագինը՝ ամսական մինչև 10 հազար խորանարդ մետր բնական գազի համար՝ 139000 դրամ է, իսկ ամսական 10 հազար խորանարդ մետրը գերազանցող բնական գազի համար` 255.91 ԱՄՆ դոլարին համարժեք դրամ)։ Հանրային ծառայությունները կարգավորող հանձնաժողովի 2020 թվականի դեկտեմբերի 29-ի N 488-Ն որոշմամբ էլեկտրաէներգիայի սակագինը սահմանվել է 47.98 դրամ՝ 44.98 դրամի փոխարեն: Էլեկտրա</w:t>
      </w:r>
      <w:r w:rsidRPr="00A83C94">
        <w:softHyphen/>
        <w:t>էներգիայի ծախ</w:t>
      </w:r>
      <w:r w:rsidRPr="00A83C94">
        <w:softHyphen/>
        <w:t>սերը ծրագրավոր</w:t>
      </w:r>
      <w:r w:rsidRPr="00A83C94">
        <w:softHyphen/>
        <w:t>վել են սահմանված նոր</w:t>
      </w:r>
      <w:r w:rsidRPr="00A83C94">
        <w:softHyphen/>
        <w:t xml:space="preserve">մաներով հաշվարկվածի 65%-ի չափով: </w:t>
      </w:r>
    </w:p>
    <w:p w14:paraId="1229244D" w14:textId="77777777" w:rsidR="00442DED" w:rsidRPr="00A83C94" w:rsidRDefault="00442DED" w:rsidP="007C65A5">
      <w:pPr>
        <w:pStyle w:val="BodyText2"/>
      </w:pPr>
      <w:r w:rsidRPr="00A83C94">
        <w:t>Պետական մարմին</w:t>
      </w:r>
      <w:r w:rsidRPr="00A83C94">
        <w:softHyphen/>
        <w:t>ների կողմից խմելու ջրի մատակարարման և ջրահեռացման ծառայություն</w:t>
      </w:r>
      <w:r w:rsidRPr="00A83C94">
        <w:softHyphen/>
        <w:t>ներից օգտվելու վարձի վճարման ծախսերը հաշվարկվել են գործող սակագներով՝ հիմք ընդունելով յուրաքանչյուր հաստիքային միավորի համար սահման</w:t>
      </w:r>
      <w:r w:rsidRPr="00A83C94">
        <w:softHyphen/>
        <w:t>ված նորմատիվը` օրական 30 լիտր (հիմք ՀՀ կառավարության 23.09.2004թ. N 1536-Ն որոշում): Բացի այդ, ՀՀ դատարան</w:t>
      </w:r>
      <w:r w:rsidRPr="00A83C94">
        <w:softHyphen/>
        <w:t>ների համար ՀՀ կառավարության 2005 թվականի մայիսի 12-ի N 732-Ա որոշման պահանջ</w:t>
      </w:r>
      <w:r w:rsidRPr="00A83C94">
        <w:softHyphen/>
        <w:t>ներին համապատասխան նախատեսվել է նաև լրացուցիչ ծախս` ելնելով դատական նիստերի դահլիճների ընդհանուր մակերեսի մեծու</w:t>
      </w:r>
      <w:r w:rsidRPr="00A83C94">
        <w:softHyphen/>
        <w:t xml:space="preserve">թյունից: </w:t>
      </w:r>
    </w:p>
    <w:p w14:paraId="4F625665" w14:textId="77777777" w:rsidR="00442DED" w:rsidRPr="00A83C94" w:rsidRDefault="00442DED" w:rsidP="007C65A5">
      <w:pPr>
        <w:pStyle w:val="BodyText2"/>
      </w:pPr>
      <w:r w:rsidRPr="00A83C94">
        <w:t>Կապի ծառայությունների վճարները հաշվարկվել են ՀՀ կառավարութ</w:t>
      </w:r>
      <w:r w:rsidRPr="00A83C94">
        <w:softHyphen/>
        <w:t>յան 2004 թվա</w:t>
      </w:r>
      <w:r w:rsidRPr="00A83C94">
        <w:softHyphen/>
      </w:r>
      <w:r w:rsidRPr="00A83C94">
        <w:softHyphen/>
        <w:t>կանի սեպտեմբերի 23-ի «Հայաստանի Հանրապետության պետական մարմինների կա</w:t>
      </w:r>
      <w:r w:rsidRPr="00A83C94">
        <w:softHyphen/>
        <w:t>պի և կոմունալ ծախսերի նորմաներ սահմանելու մասին» N 1536-Ն և ՀՀ կառավարության 2004 թվա</w:t>
      </w:r>
      <w:r w:rsidRPr="00A83C94">
        <w:softHyphen/>
        <w:t>կանի դեկտեմբերի 30-ի «Հայաստանի Հանրապետության պետական մարմիններում կա</w:t>
      </w:r>
      <w:r w:rsidRPr="00A83C94">
        <w:softHyphen/>
        <w:t>պի ծառա</w:t>
      </w:r>
      <w:r w:rsidRPr="00A83C94">
        <w:softHyphen/>
        <w:t>յությունների նորմաները և հեռախոսակապից օգտվելու օրինակելի ներքին կա</w:t>
      </w:r>
      <w:r w:rsidRPr="00A83C94">
        <w:softHyphen/>
        <w:t>նոն</w:t>
      </w:r>
      <w:r w:rsidRPr="00A83C94">
        <w:softHyphen/>
        <w:t>ները հաստատելու մասին» N 1956-Ն որոշումների պահանջներին համապատասխան: 2022 թվականի համար հեռա</w:t>
      </w:r>
      <w:r w:rsidRPr="00A83C94">
        <w:softHyphen/>
      </w:r>
      <w:r w:rsidRPr="00A83C94">
        <w:softHyphen/>
        <w:t>խո</w:t>
      </w:r>
      <w:r w:rsidRPr="00A83C94">
        <w:softHyphen/>
        <w:t>սային խոսակցությունների տարեկան սահմանաչափը ծրագրավորվել է սահման</w:t>
      </w:r>
      <w:r w:rsidRPr="00A83C94">
        <w:softHyphen/>
        <w:t>ված նոր</w:t>
      </w:r>
      <w:r w:rsidRPr="00A83C94">
        <w:softHyphen/>
        <w:t xml:space="preserve">մայի 30%-ի չափով: Կապի ծախսերը հաշվարկելիս հիմք են ընդունվել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Միաժամանակ, հաշվի է առնվել փոստային կապի ծառայությունների սակագնի բարձրացումը` համաձայն ՀԾԿՀ 2021թ. մարտի 31-ի N 94-Ն որոշման, որով սահմանվել են Հայփոստ ՓԲԸ-ի կողմից փոստային կապի ծառայությունների սակագները: </w:t>
      </w:r>
    </w:p>
    <w:p w14:paraId="0A9931EB" w14:textId="77777777" w:rsidR="00442DED" w:rsidRPr="00A83C94" w:rsidRDefault="00442DED" w:rsidP="007C65A5">
      <w:pPr>
        <w:pStyle w:val="BodyText2"/>
      </w:pPr>
      <w:r w:rsidRPr="00A83C94">
        <w:t>Ծառայողական գործուղումների գծով ծախսերը նախատեսվում են որոշակի գործառույթների իրականացումն ապահովելու նպատակով, իսկ ծախսերի հատուցումն իրականացվում է ՀՀ կառավարության 2005 թվականի դեկտեմբերի 29-ի N 2335-Ն որոշմամբ սահ</w:t>
      </w:r>
      <w:r w:rsidRPr="00A83C94">
        <w:softHyphen/>
        <w:t>ման</w:t>
      </w:r>
      <w:r w:rsidRPr="00A83C94">
        <w:softHyphen/>
        <w:t xml:space="preserve">ված նորմաներով: </w:t>
      </w:r>
    </w:p>
    <w:p w14:paraId="321CB3F4" w14:textId="77777777" w:rsidR="00442DED" w:rsidRPr="00A83C94" w:rsidRDefault="00442DED" w:rsidP="007C65A5">
      <w:pPr>
        <w:pStyle w:val="BodyText2"/>
      </w:pPr>
      <w:r w:rsidRPr="00A83C94">
        <w:t>ՀՀ 2022 թվականի պետական բյուջեի նախագծում պահ</w:t>
      </w:r>
      <w:r w:rsidRPr="00A83C94">
        <w:softHyphen/>
        <w:t>պանվել է պետական կառավարման համակարգի մարմինների արտա</w:t>
      </w:r>
      <w:r w:rsidRPr="00A83C94">
        <w:softHyphen/>
        <w:t>սահ</w:t>
      </w:r>
      <w:r w:rsidRPr="00A83C94">
        <w:softHyphen/>
        <w:t>ման</w:t>
      </w:r>
      <w:r w:rsidRPr="00A83C94">
        <w:softHyphen/>
        <w:t>յան պաշտոնական գործուղումների հետ կապված ծախ</w:t>
      </w:r>
      <w:r w:rsidRPr="00A83C94">
        <w:softHyphen/>
        <w:t>սերի գծով հատկացումները ՀՀ պետական բյուջեում առանձին տողով արտացոլվող կենտրո</w:t>
      </w:r>
      <w:r w:rsidRPr="00A83C94">
        <w:softHyphen/>
        <w:t>նացված ֆոնդում ներառելու սկզբուն</w:t>
      </w:r>
      <w:r w:rsidRPr="00A83C94">
        <w:softHyphen/>
        <w:t xml:space="preserve">քը: </w:t>
      </w:r>
    </w:p>
    <w:p w14:paraId="5EDB30DA" w14:textId="3EBBA6B1" w:rsidR="002F5005" w:rsidRPr="00A83C94" w:rsidRDefault="002F5005" w:rsidP="002F5005">
      <w:pPr>
        <w:pStyle w:val="BodyText2"/>
      </w:pPr>
      <w:r w:rsidRPr="00A83C94">
        <w:t>Ծառայողական ավտոմեքենաների պահպանման ծախսերը ծրագրավորվել են  համապատասխան մարմինների կողմից 2022 թվականի բյուջետային ֆինանսավորման հայտերով  ներկայացված ծառայողական ավտոմեքենաների քանակին համապատասխան, բայց ոչ ավելի քան ՀՀ կառավարության 2005 թվականի փետրվարի 17-ի N 194-Ն որոշմամբ նախատեսված սահմանաքանակը։ Ընդ որում, 1 մեքենայի պահպանման տարեկան ծախսը հաշվարկվել է 1,2 մլն դրամի չափով (պահպանվել է նախորդ տարիների մակարդակը):</w:t>
      </w:r>
    </w:p>
    <w:p w14:paraId="19EDF2CA" w14:textId="77777777" w:rsidR="002F5005" w:rsidRPr="00A83C94" w:rsidRDefault="002F5005" w:rsidP="002F5005">
      <w:pPr>
        <w:pStyle w:val="BodyText2"/>
      </w:pPr>
      <w:r w:rsidRPr="00A83C94">
        <w:t>Միաժամանակ, պահպանման մի շարք այլ պայմանագրային ծառայությունների ձեռքբերման ծախսերը նախատեսելիս դրանք դիտարկվել են նախորդ տարիների փաստացի ծախսի մակարդակը հաշվի առնելով:</w:t>
      </w:r>
    </w:p>
    <w:p w14:paraId="32ADEDC4" w14:textId="5887EFD2" w:rsidR="00442DED" w:rsidRPr="00A83C94" w:rsidRDefault="002F5005" w:rsidP="002F5005">
      <w:pPr>
        <w:pStyle w:val="BodyText2"/>
      </w:pPr>
      <w:r w:rsidRPr="00A83C94">
        <w:t>Ոչ ֆինանսական ակտիվների ձեռքբերման գծով ծախսերի նախատեսման հարցում հիմնականում կիրառվել է միասնական մոտեցում՝ նախատեսվել է հայտով ներկայացված գումարի 50%-ի չափով:</w:t>
      </w:r>
    </w:p>
    <w:p w14:paraId="10C1307A" w14:textId="77777777" w:rsidR="008619B9" w:rsidRPr="00A83C94" w:rsidRDefault="008619B9" w:rsidP="007C65A5">
      <w:pPr>
        <w:pStyle w:val="BodyText2"/>
      </w:pPr>
    </w:p>
    <w:p w14:paraId="3A47DFFA" w14:textId="50E7F8FD" w:rsidR="00060470" w:rsidRPr="00A83C94" w:rsidRDefault="00277648" w:rsidP="002F7255">
      <w:pPr>
        <w:pStyle w:val="Heading3"/>
      </w:pPr>
      <w:bookmarkStart w:id="266" w:name="_Toc83996369"/>
      <w:r w:rsidRPr="00A83C94">
        <w:t>ՀՀ ա</w:t>
      </w:r>
      <w:r w:rsidR="00B857F9" w:rsidRPr="00A83C94">
        <w:t>ռողջապահության նախարարություն</w:t>
      </w:r>
      <w:bookmarkEnd w:id="266"/>
    </w:p>
    <w:p w14:paraId="6585B598" w14:textId="3508C6D8" w:rsidR="00E0291A" w:rsidRPr="00A83C94" w:rsidRDefault="00E0291A" w:rsidP="00410C78">
      <w:pPr>
        <w:pStyle w:val="BodyText2"/>
      </w:pPr>
      <w:r w:rsidRPr="00A83C94">
        <w:t>ՀՀ առողջապահության նախարարության գծով</w:t>
      </w:r>
      <w:r w:rsidR="003B7313" w:rsidRPr="00A83C94">
        <w:t xml:space="preserve"> </w:t>
      </w:r>
      <w:r w:rsidR="003B7313" w:rsidRPr="00A83C94">
        <w:rPr>
          <w:rFonts w:cs="Sylfaen"/>
          <w:lang w:val="af-ZA"/>
        </w:rPr>
        <w:t>ՀՀ 2022 թվականի պետական բյուջեի նախագծով նախատեսվում է</w:t>
      </w:r>
      <w:r w:rsidR="00B92394" w:rsidRPr="00A83C94">
        <w:rPr>
          <w:rFonts w:cs="Sylfaen"/>
          <w:lang w:val="af-ZA"/>
        </w:rPr>
        <w:t xml:space="preserve"> </w:t>
      </w:r>
      <w:r w:rsidR="009272E0">
        <w:rPr>
          <w:rFonts w:cs="Sylfaen"/>
          <w:lang w:val="af-ZA"/>
        </w:rPr>
        <w:t>119</w:t>
      </w:r>
      <w:r w:rsidR="003B7313" w:rsidRPr="00A83C94">
        <w:rPr>
          <w:rFonts w:cs="Sylfaen"/>
          <w:color w:val="000000" w:themeColor="text1"/>
          <w:lang w:val="af-ZA"/>
        </w:rPr>
        <w:t>,</w:t>
      </w:r>
      <w:r w:rsidR="003B7313" w:rsidRPr="00A83C94">
        <w:rPr>
          <w:rFonts w:cs="Sylfaen"/>
          <w:color w:val="000000" w:themeColor="text1"/>
        </w:rPr>
        <w:t>9</w:t>
      </w:r>
      <w:r w:rsidR="003B7313" w:rsidRPr="00A83C94">
        <w:rPr>
          <w:rFonts w:cs="Sylfaen"/>
          <w:color w:val="000000" w:themeColor="text1"/>
          <w:lang w:val="af-ZA"/>
        </w:rPr>
        <w:t>28.1 մլն դրամի ծախսեր</w:t>
      </w:r>
      <w:r w:rsidR="003B7313" w:rsidRPr="00A83C94">
        <w:rPr>
          <w:rFonts w:cs="Sylfaen"/>
          <w:color w:val="000000" w:themeColor="text1"/>
        </w:rPr>
        <w:t xml:space="preserve"> </w:t>
      </w:r>
      <w:r w:rsidR="002F5005" w:rsidRPr="00A83C94">
        <w:rPr>
          <w:rFonts w:cs="Sylfaen"/>
          <w:color w:val="000000" w:themeColor="text1"/>
          <w:lang w:val="af-ZA"/>
        </w:rPr>
        <w:t>(</w:t>
      </w:r>
      <w:r w:rsidR="002F5005" w:rsidRPr="00A83C94">
        <w:rPr>
          <w:rFonts w:cs="Sylfaen"/>
          <w:color w:val="000000" w:themeColor="text1"/>
        </w:rPr>
        <w:t>ներառյալ</w:t>
      </w:r>
      <w:r w:rsidR="003B7313" w:rsidRPr="00A83C94">
        <w:rPr>
          <w:rFonts w:cs="Sylfaen"/>
          <w:color w:val="000000" w:themeColor="text1"/>
        </w:rPr>
        <w:t xml:space="preserve"> </w:t>
      </w:r>
      <w:r w:rsidR="002F5005" w:rsidRPr="00A83C94">
        <w:rPr>
          <w:rFonts w:cs="Sylfaen"/>
          <w:color w:val="000000" w:themeColor="text1"/>
        </w:rPr>
        <w:t>կառավարման</w:t>
      </w:r>
      <w:r w:rsidR="002F5005" w:rsidRPr="00A83C94">
        <w:rPr>
          <w:rFonts w:cs="Sylfaen"/>
          <w:color w:val="000000" w:themeColor="text1"/>
          <w:lang w:val="af-ZA"/>
        </w:rPr>
        <w:t xml:space="preserve"> </w:t>
      </w:r>
      <w:r w:rsidR="003B7313" w:rsidRPr="00A83C94">
        <w:rPr>
          <w:rFonts w:cs="Sylfaen"/>
          <w:color w:val="000000" w:themeColor="text1"/>
        </w:rPr>
        <w:t>ապարատի պահպանման ծախսեր</w:t>
      </w:r>
      <w:r w:rsidR="002F5005" w:rsidRPr="00A83C94">
        <w:rPr>
          <w:rFonts w:cs="Sylfaen"/>
          <w:color w:val="000000" w:themeColor="text1"/>
        </w:rPr>
        <w:t>ը</w:t>
      </w:r>
      <w:r w:rsidR="002F5005" w:rsidRPr="00A83C94">
        <w:rPr>
          <w:rFonts w:cs="Sylfaen"/>
          <w:color w:val="000000" w:themeColor="text1"/>
          <w:lang w:val="af-ZA"/>
        </w:rPr>
        <w:t>)</w:t>
      </w:r>
      <w:r w:rsidRPr="00A83C94">
        <w:t xml:space="preserve">, որի շրջանակներում նախատեսվում է իրականացնել հետևյալ ծրագրերը. </w:t>
      </w:r>
    </w:p>
    <w:p w14:paraId="4F1684B2" w14:textId="77777777" w:rsidR="00E0291A" w:rsidRPr="00A83C94" w:rsidRDefault="00E0291A" w:rsidP="00410C78">
      <w:pPr>
        <w:pStyle w:val="BodyText2"/>
        <w:rPr>
          <w:b/>
        </w:rPr>
      </w:pPr>
      <w:r w:rsidRPr="00A83C94">
        <w:rPr>
          <w:b/>
        </w:rPr>
        <w:t>Հանրային</w:t>
      </w:r>
      <w:r w:rsidRPr="00A83C94">
        <w:rPr>
          <w:rFonts w:cs="Arial Armenian"/>
          <w:b/>
        </w:rPr>
        <w:t xml:space="preserve"> </w:t>
      </w:r>
      <w:r w:rsidRPr="00A83C94">
        <w:rPr>
          <w:b/>
        </w:rPr>
        <w:t>առողջության պահպանում</w:t>
      </w:r>
      <w:r w:rsidRPr="00A83C94">
        <w:t xml:space="preserve"> ծրագրի գծով 2022թ. նախատեսվել է 6,185.3 մլն դրամ: Ծրագրի նպատակն է մարդու օրգանիզմի վրա շրջակա միջավայրի վնասակար և վտանգավոր գործոնների ազդեցության բացառումը և նվազեցումը, կառավարելի վարակիչ հիվանդությունների դեմ պայքարը:</w:t>
      </w:r>
      <w:r w:rsidRPr="00A83C94">
        <w:rPr>
          <w:b/>
        </w:rPr>
        <w:t xml:space="preserve"> </w:t>
      </w:r>
    </w:p>
    <w:p w14:paraId="5C223289" w14:textId="1604BEC0" w:rsidR="00E0291A" w:rsidRPr="00A83C94" w:rsidRDefault="00E0291A" w:rsidP="00410C78">
      <w:pPr>
        <w:pStyle w:val="BodyText2"/>
        <w:rPr>
          <w:b/>
        </w:rPr>
      </w:pPr>
      <w:r w:rsidRPr="00A83C94">
        <w:t xml:space="preserve">Ծրագրի շրջանակներում նախատեսվում է իրականացնել 5000 վարակիչ օջախների ախտահաման ծառայություններ, 60% ՀՀ բժշկական օգնություն և սպասարկում իրականացնող կազմակերպություններում վարակի հսկողության առանձին բաղադրիչների գնահատում,  99%-ով ապահովվել համաճարակաբանական հետազոտության ենթակա վարակիչ, մակաբուծային, սննդային և քիմիական թունավորումների օջախների ընդգրկվածությունը, պատվաստանյութերի արդյունավետ կառավարման նպատակով՝  ապահովել 1160000 դեղաչափ պատվաստանյութերի ստացումը՝ 960000 պատվաստումներ իրականացնելու համար, հանրապետությունում արյան, արյան բաղադրամասերի և արյան  պատրաստուկների  անհրաժեշտ  քանակության (95%) ապահովումը,  ինչպես նաև իրականացնել առողջ ապրելակերպի խթանմանն ու ծխաելու դեմ պայքարին ուղղված 3 միջոցառում: </w:t>
      </w:r>
    </w:p>
    <w:p w14:paraId="26F9902E" w14:textId="77777777" w:rsidR="00E0291A" w:rsidRPr="00A83C94" w:rsidRDefault="00E0291A" w:rsidP="00410C78">
      <w:pPr>
        <w:widowControl w:val="0"/>
        <w:tabs>
          <w:tab w:val="left" w:pos="180"/>
        </w:tabs>
        <w:spacing w:before="0" w:line="276" w:lineRule="auto"/>
        <w:ind w:firstLine="720"/>
        <w:rPr>
          <w:b w:val="0"/>
          <w:lang w:val="hy-AM"/>
        </w:rPr>
      </w:pPr>
      <w:r w:rsidRPr="00A83C94">
        <w:rPr>
          <w:rFonts w:cs="Sylfaen"/>
          <w:bCs/>
          <w:szCs w:val="22"/>
          <w:lang w:val="hy-AM"/>
        </w:rPr>
        <w:t xml:space="preserve">Առողջության առաջնային պահպանում </w:t>
      </w:r>
      <w:r w:rsidRPr="00A83C94">
        <w:rPr>
          <w:b w:val="0"/>
          <w:lang w:val="hy-AM"/>
        </w:rPr>
        <w:t xml:space="preserve">ծրագրի գծով նախատեսվել է 27,804.5 մլն դրամ: </w:t>
      </w:r>
    </w:p>
    <w:p w14:paraId="280091B1" w14:textId="2150EE72" w:rsidR="00E0291A" w:rsidRPr="00A83C94" w:rsidRDefault="00E0291A" w:rsidP="00410C78">
      <w:pPr>
        <w:spacing w:before="0" w:line="276" w:lineRule="auto"/>
        <w:ind w:firstLine="720"/>
        <w:rPr>
          <w:b w:val="0"/>
          <w:lang w:val="hy-AM"/>
        </w:rPr>
      </w:pPr>
      <w:r w:rsidRPr="00A83C94">
        <w:rPr>
          <w:b w:val="0"/>
          <w:lang w:val="hy-AM"/>
        </w:rPr>
        <w:t xml:space="preserve">Ծրագրի նպատակն է բնակչությանը մատչելի և որակյալ առաջնային բժշկական օգնության և սպասարկման տրամադրումը, առողջության վատթարացման ռիսկի գործոնների վերհանումը և դրանց հնարավոր անբարենպաստ ազդեցության կանխարգելումը, որը ներառում է առողջության առաջնային պահպանման գծով կազմակերպություններում գրանցված 2940000 բնակչի՝ ընտանեկան բժշկի, ընդհանուր պրակտիկայի թերապևտի, ընդհանուր պրակտիկայի մանկաբույժի կողմից մատուցվող ծառայություններ՝ հավաքագրված բնակչության շրջանում հիվանդությունների կանխարգելումը, վաղ հայտնաբերումը, ախտորոշումը, բուժումը, քրոնիկ հիվանդների դինամիկ հսկողությունը (ներառյալ ակտիվ կանչերը), ժամանակավոր անաշխատունակության փորձաքննությունը, տնային կանչերի իրականացումը, ըստ ցուցումների, հիվանդների հոսպիտալացման կազմակերպումը, բնակչության բժշկահիգիենիկ կրթումը, անվճար կամ արտոնյալ պայմաններով դեղեր ստանալու իրավունք ունեցող թվով 1036871 անձանց դեղերով ապահովումը, առավել տարածված ոչ վարակիչ հիվանդությունների (արյան շրջանառության համակարգի, շաքարային դիաբետի, չարորակ նորագոյացությունների և այլն) վաղ հայտնաբերման և կանխարգելման գործընթացի պարտադիր իրականացումը, վարակիչ հիվանդությունների կանխարգելում ու վաղ հայտնաբերումը, ինչպես նաև ախտորոշման ճշտման նպատակով լաբորատոր-գործիքային 105000 հետազոտությունների իրականացումը: </w:t>
      </w:r>
    </w:p>
    <w:p w14:paraId="4F0E5E91" w14:textId="7023119D" w:rsidR="00E0291A" w:rsidRPr="00A83C94" w:rsidRDefault="00E0291A" w:rsidP="00410C78">
      <w:pPr>
        <w:spacing w:before="0" w:line="276" w:lineRule="auto"/>
        <w:ind w:firstLine="720"/>
        <w:rPr>
          <w:rFonts w:cs="Sylfaen"/>
          <w:b w:val="0"/>
          <w:szCs w:val="22"/>
          <w:lang w:val="hy-AM"/>
        </w:rPr>
      </w:pPr>
      <w:r w:rsidRPr="00A83C94">
        <w:rPr>
          <w:rFonts w:cs="Sylfaen"/>
          <w:bCs/>
          <w:szCs w:val="22"/>
          <w:lang w:val="hy-AM"/>
        </w:rPr>
        <w:t xml:space="preserve">Դատաբժշկական և ախտաբանաանատոմիական ծառայություններ </w:t>
      </w:r>
      <w:r w:rsidRPr="00A83C94">
        <w:rPr>
          <w:b w:val="0"/>
          <w:lang w:val="hy-AM"/>
        </w:rPr>
        <w:t>գծով նախատեսվել է 502.9 մլն դրամ:</w:t>
      </w:r>
      <w:bookmarkStart w:id="267" w:name="_Hlk19663384"/>
      <w:r w:rsidRPr="00A83C94">
        <w:rPr>
          <w:b w:val="0"/>
          <w:lang w:val="hy-AM"/>
        </w:rPr>
        <w:t xml:space="preserve"> </w:t>
      </w:r>
      <w:r w:rsidRPr="00A83C94">
        <w:rPr>
          <w:rFonts w:cs="Sylfaen"/>
          <w:b w:val="0"/>
          <w:szCs w:val="22"/>
          <w:lang w:val="hy-AM"/>
        </w:rPr>
        <w:t xml:space="preserve">Ծրագրի նպատակն է Հանրապետության ուժային մարմինների որոշումների հիման վրա դատաբժշկական և գենետիկ փորձաքննությունների ապահովումը` մահերի պատճառների վերհանման նպատակով դիակների փորձաքննությունների միջոցով, ինչպես նաև պաթանատոմիական կանխորոշումների հիման վրա ախտորոշման և բուժման արդյունավետության բարձրացումը: Ծրագրի ակնկալվող արդյունքը մահերի պատճառների բացահայտումն է: </w:t>
      </w:r>
    </w:p>
    <w:p w14:paraId="754EB5B7"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շրջանակներում նախատեսված իրականացնել դատաբժշկական և գենետիկ ծառայությունների գծով 61945 փորձաքննություն, վիրահատական և բիոպսիոն նյութերի 5315 հետազոտություններ, ինչպես նաև 732 ախտաբանաանատոմիական դիահերձումներ:</w:t>
      </w:r>
      <w:bookmarkEnd w:id="267"/>
    </w:p>
    <w:p w14:paraId="679E33E6" w14:textId="497AE7EB" w:rsidR="00E0291A" w:rsidRPr="00A83C94" w:rsidRDefault="00E0291A" w:rsidP="00410C78">
      <w:pPr>
        <w:spacing w:before="0" w:line="276" w:lineRule="auto"/>
        <w:ind w:firstLine="720"/>
        <w:rPr>
          <w:b w:val="0"/>
          <w:lang w:val="hy-AM"/>
        </w:rPr>
      </w:pPr>
      <w:r w:rsidRPr="00A83C94">
        <w:rPr>
          <w:rFonts w:cs="Sylfaen"/>
          <w:bCs/>
          <w:szCs w:val="22"/>
          <w:lang w:val="hy-AM"/>
        </w:rPr>
        <w:t>Դեղապահովում ծրագիր</w:t>
      </w:r>
      <w:bookmarkStart w:id="268" w:name="_Hlk19664365"/>
      <w:r w:rsidRPr="00A83C94">
        <w:rPr>
          <w:rFonts w:cs="Sylfaen"/>
          <w:bCs/>
          <w:szCs w:val="22"/>
          <w:lang w:val="hy-AM"/>
        </w:rPr>
        <w:t xml:space="preserve"> </w:t>
      </w:r>
      <w:r w:rsidRPr="00A83C94">
        <w:rPr>
          <w:b w:val="0"/>
          <w:lang w:val="hy-AM"/>
        </w:rPr>
        <w:t>գծով նախատեսվել է 3,880.0 մլն դրամ:</w:t>
      </w:r>
    </w:p>
    <w:p w14:paraId="3A2BB2F1" w14:textId="43A5EBDF"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Ծրագրի նպատակը դեղերի անվտանգության, արդյունավետության և որակի ապահովումն է, ՀՀ հիմնական դեղերի ցանկում առկա կենսականորեն անհրաժեշտ դեղերի ֆիզիկական և տնտեսական մատչելիության բարձրացումը, որի արդյունքում ակնկալվում է Հանրապետությունում առանձին հիվանդություններով տառապող անձանց առանցքային նշանակության դեղորայքի մատչելիության բարձրացում: Ծրագրի շրջանակներում նախատեսված հատկացումներն ուղղվելու են ՀՀ կառավարության 2019թ.-ի մայիսի 30-ի N 642-Ն որոշմամբ սահմանված 267175 շահառուներին՝ պետության կողմից անվճար և արտոնյալ պայմաններով դեղորայքի տրամադրման համար ապահովելով 12 հիվանդության ծածկույթ: </w:t>
      </w:r>
    </w:p>
    <w:p w14:paraId="397CACA1"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Դեղապահովում ծրագրի համար ՀՀ 2022թ. պետական բյուջեով նախատեսվում է հատկացնել 3,880.0 մլն դրամ` ՀՀ 2021 թվականի պետական բյուջեով հաստատված 3,490.8 մլն դրամի դիմաց: </w:t>
      </w:r>
    </w:p>
    <w:p w14:paraId="7EF77799" w14:textId="77777777" w:rsidR="00E0291A" w:rsidRPr="00A83C94" w:rsidRDefault="00E0291A" w:rsidP="00410C78">
      <w:pPr>
        <w:spacing w:before="0" w:line="276" w:lineRule="auto"/>
        <w:ind w:firstLine="720"/>
        <w:rPr>
          <w:rFonts w:cs="Sylfaen"/>
          <w:b w:val="0"/>
          <w:szCs w:val="22"/>
          <w:lang w:val="hy-AM"/>
        </w:rPr>
      </w:pPr>
      <w:r w:rsidRPr="00A83C94">
        <w:rPr>
          <w:rFonts w:cs="Sylfaen"/>
          <w:b w:val="0"/>
          <w:szCs w:val="22"/>
          <w:lang w:val="hy-AM"/>
        </w:rPr>
        <w:t>Ծրագրի գծով ծախսերը ՀՀ 2021թ. պետական բյուջեով հաստատված ծախսերի նկատմամբ ավելացել են՝ 389.2 մլն դրամով կամ 10%-ով, որը պայմանավորված է հիմնականում ծրագրի շրջանակներում անվճար և արտոնյալ պայմաններով դեղորայք ստացող շահառուների ցանկի ընդլայնմամբ՝ համաձայն ՀՀ կառավարության 04.12.2020թ. N 1980-Ն որոշմամբ ՀՀ կառավարության 30.05.2019թ. N 642-Ն որոշման մեջ կատարված լրացումների շահառուների ցանկում ընդգրկվել են 44 օրյա պատերազմի հետևանքով տուժած և ռազմական գործողությունների կամ ահաբեկչական գործողությունների արդյունքում Արցախի Հանրապետությունում մշտապես բնակվող, սակայն Հայաստանի Հանրապետություն տեղափոխված անձինք:</w:t>
      </w:r>
      <w:bookmarkEnd w:id="268"/>
    </w:p>
    <w:p w14:paraId="110DAD66" w14:textId="3BFF815B" w:rsidR="00E0291A" w:rsidRPr="00A83C94" w:rsidRDefault="00E0291A" w:rsidP="00410C78">
      <w:pPr>
        <w:tabs>
          <w:tab w:val="left" w:pos="180"/>
          <w:tab w:val="left" w:pos="851"/>
        </w:tabs>
        <w:spacing w:before="0" w:line="276" w:lineRule="auto"/>
        <w:ind w:firstLine="720"/>
        <w:rPr>
          <w:rFonts w:cs="Sylfaen"/>
          <w:b w:val="0"/>
          <w:szCs w:val="22"/>
          <w:lang w:val="hy-AM"/>
        </w:rPr>
      </w:pPr>
      <w:r w:rsidRPr="00A83C94">
        <w:rPr>
          <w:rFonts w:cs="Sylfaen"/>
          <w:bCs/>
          <w:szCs w:val="22"/>
          <w:lang w:val="hy-AM"/>
        </w:rPr>
        <w:t xml:space="preserve">Խորհրդատվական, մասնագիտական աջակցություն և հետազոտություններ </w:t>
      </w:r>
      <w:r w:rsidRPr="00A83C94">
        <w:rPr>
          <w:rFonts w:cs="Sylfaen"/>
          <w:b w:val="0"/>
          <w:bCs/>
          <w:szCs w:val="22"/>
          <w:lang w:val="hy-AM"/>
        </w:rPr>
        <w:t>ծրագրի գծով նախատեսվել է 291.3 մլն դրամ:</w:t>
      </w:r>
      <w:bookmarkStart w:id="269" w:name="_Hlk19665130"/>
      <w:r w:rsidRPr="00A83C94">
        <w:rPr>
          <w:rFonts w:cs="Sylfaen"/>
          <w:b w:val="0"/>
          <w:bCs/>
          <w:szCs w:val="22"/>
          <w:lang w:val="hy-AM"/>
        </w:rPr>
        <w:t xml:space="preserve"> </w:t>
      </w:r>
      <w:r w:rsidRPr="00A83C94">
        <w:rPr>
          <w:rFonts w:cs="Sylfaen"/>
          <w:b w:val="0"/>
          <w:szCs w:val="22"/>
          <w:lang w:val="hy-AM"/>
        </w:rPr>
        <w:t xml:space="preserve">Ծրագրի նպատակն է բժշկական օգնության կազմակերպման ու որակի բարձրացման կարգավորման մասնագիտական, խորհրդատվական, կազմակերպամեթոդական ապահովումը, համակարգի գործունեության արդյունքների գնահատումը, ինչպես նաև բժիշկ-մասնագետների ժամանակավոր ուղեգրման միջոցով ՀՀ մարզային առողջապահական կազմակերպություններում բժշկական ծառայությունների մատուցումը: </w:t>
      </w:r>
    </w:p>
    <w:p w14:paraId="54C45EA2" w14:textId="21C15604" w:rsidR="00E0291A" w:rsidRPr="00A83C94" w:rsidRDefault="00E0291A" w:rsidP="00410C78">
      <w:pPr>
        <w:tabs>
          <w:tab w:val="left" w:pos="180"/>
          <w:tab w:val="left" w:pos="851"/>
        </w:tabs>
        <w:spacing w:before="0" w:line="276" w:lineRule="auto"/>
        <w:ind w:firstLine="720"/>
        <w:rPr>
          <w:b w:val="0"/>
          <w:bCs/>
          <w:lang w:val="hy-AM"/>
        </w:rPr>
      </w:pPr>
      <w:r w:rsidRPr="00A83C94">
        <w:rPr>
          <w:rFonts w:cs="Sylfaen"/>
          <w:b w:val="0"/>
          <w:szCs w:val="22"/>
          <w:lang w:val="hy-AM"/>
        </w:rPr>
        <w:t>Ծրագրի շրջանակներում նախատեվում է իրականացնել 200 հատ շարունակական մասնագիտական զարգացման կրեդիտային համակարգի ծառայություններ, 200 ուղեցույցերի, գործելակարգերի, հաշվառման ձևերի և այլ փաստաթղթերի մշակման ծառայություններ, ինչպես նաև 50 բժիշկ-մասնագետների ուղեգրումն ընդունված 20 մարզային առողջապահական կազմակերպություններ:</w:t>
      </w:r>
      <w:bookmarkEnd w:id="269"/>
    </w:p>
    <w:p w14:paraId="24D23C25" w14:textId="775CB0FB" w:rsidR="00E0291A" w:rsidRPr="00A83C94" w:rsidRDefault="00E0291A" w:rsidP="00410C78">
      <w:pPr>
        <w:tabs>
          <w:tab w:val="left" w:pos="180"/>
          <w:tab w:val="left" w:pos="851"/>
        </w:tabs>
        <w:spacing w:before="0" w:line="276" w:lineRule="auto"/>
        <w:ind w:firstLine="720"/>
        <w:rPr>
          <w:rFonts w:cs="Sylfaen"/>
          <w:b w:val="0"/>
          <w:szCs w:val="22"/>
          <w:lang w:val="hy-AM"/>
        </w:rPr>
      </w:pPr>
      <w:r w:rsidRPr="00A83C94">
        <w:rPr>
          <w:rFonts w:cs="Sylfaen"/>
          <w:bCs/>
          <w:szCs w:val="22"/>
          <w:lang w:val="hy-AM"/>
        </w:rPr>
        <w:t xml:space="preserve">Մոր և մանկան առողջության պահպանում ծրագրի </w:t>
      </w:r>
      <w:r w:rsidRPr="00A83C94">
        <w:rPr>
          <w:rFonts w:cs="Sylfaen"/>
          <w:b w:val="0"/>
          <w:bCs/>
          <w:szCs w:val="22"/>
          <w:lang w:val="hy-AM"/>
        </w:rPr>
        <w:t xml:space="preserve">գծով նախատեսվել է 18,664.9 մլն դրամ: </w:t>
      </w:r>
      <w:r w:rsidRPr="00A83C94">
        <w:rPr>
          <w:rFonts w:cs="Sylfaen"/>
          <w:b w:val="0"/>
          <w:szCs w:val="22"/>
          <w:lang w:val="hy-AM"/>
        </w:rPr>
        <w:t xml:space="preserve">Ծրագրի նպատակն է մոր և մանկան առողջության պահպանումը, կանանց և երեխաներին մատուցվող բժշկական ծառայությունների մատչելիության և որակի բարելավումը, որի արդյունքում ակնկալվում է մանկական և մայրական մահացության և հիվանդացության կրճատում, կանանց վերարտադրողական առողջության բարելավում: </w:t>
      </w:r>
    </w:p>
    <w:p w14:paraId="305A2A8A" w14:textId="77777777" w:rsidR="00E0291A" w:rsidRPr="00A83C94" w:rsidRDefault="00E0291A" w:rsidP="00410C78">
      <w:pPr>
        <w:pStyle w:val="ListParagraph"/>
        <w:tabs>
          <w:tab w:val="left" w:pos="180"/>
          <w:tab w:val="left" w:pos="540"/>
        </w:tabs>
        <w:spacing w:before="0" w:line="276" w:lineRule="auto"/>
        <w:ind w:left="0" w:firstLine="720"/>
        <w:rPr>
          <w:rFonts w:cs="Sylfaen"/>
          <w:b w:val="0"/>
          <w:szCs w:val="22"/>
          <w:lang w:val="hy-AM"/>
        </w:rPr>
      </w:pPr>
      <w:r w:rsidRPr="00A83C94">
        <w:rPr>
          <w:rFonts w:cs="Sylfaen"/>
          <w:b w:val="0"/>
          <w:szCs w:val="22"/>
          <w:lang w:val="hy-AM"/>
        </w:rPr>
        <w:t>Ծրագրի շրջանակներում նախատեսվում է իրականացնել մանկաբարձական բժշկական օգնության ծառայություններից օգտվելու 53400 դեպք, 38250 հատ ծնունդներ, 13500 կեսարյան հատում, երեխաների բժշկական օգնության գծով ծառայություններից օգտվելու 81000 դեպք, մտավոր, հոգեկան (վարքագծային), լսողական, ֆիզիկական (շարժողական) և զարգացման այլ խանգարումներով երեխաների վերականգնողական բուժման գծով ծառայություններից օգտվելու 90000 դեպք, 1206 ամուսնական զույգիերի տրամադրել վերարտադրողական օժանդակ տեխնոլոգիաների կիրառմամբ բժշկական օգնության ծառայություններ, այդ թվում՝ իրականացնել 22921 հատ հետազոտություններ, ինչպես նաև անցկացնել 133403 հատ բնածին հիպոթիրեոզի, ֆենիլկենտոնուրիայի և լսողութան խանգարումների վաղ հայտնաբերման նպատակով նորածնային սկրինինգի հետազոտություններ:</w:t>
      </w:r>
    </w:p>
    <w:p w14:paraId="0E1EB479" w14:textId="77777777" w:rsidR="00E0291A" w:rsidRPr="00A83C94" w:rsidRDefault="00E0291A" w:rsidP="00410C78">
      <w:pPr>
        <w:pStyle w:val="ListParagraph"/>
        <w:tabs>
          <w:tab w:val="left" w:pos="180"/>
          <w:tab w:val="left" w:pos="540"/>
        </w:tabs>
        <w:spacing w:before="0" w:line="276" w:lineRule="auto"/>
        <w:ind w:left="0" w:firstLine="720"/>
        <w:rPr>
          <w:rFonts w:cs="Sylfaen"/>
          <w:b w:val="0"/>
          <w:szCs w:val="22"/>
          <w:lang w:val="hy-AM"/>
        </w:rPr>
      </w:pPr>
      <w:r w:rsidRPr="00A83C94">
        <w:rPr>
          <w:rFonts w:cs="Sylfaen"/>
          <w:bCs/>
          <w:szCs w:val="22"/>
          <w:lang w:val="hy-AM"/>
        </w:rPr>
        <w:t xml:space="preserve">Շտապ բժշկական օգնություն ծրագրի </w:t>
      </w:r>
      <w:r w:rsidRPr="00A83C94">
        <w:rPr>
          <w:rFonts w:cs="Sylfaen"/>
          <w:b w:val="0"/>
          <w:szCs w:val="22"/>
          <w:lang w:val="hy-AM"/>
        </w:rPr>
        <w:t>գծով նախատեսվել է 5,000.0 մլն դրամ:</w:t>
      </w:r>
    </w:p>
    <w:p w14:paraId="4AFE2C3F"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Ծրագրի նպատակն է մարդու կյանքին և առողջությանը վտանգ սպառնացող վիճակներում որակյալ շտապ բժշկական օգնության ծառայությունների տրամադրումը, որի արդյունքում նախատեսվում է բարելավել շտապ օգնության համակարգի պատրաստվածությունը, արձագանքման արագությունը, հասանելիության և բժշկական օգնության ծառայությունների որակը: </w:t>
      </w:r>
    </w:p>
    <w:p w14:paraId="13F43FC3"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շրջանակներում նախատեսված իրականացնել 550000 հատ շտապ օգնության կանչեր և 100 հատ օդային ճանապարհով սանիտարական ավիացիայի կանչեր:</w:t>
      </w:r>
    </w:p>
    <w:p w14:paraId="1C3ECB46"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Cs/>
          <w:szCs w:val="22"/>
          <w:lang w:val="hy-AM"/>
        </w:rPr>
        <w:t xml:space="preserve">Ոչ վարակիչ հիվանդությունների բժշկական օգնության ապահովում </w:t>
      </w:r>
      <w:r w:rsidRPr="00A83C94">
        <w:rPr>
          <w:rFonts w:cs="Sylfaen"/>
          <w:b w:val="0"/>
          <w:bCs/>
          <w:szCs w:val="22"/>
          <w:lang w:val="hy-AM"/>
        </w:rPr>
        <w:t>ծր</w:t>
      </w:r>
      <w:r w:rsidRPr="00A83C94">
        <w:rPr>
          <w:rFonts w:cs="Sylfaen"/>
          <w:b w:val="0"/>
          <w:szCs w:val="22"/>
          <w:lang w:val="hy-AM"/>
        </w:rPr>
        <w:t>ագրի գծով նախատեսվել է 16,482.9 մլն դրամ:</w:t>
      </w:r>
    </w:p>
    <w:p w14:paraId="3008EF15"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նպատակն է ոչ վարակիչ հիվանդությունների (մասնավորապես՛ սիրտանոթային, շաքարային դիաբետի և չարորակ նորագոյացությունների) բուժման արդյունավետության բարձրացումը: Ծրագրի իրականացման արդյունքում նախատեսվում է նվազեցնել ոչ վարակիչ հիվանդություններով պայմանավորված հիվանդացությունը և մահացությունը:</w:t>
      </w:r>
    </w:p>
    <w:p w14:paraId="61C8CA60"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Ծրագրի շրջանակներում նախատեսված հատկացումններն ուղղվելու են 190340 հատ հեմոդիալիզի անցկացման սեանսներին, անհետաձգելի բժշկական օգնության ծառայություններից օգտվելու 26691 դեպքի, հոգեկան և նարկոլոգիական հիվանդների բժշկական օգնության գծով ծառայություններից օգտվելու 6391 դեպքի, ուռուցքաբանական և արյունաբանական հիվանդությունների բժշկական օգնության գծով ծառայություններից օգտվելու 36015 դեպքի և 7340 վիրաբուժական միջամտությունների, ինչպես նաև սրտի անհետաձգելի վիրահատությունների գծով 2301 դեպքի իրականացմանը: </w:t>
      </w:r>
    </w:p>
    <w:p w14:paraId="6F08A53B" w14:textId="7599C75A"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Cs/>
          <w:szCs w:val="22"/>
          <w:lang w:val="hy-AM"/>
        </w:rPr>
        <w:t xml:space="preserve">Սոցիալապես անապահով և առանձին խմբերի անձանց բժշկական օգնություն </w:t>
      </w:r>
      <w:r w:rsidRPr="00A83C94">
        <w:rPr>
          <w:rFonts w:cs="Sylfaen"/>
          <w:b w:val="0"/>
          <w:bCs/>
          <w:szCs w:val="22"/>
          <w:lang w:val="hy-AM"/>
        </w:rPr>
        <w:t>ծրագրի գծով նախատեսվել է 26,960.3 մլն դրամ:</w:t>
      </w:r>
    </w:p>
    <w:p w14:paraId="39B7B8E7" w14:textId="77777777" w:rsidR="00E0291A" w:rsidRPr="00A83C94" w:rsidRDefault="00E0291A" w:rsidP="00410C78">
      <w:pPr>
        <w:tabs>
          <w:tab w:val="left" w:pos="180"/>
        </w:tabs>
        <w:spacing w:before="0" w:line="276" w:lineRule="auto"/>
        <w:ind w:firstLine="720"/>
        <w:rPr>
          <w:rFonts w:cs="Sylfaen"/>
          <w:b w:val="0"/>
          <w:szCs w:val="22"/>
          <w:lang w:val="hy-AM"/>
        </w:rPr>
      </w:pPr>
      <w:bookmarkStart w:id="270" w:name="_Hlk19669190"/>
      <w:r w:rsidRPr="00A83C94">
        <w:rPr>
          <w:rFonts w:cs="Sylfaen"/>
          <w:b w:val="0"/>
          <w:szCs w:val="22"/>
          <w:lang w:val="hy-AM"/>
        </w:rPr>
        <w:t xml:space="preserve">Ծրագրի նպատակն է սոցիալապես անապահով և հատուկ խմբերում ընդգրկված անձանց բժշկական օգնության հասանելիության և մատչելիության մակարդակի բարձրացումը, հիվանդանոցային որակյալ բժշկական օգնության ապահովումը: </w:t>
      </w:r>
    </w:p>
    <w:p w14:paraId="583D421E"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Ծրագիրը հանդիսանում է սոցիալապես անապահով և հատուկ խմբերում ընդգրկված շուրջ 700,0 հազար շահառուների սոցիալական երաշխիքի առողջապահական բաղադրիչը և ապահովում է բնակչության սոցիալապես անապահով և հատուկ խմբերում ընդգրկվածների, զինծառայողների, ինչպես նաև փրկարար ծառայողների և նրանց ընտանիքի անդամնրի,</w:t>
      </w:r>
      <w:r w:rsidRPr="00A83C94">
        <w:rPr>
          <w:lang w:val="hy-AM"/>
        </w:rPr>
        <w:t xml:space="preserve"> </w:t>
      </w:r>
      <w:r w:rsidRPr="00A83C94">
        <w:rPr>
          <w:rFonts w:cs="Sylfaen"/>
          <w:b w:val="0"/>
          <w:szCs w:val="22"/>
          <w:lang w:val="hy-AM"/>
        </w:rPr>
        <w:t>պետական հիմնարկների և կազմակերպությունների աշխատողների և թրաֆիքինգի զոհերի գծով բժշկական օգնության ծառայություններից օգտվելու 216640 դեպքի, ինչպես նաև ստոմատոլոգիական բժշկական օգնության գծով 100000 դեպքի, մարդու օրգանների փոխպատվաստման 10 դեպքի և ոսկրածուծի փոխպատվաստման 14 դեպքի իրականացումը:</w:t>
      </w:r>
      <w:bookmarkEnd w:id="270"/>
    </w:p>
    <w:p w14:paraId="411E6EB0"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շրջանաներում իրականացվող զինծառայողներին, ինչպես նաև փրկարար ծառայողներին և նրանց ընտանիքի անդամնրին բժշկական օգնության ծառայությունների գծով ծախսերը՝ ՀՀ 2021թ. պետական բյուջեով հաստատված ծախսերի նկատմամբ ավելացել են՝ 922.8 մլն դրամով կամ 25.8%-ով, որը պայմանավորված 2020 թվականի 44-օրյա պատերազմի ժամանակ մարտական գործողությունների հետևանքով վնասվածք (խեղում) ստացած զինծառայողներին և Հայաստանի Հանրապետության պաշտպանության մարտական գործողություններին կամավոր հիմունքներով մասնակցած անձանց վերականգնողական բժշկական օգնություն և սպասարկում տրամադրելու հետ:</w:t>
      </w:r>
    </w:p>
    <w:p w14:paraId="47891E18" w14:textId="1033D17C"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Cs/>
          <w:szCs w:val="22"/>
          <w:lang w:val="hy-AM"/>
        </w:rPr>
        <w:t xml:space="preserve">Վարակիչ հիվանդությունների կանխարգելում ծրագիր </w:t>
      </w:r>
      <w:r w:rsidRPr="00A83C94">
        <w:rPr>
          <w:rFonts w:cs="Sylfaen"/>
          <w:b w:val="0"/>
          <w:bCs/>
          <w:szCs w:val="22"/>
          <w:lang w:val="hy-AM"/>
        </w:rPr>
        <w:t>ծրագրի գծով նախատեսվել է 2,157.4 մլն դրամ:</w:t>
      </w:r>
    </w:p>
    <w:p w14:paraId="7254557C" w14:textId="77777777" w:rsidR="00E0291A" w:rsidRPr="00A83C94" w:rsidRDefault="00E0291A" w:rsidP="00410C78">
      <w:pPr>
        <w:tabs>
          <w:tab w:val="left" w:pos="0"/>
          <w:tab w:val="left" w:pos="567"/>
        </w:tabs>
        <w:spacing w:before="0" w:line="276" w:lineRule="auto"/>
        <w:ind w:firstLine="720"/>
        <w:rPr>
          <w:rFonts w:cs="Sylfaen"/>
          <w:b w:val="0"/>
          <w:szCs w:val="22"/>
          <w:lang w:val="hy-AM"/>
        </w:rPr>
      </w:pPr>
      <w:r w:rsidRPr="00A83C94">
        <w:rPr>
          <w:rFonts w:cs="Sylfaen"/>
          <w:b w:val="0"/>
          <w:szCs w:val="22"/>
          <w:lang w:val="hy-AM"/>
        </w:rPr>
        <w:tab/>
        <w:t xml:space="preserve">Ծրագրի նպատակն է վարակիչ և բնակչության համար մեծ ռիսկ ներկայացնող հիվանդությունների (մալարիա, տուբերկուլյոզ, ՄԻԱՎ/ՁԻԱՀ և այլն) վաղ հայտնաբերումը, արդյունվետ հակազդումը և բժշկական օգնության ապահովումը, որի իրականացման արդյունքում նախատեսվում է նվազեցնել վարակի փոխանցումը, վարակիչ հիվանդություններով պայմանավորված հիվանդացությունը և մահացությունը: </w:t>
      </w:r>
    </w:p>
    <w:p w14:paraId="28605CED" w14:textId="77777777" w:rsidR="00E0291A" w:rsidRPr="00A83C94" w:rsidRDefault="00E0291A" w:rsidP="005A5832">
      <w:pPr>
        <w:tabs>
          <w:tab w:val="left" w:pos="0"/>
          <w:tab w:val="left" w:pos="567"/>
        </w:tabs>
        <w:spacing w:before="0" w:line="276" w:lineRule="auto"/>
        <w:ind w:firstLine="720"/>
        <w:rPr>
          <w:rFonts w:cs="Sylfaen"/>
          <w:b w:val="0"/>
          <w:szCs w:val="22"/>
          <w:lang w:val="hy-AM"/>
        </w:rPr>
      </w:pPr>
      <w:r w:rsidRPr="00A83C94">
        <w:rPr>
          <w:rFonts w:cs="Sylfaen"/>
          <w:b w:val="0"/>
          <w:szCs w:val="22"/>
          <w:lang w:val="hy-AM"/>
        </w:rPr>
        <w:t>Ծրագրի շրջանակներում նախատեսված հատկացումններն ուղղվելու են ՄԻԱՎ/ՁԻԱՀ-ի  կանխարգելման և բուժօգնության ծառայությունների գծով 37107 հետազոտությունների, 14900 ՄԻԱՎ/ՁԻԱՀ-ով հիվանդների դիսպանսերային հսկողության, տուբերկուլյոզի բժշկական օգնության գծով ծառայություններից օգտվելու 930 դեպքի, ինչպես նաև աղիքային և այլ ինֆեկցիոն հիվանդությունների բժշկական օգնության գծով ծառայություններից օգտվելու 930 դեպքի իրականացմանը:</w:t>
      </w:r>
    </w:p>
    <w:p w14:paraId="111DD9BA" w14:textId="4D792319" w:rsidR="00FA639D" w:rsidRPr="00A83C94" w:rsidRDefault="00035D1C" w:rsidP="00035D1C">
      <w:pPr>
        <w:tabs>
          <w:tab w:val="left" w:pos="180"/>
        </w:tabs>
        <w:spacing w:before="0" w:line="276" w:lineRule="auto"/>
        <w:ind w:firstLine="720"/>
        <w:rPr>
          <w:rFonts w:cs="Sylfaen"/>
          <w:bCs/>
          <w:szCs w:val="22"/>
          <w:lang w:val="hy-AM"/>
        </w:rPr>
      </w:pPr>
      <w:r w:rsidRPr="00A83C94">
        <w:rPr>
          <w:rFonts w:cs="Sylfaen"/>
          <w:bCs/>
          <w:szCs w:val="22"/>
          <w:lang w:val="hy-AM"/>
        </w:rPr>
        <w:t xml:space="preserve"> </w:t>
      </w:r>
      <w:r w:rsidR="00FA639D" w:rsidRPr="00A83C94">
        <w:rPr>
          <w:rFonts w:cs="Sylfaen"/>
          <w:bCs/>
          <w:szCs w:val="22"/>
          <w:lang w:val="hy-AM"/>
        </w:rPr>
        <w:t>Առողջապահության համակարգի արդիականացման և արդյունավետության բարձրացման ծրագիր</w:t>
      </w:r>
    </w:p>
    <w:p w14:paraId="0B7EF8FD" w14:textId="50DCCF44" w:rsidR="00FA639D" w:rsidRPr="00A83C94" w:rsidRDefault="00FA639D" w:rsidP="005A5832">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A83C94">
        <w:rPr>
          <w:b w:val="0"/>
          <w:color w:val="000000"/>
          <w:szCs w:val="22"/>
          <w:lang w:val="hy-AM" w:eastAsia="en-US"/>
        </w:rPr>
        <w:t>Ծրագրի նպատակն է Առողջապահության համակարգի արդիականացում և զարգացում վարակիչ և բնակչության համար մեծ ռիսկ ներկայացնող հիվանդությունների (մալարիա, տուբերկուլյոզ, ՄԻԱՎ/ՁԻԱՀ և այլն) վաղ հայտնաբերումը, արդյունվետ հակազդումը և բժշկական օգնության ապահովումը:</w:t>
      </w:r>
    </w:p>
    <w:p w14:paraId="2122B158" w14:textId="388AE315" w:rsidR="00FA639D" w:rsidRPr="00A83C94" w:rsidRDefault="00FC7DB9" w:rsidP="005A5832">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A83C94">
        <w:rPr>
          <w:b w:val="0"/>
          <w:szCs w:val="22"/>
          <w:lang w:val="hy-AM" w:eastAsia="en-US"/>
        </w:rPr>
        <w:t>Ծրագրի շրջանակներում նախատեսվում է՝ խորհրդատվական ծառայությունների մատուցում,ս</w:t>
      </w:r>
      <w:r w:rsidRPr="00A83C94">
        <w:rPr>
          <w:rFonts w:cs="Sylfaen"/>
          <w:b w:val="0"/>
          <w:lang w:val="hy-AM"/>
        </w:rPr>
        <w:t>քրինինգային</w:t>
      </w:r>
      <w:r w:rsidRPr="00A83C94">
        <w:rPr>
          <w:rFonts w:cs="Sylfaen"/>
          <w:b w:val="0"/>
          <w:lang w:val="af-ZA"/>
        </w:rPr>
        <w:t xml:space="preserve"> </w:t>
      </w:r>
      <w:r w:rsidRPr="00A83C94">
        <w:rPr>
          <w:rFonts w:cs="Sylfaen"/>
          <w:b w:val="0"/>
          <w:lang w:val="hy-AM"/>
        </w:rPr>
        <w:t>հետազոտությունների</w:t>
      </w:r>
      <w:r w:rsidRPr="00A83C94">
        <w:rPr>
          <w:rFonts w:cs="Sylfaen"/>
          <w:b w:val="0"/>
          <w:lang w:val="af-ZA"/>
        </w:rPr>
        <w:t xml:space="preserve"> </w:t>
      </w:r>
      <w:r w:rsidRPr="00A83C94">
        <w:rPr>
          <w:rFonts w:cs="Sylfaen"/>
          <w:b w:val="0"/>
          <w:lang w:val="hy-AM"/>
        </w:rPr>
        <w:t>իրականացում</w:t>
      </w:r>
      <w:r w:rsidRPr="00A83C94">
        <w:rPr>
          <w:rFonts w:cs="Sylfaen"/>
          <w:b w:val="0"/>
          <w:lang w:val="af-ZA"/>
        </w:rPr>
        <w:t xml:space="preserve">, </w:t>
      </w:r>
      <w:r w:rsidRPr="00A83C94">
        <w:rPr>
          <w:rFonts w:cs="Sylfaen"/>
          <w:b w:val="0"/>
          <w:szCs w:val="22"/>
          <w:lang w:val="af-ZA"/>
        </w:rPr>
        <w:t xml:space="preserve">հանրապետության տարբեր մարզերում </w:t>
      </w:r>
      <w:r w:rsidRPr="00A83C94">
        <w:rPr>
          <w:b w:val="0"/>
          <w:szCs w:val="22"/>
          <w:lang w:val="hy-AM"/>
        </w:rPr>
        <w:t>ընտրված հիվանդանոցների արդյունավետության և որակի բարելավում</w:t>
      </w:r>
      <w:r w:rsidRPr="00A83C94">
        <w:rPr>
          <w:b w:val="0"/>
          <w:szCs w:val="22"/>
          <w:lang w:val="af-ZA"/>
        </w:rPr>
        <w:t>,</w:t>
      </w:r>
      <w:r w:rsidRPr="00A83C94">
        <w:rPr>
          <w:b w:val="0"/>
          <w:szCs w:val="22"/>
          <w:lang w:val="hy-AM"/>
        </w:rPr>
        <w:t xml:space="preserve"> </w:t>
      </w:r>
      <w:r w:rsidRPr="00A83C94">
        <w:rPr>
          <w:rFonts w:cs="Sylfaen"/>
          <w:b w:val="0"/>
          <w:lang w:val="hy-AM"/>
        </w:rPr>
        <w:t xml:space="preserve">նոր բժշկական կենտրոնների կառուցում, </w:t>
      </w:r>
      <w:r w:rsidRPr="00A83C94">
        <w:rPr>
          <w:rFonts w:cs="Sylfaen"/>
          <w:b w:val="0"/>
          <w:szCs w:val="22"/>
          <w:lang w:val="af-ZA"/>
        </w:rPr>
        <w:t xml:space="preserve">տուբերկուլոզի բոլոր տեսակների և ՄԻԱՎ/ՁԻԱՀ-ի ախտորոշման հասանելիության բուժման մոնիթորինգի և կանխարգելման ապահովում, տուբերկուլոզով հիվանդների սոցիալական և հոգեբանական օժանդակություն, հիվանդների ակտիվ հայտնաբերման միջոցառումներ, բուժման մոնիթորինգի, վարակի վերահսկման բարելավում, ներառյալ մեթադոնային փոխարինող </w:t>
      </w:r>
      <w:r w:rsidRPr="00A83C94">
        <w:rPr>
          <w:b w:val="0"/>
          <w:lang w:val="hy-AM" w:eastAsia="en-US"/>
        </w:rPr>
        <w:t xml:space="preserve">բուժման իրականացում, որի արդյունքում </w:t>
      </w:r>
      <w:r w:rsidR="00FA639D" w:rsidRPr="00A83C94">
        <w:rPr>
          <w:b w:val="0"/>
          <w:color w:val="000000"/>
          <w:szCs w:val="22"/>
          <w:lang w:val="hy-AM" w:eastAsia="en-US"/>
        </w:rPr>
        <w:t>նվազեց</w:t>
      </w:r>
      <w:r w:rsidRPr="00A83C94">
        <w:rPr>
          <w:b w:val="0"/>
          <w:color w:val="000000"/>
          <w:szCs w:val="22"/>
          <w:lang w:val="hy-AM" w:eastAsia="en-US"/>
        </w:rPr>
        <w:t xml:space="preserve">վում է </w:t>
      </w:r>
      <w:r w:rsidR="00FA639D" w:rsidRPr="00A83C94">
        <w:rPr>
          <w:b w:val="0"/>
          <w:color w:val="000000"/>
          <w:szCs w:val="22"/>
          <w:lang w:val="hy-AM" w:eastAsia="en-US"/>
        </w:rPr>
        <w:t>վարակի փոխանցումը, վարակիչ հիվանդություններով պայմանավորված հի</w:t>
      </w:r>
      <w:r w:rsidRPr="00A83C94">
        <w:rPr>
          <w:b w:val="0"/>
          <w:color w:val="000000"/>
          <w:szCs w:val="22"/>
          <w:lang w:val="hy-AM" w:eastAsia="en-US"/>
        </w:rPr>
        <w:t>վանդացությունը և մահացությունը, բարելավում առողջապահական ծառայությունները:</w:t>
      </w:r>
    </w:p>
    <w:p w14:paraId="0FD6D60D" w14:textId="089991A4" w:rsidR="00FC7DB9" w:rsidRPr="00A83C94" w:rsidRDefault="00FC7DB9" w:rsidP="00FC7DB9">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b w:val="0"/>
          <w:szCs w:val="22"/>
          <w:lang w:val="hy-AM" w:eastAsia="en-US"/>
        </w:rPr>
        <w:t>Ծրագրի համար ՀՀ 2022թ. պետական բյուջեով նախատեսվել է 8,276.3 մլն դրամ, որից՝ վարկային միջոցների գծով 7,817.6</w:t>
      </w:r>
      <w:r w:rsidR="005C6069" w:rsidRPr="005C6069">
        <w:rPr>
          <w:b w:val="0"/>
          <w:szCs w:val="22"/>
          <w:lang w:val="hy-AM" w:eastAsia="en-US"/>
        </w:rPr>
        <w:t xml:space="preserve"> </w:t>
      </w:r>
      <w:r w:rsidR="005C6069" w:rsidRPr="00A83C94">
        <w:rPr>
          <w:b w:val="0"/>
          <w:szCs w:val="22"/>
          <w:lang w:val="hy-AM" w:eastAsia="en-US"/>
        </w:rPr>
        <w:t>մլն</w:t>
      </w:r>
      <w:r w:rsidRPr="00A83C94">
        <w:rPr>
          <w:b w:val="0"/>
          <w:szCs w:val="22"/>
          <w:lang w:val="hy-AM" w:eastAsia="en-US"/>
        </w:rPr>
        <w:t xml:space="preserve"> դրամ, համաֆինանասավորման գծով՝ 458.7</w:t>
      </w:r>
      <w:r w:rsidR="005C6069" w:rsidRPr="005C6069">
        <w:rPr>
          <w:b w:val="0"/>
          <w:szCs w:val="22"/>
          <w:lang w:val="hy-AM" w:eastAsia="en-US"/>
        </w:rPr>
        <w:t xml:space="preserve"> </w:t>
      </w:r>
      <w:r w:rsidR="005C6069" w:rsidRPr="00A83C94">
        <w:rPr>
          <w:b w:val="0"/>
          <w:szCs w:val="22"/>
          <w:lang w:val="hy-AM" w:eastAsia="en-US"/>
        </w:rPr>
        <w:t>մլն</w:t>
      </w:r>
      <w:r w:rsidRPr="00A83C94">
        <w:rPr>
          <w:b w:val="0"/>
          <w:szCs w:val="22"/>
          <w:lang w:val="hy-AM" w:eastAsia="en-US"/>
        </w:rPr>
        <w:t xml:space="preserve"> դրամ: </w:t>
      </w:r>
    </w:p>
    <w:p w14:paraId="628E659E" w14:textId="5441ABFD" w:rsidR="00FC7DB9" w:rsidRPr="00A83C94" w:rsidRDefault="00FC7DB9" w:rsidP="00FC7DB9">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b w:val="0"/>
          <w:szCs w:val="22"/>
          <w:lang w:val="hy-AM" w:eastAsia="en-US"/>
        </w:rPr>
        <w:t xml:space="preserve">Միաժամանակ, Եվրոմիության աջակցության վարկային ծրագրի շրջանակներում առողջապահական համակարգի արդիականացման նպատակով 2022թ. համար նախատեսվում է հատկացնել </w:t>
      </w:r>
      <w:r w:rsidR="003D2AA0" w:rsidRPr="005C6069">
        <w:rPr>
          <w:b w:val="0"/>
          <w:szCs w:val="22"/>
          <w:lang w:val="hy-AM" w:eastAsia="en-US"/>
        </w:rPr>
        <w:t>3</w:t>
      </w:r>
      <w:r w:rsidRPr="00A83C94">
        <w:rPr>
          <w:b w:val="0"/>
          <w:szCs w:val="22"/>
          <w:lang w:val="hy-AM" w:eastAsia="en-US"/>
        </w:rPr>
        <w:t>,927.3</w:t>
      </w:r>
      <w:r w:rsidR="005C6069" w:rsidRPr="006F02BB">
        <w:rPr>
          <w:b w:val="0"/>
          <w:szCs w:val="22"/>
          <w:lang w:val="hy-AM" w:eastAsia="en-US"/>
        </w:rPr>
        <w:t xml:space="preserve"> </w:t>
      </w:r>
      <w:r w:rsidR="005C6069" w:rsidRPr="00A83C94">
        <w:rPr>
          <w:b w:val="0"/>
          <w:szCs w:val="22"/>
          <w:lang w:val="hy-AM" w:eastAsia="en-US"/>
        </w:rPr>
        <w:t>մլն</w:t>
      </w:r>
      <w:r w:rsidRPr="00A83C94">
        <w:rPr>
          <w:b w:val="0"/>
          <w:szCs w:val="22"/>
          <w:lang w:val="hy-AM" w:eastAsia="en-US"/>
        </w:rPr>
        <w:t xml:space="preserve"> դրամ:</w:t>
      </w:r>
    </w:p>
    <w:p w14:paraId="602D92F5" w14:textId="77777777" w:rsidR="00FC7DB9" w:rsidRPr="00A83C94" w:rsidRDefault="00FC7DB9" w:rsidP="00FC7DB9">
      <w:pPr>
        <w:numPr>
          <w:ilvl w:val="12"/>
          <w:numId w:val="0"/>
        </w:numPr>
        <w:tabs>
          <w:tab w:val="left" w:pos="851"/>
          <w:tab w:val="left" w:pos="9214"/>
        </w:tabs>
        <w:spacing w:before="0" w:line="276" w:lineRule="auto"/>
        <w:ind w:firstLine="720"/>
        <w:contextualSpacing w:val="0"/>
        <w:rPr>
          <w:b w:val="0"/>
          <w:szCs w:val="22"/>
          <w:lang w:val="hy-AM" w:eastAsia="en-US"/>
        </w:rPr>
      </w:pPr>
    </w:p>
    <w:p w14:paraId="3372DA65" w14:textId="3C763F80" w:rsidR="00632A9E" w:rsidRPr="00A83C94" w:rsidRDefault="00F0615A" w:rsidP="002F7255">
      <w:pPr>
        <w:pStyle w:val="Heading3"/>
      </w:pPr>
      <w:bookmarkStart w:id="271" w:name="_Toc83996370"/>
      <w:r w:rsidRPr="00A83C94">
        <w:t>ՀՀ կ</w:t>
      </w:r>
      <w:r w:rsidR="004D4C68" w:rsidRPr="00A83C94">
        <w:t>րթությ</w:t>
      </w:r>
      <w:r w:rsidRPr="00A83C94">
        <w:t>ան</w:t>
      </w:r>
      <w:r w:rsidR="00E66B09" w:rsidRPr="00A83C94">
        <w:t>,</w:t>
      </w:r>
      <w:r w:rsidRPr="00A83C94">
        <w:t xml:space="preserve"> գիտության</w:t>
      </w:r>
      <w:r w:rsidR="00E66B09" w:rsidRPr="00A83C94">
        <w:t>, մշակույթի և սպորտի</w:t>
      </w:r>
      <w:r w:rsidRPr="00A83C94">
        <w:t xml:space="preserve"> նախարարություն</w:t>
      </w:r>
      <w:bookmarkEnd w:id="271"/>
    </w:p>
    <w:p w14:paraId="2DE0F3CA" w14:textId="425776B6" w:rsidR="002D2E24" w:rsidRPr="00A83C94" w:rsidRDefault="002D2E24" w:rsidP="007C65A5">
      <w:pPr>
        <w:numPr>
          <w:ilvl w:val="12"/>
          <w:numId w:val="0"/>
        </w:numPr>
        <w:tabs>
          <w:tab w:val="left" w:pos="851"/>
          <w:tab w:val="left" w:pos="9214"/>
        </w:tabs>
        <w:spacing w:before="0" w:line="276" w:lineRule="auto"/>
        <w:ind w:firstLine="720"/>
        <w:contextualSpacing w:val="0"/>
        <w:rPr>
          <w:color w:val="000000"/>
          <w:szCs w:val="22"/>
          <w:lang w:val="hy-AM" w:eastAsia="en-US"/>
        </w:rPr>
      </w:pPr>
      <w:bookmarkStart w:id="272" w:name="OLE_LINK4"/>
      <w:r w:rsidRPr="00A83C94">
        <w:rPr>
          <w:color w:val="000000"/>
          <w:szCs w:val="22"/>
          <w:lang w:val="hy-AM" w:eastAsia="en-US"/>
        </w:rPr>
        <w:t>Կրթություն</w:t>
      </w:r>
    </w:p>
    <w:p w14:paraId="72C43EEA" w14:textId="5E23309C" w:rsidR="00907596" w:rsidRPr="00A83C94" w:rsidRDefault="00907596" w:rsidP="00655AFE">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A83C94">
        <w:rPr>
          <w:b w:val="0"/>
          <w:color w:val="000000"/>
          <w:szCs w:val="22"/>
          <w:lang w:val="hy-AM" w:eastAsia="en-US"/>
        </w:rPr>
        <w:t xml:space="preserve">ՀՀ կրթության, գիտության, մշակույթի և սպորտի նախարարության </w:t>
      </w:r>
      <w:r w:rsidR="00585D59" w:rsidRPr="00A83C94">
        <w:rPr>
          <w:b w:val="0"/>
          <w:color w:val="000000"/>
          <w:szCs w:val="22"/>
          <w:lang w:val="hy-AM" w:eastAsia="en-US"/>
        </w:rPr>
        <w:t xml:space="preserve">գծով ՀՀ 2022 թվականի պետական բյուջեի նախագծով նախատեսվում է </w:t>
      </w:r>
      <w:r w:rsidR="008E2D57">
        <w:rPr>
          <w:b w:val="0"/>
          <w:color w:val="000000"/>
          <w:szCs w:val="22"/>
          <w:lang w:val="hy-AM" w:eastAsia="en-US"/>
        </w:rPr>
        <w:t>226</w:t>
      </w:r>
      <w:r w:rsidR="00585D59" w:rsidRPr="00A83C94">
        <w:rPr>
          <w:b w:val="0"/>
          <w:color w:val="000000"/>
          <w:szCs w:val="22"/>
          <w:lang w:val="hy-AM" w:eastAsia="en-US"/>
        </w:rPr>
        <w:t>,</w:t>
      </w:r>
      <w:r w:rsidR="00655AFE" w:rsidRPr="00A83C94">
        <w:rPr>
          <w:b w:val="0"/>
          <w:color w:val="000000"/>
          <w:szCs w:val="22"/>
          <w:lang w:val="hy-AM" w:eastAsia="en-US"/>
        </w:rPr>
        <w:t>343</w:t>
      </w:r>
      <w:r w:rsidR="00585D59" w:rsidRPr="00A83C94">
        <w:rPr>
          <w:b w:val="0"/>
          <w:color w:val="000000"/>
          <w:szCs w:val="22"/>
          <w:lang w:val="hy-AM" w:eastAsia="en-US"/>
        </w:rPr>
        <w:t>.</w:t>
      </w:r>
      <w:r w:rsidR="00655AFE" w:rsidRPr="00A83C94">
        <w:rPr>
          <w:b w:val="0"/>
          <w:color w:val="000000"/>
          <w:szCs w:val="22"/>
          <w:lang w:val="hy-AM" w:eastAsia="en-US"/>
        </w:rPr>
        <w:t>3</w:t>
      </w:r>
      <w:r w:rsidR="00585D59" w:rsidRPr="00A83C94">
        <w:rPr>
          <w:b w:val="0"/>
          <w:color w:val="000000"/>
          <w:szCs w:val="22"/>
          <w:lang w:val="hy-AM" w:eastAsia="en-US"/>
        </w:rPr>
        <w:t xml:space="preserve"> մլն դրամի ծախսեր </w:t>
      </w:r>
      <w:r w:rsidR="00AE3DCB" w:rsidRPr="00A83C94">
        <w:rPr>
          <w:b w:val="0"/>
          <w:color w:val="000000"/>
          <w:szCs w:val="22"/>
          <w:lang w:val="hy-AM" w:eastAsia="en-US"/>
        </w:rPr>
        <w:t>(ներառյալ կառավարման ապարատի պահպանման ծախսերը)</w:t>
      </w:r>
      <w:r w:rsidRPr="00A83C94">
        <w:rPr>
          <w:b w:val="0"/>
          <w:color w:val="000000"/>
          <w:szCs w:val="22"/>
          <w:lang w:val="hy-AM" w:eastAsia="en-US"/>
        </w:rPr>
        <w:t>:</w:t>
      </w:r>
    </w:p>
    <w:p w14:paraId="6DAE793D" w14:textId="49D23477"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af-ZA" w:eastAsia="en-US"/>
        </w:rPr>
      </w:pPr>
      <w:r w:rsidRPr="00A83C94">
        <w:rPr>
          <w:b w:val="0"/>
          <w:color w:val="000000"/>
          <w:szCs w:val="22"/>
          <w:lang w:val="hy-AM" w:eastAsia="en-US"/>
        </w:rPr>
        <w:t>Կրթության և գիտության ոլորտների գծով ՀՀ կրթության, գիտության, մշակույթի և սպորտի նախարարության կողմից իրականացվելիք ծրագրերին (առանց կառավարման ապարատի և</w:t>
      </w:r>
      <w:r w:rsidRPr="00A83C94">
        <w:rPr>
          <w:b w:val="0"/>
          <w:color w:val="000000"/>
          <w:szCs w:val="22"/>
          <w:lang w:val="af-ZA" w:eastAsia="en-US"/>
        </w:rPr>
        <w:t xml:space="preserve"> </w:t>
      </w:r>
      <w:r w:rsidRPr="00A83C94">
        <w:rPr>
          <w:b w:val="0"/>
          <w:color w:val="000000"/>
          <w:szCs w:val="22"/>
          <w:lang w:val="hy-AM" w:eastAsia="en-US"/>
        </w:rPr>
        <w:t>վարկային</w:t>
      </w:r>
      <w:r w:rsidRPr="00A83C94">
        <w:rPr>
          <w:b w:val="0"/>
          <w:color w:val="000000"/>
          <w:szCs w:val="22"/>
          <w:lang w:val="af-ZA" w:eastAsia="en-US"/>
        </w:rPr>
        <w:t xml:space="preserve"> </w:t>
      </w:r>
      <w:r w:rsidRPr="00A83C94">
        <w:rPr>
          <w:b w:val="0"/>
          <w:color w:val="000000"/>
          <w:szCs w:val="22"/>
          <w:lang w:val="hy-AM" w:eastAsia="en-US"/>
        </w:rPr>
        <w:t>ու</w:t>
      </w:r>
      <w:r w:rsidRPr="00A83C94">
        <w:rPr>
          <w:b w:val="0"/>
          <w:color w:val="000000"/>
          <w:szCs w:val="22"/>
          <w:lang w:val="af-ZA" w:eastAsia="en-US"/>
        </w:rPr>
        <w:t xml:space="preserve"> </w:t>
      </w:r>
      <w:r w:rsidRPr="00A83C94">
        <w:rPr>
          <w:b w:val="0"/>
          <w:color w:val="000000"/>
          <w:szCs w:val="22"/>
          <w:lang w:val="hy-AM" w:eastAsia="en-US"/>
        </w:rPr>
        <w:t>դրամաշնորհային</w:t>
      </w:r>
      <w:r w:rsidRPr="00A83C94">
        <w:rPr>
          <w:b w:val="0"/>
          <w:color w:val="000000"/>
          <w:szCs w:val="22"/>
          <w:lang w:val="af-ZA" w:eastAsia="en-US"/>
        </w:rPr>
        <w:t xml:space="preserve"> </w:t>
      </w:r>
      <w:r w:rsidRPr="00A83C94">
        <w:rPr>
          <w:b w:val="0"/>
          <w:color w:val="000000"/>
          <w:szCs w:val="22"/>
          <w:lang w:val="hy-AM" w:eastAsia="en-US"/>
        </w:rPr>
        <w:t>միջոցների</w:t>
      </w:r>
      <w:r w:rsidRPr="00A83C94">
        <w:rPr>
          <w:b w:val="0"/>
          <w:color w:val="000000"/>
          <w:szCs w:val="22"/>
          <w:lang w:val="af-ZA" w:eastAsia="en-US"/>
        </w:rPr>
        <w:t xml:space="preserve"> </w:t>
      </w:r>
      <w:r w:rsidRPr="00A83C94">
        <w:rPr>
          <w:b w:val="0"/>
          <w:color w:val="000000"/>
          <w:szCs w:val="22"/>
          <w:lang w:val="hy-AM" w:eastAsia="en-US"/>
        </w:rPr>
        <w:t xml:space="preserve">գծով ծախսերի) նախատեսվում է հատկացնել </w:t>
      </w:r>
      <w:r w:rsidRPr="00A83C94">
        <w:rPr>
          <w:b w:val="0"/>
          <w:szCs w:val="22"/>
          <w:lang w:val="hy-AM" w:eastAsia="en-US"/>
        </w:rPr>
        <w:t>1</w:t>
      </w:r>
      <w:r w:rsidR="008E2D57" w:rsidRPr="008E2D57">
        <w:rPr>
          <w:b w:val="0"/>
          <w:szCs w:val="22"/>
          <w:lang w:val="hy-AM" w:eastAsia="en-US"/>
        </w:rPr>
        <w:t>88</w:t>
      </w:r>
      <w:r w:rsidRPr="00A83C94">
        <w:rPr>
          <w:b w:val="0"/>
          <w:szCs w:val="22"/>
          <w:lang w:val="hy-AM" w:eastAsia="en-US"/>
        </w:rPr>
        <w:t xml:space="preserve">,777.5 մլն դրամ՝ 2021 թվականի 150,790.1 մլն դրամի դիմաց, ծախսերի աճը կազմել է </w:t>
      </w:r>
      <w:r w:rsidR="008E2D57" w:rsidRPr="008E2D57">
        <w:rPr>
          <w:b w:val="0"/>
          <w:szCs w:val="22"/>
          <w:lang w:val="hy-AM" w:eastAsia="en-US"/>
        </w:rPr>
        <w:t>37</w:t>
      </w:r>
      <w:r w:rsidRPr="00A83C94">
        <w:rPr>
          <w:b w:val="0"/>
          <w:szCs w:val="22"/>
          <w:lang w:val="hy-AM" w:eastAsia="en-US"/>
        </w:rPr>
        <w:t>,987.4 մլն դրամ կամ 2</w:t>
      </w:r>
      <w:r w:rsidR="008E2D57" w:rsidRPr="00A21A24">
        <w:rPr>
          <w:b w:val="0"/>
          <w:szCs w:val="22"/>
          <w:lang w:val="hy-AM" w:eastAsia="en-US"/>
        </w:rPr>
        <w:t>5</w:t>
      </w:r>
      <w:r w:rsidRPr="00A83C94">
        <w:rPr>
          <w:b w:val="0"/>
          <w:szCs w:val="22"/>
          <w:lang w:val="hy-AM" w:eastAsia="en-US"/>
        </w:rPr>
        <w:t>.</w:t>
      </w:r>
      <w:r w:rsidR="008E2D57" w:rsidRPr="00A21A24">
        <w:rPr>
          <w:b w:val="0"/>
          <w:szCs w:val="22"/>
          <w:lang w:val="hy-AM" w:eastAsia="en-US"/>
        </w:rPr>
        <w:t>2</w:t>
      </w:r>
      <w:r w:rsidRPr="00A83C94">
        <w:rPr>
          <w:b w:val="0"/>
          <w:szCs w:val="22"/>
          <w:lang w:val="hy-AM" w:eastAsia="en-US"/>
        </w:rPr>
        <w:t xml:space="preserve"> տոկոս: </w:t>
      </w:r>
    </w:p>
    <w:p w14:paraId="596DF818" w14:textId="77777777" w:rsidR="00907596" w:rsidRPr="00A83C94" w:rsidRDefault="00907596" w:rsidP="007C65A5">
      <w:pPr>
        <w:numPr>
          <w:ilvl w:val="12"/>
          <w:numId w:val="0"/>
        </w:numPr>
        <w:tabs>
          <w:tab w:val="left" w:pos="851"/>
          <w:tab w:val="left" w:pos="9214"/>
        </w:tabs>
        <w:spacing w:before="0" w:line="276" w:lineRule="auto"/>
        <w:ind w:firstLine="720"/>
        <w:contextualSpacing w:val="0"/>
        <w:rPr>
          <w:b w:val="0"/>
          <w:color w:val="000000"/>
          <w:szCs w:val="22"/>
          <w:lang w:val="af-ZA" w:eastAsia="en-US"/>
        </w:rPr>
      </w:pPr>
      <w:r w:rsidRPr="00A83C94">
        <w:rPr>
          <w:b w:val="0"/>
          <w:color w:val="000000"/>
          <w:szCs w:val="22"/>
          <w:lang w:val="fr-FR" w:eastAsia="en-US"/>
        </w:rPr>
        <w:t>2022</w:t>
      </w:r>
      <w:r w:rsidRPr="00A83C94">
        <w:rPr>
          <w:b w:val="0"/>
          <w:color w:val="000000"/>
          <w:szCs w:val="22"/>
          <w:lang w:val="hy-AM" w:eastAsia="en-US"/>
        </w:rPr>
        <w:t xml:space="preserve"> թվականին նախարարությանը նախատեսված հատկացումներն ուղղվելու են </w:t>
      </w:r>
      <w:r w:rsidRPr="00A83C94">
        <w:rPr>
          <w:b w:val="0"/>
          <w:color w:val="000000"/>
          <w:szCs w:val="22"/>
          <w:lang w:val="fr-FR" w:eastAsia="en-US"/>
        </w:rPr>
        <w:t>10</w:t>
      </w:r>
      <w:r w:rsidRPr="00A83C94">
        <w:rPr>
          <w:b w:val="0"/>
          <w:color w:val="000000"/>
          <w:szCs w:val="22"/>
          <w:lang w:val="hy-AM" w:eastAsia="en-US"/>
        </w:rPr>
        <w:t xml:space="preserve"> ծրագրերի իրականացմանը: Մասնավորապես.</w:t>
      </w:r>
    </w:p>
    <w:p w14:paraId="6AD38FF3" w14:textId="1CE7542A"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af-ZA" w:eastAsia="en-US"/>
        </w:rPr>
      </w:pPr>
      <w:r w:rsidRPr="00A83C94">
        <w:rPr>
          <w:color w:val="000000"/>
          <w:szCs w:val="22"/>
          <w:lang w:val="hy-AM" w:eastAsia="en-US"/>
        </w:rPr>
        <w:t>Նախնական (արհեստագործական) և միջին մասնագիտական կրթություն</w:t>
      </w:r>
      <w:r w:rsidRPr="00A83C94">
        <w:rPr>
          <w:b w:val="0"/>
          <w:color w:val="000000"/>
          <w:szCs w:val="22"/>
          <w:lang w:val="hy-AM" w:eastAsia="en-US"/>
        </w:rPr>
        <w:t xml:space="preserve"> ծրագրի նպատակն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պատրաստումը: Ծրագրի գծով նախատեսվել է </w:t>
      </w:r>
      <w:r w:rsidRPr="00A83C94">
        <w:rPr>
          <w:b w:val="0"/>
          <w:szCs w:val="22"/>
          <w:lang w:val="hy-AM" w:eastAsia="en-US"/>
        </w:rPr>
        <w:t xml:space="preserve">12,485.8 մլն դրամ՝ 2021 թվականի 11,636.1 մլն դրամի դիմաց, ծախսերի </w:t>
      </w:r>
      <w:r w:rsidRPr="00A83C94">
        <w:rPr>
          <w:b w:val="0"/>
          <w:color w:val="000000"/>
          <w:szCs w:val="22"/>
          <w:lang w:val="hy-AM" w:eastAsia="en-US"/>
        </w:rPr>
        <w:t>աճը</w:t>
      </w:r>
      <w:r w:rsidRPr="00A83C94">
        <w:rPr>
          <w:b w:val="0"/>
          <w:szCs w:val="22"/>
          <w:lang w:val="hy-AM" w:eastAsia="en-US"/>
        </w:rPr>
        <w:t xml:space="preserve"> կազմել է 849.7 մլն դրամ կամ 7.3 տոկոս, պայմանավորված հետևյալով. </w:t>
      </w:r>
    </w:p>
    <w:p w14:paraId="5146584F" w14:textId="77777777" w:rsidR="00907596" w:rsidRPr="00A83C94" w:rsidRDefault="00907596" w:rsidP="007C65A5">
      <w:pPr>
        <w:numPr>
          <w:ilvl w:val="12"/>
          <w:numId w:val="0"/>
        </w:numPr>
        <w:tabs>
          <w:tab w:val="left" w:pos="851"/>
          <w:tab w:val="left" w:pos="9214"/>
        </w:tabs>
        <w:spacing w:before="0" w:line="276" w:lineRule="auto"/>
        <w:ind w:firstLine="720"/>
        <w:contextualSpacing w:val="0"/>
        <w:rPr>
          <w:color w:val="000000"/>
          <w:szCs w:val="22"/>
          <w:shd w:val="clear" w:color="auto" w:fill="FFFFFF"/>
          <w:lang w:val="af-ZA"/>
        </w:rPr>
      </w:pPr>
      <w:r w:rsidRPr="00A83C94">
        <w:rPr>
          <w:rFonts w:cs="GHEA Grapalat"/>
          <w:b w:val="0"/>
          <w:szCs w:val="22"/>
          <w:lang w:val="hy-AM" w:eastAsia="en-US"/>
        </w:rPr>
        <w:t>սովորողների թվաքանակների փոփոխության արդյունքում՝ ծախսերը նվազել են 130</w:t>
      </w:r>
      <w:r w:rsidRPr="00A83C94">
        <w:rPr>
          <w:b w:val="0"/>
          <w:szCs w:val="22"/>
          <w:lang w:val="hy-AM" w:eastAsia="en-US"/>
        </w:rPr>
        <w:t>.</w:t>
      </w:r>
      <w:r w:rsidRPr="00A83C94">
        <w:rPr>
          <w:rFonts w:cs="GHEA Grapalat"/>
          <w:b w:val="0"/>
          <w:szCs w:val="22"/>
          <w:lang w:val="hy-AM" w:eastAsia="en-US"/>
        </w:rPr>
        <w:t>1 մլն դրամով, միաժամանակ, 75</w:t>
      </w:r>
      <w:r w:rsidRPr="00A83C94">
        <w:rPr>
          <w:b w:val="0"/>
          <w:szCs w:val="22"/>
          <w:lang w:val="hy-AM" w:eastAsia="en-US"/>
        </w:rPr>
        <w:t>.</w:t>
      </w:r>
      <w:r w:rsidRPr="00A83C94">
        <w:rPr>
          <w:rFonts w:cs="GHEA Grapalat"/>
          <w:b w:val="0"/>
          <w:szCs w:val="22"/>
          <w:lang w:val="hy-AM" w:eastAsia="en-US"/>
        </w:rPr>
        <w:t xml:space="preserve">8 մլն դրամ է նախատեսվել </w:t>
      </w:r>
      <w:r w:rsidRPr="00A83C94">
        <w:rPr>
          <w:b w:val="0"/>
          <w:szCs w:val="22"/>
          <w:lang w:val="hy-AM" w:eastAsia="en-US"/>
        </w:rPr>
        <w:t>մարտական գործողություններին մասնակցած ուսանողների, երկու և ավելի անչափահաս երեխա ունեցող ուսանողների ուսման վճարի մասնակի փոխհատուցման գծով՝ 2021 թվականի հուլիսին ընդունված ՀՕ-318-Ն և ՀՕ-319-Ն օրենքների կիրարկմամբ պայմանավորված</w:t>
      </w:r>
      <w:r w:rsidRPr="00A83C94">
        <w:rPr>
          <w:rFonts w:cs="GHEA Grapalat"/>
          <w:b w:val="0"/>
          <w:szCs w:val="22"/>
          <w:lang w:val="hy-AM" w:eastAsia="en-US"/>
        </w:rPr>
        <w:t xml:space="preserve">: </w:t>
      </w:r>
      <w:r w:rsidRPr="00A83C94">
        <w:rPr>
          <w:b w:val="0"/>
          <w:color w:val="000000"/>
          <w:szCs w:val="22"/>
          <w:lang w:val="hy-AM" w:eastAsia="en-US"/>
        </w:rPr>
        <w:t>Ծրագրով ծախսերը նախատեսվել են հանրապետության 21 արհեստագործական ուսումնարաններում արհեստագործական կրթության մեջ ընդգրկվող 7.8 հազար սովորողների ուսուցման գծով` 2021 թվականի 7.9 հազարի դիմաց (սովորողների թվաքանակը 2022 թվականին կնվազի 0.1 հազարով) և 69 հաստատություններում միջին մասնագիտական կրթության մեջ ընդգրկվող 21.6 հազար սովորողների ուսուցման գծով` 2021 թվականի 22.3 հազարի դիմաց (սովորողների թվաքանակը կնվազի 0.7</w:t>
      </w:r>
      <w:r w:rsidRPr="00A83C94">
        <w:rPr>
          <w:b w:val="0"/>
          <w:szCs w:val="22"/>
          <w:lang w:val="hy-AM" w:eastAsia="en-US"/>
        </w:rPr>
        <w:t xml:space="preserve"> հազարով):</w:t>
      </w:r>
      <w:r w:rsidRPr="00A83C94">
        <w:rPr>
          <w:color w:val="000000"/>
          <w:szCs w:val="22"/>
          <w:shd w:val="clear" w:color="auto" w:fill="FFFFFF"/>
          <w:lang w:val="hy-AM"/>
        </w:rPr>
        <w:t xml:space="preserve"> </w:t>
      </w:r>
    </w:p>
    <w:p w14:paraId="12B6B248" w14:textId="66EC879F"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rFonts w:cs="GHEA Grapalat"/>
          <w:b w:val="0"/>
          <w:szCs w:val="22"/>
          <w:lang w:val="hy-AM" w:eastAsia="en-US"/>
        </w:rPr>
        <w:t xml:space="preserve">Նախագծով </w:t>
      </w:r>
      <w:r w:rsidRPr="00A83C94">
        <w:rPr>
          <w:b w:val="0"/>
          <w:szCs w:val="22"/>
          <w:lang w:val="hy-AM" w:eastAsia="en-US"/>
        </w:rPr>
        <w:t>«</w:t>
      </w:r>
      <w:r w:rsidRPr="00A83C94">
        <w:rPr>
          <w:rFonts w:cs="GHEA Grapalat"/>
          <w:b w:val="0"/>
          <w:szCs w:val="22"/>
          <w:lang w:val="hy-AM" w:eastAsia="en-US"/>
        </w:rPr>
        <w:t xml:space="preserve">Նախնական մասնագիտական (արհեստագործական) և միջին մասնագիտական ուսումնական հաստատությունների շենքային պայմանների բարելավում» միջոցառման շրջանակներում Նոր Գեղիի ակադեմիկոս Գ. Աղաջանյանի անվան պետական և Գորիսի պրոֆեսոր Խ. Երիցյանի անվան պետական գյուղատնտեսական </w:t>
      </w:r>
      <w:r w:rsidR="00965CDC" w:rsidRPr="00A83C94">
        <w:rPr>
          <w:rFonts w:cs="GHEA Grapalat"/>
          <w:b w:val="0"/>
          <w:szCs w:val="22"/>
          <w:lang w:val="hy-AM" w:eastAsia="en-US"/>
        </w:rPr>
        <w:t xml:space="preserve">քոլեջների շինարարական և Երևանի թեթև արդյունաբերության պետական քոլեջի նախագծային աշխատանքների իրականացման </w:t>
      </w:r>
      <w:r w:rsidRPr="00A83C94">
        <w:rPr>
          <w:rFonts w:cs="GHEA Grapalat"/>
          <w:b w:val="0"/>
          <w:szCs w:val="22"/>
          <w:lang w:val="hy-AM" w:eastAsia="en-US"/>
        </w:rPr>
        <w:t xml:space="preserve">նպատակով նախատեսվել է 1,173.9 մլն դրամ՝ 2021 թվականի 269.9 մլն դրամի դիմաց կամ՝ ծախսերի աճը կազմել է </w:t>
      </w:r>
      <w:r w:rsidRPr="00A83C94">
        <w:rPr>
          <w:rFonts w:cs="GHEA Grapalat"/>
          <w:b w:val="0"/>
          <w:szCs w:val="22"/>
          <w:lang w:val="af-ZA" w:eastAsia="en-US"/>
        </w:rPr>
        <w:t>904</w:t>
      </w:r>
      <w:r w:rsidRPr="00A83C94">
        <w:rPr>
          <w:rFonts w:cs="GHEA Grapalat"/>
          <w:b w:val="0"/>
          <w:szCs w:val="22"/>
          <w:lang w:val="hy-AM" w:eastAsia="en-US"/>
        </w:rPr>
        <w:t xml:space="preserve">.0 մլն դրամ </w:t>
      </w:r>
      <w:r w:rsidRPr="00A83C94">
        <w:rPr>
          <w:b w:val="0"/>
          <w:szCs w:val="22"/>
          <w:lang w:val="hy-AM" w:eastAsia="en-US"/>
        </w:rPr>
        <w:t>(ընդհանուր առմամբ՝ կրթական օբյեկտների հիմնանորոգման, շինարարության և գույքով ապահովման գծով ծախսերը նախատեսվել են 2</w:t>
      </w:r>
      <w:r w:rsidR="00A21A24" w:rsidRPr="00A21A24">
        <w:rPr>
          <w:b w:val="0"/>
          <w:szCs w:val="22"/>
          <w:lang w:val="af-ZA" w:eastAsia="en-US"/>
        </w:rPr>
        <w:t>0</w:t>
      </w:r>
      <w:r w:rsidRPr="00A83C94">
        <w:rPr>
          <w:b w:val="0"/>
          <w:szCs w:val="22"/>
          <w:lang w:val="hy-AM" w:eastAsia="en-US"/>
        </w:rPr>
        <w:t xml:space="preserve">,448.6 մլն դրամի չափով, որը 2021 թվականի համար հաստատված համապատասխան ցուցանիշից (1,327.6 մլն դրամ) ավել է </w:t>
      </w:r>
      <w:r w:rsidR="00A21A24" w:rsidRPr="00A21A24">
        <w:rPr>
          <w:b w:val="0"/>
          <w:szCs w:val="22"/>
          <w:lang w:val="af-ZA" w:eastAsia="en-US"/>
        </w:rPr>
        <w:t>19</w:t>
      </w:r>
      <w:r w:rsidRPr="00A83C94">
        <w:rPr>
          <w:b w:val="0"/>
          <w:szCs w:val="22"/>
          <w:lang w:val="hy-AM" w:eastAsia="en-US"/>
        </w:rPr>
        <w:t xml:space="preserve">,121.0 մլն դրամով: Կրթական օբյեկտների կառուցման և հիմնանորոգման աշխատանքների, ինչպես նաև գույքով ապահովման գծով ծախսերն ուղղված են ուսումնական գործընթացը բարելավված շենքային պայմաններում կազմակերպելու ապահովմանը և համահունչ են ՀՀ կառավարության 2021 թվականի օգոստոսի 18-ի N 1363-Ա որոշմամբ հաստատված՝ ՀՀ կառավարության ծրագրի «4.3 Կրթություն» բաժնում սահմանված ՀՀ կառավարության քաղաքականության նպատակներին և թիրախներին: </w:t>
      </w:r>
    </w:p>
    <w:p w14:paraId="05E236FF" w14:textId="170F75A8" w:rsidR="00907596" w:rsidRPr="00A83C94" w:rsidRDefault="00907596" w:rsidP="007C65A5">
      <w:pPr>
        <w:numPr>
          <w:ilvl w:val="12"/>
          <w:numId w:val="0"/>
        </w:numPr>
        <w:tabs>
          <w:tab w:val="left" w:pos="851"/>
          <w:tab w:val="left" w:pos="9214"/>
        </w:tabs>
        <w:spacing w:before="0" w:line="276" w:lineRule="auto"/>
        <w:ind w:firstLine="720"/>
        <w:contextualSpacing w:val="0"/>
        <w:rPr>
          <w:rFonts w:cs="GHEA Grapalat"/>
          <w:b w:val="0"/>
          <w:szCs w:val="22"/>
          <w:lang w:val="hy-AM" w:eastAsia="en-US"/>
        </w:rPr>
      </w:pPr>
      <w:r w:rsidRPr="00A83C94">
        <w:rPr>
          <w:szCs w:val="22"/>
          <w:lang w:val="hy-AM" w:eastAsia="en-US"/>
        </w:rPr>
        <w:t xml:space="preserve">Բարձրագույն և հետբուհական մասնագիտական կրթության </w:t>
      </w:r>
      <w:r w:rsidRPr="00A83C94">
        <w:rPr>
          <w:b w:val="0"/>
          <w:szCs w:val="22"/>
          <w:lang w:val="hy-AM" w:eastAsia="en-US"/>
        </w:rPr>
        <w:t xml:space="preserve">ծրագրի նպատակն է՝ ապահովել մատչելի, որակյալ և մրցունակ բարձրագույն և հետբուհական մասնագիտական կրթություն: Ծրագրի գծով նախատեսվել է </w:t>
      </w:r>
      <w:r w:rsidRPr="00A83C94">
        <w:rPr>
          <w:rFonts w:cs="GHEA Grapalat"/>
          <w:b w:val="0"/>
          <w:szCs w:val="22"/>
          <w:lang w:val="hy-AM" w:eastAsia="en-US"/>
        </w:rPr>
        <w:t xml:space="preserve">14,593.1 </w:t>
      </w:r>
      <w:r w:rsidRPr="00A83C94">
        <w:rPr>
          <w:b w:val="0"/>
          <w:szCs w:val="22"/>
          <w:lang w:val="hy-AM" w:eastAsia="en-US"/>
        </w:rPr>
        <w:t xml:space="preserve">մլն դրամ՝ 2021 թվականի </w:t>
      </w:r>
      <w:r w:rsidRPr="00A83C94">
        <w:rPr>
          <w:rFonts w:cs="GHEA Grapalat"/>
          <w:b w:val="0"/>
          <w:szCs w:val="22"/>
          <w:lang w:val="hy-AM" w:eastAsia="en-US"/>
        </w:rPr>
        <w:t xml:space="preserve">11,861.9 </w:t>
      </w:r>
      <w:r w:rsidRPr="00A83C94">
        <w:rPr>
          <w:b w:val="0"/>
          <w:szCs w:val="22"/>
          <w:lang w:val="hy-AM" w:eastAsia="en-US"/>
        </w:rPr>
        <w:t xml:space="preserve">մլն դրամի դիմաց, ծախսերի </w:t>
      </w:r>
      <w:r w:rsidRPr="00A83C94">
        <w:rPr>
          <w:rFonts w:cs="GHEA Grapalat"/>
          <w:b w:val="0"/>
          <w:szCs w:val="22"/>
          <w:lang w:val="hy-AM" w:eastAsia="en-US"/>
        </w:rPr>
        <w:t>աճը</w:t>
      </w:r>
      <w:r w:rsidRPr="00A83C94">
        <w:rPr>
          <w:b w:val="0"/>
          <w:szCs w:val="22"/>
          <w:lang w:val="hy-AM" w:eastAsia="en-US"/>
        </w:rPr>
        <w:t xml:space="preserve"> կազմել է 2</w:t>
      </w:r>
      <w:r w:rsidRPr="00A83C94">
        <w:rPr>
          <w:rFonts w:cs="GHEA Grapalat"/>
          <w:b w:val="0"/>
          <w:szCs w:val="22"/>
          <w:lang w:val="hy-AM" w:eastAsia="en-US"/>
        </w:rPr>
        <w:t xml:space="preserve">,731.2 </w:t>
      </w:r>
      <w:r w:rsidRPr="00A83C94">
        <w:rPr>
          <w:b w:val="0"/>
          <w:szCs w:val="22"/>
          <w:lang w:val="hy-AM" w:eastAsia="en-US"/>
        </w:rPr>
        <w:t>մլն դրամ կամ 23.0 տոկոս՝</w:t>
      </w:r>
      <w:r w:rsidRPr="00A83C94">
        <w:rPr>
          <w:rFonts w:cs="GHEA Grapalat"/>
          <w:b w:val="0"/>
          <w:szCs w:val="22"/>
          <w:lang w:val="hy-AM" w:eastAsia="en-US"/>
        </w:rPr>
        <w:t xml:space="preserve"> պայմանավորված ուսանողների թվաքանակների փոփոխությամբ:</w:t>
      </w:r>
    </w:p>
    <w:p w14:paraId="52648903" w14:textId="77777777"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b w:val="0"/>
          <w:szCs w:val="22"/>
          <w:lang w:val="hy-AM" w:eastAsia="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13,780.8 մլն դրամ՝ 2021 թվականի 11,432.0 մլն դրամի դիմաց, կամ՝ ծախսերի </w:t>
      </w:r>
      <w:r w:rsidRPr="00A83C94">
        <w:rPr>
          <w:rFonts w:cs="GHEA Grapalat"/>
          <w:b w:val="0"/>
          <w:szCs w:val="22"/>
          <w:lang w:val="hy-AM" w:eastAsia="en-US"/>
        </w:rPr>
        <w:t>աճը</w:t>
      </w:r>
      <w:r w:rsidRPr="00A83C94">
        <w:rPr>
          <w:b w:val="0"/>
          <w:szCs w:val="22"/>
          <w:lang w:val="hy-AM" w:eastAsia="en-US"/>
        </w:rPr>
        <w:t xml:space="preserve"> կազմում է 2,348.8 մլն դրամ կամ 20.5 տոկոս</w:t>
      </w:r>
      <w:r w:rsidRPr="00A83C94">
        <w:rPr>
          <w:rFonts w:cs="GHEA Grapalat"/>
          <w:b w:val="0"/>
          <w:szCs w:val="22"/>
          <w:lang w:val="hy-AM" w:eastAsia="en-US"/>
        </w:rPr>
        <w:t xml:space="preserve">: </w:t>
      </w:r>
      <w:r w:rsidRPr="00A83C94">
        <w:rPr>
          <w:b w:val="0"/>
          <w:szCs w:val="22"/>
          <w:lang w:val="hy-AM" w:eastAsia="en-US"/>
        </w:rPr>
        <w:t>Նշված միջոցառումների գծով ծախսերը նախատեսվել են 12.5 հազար ուսանողի հաշվով` 2021 թվականի 12.3 հազարի դիմաց (ուսանողների թվաքանակը 2022 թվականին կաճի 0.2 հազարով):</w:t>
      </w:r>
    </w:p>
    <w:p w14:paraId="75E910A7"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Նախագծով «Բարձրագույն մասնագիտական կրթության գծով ուսանողական նպաստների տրամադրում» միջոցառման հաշվարկներում 748.0 մլն դրամ է նախատեսվել 2020 թվականի սեպտեմբերի 27-ից Ադրբեջանի Հանրապետության կողմից Արցախի Հանրապետության դեմ սանձազերծված պատերազմի ընթացքում մարտական գործողությունների մասնակից սովորողների, ինչպես նաև պատերազմի ընթացքում մարտական գործողությունների մասնակից անձանց սովորող երեխաների և սովորող ամուսնու՝ 1-ին կիսամյակի ուսման վարձի 100% փոխհատուցման գծով, համաձայն ՀՀ կառավարության 2020 թվականի դեկտեմբերի 10-ի N2008-Լ որոշման, ևս 990.0 մլն դրամ է նախատեսվել մարտական գործողություններին մասնակցած ուսանողների, երկու և ավելի անչափահաս երեխա ունեցող ուսանողների ուսման վճարի մասնակի փոխհատուցման գծով՝ 2021 թվականի հուլիսին ընդունված ՀՕ-317-Ն և ՀՕ-319-Ն օրենքների կիրարկմամբ պայմանավորված: </w:t>
      </w:r>
    </w:p>
    <w:p w14:paraId="0930CB56" w14:textId="77777777" w:rsidR="00907596" w:rsidRPr="00A83C94" w:rsidRDefault="00907596" w:rsidP="007C65A5">
      <w:pPr>
        <w:spacing w:before="0" w:line="276" w:lineRule="auto"/>
        <w:ind w:firstLine="547"/>
        <w:rPr>
          <w:rFonts w:eastAsia="Calibri"/>
          <w:b w:val="0"/>
          <w:szCs w:val="22"/>
          <w:lang w:val="hy-AM" w:eastAsia="en-US"/>
        </w:rPr>
      </w:pPr>
      <w:r w:rsidRPr="00A83C94">
        <w:rPr>
          <w:b w:val="0"/>
          <w:szCs w:val="22"/>
          <w:lang w:val="hy-AM" w:eastAsia="en-US"/>
        </w:rPr>
        <w:t xml:space="preserve">Նախագծով </w:t>
      </w:r>
      <w:r w:rsidRPr="00A83C94">
        <w:rPr>
          <w:rFonts w:eastAsia="Calibri"/>
          <w:b w:val="0"/>
          <w:szCs w:val="22"/>
          <w:lang w:val="af-ZA" w:eastAsia="en-US"/>
        </w:rPr>
        <w:t>473.0 մլն դրամ</w:t>
      </w:r>
      <w:r w:rsidRPr="00A83C94">
        <w:rPr>
          <w:rFonts w:eastAsia="Calibri"/>
          <w:b w:val="0"/>
          <w:szCs w:val="22"/>
          <w:lang w:val="hy-AM" w:eastAsia="en-US"/>
        </w:rPr>
        <w:t xml:space="preserve"> է նախատեսվել </w:t>
      </w:r>
      <w:r w:rsidRPr="00A83C94">
        <w:rPr>
          <w:rFonts w:eastAsia="Calibri"/>
          <w:b w:val="0"/>
          <w:szCs w:val="22"/>
          <w:lang w:val="af-ZA" w:eastAsia="en-US"/>
        </w:rPr>
        <w:t>«Երևանի Կոմիտասի անվան պետական կոնսերվատորիա» ՊՈԱԿ-ի շինարարական աշխատանքների</w:t>
      </w:r>
      <w:r w:rsidRPr="00A83C94">
        <w:rPr>
          <w:rFonts w:eastAsia="Calibri"/>
          <w:b w:val="0"/>
          <w:szCs w:val="22"/>
          <w:lang w:val="hy-AM" w:eastAsia="en-US"/>
        </w:rPr>
        <w:t xml:space="preserve"> գծով </w:t>
      </w:r>
      <w:r w:rsidRPr="00A83C94">
        <w:rPr>
          <w:rFonts w:cs="Arial"/>
          <w:b w:val="0"/>
          <w:szCs w:val="22"/>
          <w:lang w:val="hy-AM" w:eastAsia="en-US"/>
        </w:rPr>
        <w:t>(2021 թվականին նշված ծախսը նախատեսված չի եղել)</w:t>
      </w:r>
      <w:r w:rsidRPr="00A83C94">
        <w:rPr>
          <w:rFonts w:eastAsia="Calibri"/>
          <w:b w:val="0"/>
          <w:szCs w:val="22"/>
          <w:lang w:val="af-ZA" w:eastAsia="en-US"/>
        </w:rPr>
        <w:t>:</w:t>
      </w:r>
      <w:r w:rsidRPr="00A83C94">
        <w:rPr>
          <w:b w:val="0"/>
          <w:szCs w:val="22"/>
          <w:lang w:val="hy-AM" w:eastAsia="en-US"/>
        </w:rPr>
        <w:t xml:space="preserve"> </w:t>
      </w:r>
    </w:p>
    <w:p w14:paraId="70D811AB" w14:textId="77777777" w:rsidR="00907596" w:rsidRPr="00A83C94" w:rsidRDefault="00907596" w:rsidP="007C65A5">
      <w:pPr>
        <w:spacing w:before="0" w:line="276" w:lineRule="auto"/>
        <w:ind w:firstLine="547"/>
        <w:rPr>
          <w:rFonts w:eastAsia="Calibri"/>
          <w:b w:val="0"/>
          <w:szCs w:val="22"/>
          <w:lang w:val="hy-AM" w:eastAsia="en-US"/>
        </w:rPr>
      </w:pPr>
      <w:r w:rsidRPr="00A83C94">
        <w:rPr>
          <w:b w:val="0"/>
          <w:szCs w:val="22"/>
          <w:lang w:val="hy-AM" w:eastAsia="en-US"/>
        </w:rPr>
        <w:t>Բարձրագույն կրթության ոլորտի բարեփոխումներն ամրագրված են ՀՀ կառավարության ծրագրի «4.3 Կրթություն» բաժնում:</w:t>
      </w:r>
    </w:p>
    <w:p w14:paraId="2C2AD09F" w14:textId="6D5F174D" w:rsidR="00907596" w:rsidRPr="00A83C94" w:rsidRDefault="00907596" w:rsidP="007C65A5">
      <w:pPr>
        <w:spacing w:before="0" w:line="276" w:lineRule="auto"/>
        <w:ind w:firstLine="547"/>
        <w:rPr>
          <w:b w:val="0"/>
          <w:szCs w:val="22"/>
          <w:lang w:val="hy-AM" w:eastAsia="en-US"/>
        </w:rPr>
      </w:pPr>
      <w:r w:rsidRPr="00A83C94">
        <w:rPr>
          <w:szCs w:val="22"/>
          <w:lang w:val="hy-AM" w:eastAsia="en-US"/>
        </w:rPr>
        <w:t xml:space="preserve">Հանրակրթության </w:t>
      </w:r>
      <w:r w:rsidR="009A779D" w:rsidRPr="00A83C94">
        <w:rPr>
          <w:b w:val="0"/>
          <w:szCs w:val="22"/>
          <w:lang w:val="hy-AM" w:eastAsia="en-US"/>
        </w:rPr>
        <w:t>ծրագրի</w:t>
      </w:r>
      <w:r w:rsidRPr="00A83C94">
        <w:rPr>
          <w:b w:val="0"/>
          <w:szCs w:val="22"/>
          <w:lang w:val="hy-AM" w:eastAsia="en-US"/>
        </w:rPr>
        <w:t xml:space="preserve"> նպատակն է՝ ապահովել անվճար և որակյալ հանրակրթություն: Ծրագրի գծով նախատեսվել է 11</w:t>
      </w:r>
      <w:r w:rsidR="00A21A24" w:rsidRPr="00A21A24">
        <w:rPr>
          <w:b w:val="0"/>
          <w:szCs w:val="22"/>
          <w:lang w:val="hy-AM" w:eastAsia="en-US"/>
        </w:rPr>
        <w:t>2</w:t>
      </w:r>
      <w:r w:rsidR="00A21A24">
        <w:rPr>
          <w:b w:val="0"/>
          <w:szCs w:val="22"/>
          <w:lang w:val="hy-AM" w:eastAsia="en-US"/>
        </w:rPr>
        <w:t>,2</w:t>
      </w:r>
      <w:r w:rsidRPr="00A83C94">
        <w:rPr>
          <w:b w:val="0"/>
          <w:szCs w:val="22"/>
          <w:lang w:val="hy-AM" w:eastAsia="en-US"/>
        </w:rPr>
        <w:t>80.8</w:t>
      </w:r>
      <w:r w:rsidRPr="00A83C94">
        <w:rPr>
          <w:rFonts w:cs="GHEA Grapalat"/>
          <w:b w:val="0"/>
          <w:szCs w:val="22"/>
          <w:lang w:val="hy-AM" w:eastAsia="en-US"/>
        </w:rPr>
        <w:t xml:space="preserve"> </w:t>
      </w:r>
      <w:r w:rsidRPr="00A83C94">
        <w:rPr>
          <w:b w:val="0"/>
          <w:szCs w:val="22"/>
          <w:lang w:val="hy-AM" w:eastAsia="en-US"/>
        </w:rPr>
        <w:t>մլն դրամ՝ 2021 թվականի 103,163.0</w:t>
      </w:r>
      <w:r w:rsidRPr="00A83C94">
        <w:rPr>
          <w:rFonts w:cs="GHEA Grapalat"/>
          <w:b w:val="0"/>
          <w:szCs w:val="22"/>
          <w:lang w:val="hy-AM" w:eastAsia="en-US"/>
        </w:rPr>
        <w:t xml:space="preserve"> </w:t>
      </w:r>
      <w:r w:rsidRPr="00A83C94">
        <w:rPr>
          <w:b w:val="0"/>
          <w:szCs w:val="22"/>
          <w:lang w:val="hy-AM" w:eastAsia="en-US"/>
        </w:rPr>
        <w:t>մլն դրամի</w:t>
      </w:r>
      <w:r w:rsidR="00A21A24">
        <w:rPr>
          <w:b w:val="0"/>
          <w:szCs w:val="22"/>
          <w:lang w:val="hy-AM" w:eastAsia="en-US"/>
        </w:rPr>
        <w:t xml:space="preserve"> դիմաց, ծախսերի աճը կազմում է 9,1</w:t>
      </w:r>
      <w:r w:rsidRPr="00A83C94">
        <w:rPr>
          <w:b w:val="0"/>
          <w:szCs w:val="22"/>
          <w:lang w:val="hy-AM" w:eastAsia="en-US"/>
        </w:rPr>
        <w:t xml:space="preserve">17.8 մլն </w:t>
      </w:r>
      <w:r w:rsidR="00A21A24">
        <w:rPr>
          <w:b w:val="0"/>
          <w:szCs w:val="22"/>
          <w:lang w:val="hy-AM" w:eastAsia="en-US"/>
        </w:rPr>
        <w:t>դրամ կամ 8</w:t>
      </w:r>
      <w:r w:rsidRPr="00A83C94">
        <w:rPr>
          <w:b w:val="0"/>
          <w:szCs w:val="22"/>
          <w:lang w:val="hy-AM" w:eastAsia="en-US"/>
        </w:rPr>
        <w:t>.</w:t>
      </w:r>
      <w:r w:rsidR="00A21A24" w:rsidRPr="002F02BD">
        <w:rPr>
          <w:b w:val="0"/>
          <w:szCs w:val="22"/>
          <w:lang w:val="hy-AM" w:eastAsia="en-US"/>
        </w:rPr>
        <w:t>8</w:t>
      </w:r>
      <w:r w:rsidRPr="00A83C94">
        <w:rPr>
          <w:b w:val="0"/>
          <w:szCs w:val="22"/>
          <w:lang w:val="hy-AM" w:eastAsia="en-US"/>
        </w:rPr>
        <w:t xml:space="preserve"> տոկոս՝ պայմանավորված սովորողների թվաքանակների փոփոխությամբ: </w:t>
      </w:r>
    </w:p>
    <w:p w14:paraId="01923537"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Ծրագրի շրջանակներում միջոցներ են նախատեսվել պարտադիր կրթության երեք մակարդակներում սովորողների ուսուցման գծով: «Տարրական ընդհանուր հանրակրթություն», «Հիմնական ընդհանուր հանրակրթություն», «Միջնակարգ ընդհանուր հանրակրթություն», «Նախադպրոցական կրթություն» և «Միջնակարգ հանրակրթություն երեկոյան դպրոցում (Շիրակի մարզ)» միջոցառումների գծով նախատեսվել է՝ ընդամենը, 98,990.4 մլն դրամ՝ 2021 թվականի 93,233.5 մլն դրամի դիմաց, ծախսերի աճը կազմում է 5,756.9 մլն դրամ կամ 6.2 տոկոս` պայմանավորված սովորողների թվաքանակների փոփոխությամբ:</w:t>
      </w:r>
    </w:p>
    <w:p w14:paraId="61101D1A"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Նախագծով ծախսերը հաշվարկվել են 1336 հանրակրթական դպրոցների, միջին տարեկան հաշվարկով, 411.9 հազար աշակերտի ուսուցման գծով` 2021 թվականի 402.3  հազարի դիմաց կամ` աշակերտների թվաքանակի ավելացումը կազմում է 9.6 հազար (ընդ որում, հաշվարկներում նախադպրոցական կրթության մեջ ընդգրկվածների թվաքանակը նախատեսվել է 8.6 հազար` 2021 թվականի 7.9 հազարի դիմաց կամ` ավելացումը կազմում է 0.7 հազար երեխա, իսկ հանրակրթական դպրոցների սովորողների թիվը` 403.3 հազար աշակերտ` 2021 թվականի 394.4 հազարի դիմաց կամ՝ ավելացումը կազմում է 8.9 հազար աշակերտ): </w:t>
      </w:r>
    </w:p>
    <w:p w14:paraId="42394909" w14:textId="77777777" w:rsidR="00907596" w:rsidRPr="00A83C94" w:rsidRDefault="00907596" w:rsidP="007C65A5">
      <w:pPr>
        <w:spacing w:before="0" w:line="276" w:lineRule="auto"/>
        <w:ind w:firstLine="547"/>
        <w:rPr>
          <w:b w:val="0"/>
          <w:szCs w:val="22"/>
          <w:lang w:val="hy-AM" w:eastAsia="en-US"/>
        </w:rPr>
      </w:pPr>
      <w:r w:rsidRPr="00A83C94">
        <w:rPr>
          <w:rFonts w:cs="Arial"/>
          <w:b w:val="0"/>
          <w:szCs w:val="22"/>
          <w:lang w:val="hy-AM" w:eastAsia="en-US"/>
        </w:rPr>
        <w:t>Հ</w:t>
      </w:r>
      <w:r w:rsidRPr="00A83C94">
        <w:rPr>
          <w:b w:val="0"/>
          <w:szCs w:val="22"/>
          <w:lang w:val="hy-AM" w:eastAsia="en-US"/>
        </w:rPr>
        <w:t>աշվարկներում համապատասխան միջոցներ են նախատեսվել ՀՀ բոլոր մարզերում և Երևան քաղաքում համընդհանուր ներառական կրթության իրականացման գծով, ինչպես նաև մարզերի հանրակրթական դպրոցների տարրական դասարաններում և դպրոցին նախապատրաստման խմբերում (նախակրթարաններում) ընդգրկված երեխաների սննդով ապահովման գծով: Մասնավորապես, հանրապետության 8 մարզերում (Արագածոտն, Արարատ, Գեղարքունիք, Լոռի, Շիրակ, Սյունիք, Վայոց ձոր, Տավուշ) իրականացվում է «Կայուն դպրոցական սնունդ» ծրագիրը: 2022 թվականի սեպտեմբերից ծրագիրը կներդրվի Արմավիրի մարզում, արդյունքում՝ սննդով կապահովվեն նշված մարզերի հանրակրթական դպրոցների տարրական դասարաններում և դպրոցին նախապատրաստման խմբերում (նախակրթարաններում) ընդգրկված, շուրջ 96.0 հազար երեխաները, որոնցից 16.0 հազարը՝ 2022 թվականի սեպտեմբերից ՀՀ Արմավիրի մարզպետարանի ենթակայության հանրակրթական դպրոցներում:</w:t>
      </w:r>
    </w:p>
    <w:p w14:paraId="2AB3B45D"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 «Դպրոցներում STEM կրթության և ռոբոտատեխնիկայի զարգացման իրականացում» միջոցառման գծով նախատեսվել է 858.6 մլն դրամ՝ 2021 թվականի 767.0 մլն դրամի դիմաց  կամ՝ ծախսերի աճը կազմել է 91.6 մլն դրամ (ծախսերը նախատեսվել են ինժեներական  լաբորատորիաների 855 խմբակավարների վարձատրության գծով` 2021 թվականի 760-ի դիմաց): </w:t>
      </w:r>
    </w:p>
    <w:p w14:paraId="4B1B224F"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2022 թվականին ՀՀ-ում կանցկացվի կենսաբանության միջազգային օլիմպիադան, որի համար նախատեսվել է 324.2 մլն դրամ՝ 2021 թվականի 33.5 մլն դրամի դիմաց կամ՝ ծախսերի աճը կազմել է 290.7 մլն դրամ: </w:t>
      </w:r>
    </w:p>
    <w:p w14:paraId="6B001853" w14:textId="108CEC86"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«Հանրակրթական դպրոցների մանկավարժներին և դպրոցահասակ երեխաներին տրանսպորտային ծախսերի փոխհատուցում» միջոցառման գծով նախատեսվել է շուրջ 515.8 մլն դրամ՝ 2021 թվականի 332.3 մլն դրամի դիմաց, կամ՝ ծախսերի աճը կազմել է 183.5 մլն դրամ (նախատեսված գումարի շրջանակներում ծախսերի փոխհատուցում կստանա շուրջ 4.7 հազար մանկավարժ՝ 2021</w:t>
      </w:r>
      <w:r w:rsidR="000177C6" w:rsidRPr="00A83C94">
        <w:rPr>
          <w:b w:val="0"/>
          <w:szCs w:val="22"/>
          <w:lang w:val="hy-AM" w:eastAsia="en-US"/>
        </w:rPr>
        <w:t xml:space="preserve"> </w:t>
      </w:r>
      <w:r w:rsidRPr="00A83C94">
        <w:rPr>
          <w:b w:val="0"/>
          <w:szCs w:val="22"/>
          <w:lang w:val="hy-AM" w:eastAsia="en-US"/>
        </w:rPr>
        <w:t>թվականի 3.8 հազարի դիմաց</w:t>
      </w:r>
      <w:r w:rsidR="000177C6" w:rsidRPr="00A83C94">
        <w:rPr>
          <w:b w:val="0"/>
          <w:szCs w:val="22"/>
          <w:lang w:val="hy-AM" w:eastAsia="en-US"/>
        </w:rPr>
        <w:t>, ինչպես նաև 940 դպրոցների 2.1 հազար դպրոցահասակ երեխա, դպրոցների թիվը 2021 թվականին կազմել է 794</w:t>
      </w:r>
      <w:r w:rsidRPr="00A83C94">
        <w:rPr>
          <w:b w:val="0"/>
          <w:szCs w:val="22"/>
          <w:lang w:val="hy-AM" w:eastAsia="en-US"/>
        </w:rPr>
        <w:t>):</w:t>
      </w:r>
    </w:p>
    <w:p w14:paraId="7DB20A01" w14:textId="0BD08DB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Ծրագրի շրջանակներում 237.0 մլն դրամ է նախատեսվել «Սոցիալական որոշ խմբերի</w:t>
      </w:r>
      <w:r w:rsidRPr="00A83C94">
        <w:rPr>
          <w:rFonts w:ascii="Calibri" w:hAnsi="Calibri" w:cs="Calibri"/>
          <w:b w:val="0"/>
          <w:szCs w:val="22"/>
          <w:lang w:val="hy-AM" w:eastAsia="en-US"/>
        </w:rPr>
        <w:t> </w:t>
      </w:r>
      <w:r w:rsidRPr="00A83C94">
        <w:rPr>
          <w:b w:val="0"/>
          <w:szCs w:val="22"/>
          <w:lang w:val="hy-AM" w:eastAsia="en-US"/>
        </w:rPr>
        <w:t>1.5-5 տարեկան երեխաների նախադպրոցական կրթության ապահովում» միջոցառման գծով</w:t>
      </w:r>
      <w:r w:rsidR="000177C6" w:rsidRPr="00A83C94">
        <w:rPr>
          <w:b w:val="0"/>
          <w:szCs w:val="22"/>
          <w:lang w:val="hy-AM" w:eastAsia="en-US"/>
        </w:rPr>
        <w:t xml:space="preserve"> (նախադպրոցական կրթության մեջ կընդգրկվի 1670 երեխա)</w:t>
      </w:r>
      <w:r w:rsidR="002F02BD">
        <w:rPr>
          <w:b w:val="0"/>
          <w:szCs w:val="22"/>
          <w:lang w:val="hy-AM" w:eastAsia="en-US"/>
        </w:rPr>
        <w:t>, 3</w:t>
      </w:r>
      <w:r w:rsidRPr="00A83C94">
        <w:rPr>
          <w:b w:val="0"/>
          <w:szCs w:val="22"/>
          <w:lang w:val="hy-AM" w:eastAsia="en-US"/>
        </w:rPr>
        <w:t>,</w:t>
      </w:r>
      <w:r w:rsidR="002F02BD" w:rsidRPr="002F02BD">
        <w:rPr>
          <w:b w:val="0"/>
          <w:szCs w:val="22"/>
          <w:lang w:val="hy-AM" w:eastAsia="en-US"/>
        </w:rPr>
        <w:t>2</w:t>
      </w:r>
      <w:r w:rsidRPr="00A83C94">
        <w:rPr>
          <w:b w:val="0"/>
          <w:szCs w:val="22"/>
          <w:lang w:val="hy-AM" w:eastAsia="en-US"/>
        </w:rPr>
        <w:t>76.0 մլն դրամ էլ նախատեսվել է «Մոդուլային» տիպի մանկապարտեզների շենքայի</w:t>
      </w:r>
      <w:r w:rsidR="002F02BD">
        <w:rPr>
          <w:b w:val="0"/>
          <w:szCs w:val="22"/>
          <w:lang w:val="hy-AM" w:eastAsia="en-US"/>
        </w:rPr>
        <w:t xml:space="preserve">ն ապահովում» միջոցառման գծով՝ </w:t>
      </w:r>
      <w:r w:rsidRPr="00A83C94">
        <w:rPr>
          <w:b w:val="0"/>
          <w:szCs w:val="22"/>
          <w:lang w:val="hy-AM" w:eastAsia="en-US"/>
        </w:rPr>
        <w:t xml:space="preserve"> մանկապարտեզների կառուցման աշխատանքների համար (2021 թվականին նշված ծախսերը նախատեսված չեն եղել):</w:t>
      </w:r>
    </w:p>
    <w:p w14:paraId="3236D11C"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Հանրակրթության և նախադպրոցական կրթության վերաբերյալ դրույթներն ամրագրված են ՀՀ կառավարության ծրագրի «4.3 Կրթություն» բաժնում: </w:t>
      </w:r>
    </w:p>
    <w:p w14:paraId="7C00E5AD" w14:textId="04D75816" w:rsidR="00907596" w:rsidRPr="00A83C94" w:rsidRDefault="00907596" w:rsidP="007C65A5">
      <w:pPr>
        <w:spacing w:before="0" w:line="276" w:lineRule="auto"/>
        <w:ind w:firstLine="547"/>
        <w:rPr>
          <w:b w:val="0"/>
          <w:szCs w:val="22"/>
          <w:lang w:val="af-ZA" w:eastAsia="en-US"/>
        </w:rPr>
      </w:pPr>
      <w:r w:rsidRPr="00A83C94">
        <w:rPr>
          <w:b w:val="0"/>
          <w:szCs w:val="22"/>
          <w:lang w:val="hy-AM" w:eastAsia="en-US"/>
        </w:rPr>
        <w:t xml:space="preserve"> </w:t>
      </w:r>
      <w:r w:rsidRPr="00A83C94">
        <w:rPr>
          <w:szCs w:val="22"/>
          <w:lang w:val="hy-AM" w:eastAsia="en-US"/>
        </w:rPr>
        <w:t>Արտադ</w:t>
      </w:r>
      <w:r w:rsidR="009A779D" w:rsidRPr="00A83C94">
        <w:rPr>
          <w:szCs w:val="22"/>
          <w:lang w:val="hy-AM" w:eastAsia="en-US"/>
        </w:rPr>
        <w:t xml:space="preserve">պրոցական դաստիարակության </w:t>
      </w:r>
      <w:r w:rsidR="009A779D" w:rsidRPr="00A83C94">
        <w:rPr>
          <w:b w:val="0"/>
          <w:szCs w:val="22"/>
          <w:lang w:val="hy-AM" w:eastAsia="en-US"/>
        </w:rPr>
        <w:t>ծրագրի</w:t>
      </w:r>
      <w:r w:rsidRPr="00A83C94">
        <w:rPr>
          <w:b w:val="0"/>
          <w:szCs w:val="22"/>
          <w:lang w:val="hy-AM" w:eastAsia="en-US"/>
        </w:rPr>
        <w:t xml:space="preserve"> նպատակն է՝ նպաստել հանրակրթական ուսուցման համակարգում  ընդգրկված երեխաների ֆիզիկական, հոգևոր և գեղագիտական զարգացմանը, բնապահպանական և կիրառական գիտելիքների ձեռքբերմանը</w:t>
      </w:r>
      <w:r w:rsidRPr="00A83C94">
        <w:rPr>
          <w:b w:val="0"/>
          <w:szCs w:val="22"/>
          <w:lang w:val="af-ZA" w:eastAsia="en-US"/>
        </w:rPr>
        <w:t>:</w:t>
      </w:r>
      <w:r w:rsidRPr="00A83C94">
        <w:rPr>
          <w:b w:val="0"/>
          <w:szCs w:val="22"/>
          <w:lang w:val="hy-AM" w:eastAsia="en-US"/>
        </w:rPr>
        <w:t xml:space="preserve"> Ծրագրի գծով 2022 թվականին նախատեսվել է 4,365.0 մլն դրամ՝ 2021 թվականի 3,839.9 մլն դրամի դիմաց, ծախսերի աճը կազմում է 525.1 մլն դրամ կամ 13.7 տոկոս</w:t>
      </w:r>
      <w:r w:rsidRPr="00A83C94">
        <w:rPr>
          <w:b w:val="0"/>
          <w:szCs w:val="22"/>
          <w:lang w:val="af-ZA" w:eastAsia="en-US"/>
        </w:rPr>
        <w:t>:</w:t>
      </w:r>
    </w:p>
    <w:p w14:paraId="49781B21" w14:textId="68E71FC4" w:rsidR="00907596" w:rsidRPr="00A83C94" w:rsidRDefault="00907596" w:rsidP="007C65A5">
      <w:pPr>
        <w:spacing w:before="0" w:line="276" w:lineRule="auto"/>
        <w:ind w:firstLine="547"/>
        <w:rPr>
          <w:b w:val="0"/>
          <w:szCs w:val="22"/>
          <w:lang w:val="af-ZA" w:eastAsia="en-US"/>
        </w:rPr>
      </w:pPr>
      <w:r w:rsidRPr="00A83C94">
        <w:rPr>
          <w:b w:val="0"/>
          <w:szCs w:val="22"/>
          <w:lang w:val="hy-AM" w:eastAsia="en-US"/>
        </w:rPr>
        <w:t xml:space="preserve">Ծրագրի շրջանակներում 335.1 մլն դրամ է նախատեսվել 3200 դպրոցականների ամառային հանգստի կազմակերպման, 29.9 մլն դրամ՝ «Գիմնազիադա» համաշխարհային խաղերին </w:t>
      </w:r>
      <w:r w:rsidR="000177C6" w:rsidRPr="00A83C94">
        <w:rPr>
          <w:b w:val="0"/>
          <w:szCs w:val="22"/>
          <w:lang w:val="af-ZA" w:eastAsia="en-US"/>
        </w:rPr>
        <w:t xml:space="preserve">3 </w:t>
      </w:r>
      <w:r w:rsidR="000177C6" w:rsidRPr="00A83C94">
        <w:rPr>
          <w:b w:val="0"/>
          <w:szCs w:val="22"/>
          <w:lang w:val="en-US" w:eastAsia="en-US"/>
        </w:rPr>
        <w:t>պարտադիր</w:t>
      </w:r>
      <w:r w:rsidR="000177C6" w:rsidRPr="00A83C94">
        <w:rPr>
          <w:b w:val="0"/>
          <w:szCs w:val="22"/>
          <w:lang w:val="af-ZA" w:eastAsia="en-US"/>
        </w:rPr>
        <w:t xml:space="preserve"> </w:t>
      </w:r>
      <w:r w:rsidR="000177C6" w:rsidRPr="00A83C94">
        <w:rPr>
          <w:b w:val="0"/>
          <w:szCs w:val="22"/>
          <w:lang w:val="en-US" w:eastAsia="en-US"/>
        </w:rPr>
        <w:t>մարզաձևերով</w:t>
      </w:r>
      <w:r w:rsidR="000177C6" w:rsidRPr="00A83C94">
        <w:rPr>
          <w:b w:val="0"/>
          <w:szCs w:val="22"/>
          <w:lang w:val="af-ZA" w:eastAsia="en-US"/>
        </w:rPr>
        <w:t xml:space="preserve"> </w:t>
      </w:r>
      <w:r w:rsidRPr="00A83C94">
        <w:rPr>
          <w:b w:val="0"/>
          <w:szCs w:val="22"/>
          <w:lang w:val="hy-AM" w:eastAsia="en-US"/>
        </w:rPr>
        <w:t>մասնակցության գծով (2021 թվականին նշված ծախսերը նախատեսված չեն եղել), 179.0 մլն դրամով էլ աճել են ՀՀ հանրակրթական ծրագրեր իրականացնող ուսումնական հաստատությունների 11-րդ դասարանների աշակերտների ռազմամարզական ճամբարի կազմակերպման ծախսերը</w:t>
      </w:r>
      <w:r w:rsidR="000177C6" w:rsidRPr="00A83C94">
        <w:rPr>
          <w:b w:val="0"/>
          <w:szCs w:val="22"/>
          <w:lang w:val="af-ZA" w:eastAsia="en-US"/>
        </w:rPr>
        <w:t xml:space="preserve"> </w:t>
      </w:r>
      <w:r w:rsidR="000177C6" w:rsidRPr="00A83C94">
        <w:rPr>
          <w:b w:val="0"/>
          <w:szCs w:val="22"/>
          <w:lang w:val="hy-AM" w:eastAsia="en-US"/>
        </w:rPr>
        <w:t>(</w:t>
      </w:r>
      <w:r w:rsidR="000177C6" w:rsidRPr="00A83C94">
        <w:rPr>
          <w:b w:val="0"/>
          <w:szCs w:val="22"/>
          <w:lang w:val="en-US" w:eastAsia="en-US"/>
        </w:rPr>
        <w:t>նշված</w:t>
      </w:r>
      <w:r w:rsidR="000177C6" w:rsidRPr="00A83C94">
        <w:rPr>
          <w:b w:val="0"/>
          <w:szCs w:val="22"/>
          <w:lang w:val="af-ZA" w:eastAsia="en-US"/>
        </w:rPr>
        <w:t xml:space="preserve"> </w:t>
      </w:r>
      <w:r w:rsidR="000177C6" w:rsidRPr="00A83C94">
        <w:rPr>
          <w:b w:val="0"/>
          <w:szCs w:val="22"/>
          <w:lang w:val="en-US" w:eastAsia="en-US"/>
        </w:rPr>
        <w:t>միջոցառման</w:t>
      </w:r>
      <w:r w:rsidR="000177C6" w:rsidRPr="00A83C94">
        <w:rPr>
          <w:b w:val="0"/>
          <w:szCs w:val="22"/>
          <w:lang w:val="af-ZA" w:eastAsia="en-US"/>
        </w:rPr>
        <w:t xml:space="preserve"> </w:t>
      </w:r>
      <w:r w:rsidR="000177C6" w:rsidRPr="00A83C94">
        <w:rPr>
          <w:b w:val="0"/>
          <w:szCs w:val="22"/>
          <w:lang w:val="en-US" w:eastAsia="en-US"/>
        </w:rPr>
        <w:t>գծով</w:t>
      </w:r>
      <w:r w:rsidR="000177C6" w:rsidRPr="00A83C94">
        <w:rPr>
          <w:b w:val="0"/>
          <w:szCs w:val="22"/>
          <w:lang w:val="af-ZA" w:eastAsia="en-US"/>
        </w:rPr>
        <w:t xml:space="preserve"> 2022 </w:t>
      </w:r>
      <w:r w:rsidR="000177C6" w:rsidRPr="00A83C94">
        <w:rPr>
          <w:b w:val="0"/>
          <w:szCs w:val="22"/>
          <w:lang w:val="en-US" w:eastAsia="en-US"/>
        </w:rPr>
        <w:t>թվականին</w:t>
      </w:r>
      <w:r w:rsidR="000177C6" w:rsidRPr="00A83C94">
        <w:rPr>
          <w:b w:val="0"/>
          <w:szCs w:val="22"/>
          <w:lang w:val="af-ZA" w:eastAsia="en-US"/>
        </w:rPr>
        <w:t xml:space="preserve"> </w:t>
      </w:r>
      <w:r w:rsidR="000177C6" w:rsidRPr="00A83C94">
        <w:rPr>
          <w:b w:val="0"/>
          <w:szCs w:val="22"/>
          <w:lang w:val="en-US" w:eastAsia="en-US"/>
        </w:rPr>
        <w:t>նախատեսվող</w:t>
      </w:r>
      <w:r w:rsidR="000177C6" w:rsidRPr="00A83C94">
        <w:rPr>
          <w:b w:val="0"/>
          <w:szCs w:val="22"/>
          <w:lang w:val="af-ZA" w:eastAsia="en-US"/>
        </w:rPr>
        <w:t xml:space="preserve"> 184.0 </w:t>
      </w:r>
      <w:r w:rsidR="000177C6" w:rsidRPr="00A83C94">
        <w:rPr>
          <w:b w:val="0"/>
          <w:szCs w:val="22"/>
          <w:lang w:val="en-US" w:eastAsia="en-US"/>
        </w:rPr>
        <w:t>մլն</w:t>
      </w:r>
      <w:r w:rsidR="000177C6" w:rsidRPr="00A83C94">
        <w:rPr>
          <w:b w:val="0"/>
          <w:szCs w:val="22"/>
          <w:lang w:val="af-ZA" w:eastAsia="en-US"/>
        </w:rPr>
        <w:t xml:space="preserve"> </w:t>
      </w:r>
      <w:r w:rsidR="000177C6" w:rsidRPr="00A83C94">
        <w:rPr>
          <w:b w:val="0"/>
          <w:szCs w:val="22"/>
          <w:lang w:val="en-US" w:eastAsia="en-US"/>
        </w:rPr>
        <w:t>դրամի</w:t>
      </w:r>
      <w:r w:rsidR="000177C6" w:rsidRPr="00A83C94">
        <w:rPr>
          <w:b w:val="0"/>
          <w:szCs w:val="22"/>
          <w:lang w:val="af-ZA" w:eastAsia="en-US"/>
        </w:rPr>
        <w:t xml:space="preserve"> </w:t>
      </w:r>
      <w:r w:rsidR="000177C6" w:rsidRPr="00A83C94">
        <w:rPr>
          <w:b w:val="0"/>
          <w:szCs w:val="22"/>
          <w:lang w:val="en-US" w:eastAsia="en-US"/>
        </w:rPr>
        <w:t>շրջանակներում</w:t>
      </w:r>
      <w:r w:rsidR="000177C6" w:rsidRPr="00A83C94">
        <w:rPr>
          <w:b w:val="0"/>
          <w:szCs w:val="22"/>
          <w:lang w:val="af-ZA" w:eastAsia="en-US"/>
        </w:rPr>
        <w:t xml:space="preserve"> </w:t>
      </w:r>
      <w:r w:rsidR="000177C6" w:rsidRPr="00A83C94">
        <w:rPr>
          <w:b w:val="0"/>
          <w:szCs w:val="22"/>
          <w:lang w:val="en-US" w:eastAsia="en-US"/>
        </w:rPr>
        <w:t>ռազմամարզական</w:t>
      </w:r>
      <w:r w:rsidR="000177C6" w:rsidRPr="00A83C94">
        <w:rPr>
          <w:b w:val="0"/>
          <w:szCs w:val="22"/>
          <w:lang w:val="af-ZA" w:eastAsia="en-US"/>
        </w:rPr>
        <w:t xml:space="preserve"> </w:t>
      </w:r>
      <w:r w:rsidR="000177C6" w:rsidRPr="00A83C94">
        <w:rPr>
          <w:b w:val="0"/>
          <w:szCs w:val="22"/>
          <w:lang w:val="en-US" w:eastAsia="en-US"/>
        </w:rPr>
        <w:t>ճամբարում</w:t>
      </w:r>
      <w:r w:rsidR="000177C6" w:rsidRPr="00A83C94">
        <w:rPr>
          <w:b w:val="0"/>
          <w:szCs w:val="22"/>
          <w:lang w:val="af-ZA" w:eastAsia="en-US"/>
        </w:rPr>
        <w:t xml:space="preserve"> </w:t>
      </w:r>
      <w:r w:rsidR="000177C6" w:rsidRPr="00A83C94">
        <w:rPr>
          <w:b w:val="0"/>
          <w:szCs w:val="22"/>
          <w:lang w:val="en-US" w:eastAsia="en-US"/>
        </w:rPr>
        <w:t>կընդգրկվի</w:t>
      </w:r>
      <w:r w:rsidR="000177C6" w:rsidRPr="00A83C94">
        <w:rPr>
          <w:b w:val="0"/>
          <w:szCs w:val="22"/>
          <w:lang w:val="af-ZA" w:eastAsia="en-US"/>
        </w:rPr>
        <w:t xml:space="preserve"> 1186 </w:t>
      </w:r>
      <w:r w:rsidR="000177C6" w:rsidRPr="00A83C94">
        <w:rPr>
          <w:b w:val="0"/>
          <w:szCs w:val="22"/>
          <w:lang w:val="en-US" w:eastAsia="en-US"/>
        </w:rPr>
        <w:t>աշակերտ՝</w:t>
      </w:r>
      <w:r w:rsidR="000177C6" w:rsidRPr="00A83C94">
        <w:rPr>
          <w:b w:val="0"/>
          <w:szCs w:val="22"/>
          <w:lang w:val="af-ZA" w:eastAsia="en-US"/>
        </w:rPr>
        <w:t xml:space="preserve"> 2021 </w:t>
      </w:r>
      <w:r w:rsidR="000177C6" w:rsidRPr="00A83C94">
        <w:rPr>
          <w:b w:val="0"/>
          <w:szCs w:val="22"/>
          <w:lang w:val="en-US" w:eastAsia="en-US"/>
        </w:rPr>
        <w:t>թվականի</w:t>
      </w:r>
      <w:r w:rsidR="000177C6" w:rsidRPr="00A83C94">
        <w:rPr>
          <w:b w:val="0"/>
          <w:szCs w:val="22"/>
          <w:lang w:val="af-ZA" w:eastAsia="en-US"/>
        </w:rPr>
        <w:t xml:space="preserve"> 100 </w:t>
      </w:r>
      <w:r w:rsidR="000177C6" w:rsidRPr="00A83C94">
        <w:rPr>
          <w:b w:val="0"/>
          <w:szCs w:val="22"/>
          <w:lang w:val="en-US" w:eastAsia="en-US"/>
        </w:rPr>
        <w:t>աշակերտի</w:t>
      </w:r>
      <w:r w:rsidR="000177C6" w:rsidRPr="00A83C94">
        <w:rPr>
          <w:b w:val="0"/>
          <w:szCs w:val="22"/>
          <w:lang w:val="af-ZA" w:eastAsia="en-US"/>
        </w:rPr>
        <w:t xml:space="preserve"> </w:t>
      </w:r>
      <w:r w:rsidR="000177C6" w:rsidRPr="00A83C94">
        <w:rPr>
          <w:b w:val="0"/>
          <w:szCs w:val="22"/>
          <w:lang w:val="en-US" w:eastAsia="en-US"/>
        </w:rPr>
        <w:t>դիմաց</w:t>
      </w:r>
      <w:r w:rsidR="000177C6" w:rsidRPr="00A83C94">
        <w:rPr>
          <w:b w:val="0"/>
          <w:szCs w:val="22"/>
          <w:lang w:val="af-ZA" w:eastAsia="en-US"/>
        </w:rPr>
        <w:t xml:space="preserve">, 2021 </w:t>
      </w:r>
      <w:r w:rsidR="000177C6" w:rsidRPr="00A83C94">
        <w:rPr>
          <w:b w:val="0"/>
          <w:szCs w:val="22"/>
          <w:lang w:val="en-US" w:eastAsia="en-US"/>
        </w:rPr>
        <w:t>թվականին</w:t>
      </w:r>
      <w:r w:rsidR="000177C6" w:rsidRPr="00A83C94">
        <w:rPr>
          <w:b w:val="0"/>
          <w:szCs w:val="22"/>
          <w:lang w:val="af-ZA" w:eastAsia="en-US"/>
        </w:rPr>
        <w:t xml:space="preserve"> </w:t>
      </w:r>
      <w:r w:rsidR="000177C6" w:rsidRPr="00A83C94">
        <w:rPr>
          <w:b w:val="0"/>
          <w:szCs w:val="22"/>
          <w:lang w:val="en-US" w:eastAsia="en-US"/>
        </w:rPr>
        <w:t>ծախսը</w:t>
      </w:r>
      <w:r w:rsidR="000177C6" w:rsidRPr="00A83C94">
        <w:rPr>
          <w:b w:val="0"/>
          <w:szCs w:val="22"/>
          <w:lang w:val="af-ZA" w:eastAsia="en-US"/>
        </w:rPr>
        <w:t xml:space="preserve"> </w:t>
      </w:r>
      <w:r w:rsidR="000177C6" w:rsidRPr="00A83C94">
        <w:rPr>
          <w:b w:val="0"/>
          <w:szCs w:val="22"/>
          <w:lang w:val="en-US" w:eastAsia="en-US"/>
        </w:rPr>
        <w:t>կազմել</w:t>
      </w:r>
      <w:r w:rsidR="000177C6" w:rsidRPr="00A83C94">
        <w:rPr>
          <w:b w:val="0"/>
          <w:szCs w:val="22"/>
          <w:lang w:val="af-ZA" w:eastAsia="en-US"/>
        </w:rPr>
        <w:t xml:space="preserve"> </w:t>
      </w:r>
      <w:r w:rsidR="000177C6" w:rsidRPr="00A83C94">
        <w:rPr>
          <w:b w:val="0"/>
          <w:szCs w:val="22"/>
          <w:lang w:val="en-US" w:eastAsia="en-US"/>
        </w:rPr>
        <w:t>է</w:t>
      </w:r>
      <w:r w:rsidR="000177C6" w:rsidRPr="00A83C94">
        <w:rPr>
          <w:b w:val="0"/>
          <w:szCs w:val="22"/>
          <w:lang w:val="af-ZA" w:eastAsia="en-US"/>
        </w:rPr>
        <w:t xml:space="preserve"> 5.0 </w:t>
      </w:r>
      <w:r w:rsidR="000177C6" w:rsidRPr="00A83C94">
        <w:rPr>
          <w:b w:val="0"/>
          <w:szCs w:val="22"/>
          <w:lang w:val="en-US" w:eastAsia="en-US"/>
        </w:rPr>
        <w:t>մլն</w:t>
      </w:r>
      <w:r w:rsidR="000177C6" w:rsidRPr="00A83C94">
        <w:rPr>
          <w:b w:val="0"/>
          <w:szCs w:val="22"/>
          <w:lang w:val="af-ZA" w:eastAsia="en-US"/>
        </w:rPr>
        <w:t xml:space="preserve"> </w:t>
      </w:r>
      <w:r w:rsidR="000177C6" w:rsidRPr="00A83C94">
        <w:rPr>
          <w:b w:val="0"/>
          <w:szCs w:val="22"/>
          <w:lang w:val="en-US" w:eastAsia="en-US"/>
        </w:rPr>
        <w:t>դրամ</w:t>
      </w:r>
      <w:r w:rsidR="000177C6" w:rsidRPr="00A83C94">
        <w:rPr>
          <w:b w:val="0"/>
          <w:szCs w:val="22"/>
          <w:lang w:val="hy-AM" w:eastAsia="en-US"/>
        </w:rPr>
        <w:t>)</w:t>
      </w:r>
      <w:r w:rsidRPr="00A83C94">
        <w:rPr>
          <w:b w:val="0"/>
          <w:szCs w:val="22"/>
          <w:lang w:val="hy-AM" w:eastAsia="en-US"/>
        </w:rPr>
        <w:t>:</w:t>
      </w:r>
    </w:p>
    <w:p w14:paraId="1FB58F71" w14:textId="3F14036E" w:rsidR="00907596" w:rsidRPr="00A83C94" w:rsidRDefault="00907596" w:rsidP="007C65A5">
      <w:pPr>
        <w:spacing w:before="0" w:line="276" w:lineRule="auto"/>
        <w:ind w:firstLine="547"/>
        <w:rPr>
          <w:b w:val="0"/>
          <w:szCs w:val="22"/>
          <w:lang w:val="af-ZA" w:eastAsia="en-US"/>
        </w:rPr>
      </w:pPr>
      <w:r w:rsidRPr="00A83C94">
        <w:rPr>
          <w:b w:val="0"/>
          <w:szCs w:val="22"/>
          <w:lang w:val="hy-AM" w:eastAsia="en-US"/>
        </w:rPr>
        <w:t>Արտադպրոցական դաստիարակության վերաբերյալ դրույթներն ամրագրված են ՀՀ կառավարության ծրագրի «4.3 Կրթություն»,  «4.8 Սպորտ» բաժիններում,  «4.9 Մշակույթ»  բաժնի մշակութային կրթության վերաբերյալ ենթաբաժնում</w:t>
      </w:r>
      <w:r w:rsidRPr="00A83C94">
        <w:rPr>
          <w:b w:val="0"/>
          <w:szCs w:val="22"/>
          <w:lang w:val="af-ZA" w:eastAsia="en-US"/>
        </w:rPr>
        <w:t>:</w:t>
      </w:r>
    </w:p>
    <w:p w14:paraId="39950A60" w14:textId="5FA9E942" w:rsidR="00907596" w:rsidRPr="00A83C94" w:rsidRDefault="002D2E24" w:rsidP="007C65A5">
      <w:pPr>
        <w:spacing w:before="0" w:line="276" w:lineRule="auto"/>
        <w:ind w:firstLine="547"/>
        <w:rPr>
          <w:rFonts w:eastAsia="Calibri"/>
          <w:b w:val="0"/>
          <w:szCs w:val="22"/>
          <w:lang w:val="hy-AM" w:eastAsia="en-US"/>
        </w:rPr>
      </w:pPr>
      <w:r w:rsidRPr="00A83C94">
        <w:rPr>
          <w:szCs w:val="22"/>
          <w:lang w:val="hy-AM" w:eastAsia="en-US"/>
        </w:rPr>
        <w:t xml:space="preserve"> </w:t>
      </w:r>
      <w:r w:rsidR="009A779D" w:rsidRPr="00A83C94">
        <w:rPr>
          <w:szCs w:val="22"/>
          <w:lang w:val="hy-AM" w:eastAsia="en-US"/>
        </w:rPr>
        <w:t>Ապահով դպրոց</w:t>
      </w:r>
      <w:r w:rsidR="00907596" w:rsidRPr="00A83C94">
        <w:rPr>
          <w:b w:val="0"/>
          <w:szCs w:val="22"/>
          <w:lang w:val="hy-AM" w:eastAsia="en-US"/>
        </w:rPr>
        <w:t xml:space="preserve"> ծրագրի նպատակն է՝ հանրակրթական դպրոցներում բարելավել ուսումնական միջավայրը՝ ստեղծելով ապահով, պաշտպանված և երեխայակենտրոն պայմաններ: Ծրագրի գծով </w:t>
      </w:r>
      <w:r w:rsidR="00907596" w:rsidRPr="00A83C94">
        <w:rPr>
          <w:rFonts w:eastAsia="Calibri"/>
          <w:b w:val="0"/>
          <w:szCs w:val="22"/>
          <w:lang w:val="hy-AM" w:eastAsia="en-US"/>
        </w:rPr>
        <w:t>նախատեսվել է</w:t>
      </w:r>
      <w:r w:rsidR="00961398">
        <w:rPr>
          <w:rFonts w:eastAsia="Calibri"/>
          <w:b w:val="0"/>
          <w:szCs w:val="22"/>
          <w:lang w:val="hy-AM" w:eastAsia="en-US"/>
        </w:rPr>
        <w:t xml:space="preserve"> 15</w:t>
      </w:r>
      <w:r w:rsidR="00907596" w:rsidRPr="00A83C94">
        <w:rPr>
          <w:rFonts w:eastAsia="Calibri"/>
          <w:b w:val="0"/>
          <w:szCs w:val="22"/>
          <w:lang w:val="hy-AM" w:eastAsia="en-US"/>
        </w:rPr>
        <w:t>,</w:t>
      </w:r>
      <w:r w:rsidR="00961398" w:rsidRPr="00961398">
        <w:rPr>
          <w:rFonts w:eastAsia="Calibri"/>
          <w:b w:val="0"/>
          <w:szCs w:val="22"/>
          <w:lang w:val="af-ZA" w:eastAsia="en-US"/>
        </w:rPr>
        <w:t>5</w:t>
      </w:r>
      <w:r w:rsidR="00907596" w:rsidRPr="00A83C94">
        <w:rPr>
          <w:rFonts w:eastAsia="Calibri"/>
          <w:b w:val="0"/>
          <w:szCs w:val="22"/>
          <w:lang w:val="hy-AM" w:eastAsia="en-US"/>
        </w:rPr>
        <w:t xml:space="preserve">96.0 մլն դրամ՝ 2021 թվականի 1,127.0 մլն դրամի դիմաց, ընդ որում, </w:t>
      </w:r>
      <w:r w:rsidR="00907596" w:rsidRPr="00A83C94">
        <w:rPr>
          <w:rFonts w:eastAsia="Calibri"/>
          <w:b w:val="0"/>
          <w:szCs w:val="22"/>
          <w:lang w:val="af-ZA" w:eastAsia="en-US"/>
        </w:rPr>
        <w:t xml:space="preserve">դպրոցների, մարզադահլիճների </w:t>
      </w:r>
      <w:r w:rsidR="001C17F0" w:rsidRPr="00A83C94">
        <w:rPr>
          <w:rFonts w:eastAsia="Calibri"/>
          <w:b w:val="0"/>
          <w:szCs w:val="22"/>
          <w:lang w:val="af-ZA" w:eastAsia="en-US"/>
        </w:rPr>
        <w:t xml:space="preserve">կառուցման, հիմնանորոգման և նախագծային </w:t>
      </w:r>
      <w:r w:rsidR="00907596" w:rsidRPr="00A83C94">
        <w:rPr>
          <w:rFonts w:eastAsia="Calibri"/>
          <w:b w:val="0"/>
          <w:szCs w:val="22"/>
          <w:lang w:val="af-ZA" w:eastAsia="en-US"/>
        </w:rPr>
        <w:t>աշխատանքների, ինչպես նաև գույքով ապահովման գծով նախատեսվել է 1</w:t>
      </w:r>
      <w:r w:rsidR="00961398" w:rsidRPr="00961398">
        <w:rPr>
          <w:rFonts w:eastAsia="Calibri"/>
          <w:b w:val="0"/>
          <w:szCs w:val="22"/>
          <w:lang w:val="af-ZA" w:eastAsia="en-US"/>
        </w:rPr>
        <w:t>5</w:t>
      </w:r>
      <w:r w:rsidR="00907596" w:rsidRPr="00A83C94">
        <w:rPr>
          <w:rFonts w:eastAsia="Calibri"/>
          <w:b w:val="0"/>
          <w:szCs w:val="22"/>
          <w:lang w:val="af-ZA" w:eastAsia="en-US"/>
        </w:rPr>
        <w:t>,</w:t>
      </w:r>
      <w:r w:rsidR="00961398" w:rsidRPr="00961398">
        <w:rPr>
          <w:rFonts w:eastAsia="Calibri"/>
          <w:b w:val="0"/>
          <w:szCs w:val="22"/>
          <w:lang w:val="af-ZA" w:eastAsia="en-US"/>
        </w:rPr>
        <w:t>5</w:t>
      </w:r>
      <w:r w:rsidR="00907596" w:rsidRPr="00A83C94">
        <w:rPr>
          <w:rFonts w:eastAsia="Calibri"/>
          <w:b w:val="0"/>
          <w:szCs w:val="22"/>
          <w:lang w:val="af-ZA" w:eastAsia="en-US"/>
        </w:rPr>
        <w:t>25.7 մլն դրամ՝ 2021 թվականի 1,057.6  մլն դրամի դիմաց, կամ՝ ծախսերն աճել են 1</w:t>
      </w:r>
      <w:r w:rsidR="00961398" w:rsidRPr="00961398">
        <w:rPr>
          <w:rFonts w:eastAsia="Calibri"/>
          <w:b w:val="0"/>
          <w:szCs w:val="22"/>
          <w:lang w:val="af-ZA" w:eastAsia="en-US"/>
        </w:rPr>
        <w:t>4</w:t>
      </w:r>
      <w:r w:rsidR="00907596" w:rsidRPr="00A83C94">
        <w:rPr>
          <w:rFonts w:eastAsia="Calibri"/>
          <w:b w:val="0"/>
          <w:szCs w:val="22"/>
          <w:lang w:val="af-ZA" w:eastAsia="en-US"/>
        </w:rPr>
        <w:t>,</w:t>
      </w:r>
      <w:r w:rsidR="00961398" w:rsidRPr="00961398">
        <w:rPr>
          <w:rFonts w:eastAsia="Calibri"/>
          <w:b w:val="0"/>
          <w:szCs w:val="22"/>
          <w:lang w:val="af-ZA" w:eastAsia="en-US"/>
        </w:rPr>
        <w:t>4</w:t>
      </w:r>
      <w:r w:rsidR="00907596" w:rsidRPr="00A83C94">
        <w:rPr>
          <w:rFonts w:eastAsia="Calibri"/>
          <w:b w:val="0"/>
          <w:szCs w:val="22"/>
          <w:lang w:val="af-ZA" w:eastAsia="en-US"/>
        </w:rPr>
        <w:t xml:space="preserve">68,1 մլն դրամով, որից </w:t>
      </w:r>
      <w:r w:rsidR="00961398" w:rsidRPr="00961398">
        <w:rPr>
          <w:rFonts w:eastAsia="Calibri"/>
          <w:b w:val="0"/>
          <w:szCs w:val="22"/>
          <w:lang w:val="af-ZA" w:eastAsia="en-US"/>
        </w:rPr>
        <w:t>8</w:t>
      </w:r>
      <w:r w:rsidR="00907596" w:rsidRPr="00A83C94">
        <w:rPr>
          <w:rFonts w:eastAsia="Calibri"/>
          <w:b w:val="0"/>
          <w:szCs w:val="22"/>
          <w:lang w:val="af-ZA" w:eastAsia="en-US"/>
        </w:rPr>
        <w:t>,</w:t>
      </w:r>
      <w:r w:rsidR="00961398" w:rsidRPr="00961398">
        <w:rPr>
          <w:rFonts w:eastAsia="Calibri"/>
          <w:b w:val="0"/>
          <w:szCs w:val="22"/>
          <w:lang w:val="af-ZA" w:eastAsia="en-US"/>
        </w:rPr>
        <w:t>1</w:t>
      </w:r>
      <w:r w:rsidR="00907596" w:rsidRPr="00A83C94">
        <w:rPr>
          <w:rFonts w:eastAsia="Calibri"/>
          <w:b w:val="0"/>
          <w:szCs w:val="22"/>
          <w:lang w:val="af-ZA" w:eastAsia="en-US"/>
        </w:rPr>
        <w:t>85,6 մլն դրամը՝ փոքրաքանակ երեխաներով համալրված հանրակրթական դպրոցների  մոդուլային շենքերի կառուցման</w:t>
      </w:r>
      <w:r w:rsidR="001C17F0" w:rsidRPr="00A83C94">
        <w:rPr>
          <w:rFonts w:eastAsia="Calibri"/>
          <w:b w:val="0"/>
          <w:szCs w:val="22"/>
          <w:lang w:val="af-ZA" w:eastAsia="en-US"/>
        </w:rPr>
        <w:t>, նախագծման</w:t>
      </w:r>
      <w:r w:rsidR="00907596" w:rsidRPr="00A83C94">
        <w:rPr>
          <w:rFonts w:eastAsia="Calibri"/>
          <w:b w:val="0"/>
          <w:szCs w:val="22"/>
          <w:lang w:val="af-ZA" w:eastAsia="en-US"/>
        </w:rPr>
        <w:t xml:space="preserve"> և գույքով </w:t>
      </w:r>
      <w:r w:rsidR="00907596" w:rsidRPr="00A83C94">
        <w:rPr>
          <w:rFonts w:eastAsia="Calibri"/>
          <w:b w:val="0"/>
          <w:szCs w:val="22"/>
          <w:lang w:val="hy-AM" w:eastAsia="en-US"/>
        </w:rPr>
        <w:t>ապահովման գծով:</w:t>
      </w:r>
    </w:p>
    <w:p w14:paraId="25BBE2B0" w14:textId="4BBFE89A" w:rsidR="00907596" w:rsidRPr="00A83C94" w:rsidRDefault="009A779D" w:rsidP="007C65A5">
      <w:pPr>
        <w:spacing w:before="0" w:line="276" w:lineRule="auto"/>
        <w:ind w:firstLine="547"/>
        <w:rPr>
          <w:rFonts w:cs="GHEA Grapalat"/>
          <w:b w:val="0"/>
          <w:szCs w:val="22"/>
          <w:lang w:val="hy-AM" w:eastAsia="en-US"/>
        </w:rPr>
      </w:pPr>
      <w:r w:rsidRPr="00A83C94">
        <w:rPr>
          <w:szCs w:val="22"/>
          <w:lang w:val="hy-AM" w:eastAsia="en-US"/>
        </w:rPr>
        <w:t>Կրթության որակի ապահովում</w:t>
      </w:r>
      <w:r w:rsidR="00907596" w:rsidRPr="00A83C94">
        <w:rPr>
          <w:b w:val="0"/>
          <w:szCs w:val="22"/>
          <w:lang w:val="hy-AM" w:eastAsia="en-US"/>
        </w:rPr>
        <w:t xml:space="preserve"> ծրագիրն ուղղված է՝ </w:t>
      </w:r>
      <w:r w:rsidR="00907596" w:rsidRPr="00A83C94">
        <w:rPr>
          <w:rFonts w:eastAsia="MS Mincho" w:cs="MS Mincho"/>
          <w:b w:val="0"/>
          <w:kern w:val="16"/>
          <w:szCs w:val="22"/>
          <w:lang w:val="hy-AM"/>
        </w:rPr>
        <w:t>կրթության բոլոր մակարդակներում որակի բարձրացման և հավաստման միջոցառումների իրականացմանը:</w:t>
      </w:r>
      <w:r w:rsidR="00907596" w:rsidRPr="00A83C94">
        <w:rPr>
          <w:b w:val="0"/>
          <w:szCs w:val="22"/>
          <w:lang w:val="hy-AM" w:eastAsia="en-US"/>
        </w:rPr>
        <w:t xml:space="preserve"> Ծրագրի գծով նախատեսվել է 2</w:t>
      </w:r>
      <w:r w:rsidR="00907596" w:rsidRPr="00A83C94">
        <w:rPr>
          <w:rFonts w:cs="GHEA Grapalat"/>
          <w:b w:val="0"/>
          <w:szCs w:val="22"/>
          <w:lang w:val="hy-AM" w:eastAsia="en-US"/>
        </w:rPr>
        <w:t>,225.0</w:t>
      </w:r>
      <w:r w:rsidR="00907596" w:rsidRPr="00A83C94">
        <w:rPr>
          <w:b w:val="0"/>
          <w:szCs w:val="22"/>
          <w:lang w:val="hy-AM" w:eastAsia="en-US"/>
        </w:rPr>
        <w:t xml:space="preserve"> մլն դրամ՝ </w:t>
      </w:r>
      <w:r w:rsidR="00907596" w:rsidRPr="00A83C94">
        <w:rPr>
          <w:rFonts w:cs="GHEA Grapalat"/>
          <w:b w:val="0"/>
          <w:szCs w:val="22"/>
          <w:lang w:val="hy-AM" w:eastAsia="en-US"/>
        </w:rPr>
        <w:t>2021 թվականի 1,629.1 մլն դրամի դիմաց, ծախսերն աճել են 595.9 մլն դրամով կամ 36.6%-ով:</w:t>
      </w:r>
    </w:p>
    <w:p w14:paraId="33F43D4D" w14:textId="29B7E888" w:rsidR="00907596" w:rsidRPr="00A83C94" w:rsidRDefault="00907596" w:rsidP="0044180B">
      <w:pPr>
        <w:spacing w:before="0" w:line="276" w:lineRule="auto"/>
        <w:ind w:firstLine="540"/>
        <w:rPr>
          <w:b w:val="0"/>
          <w:szCs w:val="22"/>
          <w:lang w:val="hy-AM" w:eastAsia="en-US"/>
        </w:rPr>
      </w:pPr>
      <w:r w:rsidRPr="00A83C94">
        <w:rPr>
          <w:rFonts w:cs="GHEA Grapalat"/>
          <w:b w:val="0"/>
          <w:szCs w:val="22"/>
          <w:lang w:val="hy-AM" w:eastAsia="en-US"/>
        </w:rPr>
        <w:t xml:space="preserve">Ծրագրի շրջանակներում 1,384.5 մլն դրամ է նախատեսվել </w:t>
      </w:r>
      <w:r w:rsidRPr="00A83C94">
        <w:rPr>
          <w:b w:val="0"/>
          <w:szCs w:val="22"/>
          <w:lang w:val="hy-AM" w:eastAsia="en-US"/>
        </w:rPr>
        <w:t>«</w:t>
      </w:r>
      <w:r w:rsidRPr="00A83C94">
        <w:rPr>
          <w:rFonts w:cs="GHEA Grapalat"/>
          <w:b w:val="0"/>
          <w:szCs w:val="22"/>
          <w:lang w:val="hy-AM" w:eastAsia="en-US"/>
        </w:rPr>
        <w:t>Ատեստավորման նոր համակարգի ներդրում՛ ուղղված ուսուցիչների որակի բարձրացմանը</w:t>
      </w:r>
      <w:r w:rsidRPr="00A83C94">
        <w:rPr>
          <w:b w:val="0"/>
          <w:szCs w:val="22"/>
          <w:lang w:val="hy-AM" w:eastAsia="en-US"/>
        </w:rPr>
        <w:t xml:space="preserve">» միջոցառման գծով, 2022 թվականին նախատեսվում է 5.1 հազար ուսուցչի կամավոր ատեստավորում՝ 2021 թվականի 1.1 հազարի դիմաց: 365.4 մլն դրամ էլ նախատեսվել է «Հանրակրթական հիմնական ծրագրեր իրականացնող ուսումնական հաստատությունների հերթական ատեստավորման ենթակա ուսուցչի վերապատրաստում» միջոցառման գծով: Ուսուցիչների մասնագիտական շարունակական զարգացման և վարձատրության փոխկապակցված մեխանիզմի ներդրման վերաբերյալ դրույթն ամրագրված է ՀՀ կառավարության ծրագրի «4.3 Կրթություն» բաժնում: </w:t>
      </w:r>
    </w:p>
    <w:p w14:paraId="0B820041" w14:textId="18753974" w:rsidR="00035D1C" w:rsidRPr="00A83C94" w:rsidRDefault="00035D1C"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Վերոնշյալ ծրագրի շրջանակներում նախատեսվում է իրականացնել Համաշխարհային բանկի աջակցությամբ իրականացվող «Հայաստանում ԵՄ-ն հանուն նորարարության» դրամաշնորհային ծրագիրը, որի շրջանակներում նախատեսվում է Տավուշի մարզի հիմնական և միջնակարգ դպրոցների ուսուցիչների շարունակական վերապատրաստումներ և համապատասխան սարքավորումներով և տեխնիկայով ապահովում: ՀՀ 2022թ. պետական բյուջե</w:t>
      </w:r>
      <w:r w:rsidR="00BD4698" w:rsidRPr="00BD4698">
        <w:rPr>
          <w:b w:val="0"/>
          <w:szCs w:val="22"/>
          <w:lang w:val="hy-AM" w:eastAsia="en-US"/>
        </w:rPr>
        <w:t>ի նախագծ</w:t>
      </w:r>
      <w:r w:rsidRPr="00A83C94">
        <w:rPr>
          <w:b w:val="0"/>
          <w:szCs w:val="22"/>
          <w:lang w:val="hy-AM" w:eastAsia="en-US"/>
        </w:rPr>
        <w:t xml:space="preserve">ով նախատեսվել է դրամաշնորհային միջոցների գծով 2,123.2 մլն դրամ: </w:t>
      </w:r>
    </w:p>
    <w:p w14:paraId="53DD716D" w14:textId="36CA5740" w:rsidR="00035D1C" w:rsidRPr="00A83C94" w:rsidRDefault="00035D1C"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Միաժամանակ, Եվրոմիության աջակցության դրամաշնորհային ծրագրի շրջանակներում ուսումնական հաստատությունների շենքային պայմանների բարելավման,</w:t>
      </w:r>
      <w:r w:rsidRPr="00A83C94">
        <w:rPr>
          <w:lang w:val="hy-AM"/>
        </w:rPr>
        <w:t xml:space="preserve"> </w:t>
      </w:r>
      <w:r w:rsidRPr="00A83C94">
        <w:rPr>
          <w:b w:val="0"/>
          <w:szCs w:val="22"/>
          <w:lang w:val="hy-AM" w:eastAsia="en-US"/>
        </w:rPr>
        <w:t>հանրակրթական, միջին մասնագիտական,  բարձրագույն ուսումնական և մարզական հաստատություններին գույքով և տեխնիկայով ապահովման նպատակով 2022թ. համար նախատեսվում է հատկացնել 6,606.4 մլն դրամ դրամաշնորհ:</w:t>
      </w:r>
    </w:p>
    <w:p w14:paraId="3BE071C3" w14:textId="70E8CD9E" w:rsidR="00907596" w:rsidRPr="00A83C94" w:rsidRDefault="00907596" w:rsidP="007C65A5">
      <w:pPr>
        <w:spacing w:before="0" w:line="276" w:lineRule="auto"/>
        <w:ind w:firstLine="547"/>
        <w:rPr>
          <w:b w:val="0"/>
          <w:szCs w:val="22"/>
          <w:lang w:val="hy-AM" w:eastAsia="en-US"/>
        </w:rPr>
      </w:pPr>
      <w:r w:rsidRPr="00A83C94">
        <w:rPr>
          <w:szCs w:val="22"/>
          <w:lang w:val="hy-AM" w:eastAsia="en-US"/>
        </w:rPr>
        <w:t>Համընդհանուր ներառակ</w:t>
      </w:r>
      <w:r w:rsidR="009A779D" w:rsidRPr="00A83C94">
        <w:rPr>
          <w:szCs w:val="22"/>
          <w:lang w:val="hy-AM" w:eastAsia="en-US"/>
        </w:rPr>
        <w:t>ան կրթության համակարգի ներդրում</w:t>
      </w:r>
      <w:r w:rsidRPr="00A83C94">
        <w:rPr>
          <w:b w:val="0"/>
          <w:szCs w:val="22"/>
          <w:lang w:val="hy-AM" w:eastAsia="en-US"/>
        </w:rPr>
        <w:t xml:space="preserve"> ծրագրի նպատակն է՝ յուրաքանչյուր երեխայի համար կրթության մատչելիության, հավասար մասնակցության հնարավորության և որակի ապահովում՛ զարգացման առանձնահատկություններին համապատասխան և անհրաժեշտ պայմանների ստեղծման միջոցով: Ծրագրի գծով նախատեսվել է 3,028.7 մլն դրամ՝ 2021 թվականի 2,464.3 մլն դրամի դիմաց, ծախսերի աճը կազմում է 564.4 մլն դրամ կամ 22.9%: «Մանկավարժահոգեբանական աջակցության ծառայություններ և կրթության առանձնահատուկ պայմանների կարիք ունեցող երեխաների կրթության կազմակերպմանն օժանդակող միջոցառումներ» միջոցառման գծով նախատեսվել է 2,820.0 մլն դրամ՝ 2021 թվականի 2,219.2 մլն դրամի դիմաց՝ համընդհանուր ներառական կրթության անցմամբ պայմանավորված, տարածքային մանկավարժահոգեբանական աջակցության կենտրոնների գործունեության հետ կապված: </w:t>
      </w:r>
    </w:p>
    <w:p w14:paraId="317C03D4" w14:textId="1D4B7957" w:rsidR="0044180B" w:rsidRPr="00A83C94" w:rsidRDefault="0044180B"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Նշված ծրագրի շրջանակներում նախատեսվում է իրականացնել Ամերիկայի Միացյալ Նահանգների միջազգային զարգացման գործակալության աջակցությամբ իրականացնող «Ներառական կրթության համակարգի ներդրում դրամաշնորհային ծրագիրը, որի շրջանակներում նախատեսվում է հանրակրթական դպրոցների ենթակառուցվածքային վերանորոգումներ (թեքահարթակներ, սանհանգույցներ, ռեսուրս սենյակներ), անհրաժեշտ սարքավորումների ապա</w:t>
      </w:r>
      <w:r w:rsidR="00BD4698">
        <w:rPr>
          <w:b w:val="0"/>
          <w:szCs w:val="22"/>
          <w:lang w:val="hy-AM" w:eastAsia="en-US"/>
        </w:rPr>
        <w:t>հովում ՀՀ 2022թ. պետական բյուջե</w:t>
      </w:r>
      <w:r w:rsidR="00BD4698" w:rsidRPr="00BD4698">
        <w:rPr>
          <w:b w:val="0"/>
          <w:szCs w:val="22"/>
          <w:lang w:val="hy-AM" w:eastAsia="en-US"/>
        </w:rPr>
        <w:t>ի նախագծով</w:t>
      </w:r>
      <w:r w:rsidRPr="00A83C94">
        <w:rPr>
          <w:b w:val="0"/>
          <w:szCs w:val="22"/>
          <w:lang w:val="hy-AM" w:eastAsia="en-US"/>
        </w:rPr>
        <w:t xml:space="preserve"> նախատեսվել է դրամաշնորհային միջոցների գծով 205.6 մլն դրամ: </w:t>
      </w:r>
    </w:p>
    <w:p w14:paraId="2C7927EC" w14:textId="4E9F89E5" w:rsidR="00907596" w:rsidRPr="00A83C94" w:rsidRDefault="00907596" w:rsidP="007C65A5">
      <w:pPr>
        <w:spacing w:before="0" w:line="276" w:lineRule="auto"/>
        <w:ind w:firstLine="547"/>
        <w:rPr>
          <w:b w:val="0"/>
          <w:szCs w:val="22"/>
          <w:lang w:val="hy-AM" w:eastAsia="en-US"/>
        </w:rPr>
      </w:pPr>
      <w:r w:rsidRPr="00A83C94">
        <w:rPr>
          <w:szCs w:val="22"/>
          <w:lang w:val="hy-AM" w:eastAsia="en-US"/>
        </w:rPr>
        <w:t xml:space="preserve">Կրթության, մշակույթի և սպորտի ոլորտներում միջազգային և սփյուռքի </w:t>
      </w:r>
      <w:r w:rsidR="009A779D" w:rsidRPr="00A83C94">
        <w:rPr>
          <w:szCs w:val="22"/>
          <w:lang w:val="hy-AM" w:eastAsia="en-US"/>
        </w:rPr>
        <w:t>հետ համագործակցության զարգացում</w:t>
      </w:r>
      <w:r w:rsidRPr="00A83C94">
        <w:rPr>
          <w:b w:val="0"/>
          <w:szCs w:val="22"/>
          <w:lang w:val="hy-AM" w:eastAsia="en-US"/>
        </w:rPr>
        <w:t xml:space="preserve"> ծրագրի նպատակն է՝ կրթության, մշակույթի և սպորտի ոլորտներում միջազգային համագործակցության ընդլայնումը, սփյուռքում և օտարերկրյա պետություններում հայկական կրթական կարողությունների հզորացումը: Ծրագրի գծով նախատեսվել է 961.9 մլն դրամ՝ 2021 թվականի 1,085.0 մլն դրամի դիմաց, ծախսերի նվազումը կազմում է 123.1 մլն դրամ կամ 11.3%: Նախագծով 627.5 մլն դրամ է նախատեսվել Հայաստանում «STARMUS» փառատոնի կազմակերպման և անցկացման մասնակցության վճարի գծով` 2021 թվականի 660.0 մլն դրամի դիմաց: </w:t>
      </w:r>
    </w:p>
    <w:p w14:paraId="3EFD59A8"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Սփյուռքի հետ համագործակցության վերաբերյալ դրույթներն ամրագրված են ՀՀ կառավարության ծրագրի «1.4 Սփյուռք»,  «4.7 Երիտասարդություն» բաժիններում,  «4.9 Մշակույթ»  բաժնի մշակութային ժառանգության վերաբերյալ ենթաբաժնում</w:t>
      </w:r>
      <w:r w:rsidRPr="00A83C94">
        <w:rPr>
          <w:b w:val="0"/>
          <w:szCs w:val="22"/>
          <w:lang w:val="af-ZA" w:eastAsia="en-US"/>
        </w:rPr>
        <w:t>:</w:t>
      </w:r>
    </w:p>
    <w:p w14:paraId="18656277" w14:textId="3F2D1BE2" w:rsidR="00907596" w:rsidRPr="00A83C94" w:rsidRDefault="00907596" w:rsidP="007C65A5">
      <w:pPr>
        <w:spacing w:before="0" w:line="276" w:lineRule="auto"/>
        <w:ind w:firstLine="547"/>
        <w:rPr>
          <w:b w:val="0"/>
          <w:szCs w:val="22"/>
          <w:lang w:val="hy-AM" w:eastAsia="en-US"/>
        </w:rPr>
      </w:pPr>
      <w:r w:rsidRPr="00A83C94">
        <w:rPr>
          <w:rFonts w:cs="Arial"/>
          <w:kern w:val="16"/>
          <w:szCs w:val="22"/>
          <w:lang w:val="hy-AM" w:eastAsia="en-US"/>
        </w:rPr>
        <w:t>Կրթության ոլորտում տեղեկատվական և հաղորդ</w:t>
      </w:r>
      <w:r w:rsidR="009A779D" w:rsidRPr="00A83C94">
        <w:rPr>
          <w:rFonts w:cs="Arial"/>
          <w:kern w:val="16"/>
          <w:szCs w:val="22"/>
          <w:lang w:val="hy-AM" w:eastAsia="en-US"/>
        </w:rPr>
        <w:t>ակցական տեխնոլոգիաների ներդրում</w:t>
      </w:r>
      <w:r w:rsidRPr="00A83C94">
        <w:rPr>
          <w:rFonts w:cs="Arial"/>
          <w:kern w:val="16"/>
          <w:szCs w:val="22"/>
          <w:lang w:val="hy-AM" w:eastAsia="en-US"/>
        </w:rPr>
        <w:t xml:space="preserve">  </w:t>
      </w:r>
      <w:r w:rsidRPr="00A83C94">
        <w:rPr>
          <w:b w:val="0"/>
          <w:szCs w:val="22"/>
          <w:lang w:val="hy-AM" w:eastAsia="en-US"/>
        </w:rPr>
        <w:t xml:space="preserve">ծրագրի նպատակն է՝ կրթության ոլորտում տեղեկատվական և հաղորդակցական տեխնոլոգիաների կիրառման ընդլայնումը: Ծրագրի գծով 2022 թվականին նախատեսվում է հատկացնել 784.1 մլն դրամ՝ 2021 թվականի 424.1 մլն դրամի դիմաց, ծախսերի աճը կազմում է 360.0 մլն դրամ, որը հանրակրթական դպրոցների ինտերնետային կապով ապահովման գումարն է: </w:t>
      </w:r>
      <w:r w:rsidRPr="00A83C94">
        <w:rPr>
          <w:b w:val="0"/>
          <w:szCs w:val="22"/>
          <w:lang w:val="hy-AM"/>
        </w:rPr>
        <w:t>էլեկտրոնային ուսուցման գործիքների զարգացման</w:t>
      </w:r>
      <w:r w:rsidRPr="00A83C94">
        <w:rPr>
          <w:szCs w:val="22"/>
          <w:lang w:val="hy-AM"/>
        </w:rPr>
        <w:t xml:space="preserve"> </w:t>
      </w:r>
      <w:r w:rsidRPr="00A83C94">
        <w:rPr>
          <w:b w:val="0"/>
          <w:szCs w:val="22"/>
          <w:lang w:val="hy-AM" w:eastAsia="en-US"/>
        </w:rPr>
        <w:t xml:space="preserve">վերաբերյալ դրույթն ամրագրված է ՀՀ կառավարության ծրագրի «4.3 Կրթություն» բաժնում: </w:t>
      </w:r>
    </w:p>
    <w:p w14:paraId="7E8FCB65" w14:textId="77777777" w:rsidR="002D2E24" w:rsidRPr="00A83C94" w:rsidRDefault="002D2E24" w:rsidP="002D2E24">
      <w:pPr>
        <w:spacing w:before="0" w:line="276" w:lineRule="auto"/>
        <w:ind w:firstLine="547"/>
        <w:rPr>
          <w:szCs w:val="22"/>
          <w:lang w:val="hy-AM" w:eastAsia="en-US"/>
        </w:rPr>
      </w:pPr>
      <w:r w:rsidRPr="00A83C94">
        <w:rPr>
          <w:szCs w:val="22"/>
          <w:lang w:val="hy-AM" w:eastAsia="en-US"/>
        </w:rPr>
        <w:t>Գիտություն</w:t>
      </w:r>
    </w:p>
    <w:p w14:paraId="6D7AE484" w14:textId="21ADF845" w:rsidR="002D2E24" w:rsidRPr="00A83C94" w:rsidRDefault="002D2E24" w:rsidP="002D2E24">
      <w:pPr>
        <w:spacing w:before="0" w:line="276" w:lineRule="auto"/>
        <w:ind w:firstLine="547"/>
        <w:rPr>
          <w:b w:val="0"/>
          <w:szCs w:val="22"/>
          <w:lang w:val="hy-AM" w:eastAsia="en-US"/>
        </w:rPr>
      </w:pPr>
      <w:r w:rsidRPr="00A83C94">
        <w:rPr>
          <w:szCs w:val="22"/>
          <w:lang w:val="hy-AM" w:eastAsia="en-US"/>
        </w:rPr>
        <w:t xml:space="preserve">Գիտական և գիտատեխնիկական հետազոտությունների ծրագրի </w:t>
      </w:r>
      <w:r w:rsidRPr="00A83C94">
        <w:rPr>
          <w:b w:val="0"/>
          <w:szCs w:val="22"/>
          <w:lang w:val="hy-AM" w:eastAsia="en-US"/>
        </w:rPr>
        <w:t xml:space="preserve">նպատակն է՝ գիտական և գիտատեխնիկական գործունեության հիմնարար, կիրառական և թեմատիկ հետազոտությունների իրականացում, ենթակառուցվածքի և ազգային արժեք ներկայացնող գիտական  օբյեկտների պահպանում և զարգացում, գիտական ներուժի վերարտադրության ապահովում: Ծրագրի գծով 2022 թվականին  նախատեսվել է 22,457.0 մլն դրամ՝ 2021 թվականի 13,559.7 մլն դրամի դիմաց, ծախսերն աճել  են 8,897.3 մլն դրամով կամ 65.6 տոկոսով: </w:t>
      </w:r>
    </w:p>
    <w:p w14:paraId="1E9D7B7D" w14:textId="77777777"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ab/>
      </w:r>
      <w:r w:rsidRPr="00A83C94">
        <w:rPr>
          <w:szCs w:val="22"/>
          <w:lang w:val="hy-AM" w:eastAsia="en-US"/>
        </w:rPr>
        <w:t>«</w:t>
      </w:r>
      <w:r w:rsidRPr="00A83C94">
        <w:rPr>
          <w:b w:val="0"/>
          <w:szCs w:val="22"/>
          <w:lang w:val="hy-AM" w:eastAsia="en-US"/>
        </w:rPr>
        <w:t xml:space="preserve">Գիտական ենթակառուցվածքի արդիականացում» միջոցառման գծով նախատեսվել է 11,969.5 մլն դրամ՝ 2021 թվականի 7,380.7 մլն դրամի դիմաց՝ գիտական կազմակերպությունների և բուհերի գիտական ստորաբաժանումների  զարգացման, ծրագրերի իրականացման, գիտական սարքավորումների արդիականացման, միջազգային համագործակցության աջակցության նպատակով: Միջոցառմանը հատկացվող միջոցների ծավալներն ավելացել են 2021 թվականի համեմատ` </w:t>
      </w:r>
      <w:bookmarkStart w:id="273" w:name="_Hlk77769403"/>
      <w:r w:rsidRPr="00A83C94">
        <w:rPr>
          <w:b w:val="0"/>
          <w:szCs w:val="22"/>
          <w:lang w:val="hy-AM" w:eastAsia="en-US"/>
        </w:rPr>
        <w:t>պայմանավորված 13.05.2021թ. «Հայաստանի Հանրապետության կառավարության 2001 թվականի նոյեմբերի 17-ի N 1121 որոշման մեջ փոփոխություններ և լրացումներ կատարելու մասին» ՀՀ կառավարության N 747-Լ որոշմամբ, որը նախատեսում է 2022-2025 թվականներին ՀՀ պետական բյուջեից գիտական կադրերի աշխատավարձի աստիճանական ավելացում</w:t>
      </w:r>
      <w:bookmarkEnd w:id="273"/>
      <w:r w:rsidRPr="00A83C94">
        <w:rPr>
          <w:b w:val="0"/>
          <w:szCs w:val="22"/>
          <w:lang w:val="hy-AM" w:eastAsia="en-US"/>
        </w:rPr>
        <w:t xml:space="preserve"> և այդ նպատակով նշված գումարի մեջ ներառված է նաև աշխատավարձի ավելացման գծով 3,446.5 մլն դրամը։ Միջոցառման մեջ ընդգրկված են միջազգային գիտական կառույցներին անդամակցության և գիտատեղեկատվական շտեմարանի ռեսուրսների օգտագործման 4 ծրագրեր` ընդամենը 815.5 մլն դրամի չափով:</w:t>
      </w:r>
    </w:p>
    <w:p w14:paraId="1A9734AB" w14:textId="77777777"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Աշխատավարձերի բարձրացման գծով համապատասխան միջոցներ են նախատեսվել «Քենդլ» սինքրոտրոնային հետազոտությունների ինստիտուտ» հիմնադրամին՝ արագացուցչային ֆիզիկայի և տեխնիկայի բնագավառում գիտական և գիտատեխնիկական հետազոտությունների, «Ա. Ի. Ալիխանյանի անվան ազգային գիտական լաբորատորիա (Երևանի ֆիզիկայի ինստիտուտ)» հիմնադրամին՝ ֆիզիկայի բնագավառում գիտական և գիտատեխնիկական հետազոտությունների իրականացման նպատակով, «Ազգային արժեք ներկայացնող գիտական օբյեկտների պահպանություն» միջոցառման գծով՝ Հին ձեռագրերի ինստիտուտի, Ցեղասպանության թանգարանի, Բյուրականի աստղադիտարանի պահպանման նպատակով:</w:t>
      </w:r>
    </w:p>
    <w:p w14:paraId="35CC37D3" w14:textId="77777777"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«Գիտական և գիտատեխնիկական պայմանագրային (թեմատիկ) հետազոտություններ» միջոցառման գծով նախատեսվել է 6,651.2 մլն դրամ՝ 2021 թվականի 2,454.4 մլն դրամի դիմաց, ծախսերի աճը կազմել է 4,196.8 մլն դրամ: Ֆինանսավորման ծավալների ավելացումը 2021 թվականի նկատմամբ պայմանավորված է 2021 թվականին ՀՀ կառավարության հաստատած հատկացումների շրջանակներում նոր մրցութային ծրագրերի իրականացմամբ: Միջոցառման շրջանակում իրականացվում են դրամաշնորհային մրցույթներ, որոնց համար որպես արդյունքային ցուցանիշներ են սահմանվում միջազգային չափանիշներին համապատասխան գիտական արդյունքները:</w:t>
      </w:r>
    </w:p>
    <w:p w14:paraId="768659DD" w14:textId="77777777"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139.2 մլն դրամ է նախատեսվել ՀՀ ԳԱԱ իսկական (42) և թղթակից (53) անդամների պատվովճարների, 842.0 մլն դրամ՝ պետական գիտական ծրագրերում ընդգրկված` գիտական աստիճան ունեցող գիտաշխատողներին հավելավճարների տրամադրման նպատակով (618 գիտության դոկտորներ և 1550 գիտության թեկնածուներ), 136.0 մլն դրամ՝ գիտական և գիտատեխնիկական նպատակային-ծրագրային հետազոտությունների, ևս 143.0 մլն դրամ՝ ՀՀ գիտությունների ազգային ակադեմիայի համակարգի կազմակերպություններն արդի պահանջներին համապատասխանող սարքավորումներով վերազինելու, այդ թվում՝ սուպերկոմպյուտերի պահպանման և սպասարկման նպատակով (նշված միջոցառումների մասով պահպանվել է 2021 թվականի ծախսերի մակարդակը):</w:t>
      </w:r>
    </w:p>
    <w:p w14:paraId="1B3266AD" w14:textId="5E15653F"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 xml:space="preserve">Գիտության ոլորտի զարգացման վերաբերյալ դրույթներն ամրագրված են ՀՀ կառավարության ծրագրի «4.4 Գիտությունն» բաժնում: </w:t>
      </w:r>
    </w:p>
    <w:p w14:paraId="6315E59D" w14:textId="48A0D229" w:rsidR="0044180B" w:rsidRPr="00A83C94" w:rsidRDefault="0044180B"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Միաժամանակ, Եվրոմիության աջակցության դրամաշնորհային ծրագրի շրջանակներում գիտության ոլորտում համատեղ օգտագործման և/կամ գերազանցության կենտրոնների ստեղծում նպատակով 2022թ. համար նախատեսվում է հատկացնել 2,500.0 մլն դրամ դրամաշնորհ:</w:t>
      </w:r>
    </w:p>
    <w:p w14:paraId="2A896BD8" w14:textId="5568704F" w:rsidR="00A93A45" w:rsidRPr="00A83C94" w:rsidRDefault="00A93A45" w:rsidP="007C65A5">
      <w:pPr>
        <w:spacing w:line="276" w:lineRule="auto"/>
        <w:ind w:firstLine="600"/>
        <w:rPr>
          <w:noProof/>
          <w:szCs w:val="22"/>
          <w:lang w:val="af-ZA"/>
        </w:rPr>
      </w:pPr>
      <w:r w:rsidRPr="00A83C94">
        <w:rPr>
          <w:noProof/>
          <w:szCs w:val="22"/>
          <w:lang w:val="hy-AM"/>
        </w:rPr>
        <w:t>Մշակույթ</w:t>
      </w:r>
    </w:p>
    <w:p w14:paraId="32401FAE" w14:textId="77777777" w:rsidR="003B2C15" w:rsidRPr="00A83C94" w:rsidRDefault="003B2C15" w:rsidP="003B2C15">
      <w:pPr>
        <w:spacing w:line="276" w:lineRule="auto"/>
        <w:ind w:firstLine="600"/>
        <w:rPr>
          <w:b w:val="0"/>
          <w:noProof/>
          <w:szCs w:val="22"/>
          <w:lang w:val="af-ZA"/>
        </w:rPr>
      </w:pPr>
      <w:r w:rsidRPr="00A83C94">
        <w:rPr>
          <w:b w:val="0"/>
          <w:noProof/>
          <w:szCs w:val="22"/>
          <w:lang w:val="hy-AM"/>
        </w:rPr>
        <w:t>ՀՀ</w:t>
      </w:r>
      <w:r w:rsidRPr="00A83C94">
        <w:rPr>
          <w:b w:val="0"/>
          <w:noProof/>
          <w:szCs w:val="22"/>
          <w:lang w:val="af-ZA"/>
        </w:rPr>
        <w:t xml:space="preserve"> </w:t>
      </w:r>
      <w:r w:rsidRPr="00A83C94">
        <w:rPr>
          <w:b w:val="0"/>
          <w:noProof/>
          <w:szCs w:val="22"/>
          <w:lang w:val="hy-AM"/>
        </w:rPr>
        <w:t>կառավարության</w:t>
      </w:r>
      <w:r w:rsidRPr="00A83C94">
        <w:rPr>
          <w:b w:val="0"/>
          <w:noProof/>
          <w:szCs w:val="22"/>
          <w:lang w:val="af-ZA"/>
        </w:rPr>
        <w:t xml:space="preserve"> </w:t>
      </w:r>
      <w:r w:rsidRPr="00A83C94">
        <w:rPr>
          <w:b w:val="0"/>
          <w:noProof/>
          <w:szCs w:val="22"/>
          <w:lang w:val="hy-AM"/>
        </w:rPr>
        <w:t>վարած</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քաղաքականությանը</w:t>
      </w:r>
      <w:r w:rsidRPr="00A83C94">
        <w:rPr>
          <w:b w:val="0"/>
          <w:noProof/>
          <w:szCs w:val="22"/>
          <w:lang w:val="af-ZA"/>
        </w:rPr>
        <w:t xml:space="preserve"> </w:t>
      </w:r>
      <w:r w:rsidRPr="00A83C94">
        <w:rPr>
          <w:b w:val="0"/>
          <w:noProof/>
          <w:szCs w:val="22"/>
          <w:lang w:val="hy-AM"/>
        </w:rPr>
        <w:t>համապա</w:t>
      </w:r>
      <w:r w:rsidRPr="00A83C94">
        <w:rPr>
          <w:b w:val="0"/>
          <w:noProof/>
          <w:szCs w:val="22"/>
          <w:lang w:val="af-ZA"/>
        </w:rPr>
        <w:softHyphen/>
      </w:r>
      <w:r w:rsidRPr="00A83C94">
        <w:rPr>
          <w:b w:val="0"/>
          <w:noProof/>
          <w:szCs w:val="22"/>
          <w:lang w:val="hy-AM"/>
        </w:rPr>
        <w:t>տասխան</w:t>
      </w:r>
      <w:r w:rsidRPr="00A83C94">
        <w:rPr>
          <w:b w:val="0"/>
          <w:noProof/>
          <w:szCs w:val="22"/>
          <w:lang w:val="af-ZA"/>
        </w:rPr>
        <w:t xml:space="preserve"> </w:t>
      </w:r>
      <w:r w:rsidRPr="00A83C94">
        <w:rPr>
          <w:b w:val="0"/>
          <w:noProof/>
          <w:szCs w:val="22"/>
          <w:lang w:val="hy-AM"/>
        </w:rPr>
        <w:t>մշակույթի</w:t>
      </w:r>
      <w:r w:rsidRPr="00A83C94">
        <w:rPr>
          <w:b w:val="0"/>
          <w:noProof/>
          <w:szCs w:val="22"/>
          <w:lang w:val="af-ZA"/>
        </w:rPr>
        <w:t xml:space="preserve"> </w:t>
      </w:r>
      <w:r w:rsidRPr="00A83C94">
        <w:rPr>
          <w:b w:val="0"/>
          <w:noProof/>
          <w:szCs w:val="22"/>
          <w:lang w:val="hy-AM"/>
        </w:rPr>
        <w:t>ոլորտում</w:t>
      </w:r>
      <w:r w:rsidRPr="00A83C94">
        <w:rPr>
          <w:b w:val="0"/>
          <w:noProof/>
          <w:szCs w:val="22"/>
          <w:lang w:val="af-ZA"/>
        </w:rPr>
        <w:t xml:space="preserve"> </w:t>
      </w:r>
      <w:r w:rsidRPr="00A83C94">
        <w:rPr>
          <w:b w:val="0"/>
          <w:noProof/>
          <w:szCs w:val="22"/>
          <w:lang w:val="hy-AM"/>
        </w:rPr>
        <w:t>իրականացվում</w:t>
      </w:r>
      <w:r w:rsidRPr="00A83C94">
        <w:rPr>
          <w:b w:val="0"/>
          <w:noProof/>
          <w:szCs w:val="22"/>
          <w:lang w:val="af-ZA"/>
        </w:rPr>
        <w:t xml:space="preserve"> </w:t>
      </w:r>
      <w:r w:rsidRPr="00A83C94">
        <w:rPr>
          <w:b w:val="0"/>
          <w:noProof/>
          <w:szCs w:val="22"/>
          <w:lang w:val="hy-AM"/>
        </w:rPr>
        <w:t>են</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ժառանգության</w:t>
      </w:r>
      <w:r w:rsidRPr="00A83C94">
        <w:rPr>
          <w:b w:val="0"/>
          <w:noProof/>
          <w:szCs w:val="22"/>
          <w:lang w:val="af-ZA"/>
        </w:rPr>
        <w:t xml:space="preserve"> (</w:t>
      </w:r>
      <w:r w:rsidRPr="00A83C94">
        <w:rPr>
          <w:b w:val="0"/>
          <w:noProof/>
          <w:szCs w:val="22"/>
          <w:lang w:val="hy-AM"/>
        </w:rPr>
        <w:t>նյութական</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ոչ</w:t>
      </w:r>
      <w:r w:rsidRPr="00A83C94">
        <w:rPr>
          <w:b w:val="0"/>
          <w:noProof/>
          <w:szCs w:val="22"/>
          <w:lang w:val="af-ZA"/>
        </w:rPr>
        <w:t xml:space="preserve"> </w:t>
      </w:r>
      <w:r w:rsidRPr="00A83C94">
        <w:rPr>
          <w:b w:val="0"/>
          <w:noProof/>
          <w:szCs w:val="22"/>
          <w:lang w:val="hy-AM"/>
        </w:rPr>
        <w:t>նյութական</w:t>
      </w:r>
      <w:r w:rsidRPr="00A83C94">
        <w:rPr>
          <w:b w:val="0"/>
          <w:noProof/>
          <w:szCs w:val="22"/>
          <w:lang w:val="af-ZA"/>
        </w:rPr>
        <w:t xml:space="preserve">) </w:t>
      </w:r>
      <w:r w:rsidRPr="00A83C94">
        <w:rPr>
          <w:b w:val="0"/>
          <w:noProof/>
          <w:szCs w:val="22"/>
          <w:lang w:val="hy-AM"/>
        </w:rPr>
        <w:t>պահպանության</w:t>
      </w:r>
      <w:r w:rsidRPr="00A83C94">
        <w:rPr>
          <w:b w:val="0"/>
          <w:noProof/>
          <w:szCs w:val="22"/>
          <w:lang w:val="af-ZA"/>
        </w:rPr>
        <w:t xml:space="preserve">, </w:t>
      </w:r>
      <w:r w:rsidRPr="00A83C94">
        <w:rPr>
          <w:b w:val="0"/>
          <w:noProof/>
          <w:szCs w:val="22"/>
          <w:lang w:val="hy-AM"/>
        </w:rPr>
        <w:t>պաշտպանության</w:t>
      </w:r>
      <w:r w:rsidRPr="00A83C94">
        <w:rPr>
          <w:b w:val="0"/>
          <w:noProof/>
          <w:szCs w:val="22"/>
          <w:lang w:val="af-ZA"/>
        </w:rPr>
        <w:t xml:space="preserve">, </w:t>
      </w:r>
      <w:r w:rsidRPr="00A83C94">
        <w:rPr>
          <w:b w:val="0"/>
          <w:noProof/>
          <w:szCs w:val="22"/>
          <w:lang w:val="hy-AM"/>
        </w:rPr>
        <w:t>ուսումնասիրության</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արվեստների</w:t>
      </w:r>
      <w:r w:rsidRPr="00A83C94">
        <w:rPr>
          <w:b w:val="0"/>
          <w:noProof/>
          <w:szCs w:val="22"/>
          <w:lang w:val="af-ZA"/>
        </w:rPr>
        <w:t xml:space="preserve"> </w:t>
      </w:r>
      <w:r w:rsidRPr="00A83C94">
        <w:rPr>
          <w:b w:val="0"/>
          <w:noProof/>
          <w:szCs w:val="22"/>
          <w:lang w:val="hy-AM"/>
        </w:rPr>
        <w:t>հենքի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ավանդույթների</w:t>
      </w:r>
      <w:r w:rsidRPr="00A83C94">
        <w:rPr>
          <w:b w:val="0"/>
          <w:noProof/>
          <w:szCs w:val="22"/>
          <w:lang w:val="af-ZA"/>
        </w:rPr>
        <w:t xml:space="preserve"> </w:t>
      </w:r>
      <w:r w:rsidRPr="00A83C94">
        <w:rPr>
          <w:b w:val="0"/>
          <w:noProof/>
          <w:szCs w:val="22"/>
          <w:lang w:val="hy-AM"/>
        </w:rPr>
        <w:t>հիմքի</w:t>
      </w:r>
      <w:r w:rsidRPr="00A83C94">
        <w:rPr>
          <w:b w:val="0"/>
          <w:noProof/>
          <w:szCs w:val="22"/>
          <w:lang w:val="af-ZA"/>
        </w:rPr>
        <w:t xml:space="preserve"> </w:t>
      </w:r>
      <w:r w:rsidRPr="00A83C94">
        <w:rPr>
          <w:b w:val="0"/>
          <w:noProof/>
          <w:szCs w:val="22"/>
          <w:lang w:val="hy-AM"/>
        </w:rPr>
        <w:t>վրա</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մարդու</w:t>
      </w:r>
      <w:r w:rsidRPr="00A83C94">
        <w:rPr>
          <w:b w:val="0"/>
          <w:noProof/>
          <w:szCs w:val="22"/>
          <w:lang w:val="af-ZA"/>
        </w:rPr>
        <w:t xml:space="preserve"> </w:t>
      </w:r>
      <w:r w:rsidRPr="00A83C94">
        <w:rPr>
          <w:b w:val="0"/>
          <w:noProof/>
          <w:szCs w:val="22"/>
          <w:lang w:val="hy-AM"/>
        </w:rPr>
        <w:t>ընկալումներին</w:t>
      </w:r>
      <w:r w:rsidRPr="00A83C94">
        <w:rPr>
          <w:b w:val="0"/>
          <w:noProof/>
          <w:szCs w:val="22"/>
          <w:lang w:val="af-ZA"/>
        </w:rPr>
        <w:t xml:space="preserve"> </w:t>
      </w:r>
      <w:r w:rsidRPr="00A83C94">
        <w:rPr>
          <w:b w:val="0"/>
          <w:noProof/>
          <w:szCs w:val="22"/>
          <w:lang w:val="hy-AM"/>
        </w:rPr>
        <w:t>ու</w:t>
      </w:r>
      <w:r w:rsidRPr="00A83C94">
        <w:rPr>
          <w:b w:val="0"/>
          <w:noProof/>
          <w:szCs w:val="22"/>
          <w:lang w:val="af-ZA"/>
        </w:rPr>
        <w:t xml:space="preserve"> </w:t>
      </w:r>
      <w:r w:rsidRPr="00A83C94">
        <w:rPr>
          <w:b w:val="0"/>
          <w:noProof/>
          <w:szCs w:val="22"/>
          <w:lang w:val="hy-AM"/>
        </w:rPr>
        <w:t>ձգտումներին</w:t>
      </w:r>
      <w:r w:rsidRPr="00A83C94">
        <w:rPr>
          <w:b w:val="0"/>
          <w:noProof/>
          <w:szCs w:val="22"/>
          <w:lang w:val="af-ZA"/>
        </w:rPr>
        <w:t xml:space="preserve"> </w:t>
      </w:r>
      <w:r w:rsidRPr="00A83C94">
        <w:rPr>
          <w:b w:val="0"/>
          <w:noProof/>
          <w:szCs w:val="22"/>
          <w:lang w:val="hy-AM"/>
        </w:rPr>
        <w:t>համահունչ</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ար</w:t>
      </w:r>
      <w:r w:rsidRPr="00A83C94">
        <w:rPr>
          <w:b w:val="0"/>
          <w:noProof/>
          <w:szCs w:val="22"/>
          <w:lang w:val="af-ZA"/>
        </w:rPr>
        <w:softHyphen/>
      </w:r>
      <w:r w:rsidRPr="00A83C94">
        <w:rPr>
          <w:b w:val="0"/>
          <w:noProof/>
          <w:szCs w:val="22"/>
          <w:lang w:val="hy-AM"/>
        </w:rPr>
        <w:t>վեստի</w:t>
      </w:r>
      <w:r w:rsidRPr="00A83C94">
        <w:rPr>
          <w:b w:val="0"/>
          <w:noProof/>
          <w:szCs w:val="22"/>
          <w:lang w:val="af-ZA"/>
        </w:rPr>
        <w:t xml:space="preserve"> </w:t>
      </w:r>
      <w:r w:rsidRPr="00A83C94">
        <w:rPr>
          <w:b w:val="0"/>
          <w:noProof/>
          <w:szCs w:val="22"/>
          <w:lang w:val="hy-AM"/>
        </w:rPr>
        <w:t>ստեղծման</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տարածման</w:t>
      </w:r>
      <w:r w:rsidRPr="00A83C94">
        <w:rPr>
          <w:b w:val="0"/>
          <w:noProof/>
          <w:szCs w:val="22"/>
          <w:lang w:val="af-ZA"/>
        </w:rPr>
        <w:t xml:space="preserve">, </w:t>
      </w:r>
      <w:r w:rsidRPr="00A83C94">
        <w:rPr>
          <w:b w:val="0"/>
          <w:noProof/>
          <w:szCs w:val="22"/>
          <w:lang w:val="hy-AM"/>
        </w:rPr>
        <w:t>ազգաբնակչության</w:t>
      </w:r>
      <w:r w:rsidRPr="00A83C94">
        <w:rPr>
          <w:b w:val="0"/>
          <w:noProof/>
          <w:szCs w:val="22"/>
          <w:lang w:val="af-ZA"/>
        </w:rPr>
        <w:t xml:space="preserve"> </w:t>
      </w:r>
      <w:r w:rsidRPr="00A83C94">
        <w:rPr>
          <w:b w:val="0"/>
          <w:noProof/>
          <w:szCs w:val="22"/>
          <w:lang w:val="hy-AM"/>
        </w:rPr>
        <w:t>ստեղծագործական</w:t>
      </w:r>
      <w:r w:rsidRPr="00A83C94">
        <w:rPr>
          <w:b w:val="0"/>
          <w:noProof/>
          <w:szCs w:val="22"/>
          <w:lang w:val="af-ZA"/>
        </w:rPr>
        <w:t xml:space="preserve"> </w:t>
      </w:r>
      <w:r w:rsidRPr="00A83C94">
        <w:rPr>
          <w:b w:val="0"/>
          <w:noProof/>
          <w:szCs w:val="22"/>
          <w:lang w:val="hy-AM"/>
        </w:rPr>
        <w:t>ներուժի</w:t>
      </w:r>
      <w:r w:rsidRPr="00A83C94">
        <w:rPr>
          <w:b w:val="0"/>
          <w:noProof/>
          <w:szCs w:val="22"/>
          <w:lang w:val="af-ZA"/>
        </w:rPr>
        <w:t xml:space="preserve"> </w:t>
      </w:r>
      <w:r w:rsidRPr="00A83C94">
        <w:rPr>
          <w:b w:val="0"/>
          <w:noProof/>
          <w:szCs w:val="22"/>
          <w:lang w:val="hy-AM"/>
        </w:rPr>
        <w:t>խթանման</w:t>
      </w:r>
      <w:r w:rsidRPr="00A83C94">
        <w:rPr>
          <w:b w:val="0"/>
          <w:noProof/>
          <w:szCs w:val="22"/>
          <w:lang w:val="af-ZA"/>
        </w:rPr>
        <w:t xml:space="preserve">, </w:t>
      </w:r>
      <w:r w:rsidRPr="00A83C94">
        <w:rPr>
          <w:b w:val="0"/>
          <w:noProof/>
          <w:szCs w:val="22"/>
          <w:lang w:val="hy-AM"/>
        </w:rPr>
        <w:t>նոր</w:t>
      </w:r>
      <w:r w:rsidRPr="00A83C94">
        <w:rPr>
          <w:b w:val="0"/>
          <w:noProof/>
          <w:szCs w:val="22"/>
          <w:lang w:val="af-ZA"/>
        </w:rPr>
        <w:t xml:space="preserve"> </w:t>
      </w:r>
      <w:r w:rsidRPr="00A83C94">
        <w:rPr>
          <w:b w:val="0"/>
          <w:noProof/>
          <w:szCs w:val="22"/>
          <w:lang w:val="hy-AM"/>
        </w:rPr>
        <w:t>մտահղացումների</w:t>
      </w:r>
      <w:r w:rsidRPr="00A83C94">
        <w:rPr>
          <w:b w:val="0"/>
          <w:noProof/>
          <w:szCs w:val="22"/>
          <w:lang w:val="af-ZA"/>
        </w:rPr>
        <w:t xml:space="preserve"> </w:t>
      </w:r>
      <w:r w:rsidRPr="00A83C94">
        <w:rPr>
          <w:b w:val="0"/>
          <w:noProof/>
          <w:szCs w:val="22"/>
          <w:lang w:val="hy-AM"/>
        </w:rPr>
        <w:t>ու</w:t>
      </w:r>
      <w:r w:rsidRPr="00A83C94">
        <w:rPr>
          <w:b w:val="0"/>
          <w:noProof/>
          <w:szCs w:val="22"/>
          <w:lang w:val="af-ZA"/>
        </w:rPr>
        <w:t xml:space="preserve"> </w:t>
      </w:r>
      <w:r w:rsidRPr="00A83C94">
        <w:rPr>
          <w:b w:val="0"/>
          <w:noProof/>
          <w:szCs w:val="22"/>
          <w:lang w:val="hy-AM"/>
        </w:rPr>
        <w:t>գաղափարների</w:t>
      </w:r>
      <w:r w:rsidRPr="00A83C94">
        <w:rPr>
          <w:b w:val="0"/>
          <w:noProof/>
          <w:szCs w:val="22"/>
          <w:lang w:val="af-ZA"/>
        </w:rPr>
        <w:t xml:space="preserve"> </w:t>
      </w:r>
      <w:r w:rsidRPr="00A83C94">
        <w:rPr>
          <w:b w:val="0"/>
          <w:noProof/>
          <w:szCs w:val="22"/>
          <w:lang w:val="hy-AM"/>
        </w:rPr>
        <w:t>ներդրման</w:t>
      </w:r>
      <w:r w:rsidRPr="00A83C94">
        <w:rPr>
          <w:b w:val="0"/>
          <w:noProof/>
          <w:szCs w:val="22"/>
          <w:lang w:val="af-ZA"/>
        </w:rPr>
        <w:t xml:space="preserve"> </w:t>
      </w:r>
      <w:r w:rsidRPr="00A83C94">
        <w:rPr>
          <w:b w:val="0"/>
          <w:noProof/>
          <w:szCs w:val="22"/>
          <w:lang w:val="hy-AM"/>
        </w:rPr>
        <w:t>անհրաժեշտ</w:t>
      </w:r>
      <w:r w:rsidRPr="00A83C94">
        <w:rPr>
          <w:b w:val="0"/>
          <w:noProof/>
          <w:szCs w:val="22"/>
          <w:lang w:val="af-ZA"/>
        </w:rPr>
        <w:t xml:space="preserve"> </w:t>
      </w:r>
      <w:r w:rsidRPr="00A83C94">
        <w:rPr>
          <w:b w:val="0"/>
          <w:noProof/>
          <w:szCs w:val="22"/>
          <w:lang w:val="hy-AM"/>
        </w:rPr>
        <w:t>պայմանների</w:t>
      </w:r>
      <w:r w:rsidRPr="00A83C94">
        <w:rPr>
          <w:b w:val="0"/>
          <w:noProof/>
          <w:szCs w:val="22"/>
          <w:lang w:val="af-ZA"/>
        </w:rPr>
        <w:t xml:space="preserve"> </w:t>
      </w:r>
      <w:r w:rsidRPr="00A83C94">
        <w:rPr>
          <w:b w:val="0"/>
          <w:noProof/>
          <w:szCs w:val="22"/>
          <w:lang w:val="hy-AM"/>
        </w:rPr>
        <w:t>ապահովման</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մշա</w:t>
      </w:r>
      <w:r w:rsidRPr="00A83C94">
        <w:rPr>
          <w:b w:val="0"/>
          <w:noProof/>
          <w:szCs w:val="22"/>
          <w:lang w:val="af-ZA"/>
        </w:rPr>
        <w:softHyphen/>
      </w:r>
      <w:r w:rsidRPr="00A83C94">
        <w:rPr>
          <w:b w:val="0"/>
          <w:noProof/>
          <w:szCs w:val="22"/>
          <w:lang w:val="hy-AM"/>
        </w:rPr>
        <w:t>կութային</w:t>
      </w:r>
      <w:r w:rsidRPr="00A83C94">
        <w:rPr>
          <w:b w:val="0"/>
          <w:noProof/>
          <w:szCs w:val="22"/>
          <w:lang w:val="af-ZA"/>
        </w:rPr>
        <w:t xml:space="preserve"> </w:t>
      </w:r>
      <w:r w:rsidRPr="00A83C94">
        <w:rPr>
          <w:b w:val="0"/>
          <w:noProof/>
          <w:szCs w:val="22"/>
          <w:lang w:val="hy-AM"/>
        </w:rPr>
        <w:t>մրցունակ</w:t>
      </w:r>
      <w:r w:rsidRPr="00A83C94">
        <w:rPr>
          <w:b w:val="0"/>
          <w:noProof/>
          <w:szCs w:val="22"/>
          <w:lang w:val="af-ZA"/>
        </w:rPr>
        <w:t xml:space="preserve"> </w:t>
      </w:r>
      <w:r w:rsidRPr="00A83C94">
        <w:rPr>
          <w:b w:val="0"/>
          <w:noProof/>
          <w:szCs w:val="22"/>
          <w:lang w:val="hy-AM"/>
        </w:rPr>
        <w:t>արտադրանքի</w:t>
      </w:r>
      <w:r w:rsidRPr="00A83C94">
        <w:rPr>
          <w:b w:val="0"/>
          <w:noProof/>
          <w:szCs w:val="22"/>
          <w:lang w:val="af-ZA"/>
        </w:rPr>
        <w:t xml:space="preserve"> </w:t>
      </w:r>
      <w:r w:rsidRPr="00A83C94">
        <w:rPr>
          <w:b w:val="0"/>
          <w:noProof/>
          <w:szCs w:val="22"/>
          <w:lang w:val="hy-AM"/>
        </w:rPr>
        <w:t>ստեղծման</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միջոցառում</w:t>
      </w:r>
      <w:r w:rsidRPr="00A83C94">
        <w:rPr>
          <w:b w:val="0"/>
          <w:noProof/>
          <w:szCs w:val="22"/>
          <w:lang w:val="af-ZA"/>
        </w:rPr>
        <w:softHyphen/>
      </w:r>
      <w:r w:rsidRPr="00A83C94">
        <w:rPr>
          <w:b w:val="0"/>
          <w:noProof/>
          <w:szCs w:val="22"/>
          <w:lang w:val="hy-AM"/>
        </w:rPr>
        <w:t>ների</w:t>
      </w:r>
      <w:r w:rsidRPr="00A83C94">
        <w:rPr>
          <w:b w:val="0"/>
          <w:noProof/>
          <w:szCs w:val="22"/>
          <w:lang w:val="af-ZA"/>
        </w:rPr>
        <w:t xml:space="preserve"> </w:t>
      </w:r>
      <w:r w:rsidRPr="00A83C94">
        <w:rPr>
          <w:b w:val="0"/>
          <w:noProof/>
          <w:szCs w:val="22"/>
          <w:lang w:val="hy-AM"/>
        </w:rPr>
        <w:t>իրակա</w:t>
      </w:r>
      <w:r w:rsidRPr="00A83C94">
        <w:rPr>
          <w:b w:val="0"/>
          <w:noProof/>
          <w:szCs w:val="22"/>
          <w:lang w:val="af-ZA"/>
        </w:rPr>
        <w:softHyphen/>
      </w:r>
      <w:r w:rsidRPr="00A83C94">
        <w:rPr>
          <w:b w:val="0"/>
          <w:noProof/>
          <w:szCs w:val="22"/>
          <w:lang w:val="hy-AM"/>
        </w:rPr>
        <w:t>նաց</w:t>
      </w:r>
      <w:r w:rsidRPr="00A83C94">
        <w:rPr>
          <w:b w:val="0"/>
          <w:noProof/>
          <w:szCs w:val="22"/>
          <w:lang w:val="af-ZA"/>
        </w:rPr>
        <w:softHyphen/>
      </w:r>
      <w:r w:rsidRPr="00A83C94">
        <w:rPr>
          <w:b w:val="0"/>
          <w:noProof/>
          <w:szCs w:val="22"/>
          <w:lang w:val="hy-AM"/>
        </w:rPr>
        <w:t>ման</w:t>
      </w:r>
      <w:r w:rsidRPr="00A83C94">
        <w:rPr>
          <w:b w:val="0"/>
          <w:noProof/>
          <w:szCs w:val="22"/>
          <w:lang w:val="af-ZA"/>
        </w:rPr>
        <w:t xml:space="preserve"> </w:t>
      </w:r>
      <w:r w:rsidRPr="00A83C94">
        <w:rPr>
          <w:b w:val="0"/>
          <w:noProof/>
          <w:szCs w:val="22"/>
          <w:lang w:val="hy-AM"/>
        </w:rPr>
        <w:t>ծառայություններ</w:t>
      </w:r>
      <w:r w:rsidRPr="00A83C94">
        <w:rPr>
          <w:b w:val="0"/>
          <w:noProof/>
          <w:szCs w:val="22"/>
          <w:lang w:val="af-ZA"/>
        </w:rPr>
        <w:t xml:space="preserve"> (</w:t>
      </w:r>
      <w:r w:rsidRPr="00A83C94">
        <w:rPr>
          <w:b w:val="0"/>
          <w:noProof/>
          <w:szCs w:val="22"/>
          <w:lang w:val="hy-AM"/>
        </w:rPr>
        <w:t>հիմք՝</w:t>
      </w:r>
      <w:r w:rsidRPr="00A83C94">
        <w:rPr>
          <w:b w:val="0"/>
          <w:noProof/>
          <w:szCs w:val="22"/>
          <w:lang w:val="af-ZA"/>
        </w:rPr>
        <w:t xml:space="preserve"> </w:t>
      </w:r>
      <w:r w:rsidRPr="00A83C94">
        <w:rPr>
          <w:b w:val="0"/>
          <w:noProof/>
          <w:szCs w:val="22"/>
          <w:lang w:val="hy-AM"/>
        </w:rPr>
        <w:t>ՀՀ</w:t>
      </w:r>
      <w:r w:rsidRPr="00A83C94">
        <w:rPr>
          <w:b w:val="0"/>
          <w:noProof/>
          <w:szCs w:val="22"/>
          <w:lang w:val="af-ZA"/>
        </w:rPr>
        <w:t xml:space="preserve"> </w:t>
      </w:r>
      <w:r w:rsidRPr="00A83C94">
        <w:rPr>
          <w:b w:val="0"/>
          <w:noProof/>
          <w:szCs w:val="22"/>
          <w:lang w:val="hy-AM"/>
        </w:rPr>
        <w:t>կառավարության</w:t>
      </w:r>
      <w:r w:rsidRPr="00A83C94">
        <w:rPr>
          <w:b w:val="0"/>
          <w:noProof/>
          <w:szCs w:val="22"/>
          <w:lang w:val="af-ZA"/>
        </w:rPr>
        <w:t xml:space="preserve"> </w:t>
      </w:r>
      <w:r w:rsidRPr="00A83C94">
        <w:rPr>
          <w:b w:val="0"/>
          <w:noProof/>
          <w:szCs w:val="22"/>
          <w:lang w:val="hy-AM"/>
        </w:rPr>
        <w:t>ծրագրի</w:t>
      </w:r>
      <w:r w:rsidRPr="00A83C94">
        <w:rPr>
          <w:b w:val="0"/>
          <w:noProof/>
          <w:szCs w:val="22"/>
          <w:lang w:val="af-ZA"/>
        </w:rPr>
        <w:t xml:space="preserve"> «4.9 </w:t>
      </w:r>
      <w:r w:rsidRPr="00A83C94">
        <w:rPr>
          <w:b w:val="0"/>
          <w:noProof/>
          <w:szCs w:val="22"/>
          <w:lang w:val="hy-AM"/>
        </w:rPr>
        <w:t>Մշակույթ</w:t>
      </w:r>
      <w:r w:rsidRPr="00A83C94">
        <w:rPr>
          <w:b w:val="0"/>
          <w:noProof/>
          <w:szCs w:val="22"/>
          <w:lang w:val="af-ZA"/>
        </w:rPr>
        <w:t xml:space="preserve">» </w:t>
      </w:r>
      <w:r w:rsidRPr="00A83C94">
        <w:rPr>
          <w:b w:val="0"/>
          <w:noProof/>
          <w:szCs w:val="22"/>
          <w:lang w:val="hy-AM"/>
        </w:rPr>
        <w:t>բաժին</w:t>
      </w:r>
      <w:r w:rsidRPr="00A83C94">
        <w:rPr>
          <w:b w:val="0"/>
          <w:noProof/>
          <w:szCs w:val="22"/>
          <w:lang w:val="af-ZA"/>
        </w:rPr>
        <w:t>):</w:t>
      </w:r>
    </w:p>
    <w:p w14:paraId="610C354B"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Մշակույթի</w:t>
      </w:r>
      <w:r w:rsidRPr="00A83C94">
        <w:rPr>
          <w:b w:val="0"/>
          <w:noProof/>
          <w:szCs w:val="22"/>
          <w:lang w:val="af-ZA"/>
        </w:rPr>
        <w:t xml:space="preserve"> </w:t>
      </w:r>
      <w:r w:rsidRPr="00A83C94">
        <w:rPr>
          <w:b w:val="0"/>
          <w:noProof/>
          <w:szCs w:val="22"/>
        </w:rPr>
        <w:t>ոլորտի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w:t>
      </w:r>
      <w:r w:rsidRPr="00A83C94">
        <w:rPr>
          <w:b w:val="0"/>
          <w:noProof/>
          <w:szCs w:val="22"/>
        </w:rPr>
        <w:t>թվականի</w:t>
      </w:r>
      <w:r w:rsidRPr="00A83C94">
        <w:rPr>
          <w:b w:val="0"/>
          <w:noProof/>
          <w:szCs w:val="22"/>
          <w:lang w:val="en-US"/>
        </w:rPr>
        <w:t>ն</w:t>
      </w:r>
      <w:r w:rsidRPr="00A83C94">
        <w:rPr>
          <w:b w:val="0"/>
          <w:noProof/>
          <w:szCs w:val="22"/>
          <w:lang w:val="af-ZA"/>
        </w:rPr>
        <w:t xml:space="preserve">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16,546.9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15,403.9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1,143.0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7.4 </w:t>
      </w:r>
      <w:r w:rsidRPr="00A83C94">
        <w:rPr>
          <w:b w:val="0"/>
          <w:noProof/>
          <w:szCs w:val="22"/>
        </w:rPr>
        <w:t>տոկոսով</w:t>
      </w:r>
      <w:r w:rsidRPr="00A83C94">
        <w:rPr>
          <w:b w:val="0"/>
          <w:noProof/>
          <w:szCs w:val="22"/>
          <w:lang w:val="af-ZA"/>
        </w:rPr>
        <w:t xml:space="preserve">: </w:t>
      </w:r>
    </w:p>
    <w:p w14:paraId="2C656B58" w14:textId="6C8D2494"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Մշակութային</w:t>
      </w:r>
      <w:r w:rsidRPr="00A83C94">
        <w:rPr>
          <w:b w:val="0"/>
          <w:noProof/>
          <w:szCs w:val="22"/>
          <w:lang w:val="af-ZA"/>
        </w:rPr>
        <w:t xml:space="preserve"> </w:t>
      </w:r>
      <w:r w:rsidRPr="00A83C94">
        <w:rPr>
          <w:b w:val="0"/>
          <w:noProof/>
          <w:szCs w:val="22"/>
        </w:rPr>
        <w:t>օբյեկտների</w:t>
      </w:r>
      <w:r w:rsidRPr="00A83C94">
        <w:rPr>
          <w:b w:val="0"/>
          <w:noProof/>
          <w:szCs w:val="22"/>
          <w:lang w:val="af-ZA"/>
        </w:rPr>
        <w:t xml:space="preserve"> </w:t>
      </w:r>
      <w:r w:rsidRPr="00A83C94">
        <w:rPr>
          <w:b w:val="0"/>
          <w:noProof/>
          <w:szCs w:val="22"/>
        </w:rPr>
        <w:t>հիմնանորոգման</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ամրակայման</w:t>
      </w:r>
      <w:r w:rsidRPr="00A83C94">
        <w:rPr>
          <w:b w:val="0"/>
          <w:noProof/>
          <w:szCs w:val="22"/>
          <w:lang w:val="af-ZA"/>
        </w:rPr>
        <w:t xml:space="preserve">, </w:t>
      </w:r>
      <w:r w:rsidRPr="00A83C94">
        <w:rPr>
          <w:b w:val="0"/>
          <w:noProof/>
          <w:szCs w:val="22"/>
        </w:rPr>
        <w:t>նորոգման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վերականգնման</w:t>
      </w:r>
      <w:r w:rsidRPr="00A83C94">
        <w:rPr>
          <w:b w:val="0"/>
          <w:noProof/>
          <w:szCs w:val="22"/>
          <w:lang w:val="af-ZA"/>
        </w:rPr>
        <w:t xml:space="preserve"> </w:t>
      </w:r>
      <w:r w:rsidRPr="00A83C94">
        <w:rPr>
          <w:b w:val="0"/>
          <w:noProof/>
          <w:szCs w:val="22"/>
        </w:rPr>
        <w:t>գծով</w:t>
      </w:r>
      <w:r w:rsidRPr="00A83C94">
        <w:rPr>
          <w:b w:val="0"/>
          <w:noProof/>
          <w:szCs w:val="22"/>
          <w:lang w:val="af-ZA"/>
        </w:rPr>
        <w:t xml:space="preserve"> ծ</w:t>
      </w:r>
      <w:r w:rsidRPr="00A83C94">
        <w:rPr>
          <w:b w:val="0"/>
          <w:noProof/>
          <w:szCs w:val="22"/>
        </w:rPr>
        <w:t>ախսերը</w:t>
      </w:r>
      <w:r w:rsidRPr="00A83C94">
        <w:rPr>
          <w:b w:val="0"/>
          <w:noProof/>
          <w:szCs w:val="22"/>
          <w:lang w:val="af-ZA"/>
        </w:rPr>
        <w:t xml:space="preserve"> </w:t>
      </w:r>
      <w:r w:rsidRPr="00A83C94">
        <w:rPr>
          <w:b w:val="0"/>
          <w:noProof/>
          <w:szCs w:val="22"/>
        </w:rPr>
        <w:t>նախատեսվել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324.7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000838D8">
        <w:rPr>
          <w:b w:val="0"/>
          <w:noProof/>
          <w:szCs w:val="22"/>
          <w:lang w:val="af-ZA"/>
        </w:rPr>
        <w:t>հաստատ</w:t>
      </w:r>
      <w:r w:rsidRPr="00A83C94">
        <w:rPr>
          <w:b w:val="0"/>
          <w:noProof/>
          <w:szCs w:val="22"/>
        </w:rPr>
        <w:t>ված</w:t>
      </w:r>
      <w:r w:rsidRPr="00A83C94">
        <w:rPr>
          <w:b w:val="0"/>
          <w:noProof/>
          <w:szCs w:val="22"/>
          <w:lang w:val="af-ZA"/>
        </w:rPr>
        <w:t xml:space="preserve"> 70.0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r w:rsidRPr="00A83C94">
        <w:rPr>
          <w:b w:val="0"/>
          <w:noProof/>
          <w:szCs w:val="22"/>
        </w:rPr>
        <w:t>կամ</w:t>
      </w:r>
      <w:r w:rsidRPr="00A83C94">
        <w:rPr>
          <w:b w:val="0"/>
          <w:noProof/>
          <w:szCs w:val="22"/>
          <w:lang w:val="af-ZA"/>
        </w:rPr>
        <w:t xml:space="preserve"> </w:t>
      </w: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254.7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p>
    <w:p w14:paraId="49D3D46D"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Հիմնանորոգման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շինարարության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նախատեսված</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ժառանգության</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ամրակայում</w:t>
      </w:r>
      <w:r w:rsidRPr="00A83C94">
        <w:rPr>
          <w:b w:val="0"/>
          <w:noProof/>
          <w:szCs w:val="22"/>
          <w:lang w:val="af-ZA"/>
        </w:rPr>
        <w:t xml:space="preserve">, </w:t>
      </w:r>
      <w:r w:rsidRPr="00A83C94">
        <w:rPr>
          <w:b w:val="0"/>
          <w:noProof/>
          <w:szCs w:val="22"/>
        </w:rPr>
        <w:t>նորոգում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վերականգնում</w:t>
      </w:r>
      <w:r w:rsidRPr="00A83C94">
        <w:rPr>
          <w:b w:val="0"/>
          <w:noProof/>
          <w:szCs w:val="22"/>
          <w:lang w:val="af-ZA"/>
        </w:rPr>
        <w:t xml:space="preserve">» </w:t>
      </w:r>
      <w:r w:rsidRPr="00A83C94">
        <w:rPr>
          <w:b w:val="0"/>
          <w:noProof/>
          <w:szCs w:val="22"/>
        </w:rPr>
        <w:t>միջոցառմանը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Արվեստների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Ներդրումներ</w:t>
      </w:r>
      <w:r w:rsidRPr="00A83C94">
        <w:rPr>
          <w:b w:val="0"/>
          <w:noProof/>
          <w:szCs w:val="22"/>
          <w:lang w:val="af-ZA"/>
        </w:rPr>
        <w:t xml:space="preserve"> </w:t>
      </w:r>
      <w:r w:rsidRPr="00A83C94">
        <w:rPr>
          <w:b w:val="0"/>
          <w:noProof/>
          <w:szCs w:val="22"/>
        </w:rPr>
        <w:t>թատրոնների</w:t>
      </w:r>
      <w:r w:rsidRPr="00A83C94">
        <w:rPr>
          <w:b w:val="0"/>
          <w:noProof/>
          <w:szCs w:val="22"/>
          <w:lang w:val="af-ZA"/>
        </w:rPr>
        <w:t xml:space="preserve"> </w:t>
      </w:r>
      <w:r w:rsidRPr="00A83C94">
        <w:rPr>
          <w:b w:val="0"/>
          <w:noProof/>
          <w:szCs w:val="22"/>
        </w:rPr>
        <w:t>շենքերի</w:t>
      </w:r>
      <w:r w:rsidRPr="00A83C94">
        <w:rPr>
          <w:b w:val="0"/>
          <w:noProof/>
          <w:szCs w:val="22"/>
          <w:lang w:val="af-ZA"/>
        </w:rPr>
        <w:t xml:space="preserve"> </w:t>
      </w:r>
      <w:r w:rsidRPr="00A83C94">
        <w:rPr>
          <w:b w:val="0"/>
          <w:noProof/>
          <w:szCs w:val="22"/>
        </w:rPr>
        <w:t>կապիտալ</w:t>
      </w:r>
      <w:r w:rsidRPr="00A83C94">
        <w:rPr>
          <w:b w:val="0"/>
          <w:noProof/>
          <w:szCs w:val="22"/>
          <w:lang w:val="af-ZA"/>
        </w:rPr>
        <w:t xml:space="preserve"> </w:t>
      </w:r>
      <w:r w:rsidRPr="00A83C94">
        <w:rPr>
          <w:b w:val="0"/>
          <w:noProof/>
          <w:szCs w:val="22"/>
        </w:rPr>
        <w:t>վերանորոգման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միջոցառմանը</w:t>
      </w:r>
      <w:r w:rsidRPr="00A83C94">
        <w:rPr>
          <w:b w:val="0"/>
          <w:noProof/>
          <w:szCs w:val="22"/>
          <w:lang w:val="af-ZA"/>
        </w:rPr>
        <w:t xml:space="preserve">, </w:t>
      </w:r>
      <w:r w:rsidRPr="00A83C94">
        <w:rPr>
          <w:b w:val="0"/>
          <w:noProof/>
          <w:szCs w:val="22"/>
        </w:rPr>
        <w:t>համապատասխանաբար</w:t>
      </w:r>
      <w:r w:rsidRPr="00A83C94">
        <w:rPr>
          <w:b w:val="0"/>
          <w:noProof/>
          <w:szCs w:val="22"/>
          <w:lang w:val="af-ZA"/>
        </w:rPr>
        <w:t xml:space="preserve"> 108.1 </w:t>
      </w:r>
      <w:r w:rsidRPr="00A83C94">
        <w:rPr>
          <w:b w:val="0"/>
          <w:noProof/>
          <w:szCs w:val="22"/>
        </w:rPr>
        <w:t>և</w:t>
      </w:r>
      <w:r w:rsidRPr="00A83C94">
        <w:rPr>
          <w:b w:val="0"/>
          <w:noProof/>
          <w:szCs w:val="22"/>
          <w:lang w:val="af-ZA"/>
        </w:rPr>
        <w:t xml:space="preserve"> 216.6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w:t>
      </w:r>
    </w:p>
    <w:p w14:paraId="5E89420C"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Բացի</w:t>
      </w:r>
      <w:r w:rsidRPr="00A83C94">
        <w:rPr>
          <w:b w:val="0"/>
          <w:noProof/>
          <w:szCs w:val="22"/>
          <w:lang w:val="af-ZA"/>
        </w:rPr>
        <w:t xml:space="preserve"> </w:t>
      </w:r>
      <w:r w:rsidRPr="00A83C94">
        <w:rPr>
          <w:b w:val="0"/>
          <w:noProof/>
          <w:szCs w:val="22"/>
        </w:rPr>
        <w:t>այդ</w:t>
      </w:r>
      <w:r w:rsidRPr="00A83C94">
        <w:rPr>
          <w:b w:val="0"/>
          <w:noProof/>
          <w:szCs w:val="22"/>
          <w:lang w:val="af-ZA"/>
        </w:rPr>
        <w:t>, «</w:t>
      </w:r>
      <w:r w:rsidRPr="00A83C94">
        <w:rPr>
          <w:b w:val="0"/>
          <w:noProof/>
          <w:szCs w:val="22"/>
        </w:rPr>
        <w:t>Թատերահամերգային</w:t>
      </w:r>
      <w:r w:rsidRPr="00A83C94">
        <w:rPr>
          <w:b w:val="0"/>
          <w:noProof/>
          <w:szCs w:val="22"/>
          <w:lang w:val="af-ZA"/>
        </w:rPr>
        <w:t xml:space="preserve"> </w:t>
      </w:r>
      <w:r w:rsidRPr="00A83C94">
        <w:rPr>
          <w:b w:val="0"/>
          <w:noProof/>
          <w:szCs w:val="22"/>
        </w:rPr>
        <w:t>կազմակերպությունների</w:t>
      </w:r>
      <w:r w:rsidRPr="00A83C94">
        <w:rPr>
          <w:b w:val="0"/>
          <w:noProof/>
          <w:szCs w:val="22"/>
          <w:lang w:val="af-ZA"/>
        </w:rPr>
        <w:t xml:space="preserve"> </w:t>
      </w:r>
      <w:r w:rsidRPr="00A83C94">
        <w:rPr>
          <w:b w:val="0"/>
          <w:noProof/>
          <w:szCs w:val="22"/>
        </w:rPr>
        <w:t>նյութատեխնիկական</w:t>
      </w:r>
      <w:r w:rsidRPr="00A83C94">
        <w:rPr>
          <w:b w:val="0"/>
          <w:noProof/>
          <w:szCs w:val="22"/>
          <w:lang w:val="af-ZA"/>
        </w:rPr>
        <w:t xml:space="preserve"> </w:t>
      </w:r>
      <w:r w:rsidRPr="00A83C94">
        <w:rPr>
          <w:b w:val="0"/>
          <w:noProof/>
          <w:szCs w:val="22"/>
        </w:rPr>
        <w:t>բազայի</w:t>
      </w:r>
      <w:r w:rsidRPr="00A83C94">
        <w:rPr>
          <w:b w:val="0"/>
          <w:noProof/>
          <w:szCs w:val="22"/>
          <w:lang w:val="af-ZA"/>
        </w:rPr>
        <w:t xml:space="preserve">  </w:t>
      </w:r>
      <w:r w:rsidRPr="00A83C94">
        <w:rPr>
          <w:b w:val="0"/>
          <w:noProof/>
          <w:szCs w:val="22"/>
        </w:rPr>
        <w:t>համալրում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գծով</w:t>
      </w:r>
      <w:r w:rsidRPr="00A83C94">
        <w:rPr>
          <w:b w:val="0"/>
          <w:noProof/>
          <w:szCs w:val="22"/>
          <w:lang w:val="af-ZA"/>
        </w:rPr>
        <w:t xml:space="preserve"> </w:t>
      </w:r>
      <w:r w:rsidRPr="00A83C94">
        <w:rPr>
          <w:b w:val="0"/>
          <w:noProof/>
          <w:szCs w:val="22"/>
        </w:rPr>
        <w:t>նախատեսվել</w:t>
      </w:r>
      <w:r w:rsidRPr="00A83C94">
        <w:rPr>
          <w:b w:val="0"/>
          <w:noProof/>
          <w:szCs w:val="22"/>
          <w:lang w:val="af-ZA"/>
        </w:rPr>
        <w:t xml:space="preserve"> </w:t>
      </w:r>
      <w:r w:rsidRPr="00A83C94">
        <w:rPr>
          <w:b w:val="0"/>
          <w:noProof/>
          <w:szCs w:val="22"/>
        </w:rPr>
        <w:t>է</w:t>
      </w:r>
      <w:r w:rsidRPr="00A83C94">
        <w:rPr>
          <w:b w:val="0"/>
          <w:noProof/>
          <w:szCs w:val="22"/>
          <w:lang w:val="af-ZA"/>
        </w:rPr>
        <w:t xml:space="preserve"> 767.5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w:t>
      </w:r>
    </w:p>
    <w:p w14:paraId="52B7A824"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en-US"/>
        </w:rPr>
        <w:t>Մ</w:t>
      </w:r>
      <w:r w:rsidRPr="00A83C94">
        <w:rPr>
          <w:b w:val="0"/>
          <w:noProof/>
          <w:szCs w:val="22"/>
        </w:rPr>
        <w:t>շակույթի</w:t>
      </w:r>
      <w:r w:rsidRPr="00A83C94">
        <w:rPr>
          <w:b w:val="0"/>
          <w:noProof/>
          <w:szCs w:val="22"/>
          <w:lang w:val="af-ZA"/>
        </w:rPr>
        <w:t xml:space="preserve"> </w:t>
      </w:r>
      <w:r w:rsidRPr="00A83C94">
        <w:rPr>
          <w:b w:val="0"/>
          <w:noProof/>
          <w:szCs w:val="22"/>
        </w:rPr>
        <w:t>ոլորտի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նախատեսված</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7 </w:t>
      </w:r>
      <w:r w:rsidRPr="00A83C94">
        <w:rPr>
          <w:b w:val="0"/>
          <w:noProof/>
          <w:szCs w:val="22"/>
        </w:rPr>
        <w:t>ծրագրերի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p>
    <w:p w14:paraId="6ABA487D" w14:textId="09946F43"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Կինեմատոգրաֆիայի</w:t>
      </w:r>
      <w:r w:rsidRPr="00A83C94">
        <w:rPr>
          <w:noProof/>
          <w:szCs w:val="22"/>
          <w:lang w:val="af-ZA"/>
        </w:rPr>
        <w:t xml:space="preserve"> </w:t>
      </w:r>
      <w:r w:rsidRPr="00A83C94">
        <w:rPr>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աջակցել</w:t>
      </w:r>
      <w:r w:rsidRPr="00A83C94">
        <w:rPr>
          <w:b w:val="0"/>
          <w:noProof/>
          <w:szCs w:val="22"/>
          <w:lang w:val="af-ZA"/>
        </w:rPr>
        <w:t xml:space="preserve"> </w:t>
      </w:r>
      <w:r w:rsidRPr="00A83C94">
        <w:rPr>
          <w:b w:val="0"/>
          <w:noProof/>
          <w:szCs w:val="22"/>
          <w:lang w:val="hy-AM"/>
        </w:rPr>
        <w:t>կինոարվեստի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կինոարտադրության</w:t>
      </w:r>
      <w:r w:rsidRPr="00A83C94">
        <w:rPr>
          <w:b w:val="0"/>
          <w:noProof/>
          <w:szCs w:val="22"/>
          <w:lang w:val="af-ZA"/>
        </w:rPr>
        <w:t xml:space="preserve"> </w:t>
      </w:r>
      <w:r w:rsidRPr="00A83C94">
        <w:rPr>
          <w:b w:val="0"/>
          <w:noProof/>
          <w:szCs w:val="22"/>
          <w:lang w:val="hy-AM"/>
        </w:rPr>
        <w:t>զարգացմանը</w:t>
      </w:r>
      <w:r w:rsidRPr="00A83C94">
        <w:rPr>
          <w:b w:val="0"/>
          <w:noProof/>
          <w:szCs w:val="22"/>
          <w:lang w:val="af-ZA"/>
        </w:rPr>
        <w:t xml:space="preserve">, </w:t>
      </w:r>
      <w:r w:rsidRPr="00A83C94">
        <w:rPr>
          <w:b w:val="0"/>
          <w:noProof/>
          <w:szCs w:val="22"/>
          <w:lang w:val="hy-AM"/>
        </w:rPr>
        <w:t>հայկական</w:t>
      </w:r>
      <w:r w:rsidRPr="00A83C94">
        <w:rPr>
          <w:b w:val="0"/>
          <w:noProof/>
          <w:szCs w:val="22"/>
          <w:lang w:val="af-ZA"/>
        </w:rPr>
        <w:t xml:space="preserve"> </w:t>
      </w:r>
      <w:r w:rsidRPr="00A83C94">
        <w:rPr>
          <w:b w:val="0"/>
          <w:noProof/>
          <w:szCs w:val="22"/>
          <w:lang w:val="hy-AM"/>
        </w:rPr>
        <w:t>ավանդույթների</w:t>
      </w:r>
      <w:r w:rsidRPr="00A83C94">
        <w:rPr>
          <w:b w:val="0"/>
          <w:noProof/>
          <w:szCs w:val="22"/>
          <w:lang w:val="af-ZA"/>
        </w:rPr>
        <w:t xml:space="preserve"> </w:t>
      </w:r>
      <w:r w:rsidRPr="00A83C94">
        <w:rPr>
          <w:b w:val="0"/>
          <w:noProof/>
          <w:szCs w:val="22"/>
          <w:lang w:val="hy-AM"/>
        </w:rPr>
        <w:t>շարունակականության</w:t>
      </w:r>
      <w:r w:rsidRPr="00A83C94">
        <w:rPr>
          <w:b w:val="0"/>
          <w:noProof/>
          <w:szCs w:val="22"/>
          <w:lang w:val="af-ZA"/>
        </w:rPr>
        <w:t xml:space="preserve"> </w:t>
      </w:r>
      <w:r w:rsidRPr="00A83C94">
        <w:rPr>
          <w:b w:val="0"/>
          <w:noProof/>
          <w:szCs w:val="22"/>
          <w:lang w:val="hy-AM"/>
        </w:rPr>
        <w:t>ապահովմանը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կինոարվեստի</w:t>
      </w:r>
      <w:r w:rsidRPr="00A83C94">
        <w:rPr>
          <w:b w:val="0"/>
          <w:noProof/>
          <w:szCs w:val="22"/>
          <w:lang w:val="af-ZA"/>
        </w:rPr>
        <w:t xml:space="preserve"> </w:t>
      </w:r>
      <w:r w:rsidRPr="00A83C94">
        <w:rPr>
          <w:b w:val="0"/>
          <w:noProof/>
          <w:szCs w:val="22"/>
          <w:lang w:val="hy-AM"/>
        </w:rPr>
        <w:t>հանրահռչակմանը</w:t>
      </w:r>
      <w:r w:rsidRPr="00A83C94">
        <w:rPr>
          <w:b w:val="0"/>
          <w:noProof/>
          <w:szCs w:val="22"/>
          <w:lang w:val="af-ZA"/>
        </w:rPr>
        <w:t>:</w:t>
      </w:r>
    </w:p>
    <w:p w14:paraId="077BD455" w14:textId="0B9F3992" w:rsidR="003B2C15" w:rsidRPr="00A22D05"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ֆիլմերի</w:t>
      </w:r>
      <w:r w:rsidRPr="00A83C94">
        <w:rPr>
          <w:b w:val="0"/>
          <w:noProof/>
          <w:szCs w:val="22"/>
          <w:lang w:val="af-ZA"/>
        </w:rPr>
        <w:t xml:space="preserve"> </w:t>
      </w:r>
      <w:r w:rsidRPr="00A83C94">
        <w:rPr>
          <w:b w:val="0"/>
          <w:noProof/>
          <w:szCs w:val="22"/>
        </w:rPr>
        <w:t>արտադրությանը</w:t>
      </w:r>
      <w:r w:rsidRPr="00A83C94">
        <w:rPr>
          <w:b w:val="0"/>
          <w:noProof/>
          <w:szCs w:val="22"/>
          <w:lang w:val="af-ZA"/>
        </w:rPr>
        <w:t xml:space="preserve">, </w:t>
      </w:r>
      <w:r w:rsidRPr="00A83C94">
        <w:rPr>
          <w:b w:val="0"/>
          <w:noProof/>
          <w:szCs w:val="22"/>
        </w:rPr>
        <w:t>կինո</w:t>
      </w:r>
      <w:r w:rsidRPr="00A83C94">
        <w:rPr>
          <w:b w:val="0"/>
          <w:noProof/>
          <w:szCs w:val="22"/>
          <w:lang w:val="af-ZA"/>
        </w:rPr>
        <w:t>-</w:t>
      </w:r>
      <w:r w:rsidRPr="00A83C94">
        <w:rPr>
          <w:b w:val="0"/>
          <w:noProof/>
          <w:szCs w:val="22"/>
        </w:rPr>
        <w:t>ֆոտո</w:t>
      </w:r>
      <w:r w:rsidRPr="00A83C94">
        <w:rPr>
          <w:b w:val="0"/>
          <w:noProof/>
          <w:szCs w:val="22"/>
          <w:lang w:val="af-ZA"/>
        </w:rPr>
        <w:t>-</w:t>
      </w:r>
      <w:r w:rsidRPr="00A83C94">
        <w:rPr>
          <w:b w:val="0"/>
          <w:noProof/>
          <w:szCs w:val="22"/>
        </w:rPr>
        <w:t>ֆոնո</w:t>
      </w:r>
      <w:r w:rsidRPr="00A83C94">
        <w:rPr>
          <w:b w:val="0"/>
          <w:noProof/>
          <w:szCs w:val="22"/>
          <w:lang w:val="af-ZA"/>
        </w:rPr>
        <w:t xml:space="preserve"> </w:t>
      </w:r>
      <w:r w:rsidRPr="00A83C94">
        <w:rPr>
          <w:b w:val="0"/>
          <w:noProof/>
          <w:szCs w:val="22"/>
        </w:rPr>
        <w:t>հավաքածուի</w:t>
      </w:r>
      <w:r w:rsidRPr="00A83C94">
        <w:rPr>
          <w:b w:val="0"/>
          <w:noProof/>
          <w:szCs w:val="22"/>
          <w:lang w:val="af-ZA"/>
        </w:rPr>
        <w:t xml:space="preserve"> </w:t>
      </w:r>
      <w:r w:rsidRPr="00A83C94">
        <w:rPr>
          <w:b w:val="0"/>
          <w:noProof/>
          <w:szCs w:val="22"/>
        </w:rPr>
        <w:t>պահպանմանը</w:t>
      </w:r>
      <w:r w:rsidRPr="00A83C94">
        <w:rPr>
          <w:b w:val="0"/>
          <w:noProof/>
          <w:szCs w:val="22"/>
          <w:lang w:val="af-ZA"/>
        </w:rPr>
        <w:t xml:space="preserve">, </w:t>
      </w:r>
      <w:r w:rsidRPr="00A83C94">
        <w:rPr>
          <w:b w:val="0"/>
          <w:noProof/>
          <w:szCs w:val="22"/>
        </w:rPr>
        <w:t>թվայնացմանը</w:t>
      </w:r>
      <w:r w:rsidRPr="00A83C94">
        <w:rPr>
          <w:b w:val="0"/>
          <w:noProof/>
          <w:szCs w:val="22"/>
          <w:lang w:val="af-ZA"/>
        </w:rPr>
        <w:t xml:space="preserve">, </w:t>
      </w:r>
      <w:r w:rsidRPr="00A83C94">
        <w:rPr>
          <w:b w:val="0"/>
          <w:noProof/>
          <w:szCs w:val="22"/>
        </w:rPr>
        <w:t>Հայաստանում</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կինոփառատոների</w:t>
      </w:r>
      <w:r w:rsidRPr="00A83C94">
        <w:rPr>
          <w:b w:val="0"/>
          <w:noProof/>
          <w:szCs w:val="22"/>
          <w:lang w:val="af-ZA"/>
        </w:rPr>
        <w:t xml:space="preserve"> </w:t>
      </w:r>
      <w:r w:rsidRPr="00A83C94">
        <w:rPr>
          <w:b w:val="0"/>
          <w:noProof/>
          <w:szCs w:val="22"/>
        </w:rPr>
        <w:t>կազմակերպմանը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փառատոներին</w:t>
      </w:r>
      <w:r w:rsidRPr="00A83C94">
        <w:rPr>
          <w:b w:val="0"/>
          <w:noProof/>
          <w:szCs w:val="22"/>
          <w:lang w:val="af-ZA"/>
        </w:rPr>
        <w:t xml:space="preserve"> </w:t>
      </w:r>
      <w:r w:rsidRPr="00A83C94">
        <w:rPr>
          <w:b w:val="0"/>
          <w:noProof/>
          <w:szCs w:val="22"/>
        </w:rPr>
        <w:t>մասնակցությանը</w:t>
      </w:r>
      <w:r w:rsidR="00A22D05" w:rsidRPr="00A22D05">
        <w:rPr>
          <w:b w:val="0"/>
          <w:noProof/>
          <w:szCs w:val="22"/>
          <w:lang w:val="af-ZA"/>
        </w:rPr>
        <w:t xml:space="preserve"> (</w:t>
      </w:r>
      <w:r w:rsidR="00A22D05" w:rsidRPr="00A22D05">
        <w:rPr>
          <w:b w:val="0"/>
          <w:noProof/>
          <w:szCs w:val="22"/>
        </w:rPr>
        <w:t>նոր</w:t>
      </w:r>
      <w:r w:rsidR="00A22D05" w:rsidRPr="00A22D05">
        <w:rPr>
          <w:b w:val="0"/>
          <w:noProof/>
          <w:szCs w:val="22"/>
          <w:lang w:val="af-ZA"/>
        </w:rPr>
        <w:t xml:space="preserve"> </w:t>
      </w:r>
      <w:r w:rsidR="00A22D05" w:rsidRPr="00A22D05">
        <w:rPr>
          <w:b w:val="0"/>
          <w:noProof/>
          <w:szCs w:val="22"/>
        </w:rPr>
        <w:t>արտադրվող</w:t>
      </w:r>
      <w:r w:rsidR="00A22D05" w:rsidRPr="00A22D05">
        <w:rPr>
          <w:b w:val="0"/>
          <w:noProof/>
          <w:szCs w:val="22"/>
          <w:lang w:val="af-ZA"/>
        </w:rPr>
        <w:t xml:space="preserve"> </w:t>
      </w:r>
      <w:r w:rsidR="00A22D05" w:rsidRPr="00A22D05">
        <w:rPr>
          <w:b w:val="0"/>
          <w:noProof/>
          <w:szCs w:val="22"/>
        </w:rPr>
        <w:t>կինոնկարների</w:t>
      </w:r>
      <w:r w:rsidR="00A22D05" w:rsidRPr="00A22D05">
        <w:rPr>
          <w:b w:val="0"/>
          <w:noProof/>
          <w:szCs w:val="22"/>
          <w:lang w:val="af-ZA"/>
        </w:rPr>
        <w:t xml:space="preserve"> </w:t>
      </w:r>
      <w:r w:rsidR="00A22D05" w:rsidRPr="00A22D05">
        <w:rPr>
          <w:b w:val="0"/>
          <w:noProof/>
          <w:szCs w:val="22"/>
        </w:rPr>
        <w:t>թիվը</w:t>
      </w:r>
      <w:r w:rsidR="00A22D05" w:rsidRPr="00A22D05">
        <w:rPr>
          <w:b w:val="0"/>
          <w:noProof/>
          <w:szCs w:val="22"/>
          <w:lang w:val="af-ZA"/>
        </w:rPr>
        <w:t xml:space="preserve"> </w:t>
      </w:r>
      <w:r w:rsidR="00A22D05" w:rsidRPr="00A22D05">
        <w:rPr>
          <w:b w:val="0"/>
          <w:noProof/>
          <w:szCs w:val="22"/>
        </w:rPr>
        <w:t>նախատեսվում</w:t>
      </w:r>
      <w:r w:rsidR="00A22D05" w:rsidRPr="00A22D05">
        <w:rPr>
          <w:b w:val="0"/>
          <w:noProof/>
          <w:szCs w:val="22"/>
          <w:lang w:val="af-ZA"/>
        </w:rPr>
        <w:t xml:space="preserve"> </w:t>
      </w:r>
      <w:r w:rsidR="00A22D05" w:rsidRPr="00A22D05">
        <w:rPr>
          <w:b w:val="0"/>
          <w:noProof/>
          <w:szCs w:val="22"/>
        </w:rPr>
        <w:t>է</w:t>
      </w:r>
      <w:r w:rsidR="00A22D05" w:rsidRPr="00A22D05">
        <w:rPr>
          <w:b w:val="0"/>
          <w:noProof/>
          <w:szCs w:val="22"/>
          <w:lang w:val="af-ZA"/>
        </w:rPr>
        <w:t xml:space="preserve"> 8, </w:t>
      </w:r>
      <w:r w:rsidR="00A22D05" w:rsidRPr="00A22D05">
        <w:rPr>
          <w:b w:val="0"/>
          <w:noProof/>
          <w:szCs w:val="22"/>
        </w:rPr>
        <w:t>միջազգային</w:t>
      </w:r>
      <w:r w:rsidR="00A22D05" w:rsidRPr="00A22D05">
        <w:rPr>
          <w:b w:val="0"/>
          <w:noProof/>
          <w:szCs w:val="22"/>
          <w:lang w:val="af-ZA"/>
        </w:rPr>
        <w:t xml:space="preserve"> </w:t>
      </w:r>
      <w:r w:rsidR="00A22D05" w:rsidRPr="00A22D05">
        <w:rPr>
          <w:b w:val="0"/>
          <w:noProof/>
          <w:szCs w:val="22"/>
        </w:rPr>
        <w:t>կինոփառատոններին</w:t>
      </w:r>
      <w:r w:rsidR="00A22D05" w:rsidRPr="00A22D05">
        <w:rPr>
          <w:b w:val="0"/>
          <w:noProof/>
          <w:szCs w:val="22"/>
          <w:lang w:val="af-ZA"/>
        </w:rPr>
        <w:t xml:space="preserve">, </w:t>
      </w:r>
      <w:r w:rsidR="00A22D05" w:rsidRPr="00A22D05">
        <w:rPr>
          <w:b w:val="0"/>
          <w:noProof/>
          <w:szCs w:val="22"/>
        </w:rPr>
        <w:t>կինոշուկաներին</w:t>
      </w:r>
      <w:r w:rsidR="00A22D05" w:rsidRPr="00A22D05">
        <w:rPr>
          <w:b w:val="0"/>
          <w:noProof/>
          <w:szCs w:val="22"/>
          <w:lang w:val="af-ZA"/>
        </w:rPr>
        <w:t xml:space="preserve">, </w:t>
      </w:r>
      <w:r w:rsidR="00A22D05" w:rsidRPr="00A22D05">
        <w:rPr>
          <w:b w:val="0"/>
          <w:noProof/>
          <w:szCs w:val="22"/>
        </w:rPr>
        <w:t>կինոնախագծերին</w:t>
      </w:r>
      <w:r w:rsidR="00A22D05" w:rsidRPr="00A22D05">
        <w:rPr>
          <w:b w:val="0"/>
          <w:noProof/>
          <w:szCs w:val="22"/>
          <w:lang w:val="af-ZA"/>
        </w:rPr>
        <w:t xml:space="preserve"> </w:t>
      </w:r>
      <w:r w:rsidR="00A22D05" w:rsidRPr="00A22D05">
        <w:rPr>
          <w:b w:val="0"/>
          <w:noProof/>
          <w:szCs w:val="22"/>
        </w:rPr>
        <w:t>մասնակցության</w:t>
      </w:r>
      <w:r w:rsidR="00A22D05" w:rsidRPr="00A22D05">
        <w:rPr>
          <w:b w:val="0"/>
          <w:noProof/>
          <w:szCs w:val="22"/>
          <w:lang w:val="af-ZA"/>
        </w:rPr>
        <w:t xml:space="preserve"> </w:t>
      </w:r>
      <w:r w:rsidR="00A22D05" w:rsidRPr="00A22D05">
        <w:rPr>
          <w:b w:val="0"/>
          <w:noProof/>
          <w:szCs w:val="22"/>
        </w:rPr>
        <w:t>թիվը՝</w:t>
      </w:r>
      <w:r w:rsidR="00A22D05" w:rsidRPr="00A22D05">
        <w:rPr>
          <w:b w:val="0"/>
          <w:noProof/>
          <w:szCs w:val="22"/>
          <w:lang w:val="af-ZA"/>
        </w:rPr>
        <w:t xml:space="preserve"> 6, </w:t>
      </w:r>
      <w:r w:rsidR="00A22D05" w:rsidRPr="00A22D05">
        <w:rPr>
          <w:b w:val="0"/>
          <w:noProof/>
          <w:szCs w:val="22"/>
        </w:rPr>
        <w:t>Հայաստանում</w:t>
      </w:r>
      <w:r w:rsidR="00A22D05" w:rsidRPr="00A22D05">
        <w:rPr>
          <w:b w:val="0"/>
          <w:noProof/>
          <w:szCs w:val="22"/>
          <w:lang w:val="af-ZA"/>
        </w:rPr>
        <w:t xml:space="preserve"> </w:t>
      </w:r>
      <w:r w:rsidR="00A22D05" w:rsidRPr="00A22D05">
        <w:rPr>
          <w:b w:val="0"/>
          <w:noProof/>
          <w:szCs w:val="22"/>
        </w:rPr>
        <w:t>կազմակերպվող</w:t>
      </w:r>
      <w:r w:rsidR="00A22D05" w:rsidRPr="00A22D05">
        <w:rPr>
          <w:b w:val="0"/>
          <w:noProof/>
          <w:szCs w:val="22"/>
          <w:lang w:val="af-ZA"/>
        </w:rPr>
        <w:t xml:space="preserve"> </w:t>
      </w:r>
      <w:r w:rsidR="00A22D05" w:rsidRPr="00A22D05">
        <w:rPr>
          <w:b w:val="0"/>
          <w:noProof/>
          <w:szCs w:val="22"/>
        </w:rPr>
        <w:t>կինոփառատոների</w:t>
      </w:r>
      <w:r w:rsidR="00A22D05" w:rsidRPr="00A22D05">
        <w:rPr>
          <w:b w:val="0"/>
          <w:noProof/>
          <w:szCs w:val="22"/>
          <w:lang w:val="af-ZA"/>
        </w:rPr>
        <w:t xml:space="preserve"> </w:t>
      </w:r>
      <w:r w:rsidR="00A22D05" w:rsidRPr="00A22D05">
        <w:rPr>
          <w:b w:val="0"/>
          <w:noProof/>
          <w:szCs w:val="22"/>
        </w:rPr>
        <w:t>թիվը՝</w:t>
      </w:r>
      <w:r w:rsidR="00A22D05" w:rsidRPr="00A22D05">
        <w:rPr>
          <w:b w:val="0"/>
          <w:noProof/>
          <w:szCs w:val="22"/>
          <w:lang w:val="af-ZA"/>
        </w:rPr>
        <w:t xml:space="preserve"> 3)</w:t>
      </w:r>
      <w:r w:rsidRPr="00A22D05">
        <w:rPr>
          <w:b w:val="0"/>
          <w:noProof/>
          <w:szCs w:val="22"/>
          <w:lang w:val="af-ZA"/>
        </w:rPr>
        <w:t>:</w:t>
      </w:r>
    </w:p>
    <w:p w14:paraId="348D6A1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Կինեմատոգրաֆիայի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483.3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714.0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p>
    <w:p w14:paraId="302BCA73"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230.7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32.3 %-</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1B026C4E" w14:textId="4F56B34F"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noProof/>
          <w:szCs w:val="22"/>
          <w:lang w:val="hy-AM"/>
        </w:rPr>
        <w:t>Մշակութային</w:t>
      </w:r>
      <w:r w:rsidRPr="00A83C94">
        <w:rPr>
          <w:noProof/>
          <w:szCs w:val="22"/>
          <w:lang w:val="af-ZA"/>
        </w:rPr>
        <w:t xml:space="preserve"> </w:t>
      </w:r>
      <w:r w:rsidRPr="00A83C94">
        <w:rPr>
          <w:noProof/>
          <w:szCs w:val="22"/>
          <w:lang w:val="hy-AM"/>
        </w:rPr>
        <w:t>ժառանգության</w:t>
      </w:r>
      <w:r w:rsidRPr="00A83C94">
        <w:rPr>
          <w:noProof/>
          <w:szCs w:val="22"/>
          <w:lang w:val="af-ZA"/>
        </w:rPr>
        <w:t xml:space="preserve"> </w:t>
      </w:r>
      <w:r w:rsidRPr="00A83C94">
        <w:rPr>
          <w:b w:val="0"/>
          <w:noProof/>
          <w:szCs w:val="22"/>
          <w:lang w:val="hy-AM"/>
        </w:rPr>
        <w:t>ծրագրի 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ժառանգության</w:t>
      </w:r>
      <w:r w:rsidRPr="00A83C94">
        <w:rPr>
          <w:b w:val="0"/>
          <w:noProof/>
          <w:szCs w:val="22"/>
          <w:lang w:val="af-ZA"/>
        </w:rPr>
        <w:t xml:space="preserve"> </w:t>
      </w:r>
      <w:r w:rsidRPr="00A83C94">
        <w:rPr>
          <w:b w:val="0"/>
          <w:noProof/>
          <w:szCs w:val="22"/>
          <w:lang w:val="hy-AM"/>
        </w:rPr>
        <w:t>պահպանումը</w:t>
      </w:r>
      <w:r w:rsidRPr="00A83C94">
        <w:rPr>
          <w:b w:val="0"/>
          <w:noProof/>
          <w:szCs w:val="22"/>
          <w:lang w:val="af-ZA"/>
        </w:rPr>
        <w:t xml:space="preserve">, </w:t>
      </w:r>
      <w:r w:rsidRPr="00A83C94">
        <w:rPr>
          <w:b w:val="0"/>
          <w:noProof/>
          <w:szCs w:val="22"/>
          <w:lang w:val="hy-AM"/>
        </w:rPr>
        <w:t>օգտագործումը</w:t>
      </w:r>
      <w:r w:rsidRPr="00A83C94">
        <w:rPr>
          <w:b w:val="0"/>
          <w:noProof/>
          <w:szCs w:val="22"/>
          <w:lang w:val="af-ZA"/>
        </w:rPr>
        <w:t xml:space="preserve">, </w:t>
      </w:r>
      <w:r w:rsidRPr="00A83C94">
        <w:rPr>
          <w:b w:val="0"/>
          <w:noProof/>
          <w:szCs w:val="22"/>
          <w:lang w:val="hy-AM"/>
        </w:rPr>
        <w:t>համալրումը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հանրահռչակումը</w:t>
      </w:r>
      <w:r w:rsidRPr="00A83C94">
        <w:rPr>
          <w:b w:val="0"/>
          <w:noProof/>
          <w:szCs w:val="22"/>
          <w:lang w:val="af-ZA"/>
        </w:rPr>
        <w:t>:</w:t>
      </w:r>
    </w:p>
    <w:p w14:paraId="4701AD99" w14:textId="21CE4D4F"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պատմամշակութային</w:t>
      </w:r>
      <w:r w:rsidRPr="00A83C94">
        <w:rPr>
          <w:b w:val="0"/>
          <w:noProof/>
          <w:szCs w:val="22"/>
          <w:lang w:val="af-ZA"/>
        </w:rPr>
        <w:t xml:space="preserve"> </w:t>
      </w:r>
      <w:r w:rsidRPr="00A83C94">
        <w:rPr>
          <w:b w:val="0"/>
          <w:noProof/>
          <w:szCs w:val="22"/>
        </w:rPr>
        <w:t>ժառանգության</w:t>
      </w:r>
      <w:r w:rsidRPr="00A83C94">
        <w:rPr>
          <w:b w:val="0"/>
          <w:noProof/>
          <w:szCs w:val="22"/>
          <w:lang w:val="af-ZA"/>
        </w:rPr>
        <w:t xml:space="preserve"> </w:t>
      </w:r>
      <w:r w:rsidRPr="00A83C94">
        <w:rPr>
          <w:b w:val="0"/>
          <w:noProof/>
          <w:szCs w:val="22"/>
        </w:rPr>
        <w:t>գիտահետազոտական</w:t>
      </w:r>
      <w:r w:rsidRPr="00A83C94">
        <w:rPr>
          <w:b w:val="0"/>
          <w:noProof/>
          <w:szCs w:val="22"/>
          <w:lang w:val="af-ZA"/>
        </w:rPr>
        <w:t xml:space="preserve"> </w:t>
      </w:r>
      <w:r w:rsidRPr="00A83C94">
        <w:rPr>
          <w:b w:val="0"/>
          <w:noProof/>
          <w:szCs w:val="22"/>
        </w:rPr>
        <w:t>աշխատանքների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արժեքների</w:t>
      </w:r>
      <w:r w:rsidRPr="00A83C94">
        <w:rPr>
          <w:b w:val="0"/>
          <w:noProof/>
          <w:szCs w:val="22"/>
          <w:lang w:val="af-ZA"/>
        </w:rPr>
        <w:t xml:space="preserve"> </w:t>
      </w:r>
      <w:r w:rsidRPr="00A83C94">
        <w:rPr>
          <w:b w:val="0"/>
          <w:noProof/>
          <w:szCs w:val="22"/>
        </w:rPr>
        <w:t>փորձաքննության</w:t>
      </w:r>
      <w:r w:rsidRPr="00A83C94">
        <w:rPr>
          <w:b w:val="0"/>
          <w:noProof/>
          <w:szCs w:val="22"/>
          <w:lang w:val="af-ZA"/>
        </w:rPr>
        <w:t xml:space="preserve">, </w:t>
      </w:r>
      <w:r w:rsidRPr="00A83C94">
        <w:rPr>
          <w:b w:val="0"/>
          <w:noProof/>
          <w:szCs w:val="22"/>
        </w:rPr>
        <w:t>թանգարանային</w:t>
      </w:r>
      <w:r w:rsidRPr="00A83C94">
        <w:rPr>
          <w:b w:val="0"/>
          <w:noProof/>
          <w:szCs w:val="22"/>
          <w:lang w:val="af-ZA"/>
        </w:rPr>
        <w:t xml:space="preserve"> </w:t>
      </w:r>
      <w:r w:rsidRPr="00A83C94">
        <w:rPr>
          <w:b w:val="0"/>
          <w:noProof/>
          <w:szCs w:val="22"/>
        </w:rPr>
        <w:t>ծառայությունների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ՀՀ</w:t>
      </w:r>
      <w:r w:rsidRPr="00A83C94">
        <w:rPr>
          <w:b w:val="0"/>
          <w:noProof/>
          <w:szCs w:val="22"/>
          <w:lang w:val="af-ZA"/>
        </w:rPr>
        <w:t xml:space="preserve"> </w:t>
      </w:r>
      <w:r w:rsidRPr="00A83C94">
        <w:rPr>
          <w:b w:val="0"/>
          <w:noProof/>
          <w:szCs w:val="22"/>
        </w:rPr>
        <w:t>տարածքում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օտարերկրյա</w:t>
      </w:r>
      <w:r w:rsidRPr="00A83C94">
        <w:rPr>
          <w:b w:val="0"/>
          <w:noProof/>
          <w:szCs w:val="22"/>
          <w:lang w:val="af-ZA"/>
        </w:rPr>
        <w:t xml:space="preserve"> </w:t>
      </w:r>
      <w:r w:rsidRPr="00A83C94">
        <w:rPr>
          <w:b w:val="0"/>
          <w:noProof/>
          <w:szCs w:val="22"/>
        </w:rPr>
        <w:t>պետություններում</w:t>
      </w:r>
      <w:r w:rsidRPr="00A83C94">
        <w:rPr>
          <w:b w:val="0"/>
          <w:noProof/>
          <w:szCs w:val="22"/>
          <w:lang w:val="af-ZA"/>
        </w:rPr>
        <w:t xml:space="preserve"> </w:t>
      </w:r>
      <w:r w:rsidRPr="00A83C94">
        <w:rPr>
          <w:b w:val="0"/>
          <w:noProof/>
          <w:szCs w:val="22"/>
        </w:rPr>
        <w:t>գտնվող</w:t>
      </w:r>
      <w:r w:rsidRPr="00A83C94">
        <w:rPr>
          <w:b w:val="0"/>
          <w:noProof/>
          <w:szCs w:val="22"/>
          <w:lang w:val="af-ZA"/>
        </w:rPr>
        <w:t xml:space="preserve"> </w:t>
      </w:r>
      <w:r w:rsidRPr="00A83C94">
        <w:rPr>
          <w:b w:val="0"/>
          <w:noProof/>
          <w:szCs w:val="22"/>
        </w:rPr>
        <w:t>հայ</w:t>
      </w:r>
      <w:r w:rsidRPr="00A83C94">
        <w:rPr>
          <w:b w:val="0"/>
          <w:noProof/>
          <w:szCs w:val="22"/>
          <w:lang w:val="af-ZA"/>
        </w:rPr>
        <w:t xml:space="preserve"> </w:t>
      </w:r>
      <w:r w:rsidRPr="00A83C94">
        <w:rPr>
          <w:b w:val="0"/>
          <w:noProof/>
          <w:szCs w:val="22"/>
        </w:rPr>
        <w:t>ճարտարապետության</w:t>
      </w:r>
      <w:r w:rsidRPr="00A83C94">
        <w:rPr>
          <w:b w:val="0"/>
          <w:noProof/>
          <w:szCs w:val="22"/>
          <w:lang w:val="af-ZA"/>
        </w:rPr>
        <w:t xml:space="preserve">, </w:t>
      </w:r>
      <w:r w:rsidRPr="00A83C94">
        <w:rPr>
          <w:b w:val="0"/>
          <w:noProof/>
          <w:szCs w:val="22"/>
        </w:rPr>
        <w:t>մշակույթին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պատմությանն</w:t>
      </w:r>
      <w:r w:rsidRPr="00A83C94">
        <w:rPr>
          <w:b w:val="0"/>
          <w:noProof/>
          <w:szCs w:val="22"/>
          <w:lang w:val="af-ZA"/>
        </w:rPr>
        <w:t xml:space="preserve"> </w:t>
      </w:r>
      <w:r w:rsidRPr="00A83C94">
        <w:rPr>
          <w:b w:val="0"/>
          <w:noProof/>
          <w:szCs w:val="22"/>
        </w:rPr>
        <w:t>առնչվող</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ուսումնասիրմանը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պահպանմանը</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ամրակայմանը</w:t>
      </w:r>
      <w:r w:rsidRPr="00A83C94">
        <w:rPr>
          <w:b w:val="0"/>
          <w:noProof/>
          <w:szCs w:val="22"/>
          <w:lang w:val="af-ZA"/>
        </w:rPr>
        <w:t xml:space="preserve">, </w:t>
      </w:r>
      <w:r w:rsidRPr="00A83C94">
        <w:rPr>
          <w:b w:val="0"/>
          <w:noProof/>
          <w:szCs w:val="22"/>
        </w:rPr>
        <w:t>նորոգմանը</w:t>
      </w:r>
      <w:r w:rsidRPr="00A83C94">
        <w:rPr>
          <w:b w:val="0"/>
          <w:noProof/>
          <w:szCs w:val="22"/>
          <w:lang w:val="af-ZA"/>
        </w:rPr>
        <w:t xml:space="preserve">, </w:t>
      </w:r>
      <w:r w:rsidRPr="00A83C94">
        <w:rPr>
          <w:b w:val="0"/>
          <w:noProof/>
          <w:szCs w:val="22"/>
        </w:rPr>
        <w:t>վերականգնմանը</w:t>
      </w:r>
      <w:r w:rsidR="00A22D05" w:rsidRPr="00A22D05">
        <w:rPr>
          <w:b w:val="0"/>
          <w:noProof/>
          <w:szCs w:val="22"/>
          <w:lang w:val="af-ZA"/>
        </w:rPr>
        <w:t xml:space="preserve"> (</w:t>
      </w:r>
      <w:r w:rsidR="00A22D05" w:rsidRPr="00A22D05">
        <w:rPr>
          <w:b w:val="0"/>
          <w:noProof/>
          <w:szCs w:val="22"/>
        </w:rPr>
        <w:t>ամրակայված</w:t>
      </w:r>
      <w:r w:rsidR="00A22D05" w:rsidRPr="00A22D05">
        <w:rPr>
          <w:b w:val="0"/>
          <w:noProof/>
          <w:szCs w:val="22"/>
          <w:lang w:val="af-ZA"/>
        </w:rPr>
        <w:t xml:space="preserve">, </w:t>
      </w:r>
      <w:r w:rsidR="00A22D05" w:rsidRPr="00A22D05">
        <w:rPr>
          <w:b w:val="0"/>
          <w:noProof/>
          <w:szCs w:val="22"/>
        </w:rPr>
        <w:t>նորոգված</w:t>
      </w:r>
      <w:r w:rsidR="00A22D05" w:rsidRPr="00A22D05">
        <w:rPr>
          <w:b w:val="0"/>
          <w:noProof/>
          <w:szCs w:val="22"/>
          <w:lang w:val="af-ZA"/>
        </w:rPr>
        <w:t xml:space="preserve"> </w:t>
      </w:r>
      <w:r w:rsidR="00A22D05" w:rsidRPr="00A22D05">
        <w:rPr>
          <w:b w:val="0"/>
          <w:noProof/>
          <w:szCs w:val="22"/>
        </w:rPr>
        <w:t>և</w:t>
      </w:r>
      <w:r w:rsidR="00A22D05" w:rsidRPr="00A22D05">
        <w:rPr>
          <w:b w:val="0"/>
          <w:noProof/>
          <w:szCs w:val="22"/>
          <w:lang w:val="af-ZA"/>
        </w:rPr>
        <w:t xml:space="preserve"> </w:t>
      </w:r>
      <w:r w:rsidR="00A22D05" w:rsidRPr="00A22D05">
        <w:rPr>
          <w:b w:val="0"/>
          <w:noProof/>
          <w:szCs w:val="22"/>
        </w:rPr>
        <w:t>վերականգնված</w:t>
      </w:r>
      <w:r w:rsidR="00A22D05" w:rsidRPr="00A22D05">
        <w:rPr>
          <w:b w:val="0"/>
          <w:noProof/>
          <w:szCs w:val="22"/>
          <w:lang w:val="af-ZA"/>
        </w:rPr>
        <w:t xml:space="preserve"> </w:t>
      </w:r>
      <w:r w:rsidR="00A22D05" w:rsidRPr="00A22D05">
        <w:rPr>
          <w:b w:val="0"/>
          <w:noProof/>
          <w:szCs w:val="22"/>
        </w:rPr>
        <w:t>հուշարձանների</w:t>
      </w:r>
      <w:r w:rsidR="00A22D05" w:rsidRPr="00A22D05">
        <w:rPr>
          <w:b w:val="0"/>
          <w:noProof/>
          <w:szCs w:val="22"/>
          <w:lang w:val="af-ZA"/>
        </w:rPr>
        <w:t xml:space="preserve"> </w:t>
      </w:r>
      <w:r w:rsidR="00A22D05" w:rsidRPr="00A22D05">
        <w:rPr>
          <w:b w:val="0"/>
          <w:noProof/>
          <w:szCs w:val="22"/>
          <w:lang w:val="en-US"/>
        </w:rPr>
        <w:t>տոկոսը</w:t>
      </w:r>
      <w:r w:rsidR="00A22D05" w:rsidRPr="00A22D05">
        <w:rPr>
          <w:b w:val="0"/>
          <w:noProof/>
          <w:szCs w:val="22"/>
          <w:lang w:val="af-ZA"/>
        </w:rPr>
        <w:t xml:space="preserve"> </w:t>
      </w:r>
      <w:r w:rsidR="00A22D05" w:rsidRPr="00A22D05">
        <w:rPr>
          <w:b w:val="0"/>
          <w:noProof/>
          <w:szCs w:val="22"/>
        </w:rPr>
        <w:t>ընդամենի</w:t>
      </w:r>
      <w:r w:rsidR="00A22D05" w:rsidRPr="00A22D05">
        <w:rPr>
          <w:b w:val="0"/>
          <w:noProof/>
          <w:szCs w:val="22"/>
          <w:lang w:val="af-ZA"/>
        </w:rPr>
        <w:t xml:space="preserve"> </w:t>
      </w:r>
      <w:r w:rsidR="00A22D05" w:rsidRPr="00A22D05">
        <w:rPr>
          <w:b w:val="0"/>
          <w:noProof/>
          <w:szCs w:val="22"/>
        </w:rPr>
        <w:t>նկատմամբ</w:t>
      </w:r>
      <w:r w:rsidR="00A22D05" w:rsidRPr="00A22D05">
        <w:rPr>
          <w:b w:val="0"/>
          <w:noProof/>
          <w:szCs w:val="22"/>
          <w:lang w:val="af-ZA"/>
        </w:rPr>
        <w:t xml:space="preserve"> </w:t>
      </w:r>
      <w:r w:rsidR="00A22D05" w:rsidRPr="00A22D05">
        <w:rPr>
          <w:b w:val="0"/>
          <w:noProof/>
          <w:szCs w:val="22"/>
        </w:rPr>
        <w:t>նախատեսվում</w:t>
      </w:r>
      <w:r w:rsidR="00A22D05" w:rsidRPr="00A22D05">
        <w:rPr>
          <w:b w:val="0"/>
          <w:noProof/>
          <w:szCs w:val="22"/>
          <w:lang w:val="af-ZA"/>
        </w:rPr>
        <w:t xml:space="preserve"> </w:t>
      </w:r>
      <w:r w:rsidR="00A22D05" w:rsidRPr="00A22D05">
        <w:rPr>
          <w:b w:val="0"/>
          <w:noProof/>
          <w:szCs w:val="22"/>
        </w:rPr>
        <w:t>է</w:t>
      </w:r>
      <w:r w:rsidR="00A22D05" w:rsidRPr="00A22D05">
        <w:rPr>
          <w:b w:val="0"/>
          <w:noProof/>
          <w:szCs w:val="22"/>
          <w:lang w:val="af-ZA"/>
        </w:rPr>
        <w:t xml:space="preserve"> 5%, </w:t>
      </w:r>
      <w:r w:rsidR="00A22D05" w:rsidRPr="00A22D05">
        <w:rPr>
          <w:b w:val="0"/>
          <w:noProof/>
          <w:szCs w:val="22"/>
        </w:rPr>
        <w:t>ուսումնասիրված</w:t>
      </w:r>
      <w:r w:rsidR="00A22D05" w:rsidRPr="00A22D05">
        <w:rPr>
          <w:b w:val="0"/>
          <w:noProof/>
          <w:szCs w:val="22"/>
          <w:lang w:val="af-ZA"/>
        </w:rPr>
        <w:t xml:space="preserve">, </w:t>
      </w:r>
      <w:r w:rsidR="00A22D05" w:rsidRPr="00A22D05">
        <w:rPr>
          <w:b w:val="0"/>
          <w:noProof/>
          <w:szCs w:val="22"/>
        </w:rPr>
        <w:t>նախագծված</w:t>
      </w:r>
      <w:r w:rsidR="00A22D05" w:rsidRPr="00A22D05">
        <w:rPr>
          <w:b w:val="0"/>
          <w:noProof/>
          <w:szCs w:val="22"/>
          <w:lang w:val="af-ZA"/>
        </w:rPr>
        <w:t xml:space="preserve"> </w:t>
      </w:r>
      <w:r w:rsidR="00A22D05" w:rsidRPr="00A22D05">
        <w:rPr>
          <w:b w:val="0"/>
          <w:noProof/>
          <w:szCs w:val="22"/>
        </w:rPr>
        <w:t>հուշարձանների</w:t>
      </w:r>
      <w:r w:rsidR="00A22D05" w:rsidRPr="00A22D05">
        <w:rPr>
          <w:b w:val="0"/>
          <w:noProof/>
          <w:szCs w:val="22"/>
          <w:lang w:val="af-ZA"/>
        </w:rPr>
        <w:t xml:space="preserve"> </w:t>
      </w:r>
      <w:r w:rsidR="00A22D05" w:rsidRPr="00A22D05">
        <w:rPr>
          <w:b w:val="0"/>
          <w:noProof/>
          <w:szCs w:val="22"/>
          <w:lang w:val="en-US"/>
        </w:rPr>
        <w:t>տոկոսը</w:t>
      </w:r>
      <w:r w:rsidR="00A22D05" w:rsidRPr="00A22D05">
        <w:rPr>
          <w:b w:val="0"/>
          <w:noProof/>
          <w:szCs w:val="22"/>
          <w:lang w:val="af-ZA"/>
        </w:rPr>
        <w:t xml:space="preserve"> </w:t>
      </w:r>
      <w:r w:rsidR="00A22D05" w:rsidRPr="00A22D05">
        <w:rPr>
          <w:b w:val="0"/>
          <w:noProof/>
          <w:szCs w:val="22"/>
        </w:rPr>
        <w:t>ընդամենի</w:t>
      </w:r>
      <w:r w:rsidR="00A22D05" w:rsidRPr="00A22D05">
        <w:rPr>
          <w:b w:val="0"/>
          <w:noProof/>
          <w:szCs w:val="22"/>
          <w:lang w:val="af-ZA"/>
        </w:rPr>
        <w:t xml:space="preserve"> </w:t>
      </w:r>
      <w:r w:rsidR="00A22D05" w:rsidRPr="00A22D05">
        <w:rPr>
          <w:b w:val="0"/>
          <w:noProof/>
          <w:szCs w:val="22"/>
        </w:rPr>
        <w:t>մեջ՝</w:t>
      </w:r>
      <w:r w:rsidR="00A22D05" w:rsidRPr="00A22D05">
        <w:rPr>
          <w:b w:val="0"/>
          <w:noProof/>
          <w:szCs w:val="22"/>
          <w:lang w:val="af-ZA"/>
        </w:rPr>
        <w:t xml:space="preserve"> 1%, </w:t>
      </w:r>
      <w:r w:rsidR="00A22D05" w:rsidRPr="00A22D05">
        <w:rPr>
          <w:b w:val="0"/>
          <w:noProof/>
          <w:szCs w:val="22"/>
        </w:rPr>
        <w:t>թանգարանային</w:t>
      </w:r>
      <w:r w:rsidR="00A22D05" w:rsidRPr="00A22D05">
        <w:rPr>
          <w:b w:val="0"/>
          <w:noProof/>
          <w:szCs w:val="22"/>
          <w:lang w:val="af-ZA"/>
        </w:rPr>
        <w:t xml:space="preserve"> </w:t>
      </w:r>
      <w:r w:rsidR="00A22D05" w:rsidRPr="00A22D05">
        <w:rPr>
          <w:b w:val="0"/>
          <w:noProof/>
          <w:szCs w:val="22"/>
        </w:rPr>
        <w:t>հավաքածուների</w:t>
      </w:r>
      <w:r w:rsidR="00A22D05" w:rsidRPr="00A22D05">
        <w:rPr>
          <w:b w:val="0"/>
          <w:noProof/>
          <w:szCs w:val="22"/>
          <w:lang w:val="af-ZA"/>
        </w:rPr>
        <w:t xml:space="preserve"> </w:t>
      </w:r>
      <w:r w:rsidR="00A22D05" w:rsidRPr="00A22D05">
        <w:rPr>
          <w:b w:val="0"/>
          <w:noProof/>
          <w:szCs w:val="22"/>
        </w:rPr>
        <w:t>և</w:t>
      </w:r>
      <w:r w:rsidR="00A22D05" w:rsidRPr="00A22D05">
        <w:rPr>
          <w:b w:val="0"/>
          <w:noProof/>
          <w:szCs w:val="22"/>
          <w:lang w:val="af-ZA"/>
        </w:rPr>
        <w:t xml:space="preserve"> </w:t>
      </w:r>
      <w:r w:rsidR="00A22D05" w:rsidRPr="00A22D05">
        <w:rPr>
          <w:b w:val="0"/>
          <w:noProof/>
          <w:szCs w:val="22"/>
        </w:rPr>
        <w:t>ոչ</w:t>
      </w:r>
      <w:r w:rsidR="00A22D05" w:rsidRPr="00A22D05">
        <w:rPr>
          <w:b w:val="0"/>
          <w:noProof/>
          <w:szCs w:val="22"/>
          <w:lang w:val="af-ZA"/>
        </w:rPr>
        <w:t xml:space="preserve"> </w:t>
      </w:r>
      <w:r w:rsidR="00A22D05" w:rsidRPr="00A22D05">
        <w:rPr>
          <w:b w:val="0"/>
          <w:noProof/>
          <w:szCs w:val="22"/>
        </w:rPr>
        <w:t>նյութական</w:t>
      </w:r>
      <w:r w:rsidR="00A22D05" w:rsidRPr="00A22D05">
        <w:rPr>
          <w:b w:val="0"/>
          <w:noProof/>
          <w:szCs w:val="22"/>
          <w:lang w:val="af-ZA"/>
        </w:rPr>
        <w:t xml:space="preserve"> </w:t>
      </w:r>
      <w:r w:rsidR="00A22D05" w:rsidRPr="00A22D05">
        <w:rPr>
          <w:b w:val="0"/>
          <w:noProof/>
          <w:szCs w:val="22"/>
        </w:rPr>
        <w:t>մշակութային</w:t>
      </w:r>
      <w:r w:rsidR="00A22D05" w:rsidRPr="00A22D05">
        <w:rPr>
          <w:b w:val="0"/>
          <w:noProof/>
          <w:szCs w:val="22"/>
          <w:lang w:val="af-ZA"/>
        </w:rPr>
        <w:t xml:space="preserve"> </w:t>
      </w:r>
      <w:r w:rsidR="00A22D05" w:rsidRPr="00A22D05">
        <w:rPr>
          <w:b w:val="0"/>
          <w:noProof/>
          <w:szCs w:val="22"/>
        </w:rPr>
        <w:t>ժառանգության</w:t>
      </w:r>
      <w:r w:rsidR="00A22D05" w:rsidRPr="00A22D05">
        <w:rPr>
          <w:b w:val="0"/>
          <w:noProof/>
          <w:szCs w:val="22"/>
          <w:lang w:val="af-ZA"/>
        </w:rPr>
        <w:t xml:space="preserve"> </w:t>
      </w:r>
      <w:r w:rsidR="00A22D05" w:rsidRPr="00A22D05">
        <w:rPr>
          <w:b w:val="0"/>
          <w:noProof/>
          <w:szCs w:val="22"/>
        </w:rPr>
        <w:t>միջազգայնացման</w:t>
      </w:r>
      <w:r w:rsidR="00A22D05" w:rsidRPr="00A22D05">
        <w:rPr>
          <w:b w:val="0"/>
          <w:noProof/>
          <w:szCs w:val="22"/>
          <w:lang w:val="af-ZA"/>
        </w:rPr>
        <w:t xml:space="preserve"> </w:t>
      </w:r>
      <w:r w:rsidR="00A22D05" w:rsidRPr="00A22D05">
        <w:rPr>
          <w:b w:val="0"/>
          <w:noProof/>
          <w:szCs w:val="22"/>
        </w:rPr>
        <w:t>նախագծերի</w:t>
      </w:r>
      <w:r w:rsidR="00A22D05" w:rsidRPr="00A22D05">
        <w:rPr>
          <w:b w:val="0"/>
          <w:noProof/>
          <w:szCs w:val="22"/>
          <w:lang w:val="af-ZA"/>
        </w:rPr>
        <w:t xml:space="preserve"> </w:t>
      </w:r>
      <w:r w:rsidR="00A22D05" w:rsidRPr="00A22D05">
        <w:rPr>
          <w:b w:val="0"/>
          <w:noProof/>
          <w:szCs w:val="22"/>
        </w:rPr>
        <w:t>քանակը՝</w:t>
      </w:r>
      <w:r w:rsidR="00A22D05" w:rsidRPr="00A22D05">
        <w:rPr>
          <w:b w:val="0"/>
          <w:noProof/>
          <w:szCs w:val="22"/>
          <w:lang w:val="af-ZA"/>
        </w:rPr>
        <w:t xml:space="preserve"> 8)</w:t>
      </w:r>
      <w:r w:rsidRPr="00A22D05">
        <w:rPr>
          <w:b w:val="0"/>
          <w:noProof/>
          <w:szCs w:val="22"/>
          <w:lang w:val="af-ZA"/>
        </w:rPr>
        <w:t>:</w:t>
      </w:r>
    </w:p>
    <w:p w14:paraId="266DA871"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Մշակութային</w:t>
      </w:r>
      <w:r w:rsidRPr="00A83C94">
        <w:rPr>
          <w:b w:val="0"/>
          <w:noProof/>
          <w:szCs w:val="22"/>
          <w:lang w:val="af-ZA"/>
        </w:rPr>
        <w:t xml:space="preserve"> </w:t>
      </w:r>
      <w:r w:rsidRPr="00A83C94">
        <w:rPr>
          <w:b w:val="0"/>
          <w:noProof/>
          <w:szCs w:val="22"/>
        </w:rPr>
        <w:t>ժառանգության</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3,068.5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2,982.5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w:t>
      </w:r>
      <w:r w:rsidRPr="00A83C94">
        <w:rPr>
          <w:b w:val="0"/>
          <w:noProof/>
          <w:szCs w:val="22"/>
          <w:lang w:val="af-ZA"/>
        </w:rPr>
        <w:tab/>
      </w: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86.0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2.9 %-</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p>
    <w:p w14:paraId="57E3B311"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t>- </w:t>
      </w:r>
      <w:r w:rsidRPr="00A83C94">
        <w:rPr>
          <w:b w:val="0"/>
          <w:noProof/>
          <w:szCs w:val="22"/>
        </w:rPr>
        <w:t>Թանգարանային</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ցուցահանդեսներ</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51.7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հիմնականում</w:t>
      </w:r>
      <w:r w:rsidRPr="00A83C94">
        <w:rPr>
          <w:b w:val="0"/>
          <w:noProof/>
          <w:szCs w:val="22"/>
          <w:lang w:val="af-ZA"/>
        </w:rPr>
        <w:t xml:space="preserve"> </w:t>
      </w:r>
      <w:r w:rsidRPr="00A83C94">
        <w:rPr>
          <w:b w:val="0"/>
          <w:noProof/>
          <w:szCs w:val="22"/>
        </w:rPr>
        <w:t>կապված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ՀՀ</w:t>
      </w:r>
      <w:r w:rsidRPr="00A83C94">
        <w:rPr>
          <w:b w:val="0"/>
          <w:noProof/>
          <w:szCs w:val="22"/>
          <w:lang w:val="af-ZA"/>
        </w:rPr>
        <w:t xml:space="preserve"> </w:t>
      </w:r>
      <w:r w:rsidRPr="00A83C94">
        <w:rPr>
          <w:b w:val="0"/>
          <w:noProof/>
          <w:szCs w:val="22"/>
        </w:rPr>
        <w:t>կրթության</w:t>
      </w:r>
      <w:r w:rsidRPr="00A83C94">
        <w:rPr>
          <w:b w:val="0"/>
          <w:noProof/>
          <w:szCs w:val="22"/>
          <w:lang w:val="af-ZA"/>
        </w:rPr>
        <w:t xml:space="preserve">, </w:t>
      </w:r>
      <w:r w:rsidRPr="00A83C94">
        <w:rPr>
          <w:b w:val="0"/>
          <w:noProof/>
          <w:szCs w:val="22"/>
        </w:rPr>
        <w:t>գիտության</w:t>
      </w:r>
      <w:r w:rsidRPr="00A83C94">
        <w:rPr>
          <w:b w:val="0"/>
          <w:noProof/>
          <w:szCs w:val="22"/>
          <w:lang w:val="af-ZA"/>
        </w:rPr>
        <w:t xml:space="preserve">, </w:t>
      </w:r>
      <w:r w:rsidRPr="00A83C94">
        <w:rPr>
          <w:b w:val="0"/>
          <w:noProof/>
          <w:szCs w:val="22"/>
        </w:rPr>
        <w:t>մշակույթի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սպորտի</w:t>
      </w:r>
      <w:r w:rsidRPr="00A83C94">
        <w:rPr>
          <w:b w:val="0"/>
          <w:noProof/>
          <w:szCs w:val="22"/>
          <w:lang w:val="af-ZA"/>
        </w:rPr>
        <w:t xml:space="preserve"> </w:t>
      </w:r>
      <w:r w:rsidRPr="00A83C94">
        <w:rPr>
          <w:b w:val="0"/>
          <w:noProof/>
          <w:szCs w:val="22"/>
        </w:rPr>
        <w:t>նախարարության</w:t>
      </w:r>
      <w:r w:rsidRPr="00A83C94">
        <w:rPr>
          <w:b w:val="0"/>
          <w:noProof/>
          <w:szCs w:val="22"/>
          <w:lang w:val="af-ZA"/>
        </w:rPr>
        <w:t xml:space="preserve"> 21 </w:t>
      </w:r>
      <w:r w:rsidRPr="00A83C94">
        <w:rPr>
          <w:b w:val="0"/>
          <w:noProof/>
          <w:szCs w:val="22"/>
        </w:rPr>
        <w:t>թանգարանների</w:t>
      </w:r>
      <w:r w:rsidRPr="00A83C94">
        <w:rPr>
          <w:b w:val="0"/>
          <w:noProof/>
          <w:szCs w:val="22"/>
          <w:lang w:val="af-ZA"/>
        </w:rPr>
        <w:t xml:space="preserve"> </w:t>
      </w:r>
      <w:r w:rsidRPr="00A83C94">
        <w:rPr>
          <w:b w:val="0"/>
          <w:noProof/>
          <w:szCs w:val="22"/>
        </w:rPr>
        <w:t>առարկաների</w:t>
      </w:r>
      <w:r w:rsidRPr="00A83C94">
        <w:rPr>
          <w:b w:val="0"/>
          <w:noProof/>
          <w:szCs w:val="22"/>
          <w:lang w:val="af-ZA"/>
        </w:rPr>
        <w:t xml:space="preserve"> </w:t>
      </w:r>
      <w:r w:rsidRPr="00A83C94">
        <w:rPr>
          <w:b w:val="0"/>
          <w:noProof/>
          <w:szCs w:val="22"/>
        </w:rPr>
        <w:t>պահպանության</w:t>
      </w:r>
      <w:r w:rsidRPr="00A83C94">
        <w:rPr>
          <w:b w:val="0"/>
          <w:noProof/>
          <w:szCs w:val="22"/>
          <w:lang w:val="af-ZA"/>
        </w:rPr>
        <w:t xml:space="preserve">, թանգարանային առարկաների համալրման, </w:t>
      </w:r>
      <w:r w:rsidRPr="00A83C94">
        <w:rPr>
          <w:b w:val="0"/>
          <w:noProof/>
          <w:szCs w:val="22"/>
        </w:rPr>
        <w:t>ցուցահանդեսների</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կազմակերպման</w:t>
      </w:r>
      <w:r w:rsidRPr="00A83C94">
        <w:rPr>
          <w:b w:val="0"/>
          <w:noProof/>
          <w:szCs w:val="22"/>
          <w:lang w:val="af-ZA"/>
        </w:rPr>
        <w:t xml:space="preserve">, </w:t>
      </w:r>
      <w:r w:rsidRPr="00A83C94">
        <w:rPr>
          <w:b w:val="0"/>
          <w:noProof/>
          <w:szCs w:val="22"/>
        </w:rPr>
        <w:t>դրամաշնորհային</w:t>
      </w:r>
      <w:r w:rsidRPr="00A83C94">
        <w:rPr>
          <w:b w:val="0"/>
          <w:noProof/>
          <w:szCs w:val="22"/>
          <w:lang w:val="af-ZA"/>
        </w:rPr>
        <w:t xml:space="preserve"> </w:t>
      </w:r>
      <w:r w:rsidRPr="00A83C94">
        <w:rPr>
          <w:b w:val="0"/>
          <w:noProof/>
          <w:szCs w:val="22"/>
        </w:rPr>
        <w:t>մրցույթային</w:t>
      </w:r>
      <w:r w:rsidRPr="00A83C94">
        <w:rPr>
          <w:b w:val="0"/>
          <w:noProof/>
          <w:szCs w:val="22"/>
          <w:lang w:val="af-ZA"/>
        </w:rPr>
        <w:t xml:space="preserve"> </w:t>
      </w:r>
      <w:r w:rsidRPr="00A83C94">
        <w:rPr>
          <w:b w:val="0"/>
          <w:noProof/>
          <w:szCs w:val="22"/>
        </w:rPr>
        <w:t>ծրագրերի</w:t>
      </w:r>
      <w:r w:rsidRPr="00A83C94">
        <w:rPr>
          <w:b w:val="0"/>
          <w:noProof/>
          <w:szCs w:val="22"/>
          <w:lang w:val="af-ZA"/>
        </w:rPr>
        <w:t xml:space="preserve"> </w:t>
      </w:r>
      <w:r w:rsidRPr="00A83C94">
        <w:rPr>
          <w:b w:val="0"/>
          <w:noProof/>
          <w:szCs w:val="22"/>
        </w:rPr>
        <w:t>իրականացման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մարզպետարանների</w:t>
      </w:r>
      <w:r w:rsidRPr="00A83C94">
        <w:rPr>
          <w:b w:val="0"/>
          <w:noProof/>
          <w:szCs w:val="22"/>
          <w:lang w:val="af-ZA"/>
        </w:rPr>
        <w:t xml:space="preserve"> </w:t>
      </w:r>
      <w:r w:rsidRPr="00A83C94">
        <w:rPr>
          <w:b w:val="0"/>
          <w:noProof/>
          <w:szCs w:val="22"/>
        </w:rPr>
        <w:t>ենթակայության</w:t>
      </w:r>
      <w:r w:rsidRPr="00A83C94">
        <w:rPr>
          <w:b w:val="0"/>
          <w:noProof/>
          <w:szCs w:val="22"/>
          <w:lang w:val="af-ZA"/>
        </w:rPr>
        <w:t xml:space="preserve"> </w:t>
      </w:r>
      <w:r w:rsidRPr="00A83C94">
        <w:rPr>
          <w:b w:val="0"/>
          <w:noProof/>
          <w:szCs w:val="22"/>
        </w:rPr>
        <w:t>թանգարանների</w:t>
      </w:r>
      <w:r w:rsidRPr="00A83C94">
        <w:rPr>
          <w:b w:val="0"/>
          <w:noProof/>
          <w:szCs w:val="22"/>
          <w:lang w:val="af-ZA"/>
        </w:rPr>
        <w:t xml:space="preserve"> </w:t>
      </w:r>
      <w:r w:rsidRPr="00A83C94">
        <w:rPr>
          <w:b w:val="0"/>
          <w:noProof/>
          <w:szCs w:val="22"/>
        </w:rPr>
        <w:t>գործունեության</w:t>
      </w:r>
      <w:r w:rsidRPr="00A83C94">
        <w:rPr>
          <w:b w:val="0"/>
          <w:noProof/>
          <w:szCs w:val="22"/>
          <w:lang w:val="af-ZA"/>
        </w:rPr>
        <w:t xml:space="preserve"> </w:t>
      </w:r>
      <w:r w:rsidRPr="00A83C94">
        <w:rPr>
          <w:b w:val="0"/>
          <w:noProof/>
          <w:szCs w:val="22"/>
        </w:rPr>
        <w:t>ապահովման</w:t>
      </w:r>
      <w:r w:rsidRPr="00A83C94">
        <w:rPr>
          <w:b w:val="0"/>
          <w:noProof/>
          <w:szCs w:val="22"/>
          <w:lang w:val="af-ZA"/>
        </w:rPr>
        <w:t xml:space="preserve"> </w:t>
      </w:r>
      <w:r w:rsidRPr="00A83C94">
        <w:rPr>
          <w:b w:val="0"/>
          <w:noProof/>
          <w:szCs w:val="22"/>
        </w:rPr>
        <w:t>հետ</w:t>
      </w:r>
      <w:r w:rsidRPr="00A83C94">
        <w:rPr>
          <w:b w:val="0"/>
          <w:noProof/>
          <w:szCs w:val="22"/>
          <w:lang w:val="af-ZA"/>
        </w:rPr>
        <w:t>:</w:t>
      </w:r>
    </w:p>
    <w:p w14:paraId="55597FF8"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t>-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ամրակայում</w:t>
      </w:r>
      <w:r w:rsidRPr="00A83C94">
        <w:rPr>
          <w:b w:val="0"/>
          <w:noProof/>
          <w:szCs w:val="22"/>
          <w:lang w:val="af-ZA"/>
        </w:rPr>
        <w:t xml:space="preserve">, </w:t>
      </w:r>
      <w:r w:rsidRPr="00A83C94">
        <w:rPr>
          <w:b w:val="0"/>
          <w:noProof/>
          <w:szCs w:val="22"/>
        </w:rPr>
        <w:t>նորոգում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վերականգնում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38.1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w:t>
      </w:r>
    </w:p>
    <w:p w14:paraId="658F436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Միաժամանակ</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3.8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 xml:space="preserve">: </w:t>
      </w:r>
    </w:p>
    <w:p w14:paraId="4419BF5A" w14:textId="7DD9DBBC"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noProof/>
          <w:szCs w:val="22"/>
          <w:lang w:val="hy-AM"/>
        </w:rPr>
        <w:t>Գրահրատարակչության</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գրադարանների</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գրականության</w:t>
      </w:r>
      <w:r w:rsidRPr="00A83C94">
        <w:rPr>
          <w:b w:val="0"/>
          <w:noProof/>
          <w:szCs w:val="22"/>
          <w:lang w:val="af-ZA"/>
        </w:rPr>
        <w:t xml:space="preserve"> </w:t>
      </w:r>
      <w:r w:rsidRPr="00A83C94">
        <w:rPr>
          <w:b w:val="0"/>
          <w:noProof/>
          <w:szCs w:val="22"/>
          <w:lang w:val="hy-AM"/>
        </w:rPr>
        <w:t>հրատարակմանը</w:t>
      </w:r>
      <w:r w:rsidRPr="00A83C94">
        <w:rPr>
          <w:b w:val="0"/>
          <w:noProof/>
          <w:szCs w:val="22"/>
          <w:lang w:val="af-ZA"/>
        </w:rPr>
        <w:t xml:space="preserve">, </w:t>
      </w:r>
      <w:r w:rsidRPr="00A83C94">
        <w:rPr>
          <w:b w:val="0"/>
          <w:noProof/>
          <w:szCs w:val="22"/>
          <w:lang w:val="hy-AM"/>
        </w:rPr>
        <w:t>տարածմանը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հանրահռչակմանը</w:t>
      </w:r>
      <w:r w:rsidRPr="00A83C94">
        <w:rPr>
          <w:b w:val="0"/>
          <w:noProof/>
          <w:szCs w:val="22"/>
          <w:lang w:val="af-ZA"/>
        </w:rPr>
        <w:t>:</w:t>
      </w:r>
    </w:p>
    <w:p w14:paraId="2ACEBFFB" w14:textId="7C019455"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թարգմանական</w:t>
      </w:r>
      <w:r w:rsidRPr="00A83C94">
        <w:rPr>
          <w:b w:val="0"/>
          <w:noProof/>
          <w:szCs w:val="22"/>
          <w:lang w:val="af-ZA"/>
        </w:rPr>
        <w:t xml:space="preserve"> </w:t>
      </w:r>
      <w:r w:rsidRPr="00A83C94">
        <w:rPr>
          <w:b w:val="0"/>
          <w:noProof/>
          <w:szCs w:val="22"/>
        </w:rPr>
        <w:t>ծրագրերին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ստեղծագործողներին</w:t>
      </w:r>
      <w:r w:rsidRPr="00A83C94">
        <w:rPr>
          <w:b w:val="0"/>
          <w:noProof/>
          <w:szCs w:val="22"/>
          <w:lang w:val="af-ZA"/>
        </w:rPr>
        <w:t xml:space="preserve"> </w:t>
      </w:r>
      <w:r w:rsidRPr="00A83C94">
        <w:rPr>
          <w:b w:val="0"/>
          <w:noProof/>
          <w:szCs w:val="22"/>
        </w:rPr>
        <w:t>աջակցմանը</w:t>
      </w:r>
      <w:r w:rsidRPr="00A83C94">
        <w:rPr>
          <w:b w:val="0"/>
          <w:noProof/>
          <w:szCs w:val="22"/>
          <w:lang w:val="af-ZA"/>
        </w:rPr>
        <w:t xml:space="preserve">, </w:t>
      </w:r>
      <w:r w:rsidRPr="00A83C94">
        <w:rPr>
          <w:b w:val="0"/>
          <w:noProof/>
          <w:szCs w:val="22"/>
        </w:rPr>
        <w:t>գրականության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ոչ</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մամուլի</w:t>
      </w:r>
      <w:r w:rsidRPr="00A83C94">
        <w:rPr>
          <w:b w:val="0"/>
          <w:noProof/>
          <w:szCs w:val="22"/>
          <w:lang w:val="af-ZA"/>
        </w:rPr>
        <w:t xml:space="preserve"> </w:t>
      </w:r>
      <w:r w:rsidRPr="00A83C94">
        <w:rPr>
          <w:b w:val="0"/>
          <w:noProof/>
          <w:szCs w:val="22"/>
        </w:rPr>
        <w:t>հրատարակմանը</w:t>
      </w:r>
      <w:r w:rsidRPr="00A83C94">
        <w:rPr>
          <w:b w:val="0"/>
          <w:noProof/>
          <w:szCs w:val="22"/>
          <w:lang w:val="af-ZA"/>
        </w:rPr>
        <w:t xml:space="preserve">, </w:t>
      </w:r>
      <w:r w:rsidRPr="00A83C94">
        <w:rPr>
          <w:b w:val="0"/>
          <w:noProof/>
          <w:szCs w:val="22"/>
        </w:rPr>
        <w:t>գրադարանային</w:t>
      </w:r>
      <w:r w:rsidRPr="00A83C94">
        <w:rPr>
          <w:b w:val="0"/>
          <w:noProof/>
          <w:szCs w:val="22"/>
          <w:lang w:val="af-ZA"/>
        </w:rPr>
        <w:t xml:space="preserve"> </w:t>
      </w:r>
      <w:r w:rsidRPr="00A83C94">
        <w:rPr>
          <w:b w:val="0"/>
          <w:noProof/>
          <w:szCs w:val="22"/>
        </w:rPr>
        <w:t>ծառայությունների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գրականության</w:t>
      </w:r>
      <w:r w:rsidRPr="00A83C94">
        <w:rPr>
          <w:b w:val="0"/>
          <w:noProof/>
          <w:szCs w:val="22"/>
          <w:lang w:val="af-ZA"/>
        </w:rPr>
        <w:t xml:space="preserve"> </w:t>
      </w:r>
      <w:r w:rsidRPr="00A83C94">
        <w:rPr>
          <w:b w:val="0"/>
          <w:noProof/>
          <w:szCs w:val="22"/>
        </w:rPr>
        <w:t>հանրահռչակմանը</w:t>
      </w:r>
      <w:r w:rsidRPr="00A83C94">
        <w:rPr>
          <w:b w:val="0"/>
          <w:noProof/>
          <w:szCs w:val="22"/>
          <w:lang w:val="af-ZA"/>
        </w:rPr>
        <w:t xml:space="preserve">, </w:t>
      </w:r>
      <w:r w:rsidRPr="00A83C94">
        <w:rPr>
          <w:b w:val="0"/>
          <w:noProof/>
          <w:szCs w:val="22"/>
        </w:rPr>
        <w:t>գրական</w:t>
      </w:r>
      <w:r w:rsidRPr="00A83C94">
        <w:rPr>
          <w:b w:val="0"/>
          <w:noProof/>
          <w:szCs w:val="22"/>
          <w:lang w:val="af-ZA"/>
        </w:rPr>
        <w:t xml:space="preserve"> </w:t>
      </w:r>
      <w:r w:rsidRPr="00A83C94">
        <w:rPr>
          <w:b w:val="0"/>
          <w:noProof/>
          <w:szCs w:val="22"/>
        </w:rPr>
        <w:t>ծրագրերին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գրքերի</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ցուցահանդեսներին</w:t>
      </w:r>
      <w:r w:rsidRPr="00A83C94">
        <w:rPr>
          <w:b w:val="0"/>
          <w:noProof/>
          <w:szCs w:val="22"/>
          <w:lang w:val="af-ZA"/>
        </w:rPr>
        <w:t xml:space="preserve"> </w:t>
      </w:r>
      <w:r w:rsidRPr="00A83C94">
        <w:rPr>
          <w:b w:val="0"/>
          <w:noProof/>
          <w:szCs w:val="22"/>
        </w:rPr>
        <w:t>մասնակցությանը</w:t>
      </w:r>
      <w:r w:rsidR="00BF5F43" w:rsidRPr="00BF5F43">
        <w:rPr>
          <w:b w:val="0"/>
          <w:noProof/>
          <w:szCs w:val="22"/>
          <w:lang w:val="af-ZA"/>
        </w:rPr>
        <w:t xml:space="preserve"> (</w:t>
      </w:r>
      <w:r w:rsidR="00BF5F43" w:rsidRPr="00BF5F43">
        <w:rPr>
          <w:b w:val="0"/>
          <w:noProof/>
          <w:szCs w:val="22"/>
        </w:rPr>
        <w:t>թարգմանական</w:t>
      </w:r>
      <w:r w:rsidR="00BF5F43" w:rsidRPr="00BF5F43">
        <w:rPr>
          <w:b w:val="0"/>
          <w:noProof/>
          <w:szCs w:val="22"/>
          <w:lang w:val="af-ZA"/>
        </w:rPr>
        <w:t xml:space="preserve"> </w:t>
      </w:r>
      <w:r w:rsidR="00BF5F43" w:rsidRPr="00BF5F43">
        <w:rPr>
          <w:b w:val="0"/>
          <w:noProof/>
          <w:szCs w:val="22"/>
        </w:rPr>
        <w:t>ծրագրերի</w:t>
      </w:r>
      <w:r w:rsidR="00BF5F43" w:rsidRPr="00BF5F43">
        <w:rPr>
          <w:b w:val="0"/>
          <w:noProof/>
          <w:szCs w:val="22"/>
          <w:lang w:val="af-ZA"/>
        </w:rPr>
        <w:t xml:space="preserve"> </w:t>
      </w:r>
      <w:r w:rsidR="00BF5F43" w:rsidRPr="00BF5F43">
        <w:rPr>
          <w:b w:val="0"/>
          <w:noProof/>
          <w:szCs w:val="22"/>
        </w:rPr>
        <w:t>և</w:t>
      </w:r>
      <w:r w:rsidR="00BF5F43" w:rsidRPr="00BF5F43">
        <w:rPr>
          <w:b w:val="0"/>
          <w:noProof/>
          <w:szCs w:val="22"/>
          <w:lang w:val="af-ZA"/>
        </w:rPr>
        <w:t xml:space="preserve"> </w:t>
      </w:r>
      <w:r w:rsidR="00BF5F43" w:rsidRPr="00BF5F43">
        <w:rPr>
          <w:b w:val="0"/>
          <w:noProof/>
          <w:szCs w:val="22"/>
        </w:rPr>
        <w:t>աջակցություն</w:t>
      </w:r>
      <w:r w:rsidR="00BF5F43" w:rsidRPr="00BF5F43">
        <w:rPr>
          <w:b w:val="0"/>
          <w:noProof/>
          <w:szCs w:val="22"/>
          <w:lang w:val="af-ZA"/>
        </w:rPr>
        <w:t xml:space="preserve"> </w:t>
      </w:r>
      <w:r w:rsidR="00BF5F43" w:rsidRPr="00BF5F43">
        <w:rPr>
          <w:b w:val="0"/>
          <w:noProof/>
          <w:szCs w:val="22"/>
        </w:rPr>
        <w:t>ստացած</w:t>
      </w:r>
      <w:r w:rsidR="00BF5F43" w:rsidRPr="00BF5F43">
        <w:rPr>
          <w:b w:val="0"/>
          <w:noProof/>
          <w:szCs w:val="22"/>
          <w:lang w:val="af-ZA"/>
        </w:rPr>
        <w:t xml:space="preserve"> </w:t>
      </w:r>
      <w:r w:rsidR="00BF5F43" w:rsidRPr="00BF5F43">
        <w:rPr>
          <w:b w:val="0"/>
          <w:noProof/>
          <w:szCs w:val="22"/>
        </w:rPr>
        <w:t>ստեղծագործողների</w:t>
      </w:r>
      <w:r w:rsidR="00BF5F43" w:rsidRPr="00BF5F43">
        <w:rPr>
          <w:b w:val="0"/>
          <w:noProof/>
          <w:szCs w:val="22"/>
          <w:lang w:val="af-ZA"/>
        </w:rPr>
        <w:t xml:space="preserve"> </w:t>
      </w:r>
      <w:r w:rsidR="00BF5F43" w:rsidRPr="00BF5F43">
        <w:rPr>
          <w:b w:val="0"/>
          <w:noProof/>
          <w:szCs w:val="22"/>
        </w:rPr>
        <w:t>ու</w:t>
      </w:r>
      <w:r w:rsidR="00BF5F43" w:rsidRPr="00BF5F43">
        <w:rPr>
          <w:b w:val="0"/>
          <w:noProof/>
          <w:szCs w:val="22"/>
          <w:lang w:val="af-ZA"/>
        </w:rPr>
        <w:t xml:space="preserve"> </w:t>
      </w:r>
      <w:r w:rsidR="00BF5F43" w:rsidRPr="00BF5F43">
        <w:rPr>
          <w:b w:val="0"/>
          <w:noProof/>
          <w:szCs w:val="22"/>
        </w:rPr>
        <w:t>հետազոտողների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24, </w:t>
      </w:r>
      <w:r w:rsidR="00BF5F43" w:rsidRPr="00BF5F43">
        <w:rPr>
          <w:b w:val="0"/>
          <w:noProof/>
          <w:szCs w:val="22"/>
        </w:rPr>
        <w:t>պետական</w:t>
      </w:r>
      <w:r w:rsidR="00BF5F43" w:rsidRPr="00BF5F43">
        <w:rPr>
          <w:b w:val="0"/>
          <w:noProof/>
          <w:szCs w:val="22"/>
          <w:lang w:val="af-ZA"/>
        </w:rPr>
        <w:t xml:space="preserve"> </w:t>
      </w:r>
      <w:r w:rsidR="00BF5F43" w:rsidRPr="00BF5F43">
        <w:rPr>
          <w:b w:val="0"/>
          <w:noProof/>
          <w:szCs w:val="22"/>
        </w:rPr>
        <w:t>աջակցություն</w:t>
      </w:r>
      <w:r w:rsidR="00BF5F43" w:rsidRPr="00BF5F43">
        <w:rPr>
          <w:b w:val="0"/>
          <w:noProof/>
          <w:szCs w:val="22"/>
          <w:lang w:val="af-ZA"/>
        </w:rPr>
        <w:t xml:space="preserve"> </w:t>
      </w:r>
      <w:r w:rsidR="00BF5F43" w:rsidRPr="00BF5F43">
        <w:rPr>
          <w:b w:val="0"/>
          <w:noProof/>
          <w:szCs w:val="22"/>
        </w:rPr>
        <w:t>ստացող</w:t>
      </w:r>
      <w:r w:rsidR="00BF5F43" w:rsidRPr="00BF5F43">
        <w:rPr>
          <w:b w:val="0"/>
          <w:noProof/>
          <w:szCs w:val="22"/>
          <w:lang w:val="af-ZA"/>
        </w:rPr>
        <w:t xml:space="preserve"> </w:t>
      </w:r>
      <w:r w:rsidR="00BF5F43" w:rsidRPr="00BF5F43">
        <w:rPr>
          <w:b w:val="0"/>
          <w:noProof/>
          <w:szCs w:val="22"/>
        </w:rPr>
        <w:t>ազգային</w:t>
      </w:r>
      <w:r w:rsidR="00BF5F43" w:rsidRPr="00BF5F43">
        <w:rPr>
          <w:b w:val="0"/>
          <w:noProof/>
          <w:szCs w:val="22"/>
          <w:lang w:val="af-ZA"/>
        </w:rPr>
        <w:t xml:space="preserve"> </w:t>
      </w:r>
      <w:r w:rsidR="00BF5F43" w:rsidRPr="00BF5F43">
        <w:rPr>
          <w:b w:val="0"/>
          <w:noProof/>
          <w:szCs w:val="22"/>
        </w:rPr>
        <w:t>փոքրամասնությունների</w:t>
      </w:r>
      <w:r w:rsidR="00BF5F43" w:rsidRPr="00BF5F43">
        <w:rPr>
          <w:b w:val="0"/>
          <w:noProof/>
          <w:szCs w:val="22"/>
          <w:lang w:val="af-ZA"/>
        </w:rPr>
        <w:t xml:space="preserve">, </w:t>
      </w:r>
      <w:r w:rsidR="00BF5F43" w:rsidRPr="00BF5F43">
        <w:rPr>
          <w:b w:val="0"/>
          <w:noProof/>
          <w:szCs w:val="22"/>
        </w:rPr>
        <w:t>գրական</w:t>
      </w:r>
      <w:r w:rsidR="00BF5F43" w:rsidRPr="00BF5F43">
        <w:rPr>
          <w:b w:val="0"/>
          <w:noProof/>
          <w:szCs w:val="22"/>
          <w:lang w:val="af-ZA"/>
        </w:rPr>
        <w:t xml:space="preserve">, </w:t>
      </w:r>
      <w:r w:rsidR="00BF5F43" w:rsidRPr="00BF5F43">
        <w:rPr>
          <w:b w:val="0"/>
          <w:noProof/>
          <w:szCs w:val="22"/>
        </w:rPr>
        <w:t>մշակութային</w:t>
      </w:r>
      <w:r w:rsidR="00BF5F43" w:rsidRPr="00BF5F43">
        <w:rPr>
          <w:b w:val="0"/>
          <w:noProof/>
          <w:szCs w:val="22"/>
          <w:lang w:val="af-ZA"/>
        </w:rPr>
        <w:t xml:space="preserve"> </w:t>
      </w:r>
      <w:r w:rsidR="00BF5F43" w:rsidRPr="00BF5F43">
        <w:rPr>
          <w:b w:val="0"/>
          <w:noProof/>
          <w:szCs w:val="22"/>
        </w:rPr>
        <w:t>ոչ</w:t>
      </w:r>
      <w:r w:rsidR="00BF5F43" w:rsidRPr="00BF5F43">
        <w:rPr>
          <w:b w:val="0"/>
          <w:noProof/>
          <w:szCs w:val="22"/>
          <w:lang w:val="af-ZA"/>
        </w:rPr>
        <w:t xml:space="preserve"> </w:t>
      </w:r>
      <w:r w:rsidR="00BF5F43" w:rsidRPr="00BF5F43">
        <w:rPr>
          <w:b w:val="0"/>
          <w:noProof/>
          <w:szCs w:val="22"/>
        </w:rPr>
        <w:t>պետական</w:t>
      </w:r>
      <w:r w:rsidR="00BF5F43" w:rsidRPr="00BF5F43">
        <w:rPr>
          <w:b w:val="0"/>
          <w:noProof/>
          <w:szCs w:val="22"/>
          <w:lang w:val="af-ZA"/>
        </w:rPr>
        <w:t xml:space="preserve"> </w:t>
      </w:r>
      <w:r w:rsidR="00BF5F43" w:rsidRPr="00BF5F43">
        <w:rPr>
          <w:b w:val="0"/>
          <w:noProof/>
          <w:szCs w:val="22"/>
        </w:rPr>
        <w:t>լրատվամիջոցների</w:t>
      </w:r>
      <w:r w:rsidR="00BF5F43" w:rsidRPr="00BF5F43">
        <w:rPr>
          <w:b w:val="0"/>
          <w:noProof/>
          <w:szCs w:val="22"/>
          <w:lang w:val="af-ZA"/>
        </w:rPr>
        <w:t xml:space="preserve"> </w:t>
      </w:r>
      <w:r w:rsidR="00BF5F43" w:rsidRPr="00BF5F43">
        <w:rPr>
          <w:b w:val="0"/>
          <w:noProof/>
          <w:szCs w:val="22"/>
        </w:rPr>
        <w:t>քանակը՝</w:t>
      </w:r>
      <w:r w:rsidR="00BF5F43" w:rsidRPr="00BF5F43">
        <w:rPr>
          <w:b w:val="0"/>
          <w:noProof/>
          <w:szCs w:val="22"/>
          <w:lang w:val="af-ZA"/>
        </w:rPr>
        <w:t xml:space="preserve"> 29,</w:t>
      </w:r>
      <w:r w:rsidR="00BF5F43" w:rsidRPr="00BF5F43">
        <w:rPr>
          <w:b w:val="0"/>
          <w:lang w:val="af-ZA"/>
        </w:rPr>
        <w:t xml:space="preserve"> </w:t>
      </w:r>
      <w:r w:rsidR="00BF5F43" w:rsidRPr="00BF5F43">
        <w:rPr>
          <w:b w:val="0"/>
        </w:rPr>
        <w:t>Հ</w:t>
      </w:r>
      <w:r w:rsidR="00BF5F43" w:rsidRPr="00BF5F43">
        <w:rPr>
          <w:b w:val="0"/>
          <w:noProof/>
          <w:szCs w:val="22"/>
        </w:rPr>
        <w:t>անրապետությունում</w:t>
      </w:r>
      <w:r w:rsidR="00BF5F43" w:rsidRPr="00BF5F43">
        <w:rPr>
          <w:b w:val="0"/>
          <w:noProof/>
          <w:szCs w:val="22"/>
          <w:lang w:val="af-ZA"/>
        </w:rPr>
        <w:t xml:space="preserve"> </w:t>
      </w:r>
      <w:r w:rsidR="00BF5F43" w:rsidRPr="00BF5F43">
        <w:rPr>
          <w:b w:val="0"/>
          <w:noProof/>
          <w:szCs w:val="22"/>
        </w:rPr>
        <w:t>իրականացվող</w:t>
      </w:r>
      <w:r w:rsidR="00BF5F43" w:rsidRPr="00BF5F43">
        <w:rPr>
          <w:b w:val="0"/>
          <w:noProof/>
          <w:szCs w:val="22"/>
          <w:lang w:val="af-ZA"/>
        </w:rPr>
        <w:t xml:space="preserve"> </w:t>
      </w:r>
      <w:r w:rsidR="00BF5F43" w:rsidRPr="00BF5F43">
        <w:rPr>
          <w:b w:val="0"/>
          <w:noProof/>
          <w:szCs w:val="22"/>
        </w:rPr>
        <w:t>գրական</w:t>
      </w:r>
      <w:r w:rsidR="00BF5F43" w:rsidRPr="00BF5F43">
        <w:rPr>
          <w:b w:val="0"/>
          <w:noProof/>
          <w:szCs w:val="22"/>
          <w:lang w:val="af-ZA"/>
        </w:rPr>
        <w:t xml:space="preserve"> </w:t>
      </w:r>
      <w:r w:rsidR="00BF5F43" w:rsidRPr="00BF5F43">
        <w:rPr>
          <w:b w:val="0"/>
          <w:noProof/>
          <w:szCs w:val="22"/>
        </w:rPr>
        <w:t>ծրագրերի</w:t>
      </w:r>
      <w:r w:rsidR="00BF5F43" w:rsidRPr="00BF5F43">
        <w:rPr>
          <w:b w:val="0"/>
          <w:noProof/>
          <w:szCs w:val="22"/>
          <w:lang w:val="en-US"/>
        </w:rPr>
        <w:t>ն</w:t>
      </w:r>
      <w:r w:rsidR="00BF5F43" w:rsidRPr="00BF5F43">
        <w:rPr>
          <w:b w:val="0"/>
          <w:noProof/>
          <w:szCs w:val="22"/>
          <w:lang w:val="af-ZA"/>
        </w:rPr>
        <w:t xml:space="preserve"> </w:t>
      </w:r>
      <w:r w:rsidR="00BF5F43" w:rsidRPr="00BF5F43">
        <w:rPr>
          <w:b w:val="0"/>
          <w:noProof/>
          <w:szCs w:val="22"/>
        </w:rPr>
        <w:t>և</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ցուցահանդեսներին</w:t>
      </w:r>
      <w:r w:rsidR="00BF5F43" w:rsidRPr="00BF5F43">
        <w:rPr>
          <w:b w:val="0"/>
          <w:noProof/>
          <w:szCs w:val="22"/>
          <w:lang w:val="af-ZA"/>
        </w:rPr>
        <w:t xml:space="preserve"> </w:t>
      </w:r>
      <w:r w:rsidR="00BF5F43" w:rsidRPr="00BF5F43">
        <w:rPr>
          <w:b w:val="0"/>
          <w:noProof/>
          <w:szCs w:val="22"/>
        </w:rPr>
        <w:t>հրատարակչությունների</w:t>
      </w:r>
      <w:r w:rsidR="00BF5F43" w:rsidRPr="00BF5F43">
        <w:rPr>
          <w:b w:val="0"/>
          <w:noProof/>
          <w:szCs w:val="22"/>
          <w:lang w:val="af-ZA"/>
        </w:rPr>
        <w:t xml:space="preserve"> </w:t>
      </w:r>
      <w:r w:rsidR="00BF5F43" w:rsidRPr="00BF5F43">
        <w:rPr>
          <w:b w:val="0"/>
          <w:noProof/>
          <w:szCs w:val="22"/>
        </w:rPr>
        <w:t>մասնակցության</w:t>
      </w:r>
      <w:r w:rsidR="00BF5F43" w:rsidRPr="00BF5F43">
        <w:rPr>
          <w:b w:val="0"/>
          <w:noProof/>
          <w:szCs w:val="22"/>
          <w:lang w:val="af-ZA"/>
        </w:rPr>
        <w:t xml:space="preserve">  </w:t>
      </w:r>
      <w:r w:rsidR="00BF5F43">
        <w:rPr>
          <w:b w:val="0"/>
          <w:noProof/>
          <w:szCs w:val="22"/>
        </w:rPr>
        <w:t>թիվը</w:t>
      </w:r>
      <w:r w:rsidR="00BF5F43" w:rsidRPr="00BF5F43">
        <w:rPr>
          <w:b w:val="0"/>
          <w:noProof/>
          <w:szCs w:val="22"/>
        </w:rPr>
        <w:t>՝</w:t>
      </w:r>
      <w:r w:rsidR="00BF5F43" w:rsidRPr="00BF5F43">
        <w:rPr>
          <w:b w:val="0"/>
          <w:noProof/>
          <w:szCs w:val="22"/>
          <w:lang w:val="af-ZA"/>
        </w:rPr>
        <w:t xml:space="preserve"> 3)</w:t>
      </w:r>
      <w:r w:rsidRPr="00BF5F43">
        <w:rPr>
          <w:b w:val="0"/>
          <w:noProof/>
          <w:szCs w:val="22"/>
          <w:lang w:val="af-ZA"/>
        </w:rPr>
        <w:t>:</w:t>
      </w:r>
    </w:p>
    <w:p w14:paraId="58A7C351"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Գրահրատարակչության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գրադարանների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1,711.4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1,691.1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p>
    <w:p w14:paraId="36FCF10A"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20.3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1.2%-</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rFonts w:eastAsia="MS Mincho" w:cs="MS Mincho"/>
          <w:b w:val="0"/>
          <w:kern w:val="16"/>
          <w:szCs w:val="22"/>
          <w:lang w:val="af-ZA"/>
        </w:rPr>
        <w:t>«</w:t>
      </w:r>
      <w:r w:rsidRPr="00A83C94">
        <w:rPr>
          <w:b w:val="0"/>
          <w:noProof/>
          <w:szCs w:val="22"/>
        </w:rPr>
        <w:t>Գրականության</w:t>
      </w:r>
      <w:r w:rsidRPr="00A83C94">
        <w:rPr>
          <w:b w:val="0"/>
          <w:noProof/>
          <w:szCs w:val="22"/>
          <w:lang w:val="af-ZA"/>
        </w:rPr>
        <w:t xml:space="preserve"> </w:t>
      </w:r>
      <w:r w:rsidRPr="00A83C94">
        <w:rPr>
          <w:b w:val="0"/>
          <w:noProof/>
          <w:szCs w:val="22"/>
        </w:rPr>
        <w:t>հրատարակում</w:t>
      </w:r>
      <w:r w:rsidRPr="00A83C94">
        <w:rPr>
          <w:rFonts w:eastAsia="MS Mincho" w:cs="MS Mincho"/>
          <w:b w:val="0"/>
          <w:kern w:val="16"/>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նախատեսմամբ՝</w:t>
      </w:r>
      <w:r w:rsidRPr="00A83C94">
        <w:rPr>
          <w:b w:val="0"/>
          <w:noProof/>
          <w:szCs w:val="22"/>
          <w:lang w:val="af-ZA"/>
        </w:rPr>
        <w:t xml:space="preserve"> 36.0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lang w:val="en-US"/>
        </w:rPr>
        <w:t>նախատեսվում</w:t>
      </w:r>
      <w:r w:rsidRPr="00A83C94">
        <w:rPr>
          <w:b w:val="0"/>
          <w:noProof/>
          <w:szCs w:val="22"/>
          <w:lang w:val="af-ZA"/>
        </w:rPr>
        <w:t xml:space="preserve"> </w:t>
      </w:r>
      <w:r w:rsidRPr="00A83C94">
        <w:rPr>
          <w:b w:val="0"/>
          <w:noProof/>
          <w:szCs w:val="22"/>
          <w:lang w:val="en-US"/>
        </w:rPr>
        <w:t>է</w:t>
      </w:r>
      <w:r w:rsidRPr="00A83C94">
        <w:rPr>
          <w:b w:val="0"/>
          <w:noProof/>
          <w:szCs w:val="22"/>
          <w:lang w:val="af-ZA"/>
        </w:rPr>
        <w:t xml:space="preserve"> 2-</w:t>
      </w:r>
      <w:r w:rsidRPr="00A83C94">
        <w:rPr>
          <w:b w:val="0"/>
          <w:noProof/>
          <w:szCs w:val="22"/>
          <w:lang w:val="en-US"/>
        </w:rPr>
        <w:t>ական</w:t>
      </w:r>
      <w:r w:rsidRPr="00A83C94">
        <w:rPr>
          <w:b w:val="0"/>
          <w:noProof/>
          <w:szCs w:val="22"/>
          <w:lang w:val="af-ZA"/>
        </w:rPr>
        <w:t xml:space="preserve"> </w:t>
      </w:r>
      <w:r w:rsidRPr="00A83C94">
        <w:rPr>
          <w:b w:val="0"/>
          <w:noProof/>
          <w:szCs w:val="22"/>
          <w:lang w:val="en-US"/>
        </w:rPr>
        <w:t>անուն</w:t>
      </w:r>
      <w:r w:rsidRPr="00A83C94">
        <w:rPr>
          <w:b w:val="0"/>
          <w:noProof/>
          <w:szCs w:val="22"/>
          <w:lang w:val="af-ZA"/>
        </w:rPr>
        <w:t xml:space="preserve"> </w:t>
      </w:r>
      <w:r w:rsidRPr="00A83C94">
        <w:rPr>
          <w:b w:val="0"/>
          <w:noProof/>
          <w:szCs w:val="22"/>
          <w:lang w:val="en-US"/>
        </w:rPr>
        <w:t>մշակույթը</w:t>
      </w:r>
      <w:r w:rsidRPr="00A83C94">
        <w:rPr>
          <w:b w:val="0"/>
          <w:noProof/>
          <w:szCs w:val="22"/>
          <w:lang w:val="af-ZA"/>
        </w:rPr>
        <w:t xml:space="preserve"> </w:t>
      </w:r>
      <w:r w:rsidRPr="00A83C94">
        <w:rPr>
          <w:b w:val="0"/>
          <w:noProof/>
          <w:szCs w:val="22"/>
          <w:lang w:val="en-US"/>
        </w:rPr>
        <w:t>ներկայացնող</w:t>
      </w:r>
      <w:r w:rsidRPr="00A83C94">
        <w:rPr>
          <w:b w:val="0"/>
          <w:noProof/>
          <w:szCs w:val="22"/>
          <w:lang w:val="af-ZA"/>
        </w:rPr>
        <w:t xml:space="preserve"> </w:t>
      </w:r>
      <w:r w:rsidRPr="00A83C94">
        <w:rPr>
          <w:b w:val="0"/>
          <w:noProof/>
          <w:szCs w:val="22"/>
          <w:lang w:val="en-US"/>
        </w:rPr>
        <w:t>հանրամատչելի</w:t>
      </w:r>
      <w:r w:rsidRPr="00A83C94">
        <w:rPr>
          <w:b w:val="0"/>
          <w:noProof/>
          <w:szCs w:val="22"/>
          <w:lang w:val="af-ZA"/>
        </w:rPr>
        <w:t xml:space="preserve"> </w:t>
      </w:r>
      <w:r w:rsidRPr="00A83C94">
        <w:rPr>
          <w:b w:val="0"/>
          <w:noProof/>
          <w:szCs w:val="22"/>
          <w:lang w:val="en-US"/>
        </w:rPr>
        <w:t>և</w:t>
      </w:r>
      <w:r w:rsidRPr="00A83C94">
        <w:rPr>
          <w:b w:val="0"/>
          <w:noProof/>
          <w:szCs w:val="22"/>
          <w:lang w:val="af-ZA"/>
        </w:rPr>
        <w:t xml:space="preserve"> </w:t>
      </w:r>
      <w:r w:rsidRPr="00A83C94">
        <w:rPr>
          <w:b w:val="0"/>
          <w:noProof/>
          <w:szCs w:val="22"/>
          <w:lang w:val="en-US"/>
        </w:rPr>
        <w:t>գիտամշակութային</w:t>
      </w:r>
      <w:r w:rsidRPr="00A83C94">
        <w:rPr>
          <w:b w:val="0"/>
          <w:noProof/>
          <w:szCs w:val="22"/>
          <w:lang w:val="af-ZA"/>
        </w:rPr>
        <w:t>, 2-</w:t>
      </w:r>
      <w:r w:rsidRPr="00A83C94">
        <w:rPr>
          <w:b w:val="0"/>
          <w:noProof/>
          <w:szCs w:val="22"/>
          <w:lang w:val="en-US"/>
        </w:rPr>
        <w:t>ական</w:t>
      </w:r>
      <w:r w:rsidRPr="00A83C94">
        <w:rPr>
          <w:b w:val="0"/>
          <w:noProof/>
          <w:szCs w:val="22"/>
          <w:lang w:val="af-ZA"/>
        </w:rPr>
        <w:t xml:space="preserve"> </w:t>
      </w:r>
      <w:r w:rsidRPr="00A83C94">
        <w:rPr>
          <w:b w:val="0"/>
          <w:noProof/>
          <w:szCs w:val="22"/>
          <w:lang w:val="en-US"/>
        </w:rPr>
        <w:t>անուն</w:t>
      </w:r>
      <w:r w:rsidRPr="00A83C94">
        <w:rPr>
          <w:b w:val="0"/>
          <w:noProof/>
          <w:szCs w:val="22"/>
          <w:lang w:val="af-ZA"/>
        </w:rPr>
        <w:t xml:space="preserve"> </w:t>
      </w:r>
      <w:r w:rsidRPr="00A83C94">
        <w:rPr>
          <w:b w:val="0"/>
          <w:noProof/>
          <w:szCs w:val="22"/>
          <w:lang w:val="en-US"/>
        </w:rPr>
        <w:t>դասական</w:t>
      </w:r>
      <w:r w:rsidRPr="00A83C94">
        <w:rPr>
          <w:b w:val="0"/>
          <w:noProof/>
          <w:szCs w:val="22"/>
          <w:lang w:val="af-ZA"/>
        </w:rPr>
        <w:t xml:space="preserve"> </w:t>
      </w:r>
      <w:r w:rsidRPr="00A83C94">
        <w:rPr>
          <w:b w:val="0"/>
          <w:noProof/>
          <w:szCs w:val="22"/>
          <w:lang w:val="en-US"/>
        </w:rPr>
        <w:t>գրողների</w:t>
      </w:r>
      <w:r w:rsidRPr="00A83C94">
        <w:rPr>
          <w:b w:val="0"/>
          <w:noProof/>
          <w:szCs w:val="22"/>
          <w:lang w:val="af-ZA"/>
        </w:rPr>
        <w:t xml:space="preserve"> </w:t>
      </w:r>
      <w:r w:rsidRPr="00A83C94">
        <w:rPr>
          <w:b w:val="0"/>
          <w:noProof/>
          <w:szCs w:val="22"/>
          <w:lang w:val="en-US"/>
        </w:rPr>
        <w:t>հոբելյանական</w:t>
      </w:r>
      <w:r w:rsidRPr="00A83C94">
        <w:rPr>
          <w:b w:val="0"/>
          <w:noProof/>
          <w:szCs w:val="22"/>
          <w:lang w:val="af-ZA"/>
        </w:rPr>
        <w:t xml:space="preserve">, </w:t>
      </w:r>
      <w:r w:rsidRPr="00A83C94">
        <w:rPr>
          <w:b w:val="0"/>
          <w:noProof/>
          <w:szCs w:val="22"/>
          <w:lang w:val="en-US"/>
        </w:rPr>
        <w:t>հայ</w:t>
      </w:r>
      <w:r w:rsidRPr="00A83C94">
        <w:rPr>
          <w:b w:val="0"/>
          <w:noProof/>
          <w:szCs w:val="22"/>
          <w:lang w:val="af-ZA"/>
        </w:rPr>
        <w:t xml:space="preserve"> </w:t>
      </w:r>
      <w:r w:rsidRPr="00A83C94">
        <w:rPr>
          <w:b w:val="0"/>
          <w:noProof/>
          <w:szCs w:val="22"/>
          <w:lang w:val="en-US"/>
        </w:rPr>
        <w:t>մշակույթը</w:t>
      </w:r>
      <w:r w:rsidRPr="00A83C94">
        <w:rPr>
          <w:b w:val="0"/>
          <w:noProof/>
          <w:szCs w:val="22"/>
          <w:lang w:val="af-ZA"/>
        </w:rPr>
        <w:t xml:space="preserve"> </w:t>
      </w:r>
      <w:r w:rsidRPr="00A83C94">
        <w:rPr>
          <w:b w:val="0"/>
          <w:noProof/>
          <w:szCs w:val="22"/>
          <w:lang w:val="en-US"/>
        </w:rPr>
        <w:t>և</w:t>
      </w:r>
      <w:r w:rsidRPr="00A83C94">
        <w:rPr>
          <w:b w:val="0"/>
          <w:noProof/>
          <w:szCs w:val="22"/>
          <w:lang w:val="af-ZA"/>
        </w:rPr>
        <w:t xml:space="preserve"> </w:t>
      </w:r>
      <w:r w:rsidRPr="00A83C94">
        <w:rPr>
          <w:b w:val="0"/>
          <w:noProof/>
          <w:szCs w:val="22"/>
          <w:lang w:val="en-US"/>
        </w:rPr>
        <w:t>արվեստը</w:t>
      </w:r>
      <w:r w:rsidRPr="00A83C94">
        <w:rPr>
          <w:b w:val="0"/>
          <w:noProof/>
          <w:szCs w:val="22"/>
          <w:lang w:val="af-ZA"/>
        </w:rPr>
        <w:t xml:space="preserve"> </w:t>
      </w:r>
      <w:r w:rsidRPr="00A83C94">
        <w:rPr>
          <w:b w:val="0"/>
          <w:noProof/>
          <w:szCs w:val="22"/>
          <w:lang w:val="en-US"/>
        </w:rPr>
        <w:t>ներկայացնող</w:t>
      </w:r>
      <w:r w:rsidRPr="00A83C94">
        <w:rPr>
          <w:b w:val="0"/>
          <w:noProof/>
          <w:szCs w:val="22"/>
          <w:lang w:val="af-ZA"/>
        </w:rPr>
        <w:t>,</w:t>
      </w:r>
      <w:r w:rsidRPr="00A83C94">
        <w:rPr>
          <w:lang w:val="af-ZA"/>
        </w:rPr>
        <w:t xml:space="preserve"> </w:t>
      </w:r>
      <w:r w:rsidRPr="00A83C94">
        <w:rPr>
          <w:b w:val="0"/>
          <w:lang w:val="en-US"/>
        </w:rPr>
        <w:t>պ</w:t>
      </w:r>
      <w:r w:rsidRPr="00A83C94">
        <w:rPr>
          <w:b w:val="0"/>
          <w:noProof/>
          <w:szCs w:val="22"/>
          <w:lang w:val="en-US"/>
        </w:rPr>
        <w:t>ատմամշակութային</w:t>
      </w:r>
      <w:r w:rsidRPr="00A83C94">
        <w:rPr>
          <w:b w:val="0"/>
          <w:noProof/>
          <w:szCs w:val="22"/>
          <w:lang w:val="af-ZA"/>
        </w:rPr>
        <w:t xml:space="preserve"> </w:t>
      </w:r>
      <w:r w:rsidRPr="00A83C94">
        <w:rPr>
          <w:b w:val="0"/>
          <w:noProof/>
          <w:szCs w:val="22"/>
          <w:lang w:val="en-US"/>
        </w:rPr>
        <w:t>ժառանգությանը</w:t>
      </w:r>
      <w:r w:rsidRPr="00A83C94">
        <w:rPr>
          <w:b w:val="0"/>
          <w:noProof/>
          <w:szCs w:val="22"/>
          <w:lang w:val="af-ZA"/>
        </w:rPr>
        <w:t xml:space="preserve"> </w:t>
      </w:r>
      <w:r w:rsidRPr="00A83C94">
        <w:rPr>
          <w:b w:val="0"/>
          <w:noProof/>
          <w:szCs w:val="22"/>
          <w:lang w:val="en-US"/>
        </w:rPr>
        <w:t>վերաբերող</w:t>
      </w:r>
      <w:r w:rsidRPr="00A83C94">
        <w:rPr>
          <w:b w:val="0"/>
          <w:noProof/>
          <w:szCs w:val="22"/>
          <w:lang w:val="af-ZA"/>
        </w:rPr>
        <w:t xml:space="preserve"> </w:t>
      </w:r>
      <w:r w:rsidRPr="00A83C94">
        <w:rPr>
          <w:b w:val="0"/>
          <w:noProof/>
          <w:szCs w:val="22"/>
          <w:lang w:val="en-US"/>
        </w:rPr>
        <w:t>գրականության</w:t>
      </w:r>
      <w:r w:rsidRPr="00A83C94">
        <w:rPr>
          <w:b w:val="0"/>
          <w:noProof/>
          <w:szCs w:val="22"/>
          <w:lang w:val="af-ZA"/>
        </w:rPr>
        <w:t xml:space="preserve"> </w:t>
      </w:r>
      <w:r w:rsidRPr="00A83C94">
        <w:rPr>
          <w:b w:val="0"/>
          <w:noProof/>
          <w:szCs w:val="22"/>
          <w:lang w:val="en-US"/>
        </w:rPr>
        <w:t>հրատարակում</w:t>
      </w:r>
      <w:r w:rsidRPr="00A83C94">
        <w:rPr>
          <w:b w:val="0"/>
          <w:noProof/>
          <w:szCs w:val="22"/>
          <w:lang w:val="af-ZA"/>
        </w:rPr>
        <w:t xml:space="preserve">, </w:t>
      </w:r>
      <w:r w:rsidRPr="00A83C94">
        <w:rPr>
          <w:b w:val="0"/>
          <w:noProof/>
          <w:szCs w:val="22"/>
          <w:lang w:val="en-US"/>
        </w:rPr>
        <w:t>ընթերցողական</w:t>
      </w:r>
      <w:r w:rsidRPr="00A83C94">
        <w:rPr>
          <w:b w:val="0"/>
          <w:noProof/>
          <w:szCs w:val="22"/>
          <w:lang w:val="af-ZA"/>
        </w:rPr>
        <w:t xml:space="preserve"> </w:t>
      </w:r>
      <w:r w:rsidRPr="00A83C94">
        <w:rPr>
          <w:b w:val="0"/>
          <w:noProof/>
          <w:szCs w:val="22"/>
          <w:lang w:val="en-US"/>
        </w:rPr>
        <w:t>պահանջարկ</w:t>
      </w:r>
      <w:r w:rsidRPr="00A83C94">
        <w:rPr>
          <w:b w:val="0"/>
          <w:noProof/>
          <w:szCs w:val="22"/>
          <w:lang w:val="af-ZA"/>
        </w:rPr>
        <w:t xml:space="preserve"> </w:t>
      </w:r>
      <w:r w:rsidRPr="00A83C94">
        <w:rPr>
          <w:b w:val="0"/>
          <w:noProof/>
          <w:szCs w:val="22"/>
          <w:lang w:val="en-US"/>
        </w:rPr>
        <w:t>ունեցող</w:t>
      </w:r>
      <w:r w:rsidRPr="00A83C94">
        <w:rPr>
          <w:b w:val="0"/>
          <w:noProof/>
          <w:szCs w:val="22"/>
          <w:lang w:val="af-ZA"/>
        </w:rPr>
        <w:t xml:space="preserve"> 10 </w:t>
      </w:r>
      <w:r w:rsidRPr="00A83C94">
        <w:rPr>
          <w:b w:val="0"/>
          <w:noProof/>
          <w:szCs w:val="22"/>
          <w:lang w:val="en-US"/>
        </w:rPr>
        <w:t>անուն</w:t>
      </w:r>
      <w:r w:rsidRPr="00A83C94">
        <w:rPr>
          <w:b w:val="0"/>
          <w:noProof/>
          <w:szCs w:val="22"/>
          <w:lang w:val="af-ZA"/>
        </w:rPr>
        <w:t xml:space="preserve"> </w:t>
      </w:r>
      <w:r w:rsidRPr="00A83C94">
        <w:rPr>
          <w:b w:val="0"/>
          <w:noProof/>
          <w:szCs w:val="22"/>
          <w:lang w:val="en-US"/>
        </w:rPr>
        <w:t>գրքի</w:t>
      </w:r>
      <w:r w:rsidRPr="00A83C94">
        <w:rPr>
          <w:b w:val="0"/>
          <w:noProof/>
          <w:szCs w:val="22"/>
          <w:lang w:val="af-ZA"/>
        </w:rPr>
        <w:t xml:space="preserve"> </w:t>
      </w:r>
      <w:r w:rsidRPr="00A83C94">
        <w:rPr>
          <w:b w:val="0"/>
          <w:noProof/>
          <w:szCs w:val="22"/>
          <w:lang w:val="en-US"/>
        </w:rPr>
        <w:t>վերահրատարակում</w:t>
      </w:r>
      <w:r w:rsidRPr="00A83C94">
        <w:rPr>
          <w:b w:val="0"/>
          <w:noProof/>
          <w:szCs w:val="22"/>
          <w:lang w:val="af-ZA"/>
        </w:rPr>
        <w:t>):</w:t>
      </w:r>
    </w:p>
    <w:p w14:paraId="20B7D4B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Միաժամանակ</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15.7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47684047" w14:textId="2D382808" w:rsidR="003B2C15" w:rsidRPr="00BF5F43"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Ազգային</w:t>
      </w:r>
      <w:r w:rsidRPr="00A83C94">
        <w:rPr>
          <w:noProof/>
          <w:szCs w:val="22"/>
          <w:lang w:val="af-ZA"/>
        </w:rPr>
        <w:t xml:space="preserve"> </w:t>
      </w:r>
      <w:r w:rsidRPr="00A83C94">
        <w:rPr>
          <w:noProof/>
          <w:szCs w:val="22"/>
          <w:lang w:val="hy-AM"/>
        </w:rPr>
        <w:t>արխիվի</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w:t>
      </w:r>
      <w:r w:rsidRPr="00A83C94">
        <w:rPr>
          <w:b w:val="0"/>
          <w:noProof/>
          <w:szCs w:val="22"/>
          <w:lang w:val="af-ZA"/>
        </w:rPr>
        <w:t xml:space="preserve">  </w:t>
      </w:r>
      <w:r w:rsidRPr="00A83C94">
        <w:rPr>
          <w:b w:val="0"/>
          <w:noProof/>
          <w:szCs w:val="22"/>
          <w:lang w:val="hy-AM"/>
        </w:rPr>
        <w:t>ՀՀ</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արխիվային</w:t>
      </w:r>
      <w:r w:rsidRPr="00A83C94">
        <w:rPr>
          <w:b w:val="0"/>
          <w:noProof/>
          <w:szCs w:val="22"/>
          <w:lang w:val="af-ZA"/>
        </w:rPr>
        <w:t xml:space="preserve"> </w:t>
      </w:r>
      <w:r w:rsidRPr="00A83C94">
        <w:rPr>
          <w:b w:val="0"/>
          <w:noProof/>
          <w:szCs w:val="22"/>
          <w:lang w:val="hy-AM"/>
        </w:rPr>
        <w:t>հավաքածուի</w:t>
      </w:r>
      <w:r w:rsidRPr="00A83C94">
        <w:rPr>
          <w:b w:val="0"/>
          <w:noProof/>
          <w:szCs w:val="22"/>
          <w:lang w:val="af-ZA"/>
        </w:rPr>
        <w:t xml:space="preserve"> </w:t>
      </w:r>
      <w:r w:rsidRPr="00A83C94">
        <w:rPr>
          <w:b w:val="0"/>
          <w:noProof/>
          <w:szCs w:val="22"/>
          <w:lang w:val="hy-AM"/>
        </w:rPr>
        <w:t>պահպանությունը</w:t>
      </w:r>
      <w:r w:rsidRPr="00A83C94">
        <w:rPr>
          <w:b w:val="0"/>
          <w:noProof/>
          <w:szCs w:val="22"/>
          <w:lang w:val="af-ZA"/>
        </w:rPr>
        <w:t xml:space="preserve">, </w:t>
      </w:r>
      <w:r w:rsidRPr="00A83C94">
        <w:rPr>
          <w:b w:val="0"/>
          <w:noProof/>
          <w:szCs w:val="22"/>
          <w:lang w:val="hy-AM"/>
        </w:rPr>
        <w:t>համալրումը</w:t>
      </w:r>
      <w:r w:rsidRPr="00A83C94">
        <w:rPr>
          <w:b w:val="0"/>
          <w:noProof/>
          <w:szCs w:val="22"/>
          <w:lang w:val="af-ZA"/>
        </w:rPr>
        <w:t xml:space="preserve">, </w:t>
      </w:r>
      <w:r w:rsidRPr="00A83C94">
        <w:rPr>
          <w:b w:val="0"/>
          <w:noProof/>
          <w:szCs w:val="22"/>
          <w:lang w:val="hy-AM"/>
        </w:rPr>
        <w:t>հաշվառումը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օգտագործումը</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w:t>
      </w:r>
      <w:r w:rsidR="00BF5F43" w:rsidRPr="00BF5F43">
        <w:rPr>
          <w:b w:val="0"/>
          <w:noProof/>
          <w:szCs w:val="22"/>
        </w:rPr>
        <w:t>արխիվային</w:t>
      </w:r>
      <w:r w:rsidR="00BF5F43" w:rsidRPr="00BF5F43">
        <w:rPr>
          <w:b w:val="0"/>
          <w:noProof/>
          <w:szCs w:val="22"/>
          <w:lang w:val="af-ZA"/>
        </w:rPr>
        <w:t xml:space="preserve"> </w:t>
      </w:r>
      <w:r w:rsidR="00BF5F43" w:rsidRPr="00BF5F43">
        <w:rPr>
          <w:b w:val="0"/>
          <w:noProof/>
          <w:szCs w:val="22"/>
        </w:rPr>
        <w:t>հավաքածուի</w:t>
      </w:r>
      <w:r w:rsidR="00BF5F43" w:rsidRPr="00BF5F43">
        <w:rPr>
          <w:b w:val="0"/>
          <w:noProof/>
          <w:szCs w:val="22"/>
          <w:lang w:val="af-ZA"/>
        </w:rPr>
        <w:t xml:space="preserve"> </w:t>
      </w:r>
      <w:r w:rsidR="00BF5F43" w:rsidRPr="00BF5F43">
        <w:rPr>
          <w:b w:val="0"/>
          <w:noProof/>
          <w:szCs w:val="22"/>
        </w:rPr>
        <w:t>համալրում</w:t>
      </w:r>
      <w:r w:rsidR="00BF5F43" w:rsidRPr="00BF5F43">
        <w:rPr>
          <w:b w:val="0"/>
          <w:noProof/>
          <w:szCs w:val="22"/>
          <w:lang w:val="en-US"/>
        </w:rPr>
        <w:t>՝</w:t>
      </w:r>
      <w:r w:rsidR="00BF5F43" w:rsidRPr="00BF5F43">
        <w:rPr>
          <w:b w:val="0"/>
          <w:noProof/>
          <w:szCs w:val="22"/>
          <w:lang w:val="af-ZA"/>
        </w:rPr>
        <w:t xml:space="preserve"> 31000 </w:t>
      </w:r>
      <w:r w:rsidR="00BF5F43" w:rsidRPr="00BF5F43">
        <w:rPr>
          <w:b w:val="0"/>
          <w:noProof/>
          <w:szCs w:val="22"/>
        </w:rPr>
        <w:t>գործով</w:t>
      </w:r>
      <w:r w:rsidR="00BF5F43" w:rsidRPr="00BF5F43">
        <w:rPr>
          <w:b w:val="0"/>
          <w:noProof/>
          <w:szCs w:val="22"/>
          <w:lang w:val="af-ZA"/>
        </w:rPr>
        <w:t xml:space="preserve">, 4200000 </w:t>
      </w:r>
      <w:r w:rsidR="00BF5F43" w:rsidRPr="00BF5F43">
        <w:rPr>
          <w:b w:val="0"/>
          <w:noProof/>
          <w:szCs w:val="22"/>
        </w:rPr>
        <w:t>արխիվային</w:t>
      </w:r>
      <w:r w:rsidR="00BF5F43" w:rsidRPr="00BF5F43">
        <w:rPr>
          <w:b w:val="0"/>
          <w:noProof/>
          <w:szCs w:val="22"/>
          <w:lang w:val="af-ZA"/>
        </w:rPr>
        <w:t xml:space="preserve"> </w:t>
      </w:r>
      <w:r w:rsidR="00BF5F43" w:rsidRPr="00BF5F43">
        <w:rPr>
          <w:b w:val="0"/>
          <w:noProof/>
          <w:szCs w:val="22"/>
        </w:rPr>
        <w:t>գործի</w:t>
      </w:r>
      <w:r w:rsidR="00BF5F43" w:rsidRPr="00BF5F43">
        <w:rPr>
          <w:b w:val="0"/>
          <w:noProof/>
          <w:szCs w:val="22"/>
          <w:lang w:val="af-ZA"/>
        </w:rPr>
        <w:t xml:space="preserve"> </w:t>
      </w:r>
      <w:r w:rsidR="00BF5F43" w:rsidRPr="00BF5F43">
        <w:rPr>
          <w:b w:val="0"/>
          <w:noProof/>
          <w:szCs w:val="22"/>
        </w:rPr>
        <w:t>պահպանության</w:t>
      </w:r>
      <w:r w:rsidR="00BF5F43" w:rsidRPr="00BF5F43">
        <w:rPr>
          <w:b w:val="0"/>
          <w:noProof/>
          <w:szCs w:val="22"/>
          <w:lang w:val="af-ZA"/>
        </w:rPr>
        <w:t xml:space="preserve"> </w:t>
      </w:r>
      <w:r w:rsidR="00BF5F43" w:rsidRPr="00BF5F43">
        <w:rPr>
          <w:b w:val="0"/>
          <w:noProof/>
          <w:szCs w:val="22"/>
        </w:rPr>
        <w:t>ապահովում</w:t>
      </w:r>
      <w:r w:rsidR="00BF5F43" w:rsidRPr="00BF5F43">
        <w:rPr>
          <w:b w:val="0"/>
          <w:noProof/>
          <w:szCs w:val="22"/>
          <w:lang w:val="af-ZA"/>
        </w:rPr>
        <w:t>)</w:t>
      </w:r>
      <w:r w:rsidRPr="00BF5F43">
        <w:rPr>
          <w:b w:val="0"/>
          <w:noProof/>
          <w:szCs w:val="22"/>
          <w:lang w:val="af-ZA"/>
        </w:rPr>
        <w:t>:</w:t>
      </w:r>
    </w:p>
    <w:p w14:paraId="0576CECB"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Ազգային</w:t>
      </w:r>
      <w:r w:rsidRPr="00A83C94">
        <w:rPr>
          <w:b w:val="0"/>
          <w:noProof/>
          <w:szCs w:val="22"/>
          <w:lang w:val="af-ZA"/>
        </w:rPr>
        <w:t xml:space="preserve"> </w:t>
      </w:r>
      <w:r w:rsidRPr="00A83C94">
        <w:rPr>
          <w:b w:val="0"/>
          <w:noProof/>
          <w:szCs w:val="22"/>
        </w:rPr>
        <w:t>արխիվի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590.2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w:t>
      </w:r>
      <w:r w:rsidRPr="00A83C94">
        <w:rPr>
          <w:b w:val="0"/>
          <w:noProof/>
          <w:szCs w:val="22"/>
        </w:rPr>
        <w:t>ծախսերին</w:t>
      </w:r>
      <w:r w:rsidRPr="00A83C94">
        <w:rPr>
          <w:b w:val="0"/>
          <w:noProof/>
          <w:szCs w:val="22"/>
          <w:lang w:val="af-ZA"/>
        </w:rPr>
        <w:t xml:space="preserve"> </w:t>
      </w:r>
      <w:r w:rsidRPr="00A83C94">
        <w:rPr>
          <w:b w:val="0"/>
          <w:noProof/>
          <w:szCs w:val="22"/>
        </w:rPr>
        <w:t>համապատասխան</w:t>
      </w:r>
      <w:r w:rsidRPr="00A83C94">
        <w:rPr>
          <w:b w:val="0"/>
          <w:noProof/>
          <w:szCs w:val="22"/>
          <w:lang w:val="af-ZA"/>
        </w:rPr>
        <w:t>:</w:t>
      </w:r>
    </w:p>
    <w:p w14:paraId="39E803E9" w14:textId="6A6B72BB"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Արվեստների</w:t>
      </w:r>
      <w:r w:rsidRPr="00A83C94">
        <w:rPr>
          <w:noProof/>
          <w:szCs w:val="22"/>
          <w:lang w:val="af-ZA"/>
        </w:rPr>
        <w:t xml:space="preserve"> </w:t>
      </w:r>
      <w:r w:rsidRPr="00A83C94">
        <w:rPr>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հենքի</w:t>
      </w:r>
      <w:r w:rsidRPr="00A83C94">
        <w:rPr>
          <w:b w:val="0"/>
          <w:noProof/>
          <w:szCs w:val="22"/>
          <w:lang w:val="af-ZA"/>
        </w:rPr>
        <w:t xml:space="preserve"> </w:t>
      </w:r>
      <w:r w:rsidRPr="00A83C94">
        <w:rPr>
          <w:b w:val="0"/>
          <w:noProof/>
          <w:szCs w:val="22"/>
          <w:lang w:val="hy-AM"/>
        </w:rPr>
        <w:t>վրա</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թատերարվեստի</w:t>
      </w:r>
      <w:r w:rsidRPr="00A83C94">
        <w:rPr>
          <w:b w:val="0"/>
          <w:noProof/>
          <w:szCs w:val="22"/>
          <w:lang w:val="af-ZA"/>
        </w:rPr>
        <w:t xml:space="preserve">, </w:t>
      </w:r>
      <w:r w:rsidRPr="00A83C94">
        <w:rPr>
          <w:b w:val="0"/>
          <w:noProof/>
          <w:szCs w:val="22"/>
          <w:lang w:val="hy-AM"/>
        </w:rPr>
        <w:t>երաժշտարվեստի</w:t>
      </w:r>
      <w:r w:rsidRPr="00A83C94">
        <w:rPr>
          <w:b w:val="0"/>
          <w:noProof/>
          <w:szCs w:val="22"/>
          <w:lang w:val="af-ZA"/>
        </w:rPr>
        <w:t xml:space="preserve">, </w:t>
      </w:r>
      <w:r w:rsidRPr="00A83C94">
        <w:rPr>
          <w:b w:val="0"/>
          <w:noProof/>
          <w:szCs w:val="22"/>
          <w:lang w:val="hy-AM"/>
        </w:rPr>
        <w:t>կերպարվեստի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պարարվեստի</w:t>
      </w:r>
      <w:r w:rsidRPr="00A83C94">
        <w:rPr>
          <w:b w:val="0"/>
          <w:noProof/>
          <w:szCs w:val="22"/>
          <w:lang w:val="af-ZA"/>
        </w:rPr>
        <w:t xml:space="preserve"> </w:t>
      </w:r>
      <w:r w:rsidRPr="00A83C94">
        <w:rPr>
          <w:b w:val="0"/>
          <w:noProof/>
          <w:szCs w:val="22"/>
          <w:lang w:val="hy-AM"/>
        </w:rPr>
        <w:t>զարգացմանը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հանրահռչակմանը</w:t>
      </w:r>
      <w:r w:rsidRPr="00A83C94">
        <w:rPr>
          <w:b w:val="0"/>
          <w:noProof/>
          <w:szCs w:val="22"/>
          <w:lang w:val="af-ZA"/>
        </w:rPr>
        <w:t>:</w:t>
      </w:r>
    </w:p>
    <w:p w14:paraId="14EAC409" w14:textId="02F29B50"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o</w:t>
      </w:r>
      <w:r w:rsidRPr="00A83C94">
        <w:rPr>
          <w:b w:val="0"/>
          <w:noProof/>
          <w:szCs w:val="22"/>
        </w:rPr>
        <w:t>պերային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բալետային</w:t>
      </w:r>
      <w:r w:rsidRPr="00A83C94">
        <w:rPr>
          <w:b w:val="0"/>
          <w:noProof/>
          <w:szCs w:val="22"/>
          <w:lang w:val="af-ZA"/>
        </w:rPr>
        <w:t xml:space="preserve"> </w:t>
      </w:r>
      <w:r w:rsidRPr="00A83C94">
        <w:rPr>
          <w:b w:val="0"/>
          <w:noProof/>
          <w:szCs w:val="22"/>
        </w:rPr>
        <w:t>արվեստի</w:t>
      </w:r>
      <w:r w:rsidRPr="00A83C94">
        <w:rPr>
          <w:b w:val="0"/>
          <w:noProof/>
          <w:szCs w:val="22"/>
          <w:lang w:val="af-ZA"/>
        </w:rPr>
        <w:t xml:space="preserve">, </w:t>
      </w:r>
      <w:r w:rsidRPr="00A83C94">
        <w:rPr>
          <w:b w:val="0"/>
          <w:noProof/>
          <w:szCs w:val="22"/>
        </w:rPr>
        <w:t>թատերական</w:t>
      </w:r>
      <w:r w:rsidRPr="00A83C94">
        <w:rPr>
          <w:b w:val="0"/>
          <w:noProof/>
          <w:szCs w:val="22"/>
          <w:lang w:val="af-ZA"/>
        </w:rPr>
        <w:t xml:space="preserve"> </w:t>
      </w:r>
      <w:r w:rsidRPr="00A83C94">
        <w:rPr>
          <w:rFonts w:eastAsia="MS Mincho" w:cs="MS Mincho"/>
          <w:b w:val="0"/>
          <w:kern w:val="16"/>
          <w:szCs w:val="22"/>
        </w:rPr>
        <w:t>ներկայացումների</w:t>
      </w:r>
      <w:r w:rsidRPr="00A83C94">
        <w:rPr>
          <w:b w:val="0"/>
          <w:noProof/>
          <w:szCs w:val="22"/>
          <w:lang w:val="af-ZA"/>
        </w:rPr>
        <w:t xml:space="preserve">, </w:t>
      </w:r>
      <w:r w:rsidRPr="00A83C94">
        <w:rPr>
          <w:b w:val="0"/>
          <w:noProof/>
          <w:szCs w:val="22"/>
        </w:rPr>
        <w:t>երաժշտարվեստի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պարարվեստի</w:t>
      </w:r>
      <w:r w:rsidRPr="00A83C94">
        <w:rPr>
          <w:b w:val="0"/>
          <w:noProof/>
          <w:szCs w:val="22"/>
          <w:lang w:val="af-ZA"/>
        </w:rPr>
        <w:t xml:space="preserve"> </w:t>
      </w:r>
      <w:r w:rsidRPr="00A83C94">
        <w:rPr>
          <w:b w:val="0"/>
          <w:noProof/>
          <w:szCs w:val="22"/>
        </w:rPr>
        <w:t>համերգների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w:t>
      </w:r>
      <w:r w:rsidRPr="00A83C94">
        <w:rPr>
          <w:b w:val="0"/>
          <w:noProof/>
          <w:szCs w:val="22"/>
        </w:rPr>
        <w:t>Ժողովրդական</w:t>
      </w:r>
      <w:r w:rsidRPr="00A83C94">
        <w:rPr>
          <w:b w:val="0"/>
          <w:noProof/>
          <w:szCs w:val="22"/>
          <w:lang w:val="af-ZA"/>
        </w:rPr>
        <w:t xml:space="preserve">» </w:t>
      </w:r>
      <w:r w:rsidRPr="00A83C94">
        <w:rPr>
          <w:b w:val="0"/>
          <w:noProof/>
          <w:szCs w:val="22"/>
        </w:rPr>
        <w:t>պատվավոր</w:t>
      </w:r>
      <w:r w:rsidRPr="00A83C94">
        <w:rPr>
          <w:b w:val="0"/>
          <w:noProof/>
          <w:szCs w:val="22"/>
          <w:lang w:val="af-ZA"/>
        </w:rPr>
        <w:t xml:space="preserve"> </w:t>
      </w:r>
      <w:r w:rsidRPr="00A83C94">
        <w:rPr>
          <w:b w:val="0"/>
          <w:noProof/>
          <w:szCs w:val="22"/>
        </w:rPr>
        <w:t>կոչման</w:t>
      </w:r>
      <w:r w:rsidRPr="00A83C94">
        <w:rPr>
          <w:b w:val="0"/>
          <w:noProof/>
          <w:szCs w:val="22"/>
          <w:lang w:val="af-ZA"/>
        </w:rPr>
        <w:t xml:space="preserve"> </w:t>
      </w:r>
      <w:r w:rsidRPr="00A83C94">
        <w:rPr>
          <w:b w:val="0"/>
          <w:noProof/>
          <w:szCs w:val="22"/>
        </w:rPr>
        <w:t>արժանացած</w:t>
      </w:r>
      <w:r w:rsidRPr="00A83C94">
        <w:rPr>
          <w:b w:val="0"/>
          <w:noProof/>
          <w:szCs w:val="22"/>
          <w:lang w:val="af-ZA"/>
        </w:rPr>
        <w:t xml:space="preserve"> </w:t>
      </w:r>
      <w:r w:rsidRPr="00A83C94">
        <w:rPr>
          <w:b w:val="0"/>
          <w:noProof/>
          <w:szCs w:val="22"/>
        </w:rPr>
        <w:t>անձանց</w:t>
      </w:r>
      <w:r w:rsidRPr="00A83C94">
        <w:rPr>
          <w:b w:val="0"/>
          <w:noProof/>
          <w:szCs w:val="22"/>
          <w:lang w:val="af-ZA"/>
        </w:rPr>
        <w:t xml:space="preserve"> </w:t>
      </w:r>
      <w:r w:rsidRPr="00A83C94">
        <w:rPr>
          <w:b w:val="0"/>
          <w:noProof/>
          <w:szCs w:val="22"/>
        </w:rPr>
        <w:t>պատվովճարի</w:t>
      </w:r>
      <w:r w:rsidRPr="00A83C94">
        <w:rPr>
          <w:b w:val="0"/>
          <w:noProof/>
          <w:szCs w:val="22"/>
          <w:lang w:val="af-ZA"/>
        </w:rPr>
        <w:t xml:space="preserve"> </w:t>
      </w:r>
      <w:r w:rsidRPr="00A83C94">
        <w:rPr>
          <w:b w:val="0"/>
          <w:noProof/>
          <w:szCs w:val="22"/>
        </w:rPr>
        <w:t>հատկացմանը</w:t>
      </w:r>
      <w:r w:rsidRPr="00A83C94">
        <w:rPr>
          <w:b w:val="0"/>
          <w:noProof/>
          <w:szCs w:val="22"/>
          <w:lang w:val="af-ZA"/>
        </w:rPr>
        <w:t>,</w:t>
      </w:r>
      <w:r w:rsidRPr="00A83C94">
        <w:rPr>
          <w:b w:val="0"/>
          <w:szCs w:val="22"/>
          <w:lang w:val="af-ZA"/>
        </w:rPr>
        <w:t xml:space="preserve"> </w:t>
      </w:r>
      <w:r w:rsidRPr="00A83C94">
        <w:rPr>
          <w:b w:val="0"/>
          <w:szCs w:val="22"/>
        </w:rPr>
        <w:t>թ</w:t>
      </w:r>
      <w:r w:rsidRPr="00A83C94">
        <w:rPr>
          <w:b w:val="0"/>
          <w:noProof/>
          <w:szCs w:val="22"/>
        </w:rPr>
        <w:t>ատերահամերգային</w:t>
      </w:r>
      <w:r w:rsidRPr="00A83C94">
        <w:rPr>
          <w:b w:val="0"/>
          <w:noProof/>
          <w:szCs w:val="22"/>
          <w:lang w:val="af-ZA"/>
        </w:rPr>
        <w:t xml:space="preserve"> </w:t>
      </w:r>
      <w:r w:rsidRPr="00A83C94">
        <w:rPr>
          <w:b w:val="0"/>
          <w:noProof/>
          <w:szCs w:val="22"/>
        </w:rPr>
        <w:t>կազմակերպությունների</w:t>
      </w:r>
      <w:r w:rsidRPr="00A83C94">
        <w:rPr>
          <w:b w:val="0"/>
          <w:noProof/>
          <w:szCs w:val="22"/>
          <w:lang w:val="af-ZA"/>
        </w:rPr>
        <w:t xml:space="preserve"> </w:t>
      </w:r>
      <w:r w:rsidRPr="00A83C94">
        <w:rPr>
          <w:b w:val="0"/>
          <w:noProof/>
          <w:szCs w:val="22"/>
        </w:rPr>
        <w:t>նյութատեխնիկական</w:t>
      </w:r>
      <w:r w:rsidRPr="00A83C94">
        <w:rPr>
          <w:b w:val="0"/>
          <w:noProof/>
          <w:szCs w:val="22"/>
          <w:lang w:val="af-ZA"/>
        </w:rPr>
        <w:t xml:space="preserve"> </w:t>
      </w:r>
      <w:r w:rsidRPr="00A83C94">
        <w:rPr>
          <w:b w:val="0"/>
          <w:noProof/>
          <w:szCs w:val="22"/>
        </w:rPr>
        <w:t>բազայի</w:t>
      </w:r>
      <w:r w:rsidRPr="00A83C94">
        <w:rPr>
          <w:b w:val="0"/>
          <w:noProof/>
          <w:szCs w:val="22"/>
          <w:lang w:val="af-ZA"/>
        </w:rPr>
        <w:t xml:space="preserve">  </w:t>
      </w:r>
      <w:r w:rsidRPr="00A83C94">
        <w:rPr>
          <w:b w:val="0"/>
          <w:noProof/>
          <w:szCs w:val="22"/>
        </w:rPr>
        <w:t>համալրմանը</w:t>
      </w:r>
      <w:r w:rsidRPr="00A83C94">
        <w:rPr>
          <w:b w:val="0"/>
          <w:noProof/>
          <w:szCs w:val="22"/>
          <w:lang w:val="af-ZA"/>
        </w:rPr>
        <w:t xml:space="preserve">, </w:t>
      </w:r>
      <w:r w:rsidRPr="00A83C94">
        <w:rPr>
          <w:b w:val="0"/>
          <w:noProof/>
          <w:szCs w:val="22"/>
        </w:rPr>
        <w:t>թատրոնների</w:t>
      </w:r>
      <w:r w:rsidRPr="00A83C94">
        <w:rPr>
          <w:b w:val="0"/>
          <w:noProof/>
          <w:szCs w:val="22"/>
          <w:lang w:val="af-ZA"/>
        </w:rPr>
        <w:t xml:space="preserve"> </w:t>
      </w:r>
      <w:r w:rsidRPr="00A83C94">
        <w:rPr>
          <w:b w:val="0"/>
          <w:noProof/>
          <w:szCs w:val="22"/>
        </w:rPr>
        <w:t>շենքերի</w:t>
      </w:r>
      <w:r w:rsidRPr="00A83C94">
        <w:rPr>
          <w:b w:val="0"/>
          <w:noProof/>
          <w:szCs w:val="22"/>
          <w:lang w:val="af-ZA"/>
        </w:rPr>
        <w:t xml:space="preserve"> </w:t>
      </w:r>
      <w:r w:rsidRPr="00A83C94">
        <w:rPr>
          <w:b w:val="0"/>
          <w:noProof/>
          <w:szCs w:val="22"/>
        </w:rPr>
        <w:t>կապիտալ</w:t>
      </w:r>
      <w:r w:rsidRPr="00A83C94">
        <w:rPr>
          <w:b w:val="0"/>
          <w:noProof/>
          <w:szCs w:val="22"/>
          <w:lang w:val="af-ZA"/>
        </w:rPr>
        <w:t xml:space="preserve"> </w:t>
      </w:r>
      <w:r w:rsidRPr="00A83C94">
        <w:rPr>
          <w:b w:val="0"/>
          <w:noProof/>
          <w:szCs w:val="22"/>
        </w:rPr>
        <w:t>վերանորոգման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ներդրումների</w:t>
      </w:r>
      <w:r w:rsidRPr="00A83C94">
        <w:rPr>
          <w:b w:val="0"/>
          <w:noProof/>
          <w:szCs w:val="22"/>
          <w:lang w:val="af-ZA"/>
        </w:rPr>
        <w:t xml:space="preserve"> </w:t>
      </w:r>
      <w:r w:rsidRPr="00A83C94">
        <w:rPr>
          <w:b w:val="0"/>
          <w:noProof/>
          <w:szCs w:val="22"/>
        </w:rPr>
        <w:t>իրականացմանը</w:t>
      </w:r>
      <w:r w:rsidR="00BF5F43" w:rsidRPr="00BF5F43">
        <w:rPr>
          <w:b w:val="0"/>
          <w:noProof/>
          <w:szCs w:val="22"/>
          <w:lang w:val="af-ZA"/>
        </w:rPr>
        <w:t xml:space="preserve"> (</w:t>
      </w:r>
      <w:r w:rsidR="00BF5F43" w:rsidRPr="00BF5F43">
        <w:rPr>
          <w:b w:val="0"/>
          <w:noProof/>
          <w:szCs w:val="22"/>
        </w:rPr>
        <w:t>արվեստի</w:t>
      </w:r>
      <w:r w:rsidR="00BF5F43" w:rsidRPr="00BF5F43">
        <w:rPr>
          <w:b w:val="0"/>
          <w:noProof/>
          <w:szCs w:val="22"/>
          <w:lang w:val="af-ZA"/>
        </w:rPr>
        <w:t xml:space="preserve"> </w:t>
      </w:r>
      <w:r w:rsidR="00BF5F43" w:rsidRPr="00BF5F43">
        <w:rPr>
          <w:b w:val="0"/>
          <w:noProof/>
          <w:szCs w:val="22"/>
        </w:rPr>
        <w:t>տարբեր</w:t>
      </w:r>
      <w:r w:rsidR="00BF5F43" w:rsidRPr="00BF5F43">
        <w:rPr>
          <w:b w:val="0"/>
          <w:noProof/>
          <w:szCs w:val="22"/>
          <w:lang w:val="af-ZA"/>
        </w:rPr>
        <w:t xml:space="preserve"> </w:t>
      </w:r>
      <w:r w:rsidR="00BF5F43" w:rsidRPr="00BF5F43">
        <w:rPr>
          <w:b w:val="0"/>
          <w:noProof/>
          <w:szCs w:val="22"/>
        </w:rPr>
        <w:t>ոլորտներում</w:t>
      </w:r>
      <w:r w:rsidR="00BF5F43" w:rsidRPr="00BF5F43">
        <w:rPr>
          <w:b w:val="0"/>
          <w:noProof/>
          <w:szCs w:val="22"/>
          <w:lang w:val="af-ZA"/>
        </w:rPr>
        <w:t xml:space="preserve"> </w:t>
      </w:r>
      <w:r w:rsidR="00BF5F43" w:rsidRPr="00BF5F43">
        <w:rPr>
          <w:b w:val="0"/>
          <w:noProof/>
          <w:szCs w:val="22"/>
        </w:rPr>
        <w:t>նոր</w:t>
      </w:r>
      <w:r w:rsidR="00BF5F43" w:rsidRPr="00BF5F43">
        <w:rPr>
          <w:b w:val="0"/>
          <w:noProof/>
          <w:szCs w:val="22"/>
          <w:lang w:val="af-ZA"/>
        </w:rPr>
        <w:t xml:space="preserve"> </w:t>
      </w:r>
      <w:r w:rsidR="00BF5F43" w:rsidRPr="00BF5F43">
        <w:rPr>
          <w:b w:val="0"/>
          <w:noProof/>
          <w:szCs w:val="22"/>
        </w:rPr>
        <w:t>ստեղծագործական</w:t>
      </w:r>
      <w:r w:rsidR="00BF5F43" w:rsidRPr="00BF5F43">
        <w:rPr>
          <w:b w:val="0"/>
          <w:noProof/>
          <w:szCs w:val="22"/>
          <w:lang w:val="af-ZA"/>
        </w:rPr>
        <w:t xml:space="preserve"> </w:t>
      </w:r>
      <w:r w:rsidR="00BF5F43" w:rsidRPr="00BF5F43">
        <w:rPr>
          <w:b w:val="0"/>
          <w:noProof/>
          <w:szCs w:val="22"/>
        </w:rPr>
        <w:t>նախագծերի</w:t>
      </w:r>
      <w:r w:rsidR="00BF5F43" w:rsidRPr="00BF5F43">
        <w:rPr>
          <w:b w:val="0"/>
          <w:noProof/>
          <w:szCs w:val="22"/>
          <w:lang w:val="af-ZA"/>
        </w:rPr>
        <w:t xml:space="preserve"> </w:t>
      </w:r>
      <w:r w:rsidR="00BF5F43" w:rsidRPr="00BF5F43">
        <w:rPr>
          <w:b w:val="0"/>
          <w:noProof/>
          <w:szCs w:val="22"/>
        </w:rPr>
        <w:t>քանակը</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40, </w:t>
      </w:r>
      <w:r w:rsidR="00BF5F43" w:rsidRPr="00BF5F43">
        <w:rPr>
          <w:b w:val="0"/>
          <w:noProof/>
          <w:szCs w:val="22"/>
        </w:rPr>
        <w:t>արվեստի</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նախագծերին</w:t>
      </w:r>
      <w:r w:rsidR="00BF5F43" w:rsidRPr="00BF5F43">
        <w:rPr>
          <w:b w:val="0"/>
          <w:noProof/>
          <w:szCs w:val="22"/>
          <w:lang w:val="af-ZA"/>
        </w:rPr>
        <w:t xml:space="preserve"> </w:t>
      </w:r>
      <w:r w:rsidR="00BF5F43" w:rsidRPr="00BF5F43">
        <w:rPr>
          <w:b w:val="0"/>
          <w:noProof/>
          <w:szCs w:val="22"/>
        </w:rPr>
        <w:t>մասնակցող</w:t>
      </w:r>
      <w:r w:rsidR="00BF5F43" w:rsidRPr="00BF5F43">
        <w:rPr>
          <w:b w:val="0"/>
          <w:noProof/>
          <w:szCs w:val="22"/>
          <w:lang w:val="af-ZA"/>
        </w:rPr>
        <w:t xml:space="preserve"> </w:t>
      </w:r>
      <w:r w:rsidR="00BF5F43" w:rsidRPr="00BF5F43">
        <w:rPr>
          <w:b w:val="0"/>
          <w:noProof/>
          <w:szCs w:val="22"/>
        </w:rPr>
        <w:t>խմբերի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10, </w:t>
      </w:r>
      <w:r w:rsidR="00BF5F43" w:rsidRPr="00BF5F43">
        <w:rPr>
          <w:b w:val="0"/>
          <w:noProof/>
          <w:szCs w:val="22"/>
        </w:rPr>
        <w:t>իսկ</w:t>
      </w:r>
      <w:r w:rsidR="00BF5F43" w:rsidRPr="00BF5F43">
        <w:rPr>
          <w:b w:val="0"/>
          <w:noProof/>
          <w:szCs w:val="22"/>
          <w:lang w:val="af-ZA"/>
        </w:rPr>
        <w:t xml:space="preserve"> </w:t>
      </w:r>
      <w:r w:rsidR="00BF5F43" w:rsidRPr="00BF5F43">
        <w:rPr>
          <w:b w:val="0"/>
          <w:noProof/>
          <w:szCs w:val="22"/>
        </w:rPr>
        <w:t>մասնակցող</w:t>
      </w:r>
      <w:r w:rsidR="00BF5F43" w:rsidRPr="00BF5F43">
        <w:rPr>
          <w:b w:val="0"/>
          <w:noProof/>
          <w:szCs w:val="22"/>
          <w:lang w:val="af-ZA"/>
        </w:rPr>
        <w:t xml:space="preserve"> </w:t>
      </w:r>
      <w:r w:rsidR="00BF5F43" w:rsidRPr="00BF5F43">
        <w:rPr>
          <w:b w:val="0"/>
          <w:noProof/>
          <w:szCs w:val="22"/>
        </w:rPr>
        <w:t>արվեստագետների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35, </w:t>
      </w:r>
      <w:r w:rsidR="00BF5F43" w:rsidRPr="00BF5F43">
        <w:rPr>
          <w:b w:val="0"/>
          <w:noProof/>
          <w:szCs w:val="22"/>
        </w:rPr>
        <w:t>հանրապետությունում</w:t>
      </w:r>
      <w:r w:rsidR="00BF5F43" w:rsidRPr="00BF5F43">
        <w:rPr>
          <w:b w:val="0"/>
          <w:noProof/>
          <w:szCs w:val="22"/>
          <w:lang w:val="af-ZA"/>
        </w:rPr>
        <w:t xml:space="preserve"> </w:t>
      </w:r>
      <w:r w:rsidR="00BF5F43" w:rsidRPr="00BF5F43">
        <w:rPr>
          <w:b w:val="0"/>
          <w:noProof/>
          <w:szCs w:val="22"/>
        </w:rPr>
        <w:t>իրականացվող</w:t>
      </w:r>
      <w:r w:rsidR="00BF5F43" w:rsidRPr="00BF5F43">
        <w:rPr>
          <w:b w:val="0"/>
          <w:noProof/>
          <w:szCs w:val="22"/>
          <w:lang w:val="af-ZA"/>
        </w:rPr>
        <w:t xml:space="preserve"> </w:t>
      </w:r>
      <w:r w:rsidR="00BF5F43" w:rsidRPr="00BF5F43">
        <w:rPr>
          <w:b w:val="0"/>
          <w:noProof/>
          <w:szCs w:val="22"/>
        </w:rPr>
        <w:t>արվեստի</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նախագծերի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16):</w:t>
      </w:r>
    </w:p>
    <w:p w14:paraId="0D6F3E33"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Արվեստների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10,302.8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8,738.1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p>
    <w:p w14:paraId="7FB1F574"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1,564.7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17.9%-</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w:t>
      </w:r>
    </w:p>
    <w:p w14:paraId="6922558E"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634.8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հիմնականում</w:t>
      </w:r>
      <w:r w:rsidRPr="00A83C94">
        <w:rPr>
          <w:b w:val="0"/>
          <w:noProof/>
          <w:szCs w:val="22"/>
          <w:lang w:val="af-ZA"/>
        </w:rPr>
        <w:t xml:space="preserve"> </w:t>
      </w:r>
      <w:r w:rsidRPr="00A83C94">
        <w:rPr>
          <w:b w:val="0"/>
          <w:noProof/>
          <w:szCs w:val="22"/>
        </w:rPr>
        <w:t>աճը</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ճանաչողական</w:t>
      </w:r>
      <w:r w:rsidRPr="00A83C94">
        <w:rPr>
          <w:b w:val="0"/>
          <w:noProof/>
          <w:szCs w:val="22"/>
          <w:lang w:val="af-ZA"/>
        </w:rPr>
        <w:t>-</w:t>
      </w:r>
      <w:r w:rsidRPr="00A83C94">
        <w:rPr>
          <w:b w:val="0"/>
          <w:noProof/>
          <w:szCs w:val="22"/>
        </w:rPr>
        <w:t>կրթական</w:t>
      </w:r>
      <w:r w:rsidRPr="00A83C94">
        <w:rPr>
          <w:b w:val="0"/>
          <w:noProof/>
          <w:szCs w:val="22"/>
          <w:lang w:val="af-ZA"/>
        </w:rPr>
        <w:t xml:space="preserve"> </w:t>
      </w:r>
      <w:r w:rsidRPr="00A83C94">
        <w:rPr>
          <w:b w:val="0"/>
          <w:noProof/>
          <w:szCs w:val="22"/>
        </w:rPr>
        <w:t>ծրագրերի</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թատերարվեստին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երաժշտարվեստին</w:t>
      </w:r>
      <w:r w:rsidRPr="00A83C94">
        <w:rPr>
          <w:b w:val="0"/>
          <w:noProof/>
          <w:szCs w:val="22"/>
          <w:lang w:val="af-ZA"/>
        </w:rPr>
        <w:t xml:space="preserve"> </w:t>
      </w:r>
      <w:r w:rsidRPr="00A83C94">
        <w:rPr>
          <w:b w:val="0"/>
          <w:noProof/>
          <w:szCs w:val="22"/>
        </w:rPr>
        <w:t>աջակցմանը</w:t>
      </w:r>
      <w:r w:rsidRPr="00A83C94">
        <w:rPr>
          <w:b w:val="0"/>
          <w:noProof/>
          <w:szCs w:val="22"/>
          <w:lang w:val="af-ZA"/>
        </w:rPr>
        <w:t>),</w:t>
      </w:r>
    </w:p>
    <w:p w14:paraId="65391082"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 </w:t>
      </w:r>
      <w:r w:rsidRPr="00A83C94">
        <w:rPr>
          <w:b w:val="0"/>
          <w:noProof/>
          <w:szCs w:val="22"/>
        </w:rPr>
        <w:t>Ներդրումներ</w:t>
      </w:r>
      <w:r w:rsidRPr="00A83C94">
        <w:rPr>
          <w:b w:val="0"/>
          <w:noProof/>
          <w:szCs w:val="22"/>
          <w:lang w:val="af-ZA"/>
        </w:rPr>
        <w:t xml:space="preserve"> </w:t>
      </w:r>
      <w:r w:rsidRPr="00A83C94">
        <w:rPr>
          <w:b w:val="0"/>
          <w:noProof/>
          <w:szCs w:val="22"/>
        </w:rPr>
        <w:t>թատրոնների</w:t>
      </w:r>
      <w:r w:rsidRPr="00A83C94">
        <w:rPr>
          <w:b w:val="0"/>
          <w:noProof/>
          <w:szCs w:val="22"/>
          <w:lang w:val="af-ZA"/>
        </w:rPr>
        <w:t xml:space="preserve"> </w:t>
      </w:r>
      <w:r w:rsidRPr="00A83C94">
        <w:rPr>
          <w:b w:val="0"/>
          <w:noProof/>
          <w:szCs w:val="22"/>
        </w:rPr>
        <w:t>շենքերի</w:t>
      </w:r>
      <w:r w:rsidRPr="00A83C94">
        <w:rPr>
          <w:b w:val="0"/>
          <w:noProof/>
          <w:szCs w:val="22"/>
          <w:lang w:val="af-ZA"/>
        </w:rPr>
        <w:t xml:space="preserve"> </w:t>
      </w:r>
      <w:r w:rsidRPr="00A83C94">
        <w:rPr>
          <w:b w:val="0"/>
          <w:noProof/>
          <w:szCs w:val="22"/>
        </w:rPr>
        <w:t>կապիտալ</w:t>
      </w:r>
      <w:r w:rsidRPr="00A83C94">
        <w:rPr>
          <w:b w:val="0"/>
          <w:noProof/>
          <w:szCs w:val="22"/>
          <w:lang w:val="af-ZA"/>
        </w:rPr>
        <w:t xml:space="preserve"> </w:t>
      </w:r>
      <w:r w:rsidRPr="00A83C94">
        <w:rPr>
          <w:b w:val="0"/>
          <w:noProof/>
          <w:szCs w:val="22"/>
        </w:rPr>
        <w:t>վերանորոգման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216.6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(նախատեսվում է իրականացնել Մնջախաղի թատրոնի և Ա. Սպենդիարյանի անվան օպերայի և բալետի ազգային ակադեմիական թատրոնի շինարարական և նախագծային աշխատանքներ): </w:t>
      </w:r>
    </w:p>
    <w:p w14:paraId="593B48F4"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 </w:t>
      </w:r>
      <w:r w:rsidRPr="00A83C94">
        <w:rPr>
          <w:b w:val="0"/>
          <w:noProof/>
          <w:szCs w:val="22"/>
        </w:rPr>
        <w:t>Թատերահամերգային</w:t>
      </w:r>
      <w:r w:rsidRPr="00A83C94">
        <w:rPr>
          <w:b w:val="0"/>
          <w:noProof/>
          <w:szCs w:val="22"/>
          <w:lang w:val="af-ZA"/>
        </w:rPr>
        <w:t xml:space="preserve"> </w:t>
      </w:r>
      <w:r w:rsidRPr="00A83C94">
        <w:rPr>
          <w:b w:val="0"/>
          <w:noProof/>
          <w:szCs w:val="22"/>
        </w:rPr>
        <w:t>կազմակերպությունների</w:t>
      </w:r>
      <w:r w:rsidRPr="00A83C94">
        <w:rPr>
          <w:b w:val="0"/>
          <w:noProof/>
          <w:szCs w:val="22"/>
          <w:lang w:val="af-ZA"/>
        </w:rPr>
        <w:t xml:space="preserve"> </w:t>
      </w:r>
      <w:r w:rsidRPr="00A83C94">
        <w:rPr>
          <w:b w:val="0"/>
          <w:noProof/>
          <w:szCs w:val="22"/>
        </w:rPr>
        <w:t>նյութատեխնիկական</w:t>
      </w:r>
      <w:r w:rsidRPr="00A83C94">
        <w:rPr>
          <w:b w:val="0"/>
          <w:noProof/>
          <w:szCs w:val="22"/>
          <w:lang w:val="af-ZA"/>
        </w:rPr>
        <w:t xml:space="preserve"> </w:t>
      </w:r>
      <w:r w:rsidRPr="00A83C94">
        <w:rPr>
          <w:b w:val="0"/>
          <w:noProof/>
          <w:szCs w:val="22"/>
        </w:rPr>
        <w:t>բազայի</w:t>
      </w:r>
      <w:r w:rsidRPr="00A83C94">
        <w:rPr>
          <w:b w:val="0"/>
          <w:noProof/>
          <w:szCs w:val="22"/>
          <w:lang w:val="af-ZA"/>
        </w:rPr>
        <w:t xml:space="preserve">  </w:t>
      </w:r>
      <w:r w:rsidRPr="00A83C94">
        <w:rPr>
          <w:b w:val="0"/>
          <w:noProof/>
          <w:szCs w:val="22"/>
        </w:rPr>
        <w:t>համալրում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767.5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(նախատեսվում է համալրել 5 թատերահամերգային կազմակերպությունների նյութատեխնիկական բազան): </w:t>
      </w:r>
    </w:p>
    <w:p w14:paraId="526AB0E6"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Միաժամանակ</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54.2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621155D9" w14:textId="0FCA9F54"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Մարզերի</w:t>
      </w:r>
      <w:r w:rsidRPr="00A83C94">
        <w:rPr>
          <w:noProof/>
          <w:szCs w:val="22"/>
          <w:lang w:val="af-ZA"/>
        </w:rPr>
        <w:t xml:space="preserve"> </w:t>
      </w:r>
      <w:r w:rsidRPr="00A83C94">
        <w:rPr>
          <w:noProof/>
          <w:szCs w:val="22"/>
          <w:lang w:val="hy-AM"/>
        </w:rPr>
        <w:t>մշակութային</w:t>
      </w:r>
      <w:r w:rsidRPr="00A83C94">
        <w:rPr>
          <w:noProof/>
          <w:szCs w:val="22"/>
          <w:lang w:val="af-ZA"/>
        </w:rPr>
        <w:t xml:space="preserve"> </w:t>
      </w:r>
      <w:r w:rsidRPr="00A83C94">
        <w:rPr>
          <w:noProof/>
          <w:szCs w:val="22"/>
          <w:lang w:val="hy-AM"/>
        </w:rPr>
        <w:t>զարգացման</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մարզերում</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կյանքի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մշակութաստեղծ</w:t>
      </w:r>
      <w:r w:rsidRPr="00A83C94">
        <w:rPr>
          <w:b w:val="0"/>
          <w:noProof/>
          <w:szCs w:val="22"/>
          <w:lang w:val="af-ZA"/>
        </w:rPr>
        <w:t xml:space="preserve"> </w:t>
      </w:r>
      <w:r w:rsidRPr="00A83C94">
        <w:rPr>
          <w:b w:val="0"/>
          <w:noProof/>
          <w:szCs w:val="22"/>
          <w:lang w:val="hy-AM"/>
        </w:rPr>
        <w:t>գործունեության</w:t>
      </w:r>
      <w:r w:rsidRPr="00A83C94">
        <w:rPr>
          <w:b w:val="0"/>
          <w:noProof/>
          <w:szCs w:val="22"/>
          <w:lang w:val="af-ZA"/>
        </w:rPr>
        <w:t xml:space="preserve"> </w:t>
      </w:r>
      <w:r w:rsidRPr="00A83C94">
        <w:rPr>
          <w:b w:val="0"/>
          <w:noProof/>
          <w:szCs w:val="22"/>
          <w:lang w:val="hy-AM"/>
        </w:rPr>
        <w:t>ակտիվացմանը</w:t>
      </w:r>
      <w:r w:rsidRPr="00A83C94">
        <w:rPr>
          <w:b w:val="0"/>
          <w:noProof/>
          <w:szCs w:val="22"/>
          <w:lang w:val="af-ZA"/>
        </w:rPr>
        <w:t>:</w:t>
      </w:r>
    </w:p>
    <w:p w14:paraId="4E174E0F" w14:textId="762CF5AF"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մարզերում</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համայնքային</w:t>
      </w:r>
      <w:r w:rsidRPr="00A83C94">
        <w:rPr>
          <w:b w:val="0"/>
          <w:noProof/>
          <w:szCs w:val="22"/>
          <w:lang w:val="af-ZA"/>
        </w:rPr>
        <w:t xml:space="preserve"> </w:t>
      </w:r>
      <w:r w:rsidRPr="00A83C94">
        <w:rPr>
          <w:b w:val="0"/>
          <w:noProof/>
          <w:szCs w:val="22"/>
        </w:rPr>
        <w:t>մշակույթի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ազատ</w:t>
      </w:r>
      <w:r w:rsidRPr="00A83C94">
        <w:rPr>
          <w:b w:val="0"/>
          <w:noProof/>
          <w:szCs w:val="22"/>
          <w:lang w:val="af-ZA"/>
        </w:rPr>
        <w:t xml:space="preserve"> </w:t>
      </w:r>
      <w:r w:rsidRPr="00A83C94">
        <w:rPr>
          <w:b w:val="0"/>
          <w:noProof/>
          <w:szCs w:val="22"/>
        </w:rPr>
        <w:t>ժամանցի</w:t>
      </w:r>
      <w:r w:rsidRPr="00A83C94">
        <w:rPr>
          <w:b w:val="0"/>
          <w:noProof/>
          <w:szCs w:val="22"/>
          <w:lang w:val="af-ZA"/>
        </w:rPr>
        <w:t xml:space="preserve"> </w:t>
      </w:r>
      <w:r w:rsidRPr="00A83C94">
        <w:rPr>
          <w:b w:val="0"/>
          <w:noProof/>
          <w:szCs w:val="22"/>
        </w:rPr>
        <w:t>կազմակերպմանը</w:t>
      </w:r>
      <w:r w:rsidR="00BF5F43" w:rsidRPr="00BF5F43">
        <w:rPr>
          <w:b w:val="0"/>
          <w:noProof/>
          <w:szCs w:val="22"/>
          <w:lang w:val="af-ZA"/>
        </w:rPr>
        <w:t xml:space="preserve"> (</w:t>
      </w:r>
      <w:r w:rsidR="00BF5F43" w:rsidRPr="00BF5F43">
        <w:rPr>
          <w:b w:val="0"/>
          <w:noProof/>
          <w:szCs w:val="22"/>
        </w:rPr>
        <w:t>մշակութային</w:t>
      </w:r>
      <w:r w:rsidR="00BF5F43" w:rsidRPr="00BF5F43">
        <w:rPr>
          <w:b w:val="0"/>
          <w:noProof/>
          <w:szCs w:val="22"/>
          <w:lang w:val="af-ZA"/>
        </w:rPr>
        <w:t xml:space="preserve"> </w:t>
      </w:r>
      <w:r w:rsidR="00BF5F43" w:rsidRPr="00BF5F43">
        <w:rPr>
          <w:b w:val="0"/>
          <w:noProof/>
          <w:szCs w:val="22"/>
        </w:rPr>
        <w:t>միջոցառումներում</w:t>
      </w:r>
      <w:r w:rsidR="00BF5F43" w:rsidRPr="00BF5F43">
        <w:rPr>
          <w:b w:val="0"/>
          <w:noProof/>
          <w:szCs w:val="22"/>
          <w:lang w:val="af-ZA"/>
        </w:rPr>
        <w:t xml:space="preserve"> </w:t>
      </w:r>
      <w:r w:rsidR="00BF5F43" w:rsidRPr="00BF5F43">
        <w:rPr>
          <w:b w:val="0"/>
          <w:noProof/>
          <w:szCs w:val="22"/>
        </w:rPr>
        <w:t>ընդգրկված</w:t>
      </w:r>
      <w:r w:rsidR="00BF5F43" w:rsidRPr="00BF5F43">
        <w:rPr>
          <w:b w:val="0"/>
          <w:noProof/>
          <w:szCs w:val="22"/>
          <w:lang w:val="af-ZA"/>
        </w:rPr>
        <w:t xml:space="preserve"> </w:t>
      </w:r>
      <w:r w:rsidR="00BF5F43" w:rsidRPr="00BF5F43">
        <w:rPr>
          <w:b w:val="0"/>
          <w:noProof/>
          <w:szCs w:val="22"/>
        </w:rPr>
        <w:t>համայնքների</w:t>
      </w:r>
      <w:r w:rsidR="00BF5F43" w:rsidRPr="00BF5F43">
        <w:rPr>
          <w:b w:val="0"/>
          <w:noProof/>
          <w:szCs w:val="22"/>
          <w:lang w:val="af-ZA"/>
        </w:rPr>
        <w:t xml:space="preserve"> </w:t>
      </w:r>
      <w:r w:rsidR="00BF5F43" w:rsidRPr="00BF5F43">
        <w:rPr>
          <w:b w:val="0"/>
          <w:noProof/>
          <w:szCs w:val="22"/>
        </w:rPr>
        <w:t>մասնաբաժինը</w:t>
      </w:r>
      <w:r w:rsidR="00BF5F43" w:rsidRPr="00BF5F43">
        <w:rPr>
          <w:b w:val="0"/>
          <w:noProof/>
          <w:szCs w:val="22"/>
          <w:lang w:val="af-ZA"/>
        </w:rPr>
        <w:t xml:space="preserve"> </w:t>
      </w:r>
      <w:r w:rsidR="00BF5F43" w:rsidRPr="00BF5F43">
        <w:rPr>
          <w:b w:val="0"/>
          <w:noProof/>
          <w:szCs w:val="22"/>
        </w:rPr>
        <w:t>ընդհանուրի</w:t>
      </w:r>
      <w:r w:rsidR="00BF5F43" w:rsidRPr="00BF5F43">
        <w:rPr>
          <w:b w:val="0"/>
          <w:noProof/>
          <w:szCs w:val="22"/>
          <w:lang w:val="af-ZA"/>
        </w:rPr>
        <w:t xml:space="preserve"> </w:t>
      </w:r>
      <w:r w:rsidR="00BF5F43" w:rsidRPr="00BF5F43">
        <w:rPr>
          <w:b w:val="0"/>
          <w:noProof/>
          <w:szCs w:val="22"/>
        </w:rPr>
        <w:t>մեջ</w:t>
      </w:r>
      <w:r w:rsidR="00BF5F43" w:rsidRPr="00BF5F43">
        <w:rPr>
          <w:b w:val="0"/>
          <w:noProof/>
          <w:szCs w:val="22"/>
          <w:lang w:val="af-ZA"/>
        </w:rPr>
        <w:t xml:space="preserve"> </w:t>
      </w:r>
      <w:r w:rsidR="00BF5F43" w:rsidRPr="00BF5F43">
        <w:rPr>
          <w:b w:val="0"/>
          <w:noProof/>
          <w:szCs w:val="22"/>
        </w:rPr>
        <w:t>կկազմի</w:t>
      </w:r>
      <w:r w:rsidR="00BF5F43" w:rsidRPr="00BF5F43">
        <w:rPr>
          <w:b w:val="0"/>
          <w:noProof/>
          <w:szCs w:val="22"/>
          <w:lang w:val="af-ZA"/>
        </w:rPr>
        <w:t xml:space="preserve"> 30%)</w:t>
      </w:r>
      <w:r w:rsidRPr="00BF5F43">
        <w:rPr>
          <w:b w:val="0"/>
          <w:noProof/>
          <w:szCs w:val="22"/>
          <w:lang w:val="af-ZA"/>
        </w:rPr>
        <w:t>:</w:t>
      </w:r>
    </w:p>
    <w:p w14:paraId="6F1A6253"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Մարզերի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զարգացման</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79.9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w:t>
      </w:r>
      <w:r w:rsidRPr="00A83C94">
        <w:rPr>
          <w:b w:val="0"/>
          <w:noProof/>
          <w:szCs w:val="22"/>
        </w:rPr>
        <w:t>ծախսերին</w:t>
      </w:r>
      <w:r w:rsidRPr="00A83C94">
        <w:rPr>
          <w:b w:val="0"/>
          <w:noProof/>
          <w:szCs w:val="22"/>
          <w:lang w:val="af-ZA"/>
        </w:rPr>
        <w:t xml:space="preserve"> </w:t>
      </w:r>
      <w:r w:rsidRPr="00A83C94">
        <w:rPr>
          <w:b w:val="0"/>
          <w:noProof/>
          <w:szCs w:val="22"/>
        </w:rPr>
        <w:t>համապատասխան</w:t>
      </w:r>
      <w:r w:rsidRPr="00A83C94">
        <w:rPr>
          <w:b w:val="0"/>
          <w:noProof/>
          <w:szCs w:val="22"/>
          <w:lang w:val="af-ZA"/>
        </w:rPr>
        <w:t>:</w:t>
      </w:r>
    </w:p>
    <w:p w14:paraId="623AF1ED" w14:textId="37F1EFA8"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Մշակութային</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գեղագիտական</w:t>
      </w:r>
      <w:r w:rsidRPr="00A83C94">
        <w:rPr>
          <w:noProof/>
          <w:szCs w:val="22"/>
          <w:lang w:val="af-ZA"/>
        </w:rPr>
        <w:t xml:space="preserve"> </w:t>
      </w:r>
      <w:r w:rsidRPr="00A83C94">
        <w:rPr>
          <w:noProof/>
          <w:szCs w:val="22"/>
          <w:lang w:val="hy-AM"/>
        </w:rPr>
        <w:t>դաստիարակություն</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երեխաների</w:t>
      </w:r>
      <w:r w:rsidRPr="00A83C94">
        <w:rPr>
          <w:b w:val="0"/>
          <w:noProof/>
          <w:szCs w:val="22"/>
          <w:lang w:val="af-ZA"/>
        </w:rPr>
        <w:t xml:space="preserve"> </w:t>
      </w:r>
      <w:r w:rsidRPr="00A83C94">
        <w:rPr>
          <w:b w:val="0"/>
          <w:noProof/>
          <w:szCs w:val="22"/>
          <w:lang w:val="hy-AM"/>
        </w:rPr>
        <w:t>հոգևոր</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գեղագիտական</w:t>
      </w:r>
      <w:r w:rsidRPr="00A83C94">
        <w:rPr>
          <w:b w:val="0"/>
          <w:noProof/>
          <w:szCs w:val="22"/>
          <w:lang w:val="af-ZA"/>
        </w:rPr>
        <w:t xml:space="preserve"> </w:t>
      </w:r>
      <w:r w:rsidRPr="00A83C94">
        <w:rPr>
          <w:b w:val="0"/>
          <w:noProof/>
          <w:szCs w:val="22"/>
          <w:lang w:val="hy-AM"/>
        </w:rPr>
        <w:t>ընդունակությունների</w:t>
      </w:r>
      <w:r w:rsidRPr="00A83C94">
        <w:rPr>
          <w:b w:val="0"/>
          <w:noProof/>
          <w:szCs w:val="22"/>
          <w:lang w:val="af-ZA"/>
        </w:rPr>
        <w:t xml:space="preserve"> </w:t>
      </w:r>
      <w:r w:rsidRPr="00A83C94">
        <w:rPr>
          <w:b w:val="0"/>
          <w:noProof/>
          <w:szCs w:val="22"/>
          <w:lang w:val="hy-AM"/>
        </w:rPr>
        <w:t>բացահայտմանը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զարգացմանը</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նախագծերում</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26 </w:t>
      </w:r>
      <w:r w:rsidR="00BF5F43" w:rsidRPr="00BF5F43">
        <w:rPr>
          <w:b w:val="0"/>
          <w:noProof/>
          <w:szCs w:val="22"/>
        </w:rPr>
        <w:t>շնորհալի</w:t>
      </w:r>
      <w:r w:rsidR="00BF5F43" w:rsidRPr="00BF5F43">
        <w:rPr>
          <w:b w:val="0"/>
          <w:noProof/>
          <w:szCs w:val="22"/>
          <w:lang w:val="af-ZA"/>
        </w:rPr>
        <w:t xml:space="preserve"> </w:t>
      </w:r>
      <w:r w:rsidR="00BF5F43" w:rsidRPr="00BF5F43">
        <w:rPr>
          <w:b w:val="0"/>
          <w:noProof/>
          <w:szCs w:val="22"/>
        </w:rPr>
        <w:t>երեխաների</w:t>
      </w:r>
      <w:r w:rsidR="00BF5F43" w:rsidRPr="00BF5F43">
        <w:rPr>
          <w:b w:val="0"/>
          <w:noProof/>
          <w:szCs w:val="22"/>
          <w:lang w:val="af-ZA"/>
        </w:rPr>
        <w:t xml:space="preserve"> </w:t>
      </w:r>
      <w:r w:rsidR="00BF5F43" w:rsidRPr="00BF5F43">
        <w:rPr>
          <w:b w:val="0"/>
          <w:noProof/>
          <w:szCs w:val="22"/>
        </w:rPr>
        <w:t>մասնակցություն</w:t>
      </w:r>
      <w:r w:rsidR="00BF5F43" w:rsidRPr="00BF5F43">
        <w:rPr>
          <w:b w:val="0"/>
          <w:noProof/>
          <w:szCs w:val="22"/>
          <w:lang w:val="af-ZA"/>
        </w:rPr>
        <w:t>):</w:t>
      </w:r>
    </w:p>
    <w:p w14:paraId="0A6000F8"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en-US"/>
        </w:rPr>
        <w:t>Ծրագրի</w:t>
      </w:r>
      <w:r w:rsidRPr="00A83C94">
        <w:rPr>
          <w:b w:val="0"/>
          <w:noProof/>
          <w:szCs w:val="22"/>
          <w:lang w:val="af-ZA"/>
        </w:rPr>
        <w:t xml:space="preserve"> </w:t>
      </w:r>
      <w:r w:rsidRPr="00A83C94">
        <w:rPr>
          <w:b w:val="0"/>
          <w:noProof/>
          <w:szCs w:val="22"/>
          <w:lang w:val="en-US"/>
        </w:rPr>
        <w:t>համար</w:t>
      </w:r>
      <w:r w:rsidRPr="00A83C94">
        <w:rPr>
          <w:b w:val="0"/>
          <w:noProof/>
          <w:szCs w:val="22"/>
          <w:lang w:val="af-ZA"/>
        </w:rPr>
        <w:t xml:space="preserve"> 2022 </w:t>
      </w:r>
      <w:r w:rsidRPr="00A83C94">
        <w:rPr>
          <w:b w:val="0"/>
          <w:noProof/>
          <w:szCs w:val="22"/>
          <w:lang w:val="en-US"/>
        </w:rPr>
        <w:t>թվականին</w:t>
      </w:r>
      <w:r w:rsidRPr="00A83C94">
        <w:rPr>
          <w:b w:val="0"/>
          <w:noProof/>
          <w:szCs w:val="22"/>
          <w:lang w:val="af-ZA"/>
        </w:rPr>
        <w:t xml:space="preserve">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310.8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608.1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w:t>
      </w:r>
    </w:p>
    <w:p w14:paraId="2011E4D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297.3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48.9 %-</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270C6DE7" w14:textId="4725C8A1" w:rsidR="003B2C15" w:rsidRPr="00A83C94" w:rsidRDefault="003B2C15" w:rsidP="003B2C15">
      <w:pPr>
        <w:numPr>
          <w:ilvl w:val="12"/>
          <w:numId w:val="0"/>
        </w:numPr>
        <w:tabs>
          <w:tab w:val="left" w:pos="851"/>
        </w:tabs>
        <w:spacing w:line="276" w:lineRule="auto"/>
        <w:ind w:firstLine="540"/>
        <w:rPr>
          <w:noProof/>
          <w:szCs w:val="22"/>
          <w:lang w:val="af-ZA"/>
        </w:rPr>
      </w:pPr>
      <w:r w:rsidRPr="00A83C94">
        <w:rPr>
          <w:noProof/>
          <w:szCs w:val="22"/>
        </w:rPr>
        <w:t>Ֆիզիկական</w:t>
      </w:r>
      <w:r w:rsidRPr="00A83C94">
        <w:rPr>
          <w:noProof/>
          <w:szCs w:val="22"/>
          <w:lang w:val="af-ZA"/>
        </w:rPr>
        <w:t xml:space="preserve"> </w:t>
      </w:r>
      <w:r w:rsidRPr="00A83C94">
        <w:rPr>
          <w:noProof/>
          <w:szCs w:val="22"/>
        </w:rPr>
        <w:t>կուլտուրա</w:t>
      </w:r>
      <w:r w:rsidRPr="00A83C94">
        <w:rPr>
          <w:noProof/>
          <w:szCs w:val="22"/>
          <w:lang w:val="af-ZA"/>
        </w:rPr>
        <w:t xml:space="preserve"> </w:t>
      </w:r>
      <w:r w:rsidRPr="00A83C94">
        <w:rPr>
          <w:noProof/>
          <w:szCs w:val="22"/>
        </w:rPr>
        <w:t>և</w:t>
      </w:r>
      <w:r w:rsidRPr="00A83C94">
        <w:rPr>
          <w:noProof/>
          <w:szCs w:val="22"/>
          <w:lang w:val="af-ZA"/>
        </w:rPr>
        <w:t xml:space="preserve"> </w:t>
      </w:r>
      <w:r w:rsidRPr="00A83C94">
        <w:rPr>
          <w:noProof/>
          <w:szCs w:val="22"/>
        </w:rPr>
        <w:t>սպորտ</w:t>
      </w:r>
    </w:p>
    <w:p w14:paraId="22E1031F" w14:textId="77777777" w:rsidR="003B2C15" w:rsidRPr="00A83C94" w:rsidRDefault="003B2C15" w:rsidP="003B2C15">
      <w:pPr>
        <w:spacing w:line="276" w:lineRule="auto"/>
        <w:ind w:left="-142" w:firstLine="682"/>
        <w:rPr>
          <w:b w:val="0"/>
          <w:szCs w:val="22"/>
          <w:lang w:val="hy-AM"/>
        </w:rPr>
      </w:pPr>
      <w:r w:rsidRPr="00A83C94">
        <w:rPr>
          <w:b w:val="0"/>
          <w:szCs w:val="22"/>
          <w:lang w:val="hy-AM"/>
        </w:rPr>
        <w:t xml:space="preserve">Սպորտի ոլորտում պետական քաղաքականությունն ուղղված է առողջ ապրելակերպի խթանմանը՝ մասսայական սպորտային միջոցառումներում բնակչության տարիքային և սոցիալական տարբեր խմբեր ներգրավելու միջոցով, ինչպես նաև սպորտի ոլորտում ՀՀ միջազգային հեղինակության բարձրացմանը՝ միջազգային և տեղական մրցումներին հայ մարզիկների մասնակցության ընդլայնման միջոցով </w:t>
      </w:r>
      <w:r w:rsidRPr="00A83C94">
        <w:rPr>
          <w:b w:val="0"/>
          <w:noProof/>
          <w:szCs w:val="22"/>
          <w:lang w:val="hy-AM"/>
        </w:rPr>
        <w:t>(հիմք՝ ՀՀ կառավարության ծրագրի «4.8 Սպորտ» բաժին)</w:t>
      </w:r>
      <w:r w:rsidRPr="00A83C94">
        <w:rPr>
          <w:b w:val="0"/>
          <w:szCs w:val="22"/>
          <w:lang w:val="hy-AM"/>
        </w:rPr>
        <w:t xml:space="preserve">: </w:t>
      </w:r>
    </w:p>
    <w:p w14:paraId="2D418BB0"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xml:space="preserve">Սպորտի համար 2022 թվականին նախատեսվում է հատկացնել 5,644.4 մլն դրամ՝ ՀՀ 2021 թվականի պետական բյուջեով հաստատված 2,726.5 մլն դրամի դիմաց: Ծախսերն աճել են 2,917.9 մլն դրամով, կամ 107.0 տոկոսով: </w:t>
      </w:r>
    </w:p>
    <w:p w14:paraId="4698A718"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Նախագծով սպորտի համար նախատեսված  հատկացումներն ուղղվելու են 2 ծրագրերի իրականացմանը:</w:t>
      </w:r>
    </w:p>
    <w:p w14:paraId="694F1A7C" w14:textId="0922BCB4"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noProof/>
          <w:szCs w:val="22"/>
          <w:lang w:val="hy-AM"/>
        </w:rPr>
        <w:t xml:space="preserve">Մեծ  նվաճումների սպորտ </w:t>
      </w:r>
      <w:r w:rsidRPr="00A83C94">
        <w:rPr>
          <w:b w:val="0"/>
          <w:noProof/>
          <w:szCs w:val="22"/>
          <w:lang w:val="hy-AM"/>
        </w:rPr>
        <w:t>ծրագրի նպատակն է նպաստել Հայաստանում մեծ սպորտի շարունակական զարգացմանը և միջազգային հարթակներում ՀՀ դիրքի բարելավմանը:</w:t>
      </w:r>
    </w:p>
    <w:p w14:paraId="1AB7EDED" w14:textId="5639D310" w:rsidR="003B2C15" w:rsidRPr="00BF5F43"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Ծրագրի շրջանակներում հատկացումներն ուղղվելու են օլիմպիական խաղերին, միջազգային տարբեր մակարդակի միջոցառումներին, ուսումնամարզական հավաքներին, hանրապետական առաջնություններին Հայաստանի հավաքական թիմերի մասնակցության ապահովմանը, աշխարհի, Եվրոպայի առաջնություններում հաղթողների և մրցանակակիրների պարգևատրման ծախսերի իրականացմանը, ՀՀ հավաքական թիմերի գլխավոր և ավագ մարզիչների վարձատրությանը և աշխարհի չեմպիոններին, օլիմպիական խաղերի և շախմատի համաշխարհային օլիմպիադայի մրցանակակիրներին պատվովճարի,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հատկացմանը, շախմատիստների պատրաստմանը, հաշմանդամային և նավամոդելային սպորտին աջակցմանը, սպորտային բժշկության և հակադոպինգային հսկողության և շախմատի մրցույթների պատրաստման ծառայությունների իրականացմանը</w:t>
      </w:r>
      <w:r w:rsidR="00BF5F43" w:rsidRPr="00BF5F43">
        <w:rPr>
          <w:b w:val="0"/>
          <w:noProof/>
          <w:szCs w:val="22"/>
          <w:lang w:val="hy-AM"/>
        </w:rPr>
        <w:t xml:space="preserve"> (ՀՀ առաջնությունների և միջազգային մարզական միջոցառումների մասնակիցների թիվը նախատեսվում է համապատասխանաբար՝ 9700 և 2250, իսկ միջազգային մարզական միջոցառումներում նվաճաց մեդալների թիվը կանխատեսվում է 180)</w:t>
      </w:r>
      <w:r w:rsidRPr="00BF5F43">
        <w:rPr>
          <w:b w:val="0"/>
          <w:noProof/>
          <w:szCs w:val="22"/>
          <w:lang w:val="hy-AM"/>
        </w:rPr>
        <w:t xml:space="preserve">: </w:t>
      </w:r>
    </w:p>
    <w:p w14:paraId="1D2F5FA3"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Մեծ նվաճումների սպորտ» ծրագրի համար 2022 թվականին նախատեսվում է հատկացնել 2,771.1 մլն դրամ՝ ՀՀ 2021 թվականի պետական բյուջեով հաստատված 2,495.6 մլն դրամի դիմաց:</w:t>
      </w:r>
    </w:p>
    <w:p w14:paraId="3D74AF1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xml:space="preserve"> Ծախսերն աճել են 275.5 մլն դրամով, կամ 11.0 %-ով, որը պայմանավորված է.</w:t>
      </w:r>
    </w:p>
    <w:p w14:paraId="406D7B51"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w:t>
      </w:r>
      <w:r w:rsidRPr="00A83C94">
        <w:rPr>
          <w:b w:val="0"/>
          <w:szCs w:val="22"/>
          <w:lang w:val="hy-AM"/>
        </w:rPr>
        <w:t xml:space="preserve"> </w:t>
      </w:r>
      <w:r w:rsidRPr="00A83C94">
        <w:rPr>
          <w:b w:val="0"/>
          <w:noProof/>
          <w:szCs w:val="22"/>
          <w:lang w:val="hy-AM"/>
        </w:rPr>
        <w:t>ՀՀ հավաքական թիմերի գլխավոր և ավագ մարզիչների վարձատրություն և աշխարհի չեմպիոններին, օլիմպիական խաղերի և շախմատի համաշխարհային օլիմպիադայի մրցանակակիրներին պատվովճարի հատկացում» և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հատկացում» միջոցառումների ծախսերի աճով, համապատասխանաբար՝ 19.4 և 467.3 մլն դրամով (ՀՀ կառավարության 16.09.2021թվականի N 1493-Ն և N 1526-Ն որոշումներով ավելացել են օլիմպիական խաղերի մրցանակակիրների պատվովճարի և Օլիմպիական խաղերում, աշխարհի և Եվրոպայի առաջնություններում բարձր արդյունքների հասած ՀՀ հավաքական թիմերի մարզիկների և նրանց մարզիչների անվանական թոշակի չափերը),</w:t>
      </w:r>
    </w:p>
    <w:p w14:paraId="43209F3A"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«ՀՀ հավաքական թիմերի մարզիկների ֆունկցիոնալ վիճակի արդյունավետության բարձրացման նպատակով վիտամինիզացիայի և չարգելված սպորտային հավելյալ սնունդով ապահովում» և «ՀՀ հավաքական թիմերի մարզիկների արդյունավետության բարձրացում» միջոցառումների նախատեսմամբ համապատասխանաբար՝ 40.0 և 4.0 մլն դրամ,</w:t>
      </w:r>
    </w:p>
    <w:p w14:paraId="558954E0"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Ադապտիվ սպորտին առնչվող ծառայությունների ծախսերի աճով՝ 8.5 մլն դրամով, կապված միջոցառումների թվի ավելացման հետ,</w:t>
      </w:r>
    </w:p>
    <w:p w14:paraId="108A094B"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Միաժամանակ ծախսերը նվազել են՝ 263.7 մլն դրամով, որը պայմանավորված է.</w:t>
      </w:r>
    </w:p>
    <w:p w14:paraId="1A9335A6"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սպորտային միջոցառումների անցկացման ժամանակացույցով պայմանավորված ծախսերի նվազմամբ` 253.7 մլն դրամով,</w:t>
      </w:r>
    </w:p>
    <w:p w14:paraId="1C7DEC03"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Ծախսային գերակայություններով, առաջնահերթություններով պայմանավորված՝ 9.9 մլն դրամով:</w:t>
      </w:r>
    </w:p>
    <w:p w14:paraId="25D3E63D" w14:textId="427570E7" w:rsidR="003B2C15" w:rsidRPr="00A83C94" w:rsidRDefault="002D2E24" w:rsidP="003B2C15">
      <w:pPr>
        <w:numPr>
          <w:ilvl w:val="12"/>
          <w:numId w:val="0"/>
        </w:numPr>
        <w:tabs>
          <w:tab w:val="left" w:pos="851"/>
        </w:tabs>
        <w:spacing w:line="276" w:lineRule="auto"/>
        <w:ind w:firstLine="540"/>
        <w:rPr>
          <w:b w:val="0"/>
          <w:noProof/>
          <w:szCs w:val="22"/>
          <w:lang w:val="hy-AM"/>
        </w:rPr>
      </w:pPr>
      <w:r w:rsidRPr="00A83C94">
        <w:rPr>
          <w:noProof/>
          <w:szCs w:val="22"/>
          <w:lang w:val="hy-AM"/>
        </w:rPr>
        <w:t>Մասսայական սպորտ</w:t>
      </w:r>
      <w:r w:rsidR="003B2C15" w:rsidRPr="00A83C94">
        <w:rPr>
          <w:noProof/>
          <w:szCs w:val="22"/>
          <w:lang w:val="hy-AM"/>
        </w:rPr>
        <w:t xml:space="preserve"> </w:t>
      </w:r>
      <w:r w:rsidR="003B2C15" w:rsidRPr="00A83C94">
        <w:rPr>
          <w:b w:val="0"/>
          <w:noProof/>
          <w:szCs w:val="22"/>
          <w:lang w:val="hy-AM"/>
        </w:rPr>
        <w:t>ծրագրի նպատակն է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14:paraId="4D348003" w14:textId="042843E7" w:rsidR="003B2C15" w:rsidRPr="00BF5F43"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Ծրագրի շրջանակներում հատկացումներն ուղղվելու են  մասսայական սպորտի 1 գոյություն ունեցող և 7 նոր միջոցառումների իրականացմանը</w:t>
      </w:r>
      <w:r w:rsidR="00BF5F43" w:rsidRPr="00BF5F43">
        <w:rPr>
          <w:b w:val="0"/>
          <w:noProof/>
          <w:szCs w:val="22"/>
          <w:lang w:val="hy-AM"/>
        </w:rPr>
        <w:t xml:space="preserve"> (մասսայական սպորտային միջոցառումներին նախատեսվում է 70 համայնքների մասնակցություն):</w:t>
      </w:r>
    </w:p>
    <w:p w14:paraId="721FC25C"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Մասսայական սպորտ» ծրագրի համար 2022 թվականին նախատեսվում է հատկացնել 2,873.3 մլն դրամ ՝ ՀՀ 2021 թվականի պետական բյուջեով հաստատված 230.9 մլն դրամի դիմաց:</w:t>
      </w:r>
    </w:p>
    <w:p w14:paraId="47704A5E" w14:textId="5F778608"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Ծախսերն աճել են 2,642.4 մլն դրամով, որը պայմանավորված է.</w:t>
      </w:r>
    </w:p>
    <w:p w14:paraId="39E1D73C" w14:textId="5013F93F"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w:t>
      </w:r>
      <w:r w:rsidR="00E944CA" w:rsidRPr="00E944CA">
        <w:rPr>
          <w:b w:val="0"/>
          <w:noProof/>
          <w:szCs w:val="22"/>
          <w:lang w:val="hy-AM"/>
        </w:rPr>
        <w:t xml:space="preserve"> </w:t>
      </w:r>
      <w:r w:rsidRPr="00A83C94">
        <w:rPr>
          <w:b w:val="0"/>
          <w:noProof/>
          <w:szCs w:val="22"/>
          <w:lang w:val="hy-AM"/>
        </w:rPr>
        <w:t>Աջակցություն համայնքներին մարզական հաստատությունների շենքային պայմանների բարելավման համար» և</w:t>
      </w:r>
      <w:r w:rsidRPr="00A83C94">
        <w:rPr>
          <w:b w:val="0"/>
          <w:szCs w:val="22"/>
          <w:lang w:val="hy-AM"/>
        </w:rPr>
        <w:t xml:space="preserve"> </w:t>
      </w:r>
      <w:r w:rsidRPr="00A83C94">
        <w:rPr>
          <w:b w:val="0"/>
          <w:noProof/>
          <w:szCs w:val="22"/>
          <w:lang w:val="hy-AM"/>
        </w:rPr>
        <w:t xml:space="preserve">Մարզական օբյեկտների շինարարություն» նոր միջոցառումների նախատեսմամբ համապատասխանաբար՝ 1,109.6 և 1,581.6 մլն դրամ (նախատեսվում </w:t>
      </w:r>
      <w:r w:rsidR="0046026E" w:rsidRPr="00163138">
        <w:rPr>
          <w:b w:val="0"/>
          <w:noProof/>
          <w:szCs w:val="22"/>
          <w:lang w:val="hy-AM"/>
        </w:rPr>
        <w:t>են</w:t>
      </w:r>
      <w:r w:rsidRPr="00A83C94">
        <w:rPr>
          <w:b w:val="0"/>
          <w:noProof/>
          <w:szCs w:val="22"/>
          <w:lang w:val="hy-AM"/>
        </w:rPr>
        <w:t xml:space="preserve"> Արթուր Ալեքսանյանի անվան հունահռոմեական ըմբշամարտի մանկապատանեկան դպրոցի և 3 մարզական օբյեկտների շինարարական աշխատանքներ): </w:t>
      </w:r>
    </w:p>
    <w:p w14:paraId="280ADF88"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Միաժամանակ ծախսերը նվազել են 48.8 մլն դրամով, որը պայմանավորված է.</w:t>
      </w:r>
    </w:p>
    <w:p w14:paraId="442E29DD"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Ընթացիկ ծրագրերի գծով 12 գոյություն ունեցող միջոցառումների փոխարեն 5 նոր միջոցառումների նախատեսմամբ, որի արդյունքում  ծախսերը նվազել են՝ 33.8 մլն դրամով,</w:t>
      </w:r>
    </w:p>
    <w:p w14:paraId="3A08EBBC"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Համաշխարհային ունիվերսիադային Հայաստանի ուսանողական մարզական պատվիրակության մասնակցության ապահովում» միջոցառման ծախսերի նվազմամբ՝ 15.0 մլն դրամով:</w:t>
      </w:r>
    </w:p>
    <w:p w14:paraId="03486D15" w14:textId="77777777" w:rsidR="003B2C15" w:rsidRPr="00A83C94" w:rsidRDefault="003B2C15" w:rsidP="003B2C15">
      <w:pPr>
        <w:spacing w:beforeLines="60" w:before="144" w:afterLines="60" w:after="144" w:line="276" w:lineRule="auto"/>
        <w:ind w:firstLine="708"/>
        <w:rPr>
          <w:b w:val="0"/>
          <w:noProof/>
          <w:szCs w:val="22"/>
          <w:lang w:val="hy-AM"/>
        </w:rPr>
      </w:pPr>
      <w:r w:rsidRPr="00A83C94">
        <w:rPr>
          <w:b w:val="0"/>
          <w:noProof/>
          <w:szCs w:val="22"/>
          <w:lang w:val="hy-AM"/>
        </w:rPr>
        <w:t xml:space="preserve">Ծրագրի շրջանակներում նախատեսվող նոր միջոցառումներն են՝ «Հայաստանի Հանրապետության Վարչապետի գավաթ» սիրողական խճուղային հեծանվավազքի մրցաշարի անցկացում», «Հայաստանի Հանրապետության Վարչապետի գավաթ» սիրողական սեղանի թենիսի մրցաշարի անցկացում», «Հայաստանի Հանրապետության Վարչապետի գավաթ» սիրողական լողի մրցումների անցկացում», «Հայաստանի Հանրապետության Վարչապետի գավաթ» սիրողական լողի մրցումների անցկացում», «Հայաստանի Հանրապետության Վարչապետի գավաթ» կրոսավազքի մրցաշարի անցկացում», նշված միջոցառումների շահառուներն են՝ 18 տարեկան և  բարձր տարիքի տղամարդիկ և կանայք: </w:t>
      </w:r>
    </w:p>
    <w:p w14:paraId="0C8D73AE" w14:textId="77777777" w:rsidR="003B2C15" w:rsidRPr="00A83C94" w:rsidRDefault="003B2C15" w:rsidP="003B2C15">
      <w:pPr>
        <w:spacing w:beforeLines="60" w:before="144" w:afterLines="60" w:after="144" w:line="276" w:lineRule="auto"/>
        <w:ind w:firstLine="708"/>
        <w:rPr>
          <w:b w:val="0"/>
          <w:noProof/>
          <w:szCs w:val="22"/>
          <w:lang w:val="hy-AM"/>
        </w:rPr>
      </w:pPr>
      <w:r w:rsidRPr="00A83C94">
        <w:rPr>
          <w:b w:val="0"/>
          <w:noProof/>
          <w:szCs w:val="22"/>
          <w:lang w:val="hy-AM"/>
        </w:rPr>
        <w:t>Բացի այդ, «Մասսայական սպորտին առնչվող ծառայություններ» միջոցառման շրջանակներում նախատեսվում է իրականացնել 4 միջոցառում:</w:t>
      </w:r>
    </w:p>
    <w:p w14:paraId="299BA4C5" w14:textId="05DCE50F"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noProof/>
          <w:szCs w:val="22"/>
          <w:lang w:val="hy-AM"/>
        </w:rPr>
        <w:t xml:space="preserve">Երիտասարդության </w:t>
      </w:r>
      <w:r w:rsidRPr="00A83C94">
        <w:rPr>
          <w:b w:val="0"/>
          <w:noProof/>
          <w:szCs w:val="22"/>
          <w:lang w:val="hy-AM"/>
        </w:rPr>
        <w:t>ծրագրի նպատակն է նպաստել սոցիալ-տնտեսական, քաղաքական և մշակութային կյանքին երիտասարդների լիարժեք ներգրավմանը և նրանց ստեղծագործական ներուժի ամբողջական դրսևորմանը</w:t>
      </w:r>
      <w:r w:rsidRPr="00A83C94">
        <w:rPr>
          <w:b w:val="0"/>
          <w:szCs w:val="22"/>
          <w:lang w:val="af-ZA"/>
        </w:rPr>
        <w:t xml:space="preserve"> </w:t>
      </w:r>
      <w:r w:rsidRPr="00A83C94">
        <w:rPr>
          <w:b w:val="0"/>
          <w:noProof/>
          <w:szCs w:val="22"/>
          <w:lang w:val="hy-AM"/>
        </w:rPr>
        <w:t>(հիմք՝ ՀՀ կառավարության «4.7 Երիտասարդություն» բաժին):</w:t>
      </w:r>
    </w:p>
    <w:p w14:paraId="530CD9C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Ծրագրի շրջանակներում հատկացումներն ուղղվելու են երիտասարդական պետական քաղաքականությանն ուղղված ծրագրերի և միջոցառումների, «ՀՀ տարվա երիտասարդական մայրաքաղաք» միջոցառման, երիտասարդական ծրագրերի շրջանակներում թրաֆիքինգի դեմ պայքարի միջոցառումների իրականացմանը, երիտասարդ ընտանիքներին աջակցմանը:</w:t>
      </w:r>
    </w:p>
    <w:p w14:paraId="2F0B3EB6"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Երիտասարդության ծրագրի համար 2022 թվականին նախատեսվում է հատկացնել 1,906.1 մլն դրամ՝ ՀՀ 2021 թվականի պետական բյուջեով հաստատված 1,846.5 մլն դրամի դիմաց:</w:t>
      </w:r>
    </w:p>
    <w:p w14:paraId="5D7189B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Ծախսերն աճել են 59.6 մլն դրամով, կամ 3.2 %-ով, որը պայմանավորված է.</w:t>
      </w:r>
    </w:p>
    <w:p w14:paraId="67BCCA6E" w14:textId="6AD3F3B0"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Աջակցություն երիտասարդ ընտանիքներին» միջոցառման ծախսերի աճով՝ 136.6 մլն դրամով (սուբսիդավորվող ընտանիքների թիվ</w:t>
      </w:r>
      <w:r w:rsidR="00A66BA2" w:rsidRPr="00A83C94">
        <w:rPr>
          <w:b w:val="0"/>
          <w:noProof/>
          <w:szCs w:val="22"/>
          <w:lang w:val="hy-AM"/>
        </w:rPr>
        <w:t>ը կկազմի 7335</w:t>
      </w:r>
      <w:r w:rsidRPr="00A83C94">
        <w:rPr>
          <w:b w:val="0"/>
          <w:noProof/>
          <w:szCs w:val="22"/>
          <w:lang w:val="hy-AM"/>
        </w:rPr>
        <w:t>:</w:t>
      </w:r>
    </w:p>
    <w:p w14:paraId="50AECA7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Միաժամանակ, ծախսերը նվազել են՝ 77.0 մլն դրամով, որը պայմանավորված է ծախսային գերակայություններով, առաջնահերթություններով:</w:t>
      </w:r>
    </w:p>
    <w:p w14:paraId="39530A32" w14:textId="77777777" w:rsidR="00437B7A" w:rsidRPr="00A83C94" w:rsidRDefault="00437B7A" w:rsidP="007C65A5">
      <w:pPr>
        <w:numPr>
          <w:ilvl w:val="12"/>
          <w:numId w:val="0"/>
        </w:numPr>
        <w:tabs>
          <w:tab w:val="left" w:pos="851"/>
        </w:tabs>
        <w:spacing w:line="276" w:lineRule="auto"/>
        <w:ind w:left="-142" w:firstLine="540"/>
        <w:rPr>
          <w:noProof/>
          <w:szCs w:val="22"/>
          <w:lang w:val="hy-AM"/>
        </w:rPr>
      </w:pPr>
    </w:p>
    <w:p w14:paraId="1CA8292E" w14:textId="71A6A805" w:rsidR="009506DE" w:rsidRPr="00A83C94" w:rsidRDefault="00640206" w:rsidP="002F7255">
      <w:pPr>
        <w:pStyle w:val="Heading3"/>
        <w:rPr>
          <w:noProof/>
        </w:rPr>
      </w:pPr>
      <w:bookmarkStart w:id="274" w:name="_Toc526009805"/>
      <w:bookmarkEnd w:id="272"/>
      <w:r w:rsidRPr="00A83C94">
        <w:rPr>
          <w:noProof/>
        </w:rPr>
        <w:tab/>
      </w:r>
      <w:bookmarkStart w:id="275" w:name="_Toc83996371"/>
      <w:r w:rsidR="009506DE" w:rsidRPr="00A83C94">
        <w:rPr>
          <w:noProof/>
        </w:rPr>
        <w:t>ՀՀ աշխատանքի և սոցիալական հարցերի նախարարություն</w:t>
      </w:r>
      <w:bookmarkEnd w:id="274"/>
      <w:bookmarkEnd w:id="275"/>
      <w:r w:rsidR="009506DE" w:rsidRPr="00A83C94">
        <w:rPr>
          <w:noProof/>
        </w:rPr>
        <w:t xml:space="preserve"> </w:t>
      </w:r>
    </w:p>
    <w:p w14:paraId="206A47E0" w14:textId="3C13F52E" w:rsidR="0066585C" w:rsidRPr="00A83C94" w:rsidRDefault="00910AA5" w:rsidP="0066585C">
      <w:pPr>
        <w:spacing w:line="276" w:lineRule="auto"/>
        <w:rPr>
          <w:b w:val="0"/>
          <w:i/>
          <w:color w:val="191919"/>
          <w:szCs w:val="22"/>
          <w:shd w:val="clear" w:color="auto" w:fill="FFFFFF"/>
          <w:lang w:val="hy-AM"/>
        </w:rPr>
      </w:pPr>
      <w:r w:rsidRPr="00A83C94">
        <w:rPr>
          <w:b w:val="0"/>
          <w:color w:val="000000"/>
          <w:szCs w:val="22"/>
          <w:lang w:val="hy-AM" w:eastAsia="en-US"/>
        </w:rPr>
        <w:t xml:space="preserve">ՀՀ </w:t>
      </w:r>
      <w:r w:rsidRPr="00A83C94">
        <w:rPr>
          <w:b w:val="0"/>
          <w:color w:val="191919"/>
          <w:szCs w:val="22"/>
          <w:shd w:val="clear" w:color="auto" w:fill="FFFFFF"/>
          <w:lang w:val="hy-AM"/>
        </w:rPr>
        <w:t>աշխատանքի</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և</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սոցիալական</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հարցերի</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 xml:space="preserve">նախարարության </w:t>
      </w:r>
      <w:r w:rsidRPr="00A83C94">
        <w:rPr>
          <w:b w:val="0"/>
          <w:color w:val="000000"/>
          <w:szCs w:val="22"/>
          <w:lang w:val="hy-AM" w:eastAsia="en-US"/>
        </w:rPr>
        <w:t xml:space="preserve">գծով ՀՀ 2022 թվականի պետական բյուջեի նախագծով </w:t>
      </w:r>
      <w:r w:rsidR="0066585C" w:rsidRPr="00A83C94">
        <w:rPr>
          <w:b w:val="0"/>
          <w:color w:val="191919"/>
          <w:szCs w:val="22"/>
          <w:shd w:val="clear" w:color="auto" w:fill="FFFFFF"/>
          <w:lang w:val="hy-AM"/>
        </w:rPr>
        <w:t>նախատես</w:t>
      </w:r>
      <w:r w:rsidR="0066585C" w:rsidRPr="00A83C94">
        <w:rPr>
          <w:b w:val="0"/>
          <w:color w:val="191919"/>
          <w:szCs w:val="22"/>
          <w:shd w:val="clear" w:color="auto" w:fill="FFFFFF"/>
          <w:lang w:val="hy-AM"/>
        </w:rPr>
        <w:softHyphen/>
        <w:t xml:space="preserve">վում է </w:t>
      </w:r>
      <w:r w:rsidR="0066585C" w:rsidRPr="00A83C94">
        <w:rPr>
          <w:b w:val="0"/>
          <w:color w:val="191919"/>
          <w:szCs w:val="22"/>
          <w:shd w:val="clear" w:color="auto" w:fill="FFFFFF"/>
          <w:lang w:val="fr-FR"/>
        </w:rPr>
        <w:t>57</w:t>
      </w:r>
      <w:r w:rsidR="009A0F65" w:rsidRPr="00A83C94">
        <w:rPr>
          <w:b w:val="0"/>
          <w:color w:val="191919"/>
          <w:szCs w:val="22"/>
          <w:shd w:val="clear" w:color="auto" w:fill="FFFFFF"/>
          <w:lang w:val="hy-AM"/>
        </w:rPr>
        <w:t>9</w:t>
      </w:r>
      <w:r w:rsidR="0066585C" w:rsidRPr="00A83C94">
        <w:rPr>
          <w:b w:val="0"/>
          <w:color w:val="191919"/>
          <w:szCs w:val="22"/>
          <w:shd w:val="clear" w:color="auto" w:fill="FFFFFF"/>
          <w:lang w:val="fr-FR"/>
        </w:rPr>
        <w:t>,</w:t>
      </w:r>
      <w:r w:rsidR="009A0F65" w:rsidRPr="00A83C94">
        <w:rPr>
          <w:b w:val="0"/>
          <w:color w:val="191919"/>
          <w:szCs w:val="22"/>
          <w:shd w:val="clear" w:color="auto" w:fill="FFFFFF"/>
          <w:lang w:val="hy-AM"/>
        </w:rPr>
        <w:t>880.7</w:t>
      </w:r>
      <w:r w:rsidR="0066585C" w:rsidRPr="00A83C94">
        <w:rPr>
          <w:b w:val="0"/>
          <w:color w:val="191919"/>
          <w:szCs w:val="22"/>
          <w:shd w:val="clear" w:color="auto" w:fill="FFFFFF"/>
          <w:lang w:val="fr-FR"/>
        </w:rPr>
        <w:t xml:space="preserve"> մլն</w:t>
      </w:r>
      <w:r w:rsidR="0066585C" w:rsidRPr="00A83C94">
        <w:rPr>
          <w:b w:val="0"/>
          <w:color w:val="191919"/>
          <w:szCs w:val="22"/>
          <w:shd w:val="clear" w:color="auto" w:fill="FFFFFF"/>
          <w:lang w:val="hy-AM"/>
        </w:rPr>
        <w:t xml:space="preserve"> դրամ</w:t>
      </w:r>
      <w:r w:rsidR="00DA7C3D" w:rsidRPr="00A83C94">
        <w:rPr>
          <w:b w:val="0"/>
          <w:color w:val="191919"/>
          <w:szCs w:val="22"/>
          <w:shd w:val="clear" w:color="auto" w:fill="FFFFFF"/>
          <w:lang w:val="en-US"/>
        </w:rPr>
        <w:t>ի</w:t>
      </w:r>
      <w:r w:rsidR="00DA7C3D" w:rsidRPr="00A83C94">
        <w:rPr>
          <w:b w:val="0"/>
          <w:color w:val="191919"/>
          <w:szCs w:val="22"/>
          <w:shd w:val="clear" w:color="auto" w:fill="FFFFFF"/>
          <w:lang w:val="af-ZA"/>
        </w:rPr>
        <w:t xml:space="preserve"> </w:t>
      </w:r>
      <w:r w:rsidR="00DA7C3D" w:rsidRPr="00A83C94">
        <w:rPr>
          <w:b w:val="0"/>
          <w:color w:val="191919"/>
          <w:szCs w:val="22"/>
          <w:shd w:val="clear" w:color="auto" w:fill="FFFFFF"/>
          <w:lang w:val="en-US"/>
        </w:rPr>
        <w:t>ծախսեր</w:t>
      </w:r>
      <w:r w:rsidR="0066585C" w:rsidRPr="00A83C94">
        <w:rPr>
          <w:b w:val="0"/>
          <w:color w:val="191919"/>
          <w:szCs w:val="22"/>
          <w:shd w:val="clear" w:color="auto" w:fill="FFFFFF"/>
          <w:lang w:val="hy-AM"/>
        </w:rPr>
        <w:t xml:space="preserve"> </w:t>
      </w:r>
      <w:r w:rsidR="005D36B9" w:rsidRPr="00A83C94">
        <w:rPr>
          <w:b w:val="0"/>
          <w:color w:val="000000"/>
          <w:szCs w:val="22"/>
          <w:lang w:val="hy-AM" w:eastAsia="en-US"/>
        </w:rPr>
        <w:t>(ներառյալ կառավարման ապարատի պահպանման ծախսերը)</w:t>
      </w:r>
      <w:r w:rsidR="0066585C" w:rsidRPr="00A83C94">
        <w:rPr>
          <w:b w:val="0"/>
          <w:color w:val="191919"/>
          <w:szCs w:val="22"/>
          <w:shd w:val="clear" w:color="auto" w:fill="FFFFFF"/>
          <w:lang w:val="hy-AM"/>
        </w:rPr>
        <w:t>¸ որի շրջանակներում նախատեսվում է իրականացնել հետևյալ ծրագրերը.</w:t>
      </w:r>
    </w:p>
    <w:p w14:paraId="285419BE" w14:textId="58E6930F" w:rsidR="0066585C" w:rsidRPr="00A83C94" w:rsidRDefault="0066585C" w:rsidP="0066585C">
      <w:pPr>
        <w:spacing w:line="276" w:lineRule="auto"/>
        <w:rPr>
          <w:b w:val="0"/>
          <w:color w:val="191919"/>
          <w:szCs w:val="22"/>
          <w:shd w:val="clear" w:color="auto" w:fill="FFFFFF"/>
          <w:lang w:val="fr-FR"/>
        </w:rPr>
      </w:pPr>
      <w:r w:rsidRPr="00A83C94">
        <w:rPr>
          <w:color w:val="191919"/>
          <w:szCs w:val="22"/>
          <w:shd w:val="clear" w:color="auto" w:fill="FFFFFF"/>
          <w:lang w:val="hy-AM"/>
        </w:rPr>
        <w:t xml:space="preserve">Պարգևավճարներ և պատվովճարներ </w:t>
      </w:r>
      <w:r w:rsidRPr="00A83C94">
        <w:rPr>
          <w:b w:val="0"/>
          <w:color w:val="191919"/>
          <w:szCs w:val="22"/>
          <w:shd w:val="clear" w:color="auto" w:fill="FFFFFF"/>
          <w:lang w:val="hy-AM"/>
        </w:rPr>
        <w:t>ծրագրի վերջնական արդյունքը առանձին կատեգորիայի քաղաքացիների և նրանց ընտանիքի անդամների սոցիալական պաշտպանվածության մակարդակի բարձրացումն է:</w:t>
      </w:r>
    </w:p>
    <w:p w14:paraId="3D6C5ECC" w14:textId="77777777" w:rsidR="0066585C" w:rsidRPr="00A83C94" w:rsidRDefault="0066585C" w:rsidP="0066585C">
      <w:pPr>
        <w:spacing w:line="276" w:lineRule="auto"/>
        <w:rPr>
          <w:b w:val="0"/>
          <w:color w:val="191919"/>
          <w:szCs w:val="22"/>
          <w:shd w:val="clear" w:color="auto" w:fill="FFFFFF"/>
          <w:lang w:val="hy-AM"/>
        </w:rPr>
      </w:pPr>
      <w:r w:rsidRPr="00A83C94">
        <w:rPr>
          <w:b w:val="0"/>
          <w:color w:val="191919"/>
          <w:szCs w:val="22"/>
          <w:shd w:val="clear" w:color="auto" w:fill="FFFFFF"/>
          <w:lang w:val="fr-FR"/>
        </w:rPr>
        <w:t xml:space="preserve">Ծրագրի գծով </w:t>
      </w:r>
      <w:r w:rsidRPr="00A83C94">
        <w:rPr>
          <w:b w:val="0"/>
          <w:color w:val="191919"/>
          <w:szCs w:val="22"/>
          <w:shd w:val="clear" w:color="auto" w:fill="FFFFFF"/>
          <w:lang w:val="hy-AM"/>
        </w:rPr>
        <w:t>ՀՀ 2021թ. պետական բյուջեով այս նպատակով հատկացված է 11,261.2 մլն դրամ, իսկ շահառուների թիվը կանխատեսվել է 36437 անձ:</w:t>
      </w:r>
    </w:p>
    <w:p w14:paraId="017D8A9C"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2022 թվականի համար նախատեսվում է 10.989.3 մլն դրամ` 35430 շահառուի համար։</w:t>
      </w:r>
    </w:p>
    <w:p w14:paraId="483B359F" w14:textId="612141F2"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Անապահով սոցիալական խմբերին աջակցություն</w:t>
      </w:r>
      <w:r w:rsidRPr="00A83C94">
        <w:rPr>
          <w:b w:val="0"/>
          <w:i/>
          <w:color w:val="191919"/>
          <w:szCs w:val="22"/>
          <w:shd w:val="clear" w:color="auto" w:fill="FFFFFF"/>
          <w:lang w:val="hy-AM"/>
        </w:rPr>
        <w:t xml:space="preserve"> </w:t>
      </w:r>
      <w:r w:rsidRPr="00A83C94">
        <w:rPr>
          <w:b w:val="0"/>
          <w:color w:val="191919"/>
          <w:szCs w:val="22"/>
          <w:shd w:val="clear" w:color="auto" w:fill="FFFFFF"/>
          <w:lang w:val="hy-AM"/>
        </w:rPr>
        <w:t>ծրագրի վերջնական արդյունքը՝ օժանդակել անապահով ընտանիքների կենսամակարդակի բարձրացմանը՝ դրանով մեղմելով աղքատությունը և կրճատելով ծայրահեղ աղքատությունը:</w:t>
      </w:r>
    </w:p>
    <w:p w14:paraId="22850263"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37,188.0 մլն դրամ՝ շուրջ 97216 ընտանիքների համար: 2022թ. համար նախատեսվում է 30,921.3 մլն դրամ: Մինչ համակարգի վերանայումը 2022թ. ընտանիքի կենսամակարդակի բարձրացմանն ուղղված նպաստ կտրամադրվի շուրջ 89629 ընտանիքի, իսկ նպաստի միջին ամսական չափը կկազմի շուրջ 31350 դրամ: Հաշվի առնելով երեխաներին սոցիալական աջակցություն տրամադրելու առաջնահերթության սկզբունքը` հաշվարկներում կանխատեսվել է, որ 89629 ընտանիքի մոտ 72%-ը կկազմեն երեխա ունեցող ընտանիքները:</w:t>
      </w:r>
    </w:p>
    <w:p w14:paraId="63B944F0" w14:textId="1369F819"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Սոցիալական փաթեթների ապահովում</w:t>
      </w:r>
      <w:r w:rsidRPr="00A83C94">
        <w:rPr>
          <w:b w:val="0"/>
          <w:color w:val="191919"/>
          <w:szCs w:val="22"/>
          <w:shd w:val="clear" w:color="auto" w:fill="FFFFFF"/>
          <w:lang w:val="hy-AM"/>
        </w:rPr>
        <w:t xml:space="preserve"> ծրագրի վերջնական արդյունքը պետական մարմինների աշխատակիցների կյանքի որակի բարելավումն է՝ սոցիալական երաշխիքների ապահովման և աշխատանքային մոտիվացիայի բարձրացման նպատակով: </w:t>
      </w:r>
    </w:p>
    <w:p w14:paraId="55969523"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10,619.4 մլն դրամ՝ 147493 շահառուի համար: 2022թ. համար նախատեսվում է 9,949,8 մլն դրամ` 130687 շահառուի համար։</w:t>
      </w:r>
    </w:p>
    <w:p w14:paraId="0CE4336A" w14:textId="353E1CBA"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Խնամքի ծառայություններ 18 տարեկանից բարձր տարիքի անձանց</w:t>
      </w:r>
      <w:r w:rsidRPr="00A83C94">
        <w:rPr>
          <w:b w:val="0"/>
          <w:color w:val="191919"/>
          <w:szCs w:val="22"/>
          <w:shd w:val="clear" w:color="auto" w:fill="FFFFFF"/>
          <w:lang w:val="hy-AM"/>
        </w:rPr>
        <w:t xml:space="preserve"> ծրագրի վերջնական արդյունքը խնամքի կարիք ունեցող 18 տարեկանից բարձր տարիքի անձանց իրենց գնահատված անհատական սոցիալական կարիքներին համապատասխան խնամքի ծառայությունների տրամադրումն է՝ բնականոն կենսագործունեության ապահովման նպատակով:</w:t>
      </w:r>
    </w:p>
    <w:p w14:paraId="299518DD" w14:textId="6AD95868"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3,104,5 մլն դրամ՝ 4531</w:t>
      </w:r>
      <w:r w:rsidR="00464172" w:rsidRPr="00A83C94">
        <w:rPr>
          <w:b w:val="0"/>
          <w:color w:val="191919"/>
          <w:szCs w:val="22"/>
          <w:shd w:val="clear" w:color="auto" w:fill="FFFFFF"/>
          <w:lang w:val="hy-AM"/>
        </w:rPr>
        <w:t xml:space="preserve"> </w:t>
      </w:r>
      <w:r w:rsidRPr="00A83C94">
        <w:rPr>
          <w:b w:val="0"/>
          <w:color w:val="191919"/>
          <w:szCs w:val="22"/>
          <w:shd w:val="clear" w:color="auto" w:fill="FFFFFF"/>
          <w:lang w:val="hy-AM"/>
        </w:rPr>
        <w:t>շահառուի համար:</w:t>
      </w:r>
    </w:p>
    <w:p w14:paraId="57E7A855"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 xml:space="preserve">2022թ. համար նախատեսվում է 2,975.2 մլն  դրամ՝ ծառայություններ են տրամադրվելու 1215, տնային պայմաններում խնամքի ծառայություններ (այդ թվում՝ հոգեկան առողջության խնդիրներ ունեցող անձանց ևս)՝ 1930, ցերեկային կենտրոններում՝ 1600, անօթևան մարդկանց ժամանակավոր կացարանում՝ 80, հատուկ բնակելի տանը կացարանով ապահովման ծառայություններ՝ 57 և կոմունալ ծառայությունների փոխհատուցում՝ սոցիալական տներում բնակվող 100 շահառուի: </w:t>
      </w:r>
    </w:p>
    <w:p w14:paraId="6D319ABF"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Վերանայվելու են ծառայությունների մատուցման չափորոշիչները, արդյունքում բարելավվելու է մատուցվող ծառայությունների որակն ու մեծանալու է հասցեականությունը, ներդրվող համայնքահեն ծառայություններում կարևորություն է տրվելու համայնքի մասնակցությանը և ավելի մեծ թվով հասարակական կազմակերպությունների ընդգրկվածությանը:</w:t>
      </w:r>
    </w:p>
    <w:p w14:paraId="230A715F" w14:textId="60DE13F7"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Ժողովրդագրական վիճակի բարելավում</w:t>
      </w:r>
      <w:r w:rsidRPr="00A83C94">
        <w:rPr>
          <w:rFonts w:cs="Sylfaen"/>
          <w:b w:val="0"/>
          <w:szCs w:val="22"/>
          <w:lang w:val="hy-AM"/>
        </w:rPr>
        <w:t xml:space="preserve"> </w:t>
      </w:r>
      <w:r w:rsidRPr="00A83C94">
        <w:rPr>
          <w:b w:val="0"/>
          <w:color w:val="191919"/>
          <w:szCs w:val="22"/>
          <w:shd w:val="clear" w:color="auto" w:fill="FFFFFF"/>
          <w:lang w:val="hy-AM"/>
        </w:rPr>
        <w:t>ծրագրի վերջնական արդյունքը ժողովրդագրական վիճակի բարելավումը և բազմազավակության աճն է:</w:t>
      </w:r>
    </w:p>
    <w:p w14:paraId="62AC1736" w14:textId="18D892D0"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w:t>
      </w:r>
      <w:r w:rsidR="008A5268" w:rsidRPr="00A83C94">
        <w:rPr>
          <w:b w:val="0"/>
          <w:color w:val="191919"/>
          <w:szCs w:val="22"/>
          <w:shd w:val="clear" w:color="auto" w:fill="FFFFFF"/>
          <w:lang w:val="hy-AM"/>
        </w:rPr>
        <w:t>ատակով հատկացված է 25,249.6 մլն</w:t>
      </w:r>
      <w:r w:rsidRPr="00A83C94">
        <w:rPr>
          <w:b w:val="0"/>
          <w:color w:val="191919"/>
          <w:szCs w:val="22"/>
          <w:shd w:val="clear" w:color="auto" w:fill="FFFFFF"/>
          <w:lang w:val="hy-AM"/>
        </w:rPr>
        <w:t xml:space="preserve"> դրամ, ըստ որում՝ մինչև 2 տարեկան երեխայի խնամքի նպաստ ստացողների թիվը նախատեսվել է 24721 շահառու, երեխայի ծննդյան միանվագ նպաստ ստացողների թիվը՝</w:t>
      </w:r>
      <w:r w:rsidRPr="00A83C94">
        <w:rPr>
          <w:b w:val="0"/>
          <w:color w:val="191919"/>
          <w:szCs w:val="22"/>
          <w:shd w:val="clear" w:color="auto" w:fill="FFFFFF"/>
          <w:lang w:val="hy-AM"/>
        </w:rPr>
        <w:tab/>
        <w:t>36200 շահառու:</w:t>
      </w:r>
    </w:p>
    <w:p w14:paraId="7F035A5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2022 թ. կբարձրացվի նաև 2021թ. համար սահմանված խնամքի նպաստի (այդ թվում՝ գյուղական բնակավայրում տրվող) չափերը՝ 26500 դրամի փոխարեն 2022 թվականի հունվարի 1-ից կսահմանվի 28600 դրամ: Այս դեպքում կհատկացվի լրացուցիչ շուրջ 700 մլն դրամ և կավելանա ավելի քան 27000 երեխաների խնամքի կապակցությամբ տրվող պետական աջակցության չափը։ 2022թ. պահպանվելու են 2021թ. համար սահմանված երեխայի ծննդյան միանվագ նպաստի չափերը՝ 1-ին կամ 2-րդ երեխայի ծննդյան դեպքում՝ 300 հազար դրամ, 3-րդ կամ 4-րդ երեխայի ծննդյան դեպքում՝ 1 մլն դրամ, 5-րդ և յուրաքանչյուր հաջորդ երեխայի ծննդյան դեպքում 1.5 մլն դրամ:</w:t>
      </w:r>
    </w:p>
    <w:p w14:paraId="3EACBE4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Բազմազավակ և երիտասարդ ընտանիքների բնակարանային ապահովությանը աջակցելու նպատակով իրականացվող միջոցառման շրջանակներում պետական աջակցություն է տրամադրվում նշված ընտանիքներին՝ իրենց հիպոթեքային վարկերի մարման համար։ Այս նպատակով 2022թ. նախատեսվում է հատկացնել նախորդ տարվանից 2.3 անգամ ավելի գումար՝ 1,200.0 մլն դրամ, որից կօգտվի 7450 բազմազավակ ընտանիք և 1214 երիտասարդ և երեխաներ ունեցող անձ:</w:t>
      </w:r>
    </w:p>
    <w:p w14:paraId="040B7B97"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2022թ. կիրականացվի  ժողովրդագրական իրավիճակի բարելավմանն ուղղված նոր միջոցառում։ Ծնելիությունը խթանելու և բազմազավակ ընտանիքներին պետական աջակցություն ցուցաբերելու նպատակով 2022թ. հունվարի 1-ից հետո ընտանիքում 3-րդ և յուրաքանչյուր հաջորդ երեխայի ծնվելու կապակցությամբ նոր ծնված երեխայի ծնողին կնշանակվի և մինչև երեխայի 6 տարեկանը լրանալը կվճարվի դրամական աջակցություն՝ ամսական 50000 դրամի չափով։ Միջոցառման իրականացմանը կուղղվի 2,925.0 մլն դրամ, ինչի հաշվին հնարավոր կլինի պետական աջակցություն տրամադրել միջին ամսական շուրջ 4875 նոր ծնված երեխաների ընտանիքներին: Միջոցառման շարունակականության հարցը կքննարկվի 2026թ.՝ նախորդ ժամանակահատվածի արդյունավետության գնահատականի հիման վրա:</w:t>
      </w:r>
    </w:p>
    <w:p w14:paraId="4790F745" w14:textId="7454D177"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Սոցիալական աջակցություն անաշխատունակության դեպքում</w:t>
      </w:r>
      <w:r w:rsidRPr="00A83C94">
        <w:rPr>
          <w:b w:val="0"/>
          <w:color w:val="191919"/>
          <w:szCs w:val="22"/>
          <w:shd w:val="clear" w:color="auto" w:fill="FFFFFF"/>
          <w:lang w:val="hy-AM"/>
        </w:rPr>
        <w:t xml:space="preserve"> ծրագրի վերջնական արդյունքն անաշխատունակության հետևանքով եկամտի կորստի մասնակի փոխհատուցման ապահովումն է:</w:t>
      </w:r>
    </w:p>
    <w:p w14:paraId="1F6ADA6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14,351.9 մլն դրամ, որի շրջանակում մայրության նպաստ նախատեսվել է 10324 աշխատող անձի և 26873 չաշխատող անձի: 2022թ. ծրագրի համար նախատեսվում է 18,797.5 մլն դրամ, որի շրջանակում նախատեսվել է մայրության նպաստ 13145 աշխատող անձի համար և 24242 չաշխատող անձի համար:</w:t>
      </w:r>
    </w:p>
    <w:p w14:paraId="61485337"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Ժամանակավոր անաշխատունակության նպաստների գծով 2022թ. համար գումարները հատկացվել են՝ հաշվի առնելով 2021թ. հունիս ամսին ուժի մեջ մտած օրենսդրական փոփոխությունները, որոնց համաձայն՝ ժամանակավոր անաշխատունակության նպաստը վճարվելու է նաև 1-ին օրվա համար։ Սահմանվել է նաև ժամանակավոր անաշխատունակության նպաստի հաշվարկելու համար հիմք ընդունվող մեծության՝ նվազագույն չափ՝ նվազագույն ամսական աշխատավարձի 50%:</w:t>
      </w:r>
    </w:p>
    <w:p w14:paraId="2EAD439E"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Վնասի փոխհատուցում է նախատեսվել խեղում, մասնագիտական հիվանդություն և առողջության այլ վնասներ ստացած 278 շահառուի համար:</w:t>
      </w:r>
    </w:p>
    <w:p w14:paraId="4807C7AF" w14:textId="4A0C7A4D" w:rsidR="0066585C" w:rsidRPr="00A83C94" w:rsidRDefault="0066585C" w:rsidP="0066585C">
      <w:pPr>
        <w:spacing w:line="276" w:lineRule="auto"/>
        <w:ind w:firstLine="709"/>
        <w:rPr>
          <w:b w:val="0"/>
          <w:color w:val="191919"/>
          <w:szCs w:val="22"/>
          <w:shd w:val="clear" w:color="auto" w:fill="FFFFFF"/>
          <w:lang w:val="hy-AM"/>
        </w:rPr>
      </w:pPr>
      <w:r w:rsidRPr="00A83C94">
        <w:rPr>
          <w:color w:val="191919"/>
          <w:szCs w:val="22"/>
          <w:shd w:val="clear" w:color="auto" w:fill="FFFFFF"/>
          <w:lang w:val="hy-AM"/>
        </w:rPr>
        <w:t>Զբաղվածության</w:t>
      </w:r>
      <w:r w:rsidRPr="00A83C94">
        <w:rPr>
          <w:i/>
          <w:color w:val="191919"/>
          <w:szCs w:val="22"/>
          <w:shd w:val="clear" w:color="auto" w:fill="FFFFFF"/>
          <w:lang w:val="hy-AM"/>
        </w:rPr>
        <w:t xml:space="preserve"> </w:t>
      </w:r>
      <w:r w:rsidRPr="00A83C94">
        <w:rPr>
          <w:b w:val="0"/>
          <w:color w:val="191919"/>
          <w:szCs w:val="22"/>
          <w:shd w:val="clear" w:color="auto" w:fill="FFFFFF"/>
          <w:lang w:val="hy-AM"/>
        </w:rPr>
        <w:t>ծրագրի վերջնական արդյունքը Կայուն և ժամանակավոր զբաղվածների թվաքանակի աճն է՝ բնակչության կայուն և ժամանակավոր զբաղվածության ապահովմանը միտված պայմանների ստեղծման նպատակով:</w:t>
      </w:r>
    </w:p>
    <w:p w14:paraId="6D8462C2"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2,098.2 մլն դրամ:</w:t>
      </w:r>
    </w:p>
    <w:p w14:paraId="0ACD92AF"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2022թ. նախատեսվել է 1,564.3 մլն դրամ, որի շրջանակում կիրականացվի զբաղվածության պետական թվով 9 ծրագիր: Զբաղվածության պետական ծրագրերում նախատեսվում է ընդգրկել 3520 շահառու (որոնցից` 112-ը հաշմանդամություն ունեցող), ընդ որում 1196–ը` ժամանակավոր բնույթ ունեցող՝ սեզոնային և վարձատրվող հասարակական աշխատանքներում:</w:t>
      </w:r>
    </w:p>
    <w:p w14:paraId="51B18CBC" w14:textId="4EC6347B" w:rsidR="00470CBC" w:rsidRPr="00A83C94" w:rsidRDefault="00470CBC" w:rsidP="00470CBC">
      <w:pPr>
        <w:spacing w:before="0" w:line="276" w:lineRule="auto"/>
        <w:ind w:firstLine="709"/>
        <w:rPr>
          <w:b w:val="0"/>
          <w:lang w:val="hy-AM"/>
        </w:rPr>
      </w:pPr>
      <w:r w:rsidRPr="00A83C94">
        <w:rPr>
          <w:color w:val="191919"/>
          <w:shd w:val="clear" w:color="auto" w:fill="FFFFFF"/>
          <w:lang w:val="hy-AM"/>
        </w:rPr>
        <w:t>Բնակարանային ապահովման</w:t>
      </w:r>
      <w:r w:rsidRPr="00A83C94">
        <w:rPr>
          <w:kern w:val="16"/>
          <w:lang w:val="hy-AM"/>
        </w:rPr>
        <w:t xml:space="preserve"> </w:t>
      </w:r>
      <w:r w:rsidRPr="00A83C94">
        <w:rPr>
          <w:b w:val="0"/>
          <w:color w:val="191919"/>
          <w:shd w:val="clear" w:color="auto" w:fill="FFFFFF"/>
          <w:lang w:val="hy-AM"/>
        </w:rPr>
        <w:t xml:space="preserve">ծրագրի համար 2022 թվականին նախատեսվում է 780.4 մլն դրամ: </w:t>
      </w:r>
      <w:r w:rsidRPr="00A83C94">
        <w:rPr>
          <w:b w:val="0"/>
          <w:lang w:val="hy-AM"/>
        </w:rPr>
        <w:t>Ծրագրի նպատակն է հանրապետությունում մշտական բնակության վայր չունեցող անօթևան անձանց բնակարանային ապահովման բարելավման աջակցությունը: Իրականացվելու է թվ</w:t>
      </w:r>
      <w:r w:rsidR="002038E3" w:rsidRPr="00A83C94">
        <w:rPr>
          <w:b w:val="0"/>
          <w:lang w:val="hy-AM"/>
        </w:rPr>
        <w:t>ով 95 ընտանիքների բնակարանային</w:t>
      </w:r>
      <w:r w:rsidRPr="00A83C94">
        <w:rPr>
          <w:b w:val="0"/>
          <w:lang w:val="hy-AM"/>
        </w:rPr>
        <w:t xml:space="preserve"> ապահովման և բնակարանային պայմանների բարելավմանը աջակցությանն ուղղված աշխատանքներ, այդ թվում՝ զոհված (մահացած) առաջին, երկրորդ և երրորդ կարգի հաշմանդամ զինծառա</w:t>
      </w:r>
      <w:r w:rsidRPr="00A83C94">
        <w:rPr>
          <w:b w:val="0"/>
          <w:lang w:val="hy-AM"/>
        </w:rPr>
        <w:softHyphen/>
        <w:t xml:space="preserve">յողների անօթևան և բնակարանային պայմանների բարելավման կարիք ունեցող թվով 59 և Սպիտակ քաղաքի ոչ հիմնական շինություններում բնակվող, սոցալապես անապահով, բնակարանային պայմանների բարելավման կարիք ունեցող թվով 36 ընտանիքների: </w:t>
      </w:r>
    </w:p>
    <w:p w14:paraId="523EC96D" w14:textId="07C364A9" w:rsidR="0066585C" w:rsidRPr="00A83C94" w:rsidRDefault="0066585C" w:rsidP="0066585C">
      <w:pPr>
        <w:spacing w:line="276" w:lineRule="auto"/>
        <w:ind w:firstLine="709"/>
        <w:rPr>
          <w:b w:val="0"/>
          <w:i/>
          <w:color w:val="191919"/>
          <w:szCs w:val="22"/>
          <w:shd w:val="clear" w:color="auto" w:fill="FFFFFF"/>
          <w:lang w:val="hy-AM"/>
        </w:rPr>
      </w:pPr>
      <w:r w:rsidRPr="00A83C94">
        <w:rPr>
          <w:color w:val="191919"/>
          <w:szCs w:val="22"/>
          <w:shd w:val="clear" w:color="auto" w:fill="FFFFFF"/>
          <w:lang w:val="hy-AM"/>
        </w:rPr>
        <w:t>Կենսաթոշակային ապահովություն և Սոցիալական</w:t>
      </w:r>
      <w:r w:rsidRPr="00A83C94">
        <w:rPr>
          <w:i/>
          <w:color w:val="191919"/>
          <w:szCs w:val="22"/>
          <w:shd w:val="clear" w:color="auto" w:fill="FFFFFF"/>
          <w:lang w:val="hy-AM"/>
        </w:rPr>
        <w:t xml:space="preserve"> ապահովություն</w:t>
      </w:r>
      <w:r w:rsidRPr="00A83C94">
        <w:rPr>
          <w:b w:val="0"/>
          <w:i/>
          <w:color w:val="191919"/>
          <w:szCs w:val="22"/>
          <w:shd w:val="clear" w:color="auto" w:fill="FFFFFF"/>
          <w:lang w:val="hy-AM"/>
        </w:rPr>
        <w:t xml:space="preserve"> </w:t>
      </w:r>
      <w:r w:rsidRPr="00A83C94">
        <w:rPr>
          <w:b w:val="0"/>
          <w:color w:val="191919"/>
          <w:szCs w:val="22"/>
          <w:shd w:val="clear" w:color="auto" w:fill="FFFFFF"/>
          <w:lang w:val="hy-AM"/>
        </w:rPr>
        <w:t>ծրագրերի շրջանակում.</w:t>
      </w:r>
    </w:p>
    <w:p w14:paraId="4DC23988"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2022թ. նախատեսվում է բարձրացնել նվազագույն կենսաթոշակի, սոցիալական նպաստների չափերը, իսկ պետական կենսաթոշակների հաշվարկման համար կիրառվող մյուս հիմնական ցուցանիշների դեպքում՝ պահպանել 2021թ. համար սահմանված չափերը՝</w:t>
      </w:r>
    </w:p>
    <w:p w14:paraId="2F25F591"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աշխատանքային և զինվորական կենսաթոշակը հաշվարկելու համար հիմնական կենսաթոշակի չափը՝ 18000 դրամ,</w:t>
      </w:r>
    </w:p>
    <w:p w14:paraId="5E4A8960"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աշխատանքային ստաժի մեկ տարվա արժեքը` մինչև 10 տարվա ստաժի համար` 950 դրամ, իսկ 10 տարուց ավելի ստաժի համար` 500 դրամ,</w:t>
      </w:r>
    </w:p>
    <w:p w14:paraId="6C850F93"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զինվորական ծառայության մեկ տարվա արժեքը՝ 1600 դրամ ,</w:t>
      </w:r>
    </w:p>
    <w:p w14:paraId="47B3633A" w14:textId="77777777" w:rsidR="0066585C" w:rsidRPr="00A83C94" w:rsidRDefault="0066585C" w:rsidP="00786462">
      <w:pPr>
        <w:numPr>
          <w:ilvl w:val="0"/>
          <w:numId w:val="46"/>
        </w:numPr>
        <w:spacing w:before="0" w:line="276" w:lineRule="auto"/>
        <w:ind w:left="0" w:firstLine="709"/>
        <w:contextualSpacing w:val="0"/>
        <w:rPr>
          <w:b w:val="0"/>
          <w:color w:val="191919"/>
          <w:szCs w:val="22"/>
          <w:shd w:val="clear" w:color="auto" w:fill="FFFFFF"/>
          <w:lang w:val="hy-AM"/>
        </w:rPr>
      </w:pPr>
      <w:r w:rsidRPr="00A83C94">
        <w:rPr>
          <w:b w:val="0"/>
          <w:color w:val="191919"/>
          <w:szCs w:val="22"/>
          <w:shd w:val="clear" w:color="auto" w:fill="FFFFFF"/>
          <w:lang w:val="hy-AM"/>
        </w:rPr>
        <w:t>պարտադիր ժամկետային (շարքային) զինվորական ծառայության շարքային կազմի զինծառայողի հաշմանդամության զինվորական կենսաթոշակի չափերը՝ 1-ին խմբի դեպքում՝ 43000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40000 դրամ), 2-րդ խմբի դեպքում՝ 33000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3000 դրամ), 3-րդ խմբի դեպքում՝ 30000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27000 դրամ),</w:t>
      </w:r>
    </w:p>
    <w:p w14:paraId="47F28668"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30000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27000 դրամ),</w:t>
      </w:r>
    </w:p>
    <w:p w14:paraId="3E1B118F"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պետական պաշտոն զբաղեցրած անձանց կենսաթոշակի չափը հաշվարկելու համար հիմք ընդունվող հիմնական կենսաթոշակի չափը՝ 14000 դրամ, մասնագիտական ստաժի մեկ տարվա արժեքը՝ 5000 դրամ,</w:t>
      </w:r>
    </w:p>
    <w:p w14:paraId="2F7D6342"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նվազագույն կենսաթոշակի չափը՝ 28600 դրամ (2021թ.՝ 26500 դրամ):</w:t>
      </w:r>
    </w:p>
    <w:p w14:paraId="7855995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Պետական նպաստների առանձին տեսակների համար չափերը հետևյալն են՝</w:t>
      </w:r>
    </w:p>
    <w:p w14:paraId="06E79710"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Ծերության, հաշմանդամության, կերակրողը կորցնելու դեպքում նպաստներ՝ 28600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26500 դրամ),</w:t>
      </w:r>
    </w:p>
    <w:p w14:paraId="7D9B042B"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հաշմանդամ երեխաների նպաստ՝ 37000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26500 դրամ),</w:t>
      </w:r>
    </w:p>
    <w:p w14:paraId="3EFBF123"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երկկողմանի ծնողազուրկ երեխայի դեպքում կերակրողը կորցնելու դեպքում նպաստ՝ 90000 դրամ:</w:t>
      </w:r>
    </w:p>
    <w:p w14:paraId="625EADF2"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Նշված ավելացումների հաշվին նախատեսվում է բարձրացնել ավելի քան 12200 աշխատանքային կենսաթոշակառուների, շուրջ 5200 զինվորական կենսաթոշակառուների կենսաթոշակների և 74720 նպաստառուների նպաստների չափերը՝ ապահովելով նշված դրամական վճարների գծով պետական հատկացումների՝ ծայրահեղ աղքատության գծից բարձր մակարդակ, իսկ շուրջ 8000 երեխաների հաշմանդամ երեխաների դեպքում՝ էականորեն կբարձրանա նրանց ընտանիքներին տրամադրվող պետական աջակցության չափը։ Նշված բարձրացումների համար կհատկացվի լրացուցիչ շուրջ 3.1 մլրդ դրամ։</w:t>
      </w:r>
    </w:p>
    <w:p w14:paraId="6543FBC5" w14:textId="77777777" w:rsidR="0066585C" w:rsidRPr="00A83C94" w:rsidRDefault="0066585C" w:rsidP="0066585C">
      <w:pPr>
        <w:spacing w:before="0" w:line="276" w:lineRule="auto"/>
        <w:ind w:firstLine="706"/>
        <w:rPr>
          <w:b w:val="0"/>
          <w:color w:val="191919"/>
          <w:szCs w:val="22"/>
          <w:shd w:val="clear" w:color="auto" w:fill="FFFFFF"/>
          <w:lang w:val="hy-AM"/>
        </w:rPr>
      </w:pPr>
      <w:r w:rsidRPr="00A83C94">
        <w:rPr>
          <w:b w:val="0"/>
          <w:color w:val="191919"/>
          <w:szCs w:val="22"/>
          <w:shd w:val="clear" w:color="auto" w:fill="FFFFFF"/>
          <w:lang w:val="hy-AM"/>
        </w:rPr>
        <w:t xml:space="preserve">Կշարունակվեն «Էլեկտրոնային կենսաթոշակ» տեղեկատվական համակարգի արդիականացման (կատարելագործման) աշխատանքները` որոշումների կայացման գործընթացի ավտոմատացման, այլ տեղեկատվական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 </w:t>
      </w:r>
    </w:p>
    <w:p w14:paraId="7C1EB31E" w14:textId="7CCDFD15" w:rsidR="0066585C" w:rsidRPr="00A83C94" w:rsidRDefault="0066585C" w:rsidP="0066585C">
      <w:pPr>
        <w:pStyle w:val="BodyText"/>
        <w:spacing w:before="0" w:line="276" w:lineRule="auto"/>
        <w:ind w:firstLine="706"/>
        <w:jc w:val="both"/>
        <w:rPr>
          <w:rFonts w:ascii="GHEA Grapalat" w:hAnsi="GHEA Grapalat" w:cs="Browallia New"/>
          <w:b w:val="0"/>
          <w:sz w:val="22"/>
          <w:szCs w:val="22"/>
          <w:lang w:val="hy-AM"/>
        </w:rPr>
      </w:pPr>
      <w:r w:rsidRPr="00A83C94">
        <w:rPr>
          <w:rFonts w:ascii="GHEA Grapalat" w:hAnsi="GHEA Grapalat"/>
          <w:color w:val="191919"/>
          <w:sz w:val="22"/>
          <w:szCs w:val="22"/>
          <w:shd w:val="clear" w:color="auto" w:fill="FFFFFF"/>
          <w:lang w:val="hy-AM"/>
        </w:rPr>
        <w:t>Ընտանիքներին, կանանց և երեխաներին աջակցություն</w:t>
      </w:r>
      <w:r w:rsidRPr="00A83C94">
        <w:rPr>
          <w:rFonts w:ascii="GHEA Grapalat" w:hAnsi="GHEA Grapalat" w:cs="Sylfaen"/>
          <w:b w:val="0"/>
          <w:sz w:val="22"/>
          <w:szCs w:val="22"/>
          <w:lang w:val="hy-AM"/>
        </w:rPr>
        <w:t xml:space="preserve"> </w:t>
      </w:r>
      <w:r w:rsidRPr="00A83C94">
        <w:rPr>
          <w:rFonts w:ascii="GHEA Grapalat" w:hAnsi="GHEA Grapalat" w:cs="Browallia New"/>
          <w:b w:val="0"/>
          <w:sz w:val="22"/>
          <w:szCs w:val="22"/>
          <w:lang w:val="hy-AM"/>
        </w:rPr>
        <w:t>ծրագրի վերջնական արդյունքը ընտանիքներին՝ կանանց և երեխաներին մատուցվող սոցիալական ծառայությունների և դրանց հասցեականության բարելավումն է՝ նրանց հասարակություն ինտեգրման նպատակով:</w:t>
      </w:r>
    </w:p>
    <w:p w14:paraId="40CA7E15" w14:textId="73C94D3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Ծրագրի գծով ՀՀ 2021 թ. պետական բյուջեով այս ն</w:t>
      </w:r>
      <w:r w:rsidR="008A5268" w:rsidRPr="00A83C94">
        <w:rPr>
          <w:rFonts w:ascii="GHEA Grapalat" w:hAnsi="GHEA Grapalat" w:cs="Browallia New"/>
          <w:b w:val="0"/>
          <w:sz w:val="22"/>
          <w:szCs w:val="22"/>
          <w:lang w:val="hy-AM"/>
        </w:rPr>
        <w:t>պատակով հատկացված է 3,696.8 մլն</w:t>
      </w:r>
      <w:r w:rsidRPr="00A83C94">
        <w:rPr>
          <w:rFonts w:ascii="GHEA Grapalat" w:hAnsi="GHEA Grapalat" w:cs="Browallia New"/>
          <w:b w:val="0"/>
          <w:sz w:val="22"/>
          <w:szCs w:val="22"/>
          <w:lang w:val="hy-AM"/>
        </w:rPr>
        <w:t xml:space="preserve"> դրամ: 2022թ. համար նախատեսվում է 3,317.9 մլն դրամ։ </w:t>
      </w:r>
    </w:p>
    <w:p w14:paraId="3353D2F5"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 xml:space="preserve">Վերջին տարիներին երեխաների պաշտպանության համակարգի բարեփոխումների արդյունքում կրճատվել է համակարգի մանկատներում խնամվող երեխաների թիվը: 2022թ. նախատեսվում է իրականացնել 585 երեխայի խնամքն ու դաստիարակությունը: </w:t>
      </w:r>
    </w:p>
    <w:p w14:paraId="31D0C6FD"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2022թ. մանկատների 9 շրջանավարտների համար կշարունակվեն միանվագ դրամական օգնության տրամադրումը և 18-23 տարեկան 7 շրջանավարտների համար բնակարանների վարձակալությունը: 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շարունակվելու է վեց աջակցության կենտրոնում սոցիալ-հոգեբանական ծառայությունների տրամադրումը 600 երեխայի և նրանց ընտանիքներին:</w:t>
      </w:r>
    </w:p>
    <w:p w14:paraId="316EA46A"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Միաժամանակ, կարճաժամկետ խնամք իրականացնելու նպատակով երեք ճգնաժամային կենտրոններում շարունակվելու է 0-18 տարեկան 125 երեխաների կարճաժամկետ շուրջօրյա խնամքի ծառայությունների իրականացումը: Պատվիրակված հասարակական կազմակերպությունների կողմից հանրապետության բոլոր մարզերում կիրականացվի երեխաների խնամքի ցերեկային ծառայությունների տրամադրում 1100 երեխաների և նրանց ծնողներին, 100 ընտանիքի կտրամադրվի աջակցություն բնաիրային փաթեթի տեսքով՝ նպաստելով 500 երեխաների ընտանիքներ վերադառնալուն և վերջիններիս մուտքը այդ հաստատություններ կանխարգելելուն։ 2022թ. կշարունակվի խնամատար ընտանիքում 88 երեխայի խնամքի և դաստիարակության աջակցության տրամադրումը: Կշարունակվի մանկատներում խնամվող 7-18 տարեկան դպրոցահասակ 250 երեխայի համար ընտանեկան միջավայրին մոտ միջավայր ապահովելու և կենցաղային որոշակի հմտությունների ձեռքբերման նպատակով երեխաներին դրամական աջակցության տրամադրումը:</w:t>
      </w:r>
    </w:p>
    <w:p w14:paraId="7CA63B70"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Հանրապետությունում մարդկանց շահագործման երևույթի կանխարգելմանն ուղղված քաղաքականության շարունակականության ապահովման նպատակով 2022 թ. կշարունակվեն նաև թրաֆիքինգի և շահագործման, սեռական բռնության ենթարկված անձանց աջակցության, ինչպես նաև ընտանիքում բռնության ենթարկված անձանց օրենսդրությամբ սահմանված աջակցության տրամադրումը, որից կօգտվեն 1475 շահառու:</w:t>
      </w:r>
    </w:p>
    <w:p w14:paraId="10433C17" w14:textId="495C448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olor w:val="191919"/>
          <w:sz w:val="22"/>
          <w:szCs w:val="22"/>
          <w:shd w:val="clear" w:color="auto" w:fill="FFFFFF"/>
          <w:lang w:val="hy-AM"/>
        </w:rPr>
        <w:t>Հաշմանդամություն ունեցող անձանց աջակցություն</w:t>
      </w:r>
      <w:r w:rsidRPr="00A83C94">
        <w:rPr>
          <w:rFonts w:ascii="GHEA Grapalat" w:hAnsi="GHEA Grapalat" w:cs="Sylfaen"/>
          <w:sz w:val="22"/>
          <w:szCs w:val="22"/>
          <w:lang w:val="hy-AM"/>
        </w:rPr>
        <w:t xml:space="preserve"> </w:t>
      </w:r>
      <w:r w:rsidRPr="00A83C94">
        <w:rPr>
          <w:rFonts w:ascii="GHEA Grapalat" w:hAnsi="GHEA Grapalat" w:cs="Browallia New"/>
          <w:b w:val="0"/>
          <w:sz w:val="22"/>
          <w:szCs w:val="22"/>
          <w:lang w:val="hy-AM"/>
        </w:rPr>
        <w:t>ծրագրի վերջնական արդյունքը հաշմանդամություն ունեցող անձանց մատուցվող սոցիալական ծառայությունների հասցեականության և արդյունավետության բարձրացումն է՝ հասարակություն սոցիալական ներառման նպատակով:</w:t>
      </w:r>
    </w:p>
    <w:p w14:paraId="7E64F054"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Ծրագրի գծով ՀՀ 2021թ. պետական բյուջեով այս նպատակով հատկացված է 1,193.3 մլն դրամ: 2022թ. համար նախատեսվում է 2,259.3 մլն դրամ։</w:t>
      </w:r>
    </w:p>
    <w:p w14:paraId="0164CCA4"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 xml:space="preserve">Պետական նպատակային ծրագրերի շրջանակներում հաշմանդամություն ունեցող անձանց պետական հավաստագրերի հիման վրա տրամադրվելու են աջակցող միջոցներ (այդ թվում՝ պրոթեզներ, օրթեզներ, քայլակներ, անվասայլակներ, լսողական սարքեր և այլն, շուրջ տարեկան 14900 աջակցող միջոց)՝ հասարակական կյանքում նրանց մասնակցությունը խթանելու նպատակով: </w:t>
      </w:r>
    </w:p>
    <w:p w14:paraId="130B6874"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 xml:space="preserve">Շարունակվելու է պետական աջակցություն ցուցաբերվել հասարակական կազմակերպություններին` ցերեկային կենտրոններում հաշմանդամություն ունեցող անձանց խնամք և սոցիալ-վերականգնողական ծառայություններ մատուցելու նպատակով: </w:t>
      </w:r>
    </w:p>
    <w:p w14:paraId="37B2D873" w14:textId="5C289742"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olor w:val="191919"/>
          <w:sz w:val="22"/>
          <w:szCs w:val="22"/>
          <w:shd w:val="clear" w:color="auto" w:fill="FFFFFF"/>
          <w:lang w:val="hy-AM"/>
        </w:rPr>
        <w:t>Ավանդների փոխհատուցում</w:t>
      </w:r>
      <w:r w:rsidRPr="00A83C94">
        <w:rPr>
          <w:rFonts w:ascii="GHEA Grapalat" w:hAnsi="GHEA Grapalat" w:cs="Browallia New"/>
          <w:b w:val="0"/>
          <w:sz w:val="22"/>
          <w:szCs w:val="22"/>
          <w:lang w:val="hy-AM"/>
        </w:rPr>
        <w:t xml:space="preserve"> ծրագրի շրջանակում «ՎՏԲ-Հայաստան</w:t>
      </w:r>
      <w:r w:rsidRPr="00A83C94">
        <w:rPr>
          <w:rFonts w:ascii="GHEA Grapalat" w:hAnsi="GHEA Grapalat"/>
          <w:b w:val="0"/>
          <w:sz w:val="22"/>
          <w:szCs w:val="22"/>
          <w:lang w:val="af-ZA"/>
        </w:rPr>
        <w:t>»</w:t>
      </w:r>
      <w:r w:rsidRPr="00A83C94">
        <w:rPr>
          <w:rFonts w:ascii="GHEA Grapalat" w:hAnsi="GHEA Grapalat" w:cs="Browallia New"/>
          <w:b w:val="0"/>
          <w:sz w:val="22"/>
          <w:szCs w:val="22"/>
          <w:lang w:val="hy-AM"/>
        </w:rPr>
        <w:t xml:space="preserve"> ՓԲԸ-ում ավանդատու հանդիսացող և նախկին ԽՍՀՄ Խնայբանկի ՀԽՍՀ հանրապետական բանկում մինչև 1993 թվականի հունիսի 10-ը ներդրված դրամական ավանդների փոխհատուցում ն է: </w:t>
      </w:r>
    </w:p>
    <w:p w14:paraId="63267C7E" w14:textId="0BBCC373"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Ծրագրի գծով ՀՀ 2021թ. պետական բյուջեով այս նպատակով հատկացված է 1,212.0 մլն դրամ՝ 8125 շահառուի համար: 2022թ. համար այս առումով նախատեսվում է 1,515.0 մլն դրամ։ 2022թ. փոխհատուցում կտրամադրվի շուրջ 7900 շահառուի: Ներդրված դրամական ավանդների դիմաց փոխհատուցում ստանալու իրավունք կտրվի նաև մինչև 1939թ. դեկտեմբերի 31-ը ներառյալ ծնված ավանդատուներին:</w:t>
      </w:r>
    </w:p>
    <w:p w14:paraId="641D5917" w14:textId="2F12A5E2" w:rsidR="001C3747" w:rsidRPr="00A83C94" w:rsidRDefault="001C3747" w:rsidP="001C3747">
      <w:pPr>
        <w:pStyle w:val="BodyText"/>
        <w:spacing w:line="276" w:lineRule="auto"/>
        <w:ind w:firstLine="709"/>
        <w:jc w:val="both"/>
        <w:rPr>
          <w:rFonts w:ascii="GHEA Grapalat" w:hAnsi="GHEA Grapalat" w:cs="Browallia New"/>
          <w:b w:val="0"/>
          <w:sz w:val="22"/>
          <w:szCs w:val="22"/>
          <w:lang w:val="hy-AM"/>
        </w:rPr>
      </w:pPr>
      <w:r w:rsidRPr="00A83C94">
        <w:rPr>
          <w:rFonts w:ascii="Calibri" w:hAnsi="Calibri" w:cs="Calibri"/>
          <w:sz w:val="22"/>
          <w:szCs w:val="22"/>
          <w:lang w:val="hy-AM"/>
        </w:rPr>
        <w:t> </w:t>
      </w:r>
      <w:r w:rsidRPr="00A83C94">
        <w:rPr>
          <w:rFonts w:ascii="GHEA Grapalat" w:hAnsi="GHEA Grapalat" w:cs="Browallia New"/>
          <w:sz w:val="22"/>
          <w:szCs w:val="22"/>
          <w:lang w:val="hy-AM"/>
        </w:rPr>
        <w:t>Սոցիալական պաշտպանության համակարգի բարեփոխումներ</w:t>
      </w:r>
      <w:r w:rsidRPr="00A83C94">
        <w:rPr>
          <w:rFonts w:ascii="GHEA Grapalat" w:hAnsi="GHEA Grapalat" w:cs="Browallia New"/>
          <w:b w:val="0"/>
          <w:sz w:val="22"/>
          <w:szCs w:val="22"/>
          <w:lang w:val="hy-AM"/>
        </w:rPr>
        <w:t xml:space="preserve"> ծրագրի գծով  2022 թվականին  նախատեսվել է  3,110</w:t>
      </w:r>
      <w:r w:rsidRPr="00A83C94">
        <w:rPr>
          <w:rFonts w:ascii="Cambria Math" w:hAnsi="Cambria Math" w:cs="Cambria Math"/>
          <w:b w:val="0"/>
          <w:sz w:val="22"/>
          <w:szCs w:val="22"/>
          <w:lang w:val="hy-AM"/>
        </w:rPr>
        <w:t>․</w:t>
      </w:r>
      <w:r w:rsidRPr="00A83C94">
        <w:rPr>
          <w:rFonts w:ascii="GHEA Grapalat" w:hAnsi="GHEA Grapalat" w:cs="Browallia New"/>
          <w:b w:val="0"/>
          <w:sz w:val="22"/>
          <w:szCs w:val="22"/>
          <w:lang w:val="hy-AM"/>
        </w:rPr>
        <w:t>9 մլն դրամ: Ծրագրի նպատակն է բարելավել սոցիալական պաշտպանության ծառայությունների տրամադրումը, աջակցել կենսաթոշակային համակարգի արդիականացմանը և զբաղվածության նոր ռազմավարության իրականացմանը, հզորացնել սոցիալական պաշտպա</w:t>
      </w:r>
      <w:r w:rsidRPr="00A83C94">
        <w:rPr>
          <w:rFonts w:ascii="GHEA Grapalat" w:hAnsi="GHEA Grapalat" w:cs="Browallia New"/>
          <w:b w:val="0"/>
          <w:sz w:val="22"/>
          <w:szCs w:val="22"/>
          <w:lang w:val="hy-AM"/>
        </w:rPr>
        <w:softHyphen/>
        <w:t>նու</w:t>
      </w:r>
      <w:r w:rsidRPr="00A83C94">
        <w:rPr>
          <w:rFonts w:ascii="GHEA Grapalat" w:hAnsi="GHEA Grapalat" w:cs="Browallia New"/>
          <w:b w:val="0"/>
          <w:sz w:val="22"/>
          <w:szCs w:val="22"/>
          <w:lang w:val="hy-AM"/>
        </w:rPr>
        <w:softHyphen/>
        <w:t>թյան նպաստներ վճարող և ծառայություններ տրամադրող մարմինների վերլուծական, մշտադիտարկման և գնահատման գործառույթները:  Ծրագրի շրջանակներում նախատեսվում է՝  ավարտին հասցնել 13 ՄՍԾՏԿ-ների և Միասնական սոցիալական ծառայության կենտրոնական գրասենյակի վերանորոգման աշխատանքները, ինչպես նաև տարածքային կենտրոնների և գրասենյակի կարիքների համար կահավորման միջոցների և սարքավորումների ձեռքբերում, մեկ միասնական էլեկտրոնային տեղեկատվական համակարգի ներդրում:</w:t>
      </w:r>
    </w:p>
    <w:p w14:paraId="63A2D90F" w14:textId="77777777" w:rsidR="001C3747" w:rsidRPr="00A83C94" w:rsidRDefault="001C3747" w:rsidP="0066585C">
      <w:pPr>
        <w:pStyle w:val="BodyText"/>
        <w:spacing w:line="276" w:lineRule="auto"/>
        <w:ind w:firstLine="709"/>
        <w:jc w:val="both"/>
        <w:rPr>
          <w:rFonts w:ascii="GHEA Grapalat" w:hAnsi="GHEA Grapalat" w:cs="Browallia New"/>
          <w:b w:val="0"/>
          <w:sz w:val="22"/>
          <w:szCs w:val="22"/>
          <w:lang w:val="hy-AM"/>
        </w:rPr>
      </w:pPr>
    </w:p>
    <w:p w14:paraId="502FEC6F" w14:textId="77777777" w:rsidR="00264CBE" w:rsidRPr="00A83C94" w:rsidRDefault="00264CBE" w:rsidP="00264CBE">
      <w:pPr>
        <w:pStyle w:val="BodyText"/>
        <w:spacing w:line="276" w:lineRule="auto"/>
        <w:ind w:firstLine="709"/>
        <w:jc w:val="both"/>
        <w:rPr>
          <w:rFonts w:ascii="GHEA Grapalat" w:hAnsi="GHEA Grapalat" w:cs="Browallia New"/>
          <w:sz w:val="22"/>
          <w:szCs w:val="22"/>
          <w:lang w:val="hy-AM"/>
        </w:rPr>
      </w:pPr>
    </w:p>
    <w:p w14:paraId="49F4162F" w14:textId="77777777" w:rsidR="00366B0D" w:rsidRPr="00A83C94" w:rsidRDefault="00366B0D" w:rsidP="002F7255">
      <w:pPr>
        <w:pStyle w:val="Heading3"/>
        <w:rPr>
          <w:noProof/>
        </w:rPr>
      </w:pPr>
      <w:bookmarkStart w:id="276" w:name="_Toc83996372"/>
      <w:r w:rsidRPr="00A83C94">
        <w:rPr>
          <w:noProof/>
        </w:rPr>
        <w:t xml:space="preserve">ՀՀ </w:t>
      </w:r>
      <w:r w:rsidR="004E7CE1" w:rsidRPr="00A83C94">
        <w:rPr>
          <w:noProof/>
        </w:rPr>
        <w:t>տարածքային կառավարման և</w:t>
      </w:r>
      <w:r w:rsidRPr="00A83C94">
        <w:rPr>
          <w:noProof/>
        </w:rPr>
        <w:t xml:space="preserve"> ենթակառուցվածքների նախարարություն</w:t>
      </w:r>
      <w:bookmarkEnd w:id="276"/>
    </w:p>
    <w:p w14:paraId="535A4518" w14:textId="11358BE9"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ՀՀ տարածքային կառավարման և ենթակառուցվածքների նախարարության գծով 2022 թվականի պետական բյուջեով նախատես</w:t>
      </w:r>
      <w:r w:rsidRPr="00A83C94">
        <w:rPr>
          <w:rFonts w:cs="Sylfaen"/>
          <w:b w:val="0"/>
          <w:szCs w:val="22"/>
          <w:lang w:val="hy-AM"/>
        </w:rPr>
        <w:softHyphen/>
        <w:t xml:space="preserve">վում է </w:t>
      </w:r>
      <w:r w:rsidR="00087CB3" w:rsidRPr="002A203C">
        <w:rPr>
          <w:rFonts w:cs="Sylfaen"/>
          <w:b w:val="0"/>
          <w:szCs w:val="22"/>
          <w:lang w:val="af-ZA"/>
        </w:rPr>
        <w:t>278</w:t>
      </w:r>
      <w:r w:rsidRPr="00A83C94">
        <w:rPr>
          <w:rFonts w:cs="Sylfaen"/>
          <w:b w:val="0"/>
          <w:szCs w:val="22"/>
          <w:lang w:val="hy-AM"/>
        </w:rPr>
        <w:t>,</w:t>
      </w:r>
      <w:r w:rsidR="00087CB3" w:rsidRPr="002A203C">
        <w:rPr>
          <w:rFonts w:cs="Sylfaen"/>
          <w:b w:val="0"/>
          <w:szCs w:val="22"/>
          <w:lang w:val="af-ZA"/>
        </w:rPr>
        <w:t>590</w:t>
      </w:r>
      <w:r w:rsidRPr="00A83C94">
        <w:rPr>
          <w:rFonts w:cs="Sylfaen"/>
          <w:b w:val="0"/>
          <w:szCs w:val="22"/>
          <w:lang w:val="hy-AM"/>
        </w:rPr>
        <w:t>.1 մլն դրամ</w:t>
      </w:r>
      <w:r w:rsidR="00DA7C3D" w:rsidRPr="00A83C94">
        <w:rPr>
          <w:rFonts w:cs="Sylfaen"/>
          <w:b w:val="0"/>
          <w:szCs w:val="22"/>
          <w:lang w:val="hy-AM"/>
        </w:rPr>
        <w:t>ի ծախսեր</w:t>
      </w:r>
      <w:r w:rsidRPr="00A83C94">
        <w:rPr>
          <w:rFonts w:cs="Sylfaen"/>
          <w:b w:val="0"/>
          <w:szCs w:val="22"/>
          <w:lang w:val="hy-AM"/>
        </w:rPr>
        <w:t xml:space="preserve"> </w:t>
      </w:r>
      <w:r w:rsidR="005D36B9" w:rsidRPr="00A83C94">
        <w:rPr>
          <w:b w:val="0"/>
          <w:color w:val="000000"/>
          <w:szCs w:val="22"/>
          <w:lang w:val="hy-AM" w:eastAsia="en-US"/>
        </w:rPr>
        <w:t>(ներառյալ կառավարման ապարատի պահպանման ծախսերը)</w:t>
      </w:r>
      <w:r w:rsidRPr="00A83C94">
        <w:rPr>
          <w:rFonts w:cs="Sylfaen"/>
          <w:b w:val="0"/>
          <w:szCs w:val="22"/>
          <w:lang w:val="hy-AM"/>
        </w:rPr>
        <w:t>¸ որի շրջանակներում նախատեսվում է իրականացնել հետևյալ ծրագրերը.</w:t>
      </w:r>
    </w:p>
    <w:p w14:paraId="49198069" w14:textId="732C6E1E" w:rsidR="0023176E" w:rsidRPr="00A83C94" w:rsidRDefault="0023176E" w:rsidP="0023176E">
      <w:pPr>
        <w:spacing w:before="0" w:line="276" w:lineRule="auto"/>
        <w:rPr>
          <w:b w:val="0"/>
          <w:bCs/>
          <w:iCs/>
          <w:lang w:val="hy-AM"/>
        </w:rPr>
      </w:pPr>
      <w:r w:rsidRPr="00A83C94">
        <w:rPr>
          <w:bCs/>
          <w:iCs/>
          <w:lang w:val="hy-AM"/>
        </w:rPr>
        <w:t xml:space="preserve">Ոռոգման համակարգի առողջացում </w:t>
      </w:r>
      <w:r w:rsidRPr="00A83C94">
        <w:rPr>
          <w:b w:val="0"/>
          <w:bCs/>
          <w:iCs/>
          <w:lang w:val="hy-AM"/>
        </w:rPr>
        <w:t xml:space="preserve">ծրագրի </w:t>
      </w:r>
      <w:r w:rsidRPr="00A83C94">
        <w:rPr>
          <w:rFonts w:cs="Sylfaen"/>
          <w:b w:val="0"/>
          <w:lang w:val="hy-AM"/>
        </w:rPr>
        <w:t xml:space="preserve">գծով  2022 թվականին  նախատեսվել է  </w:t>
      </w:r>
      <w:r w:rsidR="00D219C7" w:rsidRPr="00D219C7">
        <w:rPr>
          <w:rFonts w:cs="GHEA Grapalat"/>
          <w:b w:val="0"/>
          <w:lang w:val="hy-AM"/>
        </w:rPr>
        <w:t>30</w:t>
      </w:r>
      <w:r w:rsidRPr="00D219C7">
        <w:rPr>
          <w:rFonts w:cs="GHEA Grapalat"/>
          <w:b w:val="0"/>
          <w:lang w:val="hy-AM"/>
        </w:rPr>
        <w:t>,</w:t>
      </w:r>
      <w:r w:rsidR="00D219C7" w:rsidRPr="00D219C7">
        <w:rPr>
          <w:rFonts w:cs="GHEA Grapalat"/>
          <w:b w:val="0"/>
          <w:lang w:val="hy-AM"/>
        </w:rPr>
        <w:t>523</w:t>
      </w:r>
      <w:r w:rsidRPr="00D219C7">
        <w:rPr>
          <w:rFonts w:ascii="Cambria Math" w:hAnsi="Cambria Math" w:cs="Cambria Math"/>
          <w:b w:val="0"/>
          <w:lang w:val="hy-AM"/>
        </w:rPr>
        <w:t>․</w:t>
      </w:r>
      <w:r w:rsidRPr="00D219C7">
        <w:rPr>
          <w:rFonts w:cs="GHEA Grapalat"/>
          <w:b w:val="0"/>
          <w:lang w:val="hy-AM"/>
        </w:rPr>
        <w:t xml:space="preserve">1 մլն </w:t>
      </w:r>
      <w:r w:rsidRPr="00A83C94">
        <w:rPr>
          <w:rFonts w:cs="GHEA Grapalat"/>
          <w:b w:val="0"/>
          <w:lang w:val="hy-AM"/>
        </w:rPr>
        <w:t>դրամ</w:t>
      </w:r>
      <w:r w:rsidRPr="00A83C94">
        <w:rPr>
          <w:b w:val="0"/>
          <w:bCs/>
          <w:iCs/>
          <w:lang w:val="hy-AM"/>
        </w:rPr>
        <w:t>.</w:t>
      </w:r>
    </w:p>
    <w:p w14:paraId="72601C0D" w14:textId="4C109E10" w:rsidR="0023176E" w:rsidRPr="00A83C94" w:rsidRDefault="0023176E" w:rsidP="0023176E">
      <w:pPr>
        <w:spacing w:line="276" w:lineRule="auto"/>
        <w:rPr>
          <w:b w:val="0"/>
          <w:szCs w:val="22"/>
          <w:lang w:val="hy-AM"/>
        </w:rPr>
      </w:pPr>
      <w:r w:rsidRPr="00A83C94">
        <w:rPr>
          <w:b w:val="0"/>
          <w:szCs w:val="22"/>
          <w:lang w:val="hy-AM"/>
        </w:rPr>
        <w:t>Ծրագրի նպատակն է ստեղծել ոռոգման ոլորտի զարգացման և բարեփոխումների շարունակականության, ֆինանսական կայունության համար բավարար հիմքեր, ապահովել ենթակառուցվածքների և ոլորտային կազմակերպությունների ինքնաբավ և տնտեսապես անկախ գործունեությունը, որով ակնկալվում է նվազեցնել ոռոգման ջրի կորուստները, ավելացնել փաստացի ոռոգելի հողատարածքների մակերեսը: Ծրագրի շրջանակներում նախա</w:t>
      </w:r>
      <w:r w:rsidRPr="00A83C94">
        <w:rPr>
          <w:b w:val="0"/>
          <w:szCs w:val="22"/>
          <w:lang w:val="hy-AM"/>
        </w:rPr>
        <w:softHyphen/>
        <w:t>տեսվում է սուբսիդավորել «Ջրառ» ՓԲԸ</w:t>
      </w:r>
      <w:r w:rsidR="00EA5563" w:rsidRPr="00813A99">
        <w:rPr>
          <w:b w:val="0"/>
          <w:szCs w:val="22"/>
          <w:lang w:val="hy-AM"/>
        </w:rPr>
        <w:t xml:space="preserve">-ի </w:t>
      </w:r>
      <w:r w:rsidRPr="00A83C94">
        <w:rPr>
          <w:b w:val="0"/>
          <w:szCs w:val="22"/>
          <w:lang w:val="hy-AM"/>
        </w:rPr>
        <w:t xml:space="preserve">և 15 ջրօգտագործողների ընկերությունների գործունեության արդյունքում առաջացող ֆինանսական ճեղքվածքը, ոռոգման համակարգերի մայր և երկրորդ կարգի ջրանցքների բաժանարար կետերը կահավորել 715 SCADA համակարգով հագեցած ջրաչափական սարքավորումներով, հիմնանորոգել 1910 մ ջրանցք, վերականգնել 73 գծմ դյուկ, 94 ինքնաշատրվանվող և  4 խորքային հորեր, ինչպես նաև տեղադրել պոմպակայանի շուրջ 800 մ մղման խողովակ, իրականացնել Հեր-Հերի ջրամբարից ինքնահոս ջրատար համակարգի շուրջ 3 կմ կառուցման աշխատանքներ, սկսել և ձեռքբերել  15 փոքր և միջին ջրամբարների կառուցման, </w:t>
      </w:r>
      <w:r w:rsidR="006450C3" w:rsidRPr="00A83C94">
        <w:rPr>
          <w:rFonts w:cs="Sylfaen"/>
          <w:b w:val="0"/>
          <w:szCs w:val="22"/>
          <w:lang w:val="af-ZA"/>
        </w:rPr>
        <w:t>1 ջրամբարի վերականգնման</w:t>
      </w:r>
      <w:r w:rsidR="006450C3" w:rsidRPr="00A83C94">
        <w:rPr>
          <w:rFonts w:cs="Sylfaen"/>
          <w:b w:val="0"/>
          <w:szCs w:val="22"/>
          <w:lang w:val="hy-AM"/>
        </w:rPr>
        <w:t>,</w:t>
      </w:r>
      <w:r w:rsidR="006450C3" w:rsidRPr="00A83C94">
        <w:rPr>
          <w:rFonts w:cs="Sylfaen"/>
          <w:b w:val="0"/>
          <w:szCs w:val="22"/>
          <w:lang w:val="af-ZA"/>
        </w:rPr>
        <w:t xml:space="preserve"> </w:t>
      </w:r>
      <w:r w:rsidRPr="00A83C94">
        <w:rPr>
          <w:rFonts w:cs="Sylfaen"/>
          <w:b w:val="0"/>
          <w:szCs w:val="22"/>
          <w:lang w:val="af-ZA"/>
        </w:rPr>
        <w:t xml:space="preserve">31 </w:t>
      </w:r>
      <w:r w:rsidRPr="00A83C94">
        <w:rPr>
          <w:rFonts w:cs="Sylfaen"/>
          <w:b w:val="0"/>
          <w:szCs w:val="22"/>
          <w:lang w:val="hy-AM"/>
        </w:rPr>
        <w:t xml:space="preserve">օրվա կարգավորիչ </w:t>
      </w:r>
      <w:r w:rsidRPr="00A83C94">
        <w:rPr>
          <w:rFonts w:cs="Sylfaen"/>
          <w:b w:val="0"/>
          <w:szCs w:val="22"/>
          <w:lang w:val="af-ZA"/>
        </w:rPr>
        <w:t>ջրավազանների կառուցման</w:t>
      </w:r>
      <w:r w:rsidRPr="00A83C94">
        <w:rPr>
          <w:b w:val="0"/>
          <w:szCs w:val="22"/>
          <w:lang w:val="hy-AM"/>
        </w:rPr>
        <w:t xml:space="preserve"> աշխատանքների նախագծանախահաշվային փաստաթղթեր</w:t>
      </w:r>
      <w:r w:rsidR="006450C3" w:rsidRPr="00A83C94">
        <w:rPr>
          <w:b w:val="0"/>
          <w:szCs w:val="22"/>
          <w:lang w:val="hy-AM"/>
        </w:rPr>
        <w:t xml:space="preserve">, ինչպես նաև իրականացնել </w:t>
      </w:r>
      <w:r w:rsidR="006450C3" w:rsidRPr="00A83C94">
        <w:rPr>
          <w:rFonts w:cs="Sylfaen"/>
          <w:b w:val="0"/>
          <w:szCs w:val="22"/>
          <w:lang w:val="af-ZA"/>
        </w:rPr>
        <w:t>5 ջրամբարների վերականգնման ու վերազինման</w:t>
      </w:r>
      <w:r w:rsidR="006450C3" w:rsidRPr="00A83C94">
        <w:rPr>
          <w:rFonts w:cs="Sylfaen"/>
          <w:b w:val="0"/>
          <w:szCs w:val="22"/>
          <w:lang w:val="hy-AM"/>
        </w:rPr>
        <w:t xml:space="preserve"> աշխատանքներ</w:t>
      </w:r>
      <w:r w:rsidRPr="00A83C94">
        <w:rPr>
          <w:b w:val="0"/>
          <w:szCs w:val="22"/>
          <w:lang w:val="hy-AM"/>
        </w:rPr>
        <w:t>։ Բացի այդ նախատեսվում է իրականացնել հակահեղեղային առաջնահերթ միջոցառումների 10 ծրագիր՝ մաքրելով գետերի և հեղեղատարների հուները, իրականացնելով ափերի ամրացման աշխատանքներ։</w:t>
      </w:r>
    </w:p>
    <w:p w14:paraId="6C210BBE" w14:textId="77777777" w:rsidR="0023176E" w:rsidRPr="00A83C94" w:rsidRDefault="0023176E" w:rsidP="0023176E">
      <w:pPr>
        <w:spacing w:line="276" w:lineRule="auto"/>
        <w:rPr>
          <w:b w:val="0"/>
          <w:szCs w:val="22"/>
          <w:lang w:val="hy-AM"/>
        </w:rPr>
      </w:pPr>
      <w:r w:rsidRPr="00A83C94">
        <w:rPr>
          <w:b w:val="0"/>
          <w:szCs w:val="22"/>
          <w:lang w:val="hy-AM"/>
        </w:rPr>
        <w:t xml:space="preserve">Արտաքին աղբյուրների ֆինանսավորմամբ իրականացվող շարունակական ծրագրերի ներքո նախատեսվում է ավարտին հասցնել Վեդու ջրամբարի կառուցման (կկառուցվի  37մ բարձրությամբ Վեդու ջրամբարի պատվարը, կվերականգնվի Վեդու ջրամբարի ոռոգման ներտնտեսային ցանցի 93,2 կմ հատվածը), ինչպես նաև Կապսի ջրամբարի 7.1 մ բարձրությամբ պատվարի շինարարական աշխատանքները: ՀՀ մարզերում կհիմնանորոգվի ոռոգման ցանցերի շուրջ 92,8 կմ հատվածը, որով կբարելավվի ոռոգման համակարգերի ընդանուր վիճակը։ </w:t>
      </w:r>
    </w:p>
    <w:p w14:paraId="4ACC5CF4" w14:textId="77777777" w:rsidR="0023176E" w:rsidRPr="00A83C94" w:rsidRDefault="0023176E" w:rsidP="0023176E">
      <w:pPr>
        <w:spacing w:line="276" w:lineRule="auto"/>
        <w:rPr>
          <w:b w:val="0"/>
          <w:szCs w:val="22"/>
          <w:lang w:val="hy-AM"/>
        </w:rPr>
      </w:pPr>
      <w:r w:rsidRPr="00A83C94">
        <w:rPr>
          <w:b w:val="0"/>
          <w:szCs w:val="22"/>
          <w:lang w:val="hy-AM"/>
        </w:rPr>
        <w:t xml:space="preserve">Միաժամանակ Եվրոմիության համատեղ ֆինանսավորմամբ նախատեսվում է իրականացնել՝ ոռոգման համակարգի կառուցում, որի շրջանակներում կիրականացվի 17 բնակավայրերում պոմպակայանների, խողովակաշարերի և ջրագծերի կառուցում, 1 նոր ՕԿՋ-ների կառուցում, 4 ջրամբարների վերանորոգում, ջրամբարների  հիմնական ջրատարների (128կմ ինքնահոս ջրատար)  կառուցում: </w:t>
      </w:r>
    </w:p>
    <w:p w14:paraId="1D16C9E5" w14:textId="77777777" w:rsidR="0023176E" w:rsidRPr="00A83C94" w:rsidRDefault="0023176E" w:rsidP="0023176E">
      <w:pPr>
        <w:spacing w:before="0" w:line="276" w:lineRule="auto"/>
        <w:rPr>
          <w:b w:val="0"/>
          <w:bCs/>
          <w:iCs/>
          <w:lang w:val="hy-AM"/>
        </w:rPr>
      </w:pPr>
      <w:r w:rsidRPr="00A83C94">
        <w:rPr>
          <w:szCs w:val="22"/>
          <w:lang w:val="hy-AM"/>
        </w:rPr>
        <w:t>Որոտան</w:t>
      </w:r>
      <w:r w:rsidRPr="00A83C94">
        <w:rPr>
          <w:szCs w:val="22"/>
          <w:lang w:val="af-ZA"/>
        </w:rPr>
        <w:t>-</w:t>
      </w:r>
      <w:r w:rsidRPr="00A83C94">
        <w:rPr>
          <w:szCs w:val="22"/>
          <w:lang w:val="hy-AM"/>
        </w:rPr>
        <w:t>Արփա</w:t>
      </w:r>
      <w:r w:rsidRPr="00A83C94">
        <w:rPr>
          <w:szCs w:val="22"/>
          <w:lang w:val="af-ZA"/>
        </w:rPr>
        <w:t>-</w:t>
      </w:r>
      <w:r w:rsidRPr="00A83C94">
        <w:rPr>
          <w:szCs w:val="22"/>
          <w:lang w:val="hy-AM"/>
        </w:rPr>
        <w:t>Սևան</w:t>
      </w:r>
      <w:r w:rsidRPr="00A83C94">
        <w:rPr>
          <w:szCs w:val="22"/>
          <w:lang w:val="af-ZA"/>
        </w:rPr>
        <w:t xml:space="preserve"> </w:t>
      </w:r>
      <w:r w:rsidRPr="00A83C94">
        <w:rPr>
          <w:szCs w:val="22"/>
          <w:lang w:val="hy-AM"/>
        </w:rPr>
        <w:t>թունելի</w:t>
      </w:r>
      <w:r w:rsidRPr="00A83C94">
        <w:rPr>
          <w:szCs w:val="22"/>
          <w:lang w:val="af-ZA"/>
        </w:rPr>
        <w:t xml:space="preserve"> </w:t>
      </w:r>
      <w:r w:rsidRPr="00A83C94">
        <w:rPr>
          <w:szCs w:val="22"/>
          <w:lang w:val="hy-AM"/>
        </w:rPr>
        <w:t>ջրային</w:t>
      </w:r>
      <w:r w:rsidRPr="00A83C94">
        <w:rPr>
          <w:szCs w:val="22"/>
          <w:lang w:val="af-ZA"/>
        </w:rPr>
        <w:t xml:space="preserve"> </w:t>
      </w:r>
      <w:r w:rsidRPr="00A83C94">
        <w:rPr>
          <w:szCs w:val="22"/>
          <w:lang w:val="hy-AM"/>
        </w:rPr>
        <w:t>համակարգի</w:t>
      </w:r>
      <w:r w:rsidRPr="00A83C94">
        <w:rPr>
          <w:szCs w:val="22"/>
          <w:lang w:val="af-ZA"/>
        </w:rPr>
        <w:t xml:space="preserve"> </w:t>
      </w:r>
      <w:r w:rsidRPr="00A83C94">
        <w:rPr>
          <w:szCs w:val="22"/>
          <w:lang w:val="hy-AM"/>
        </w:rPr>
        <w:t>կառավարում</w:t>
      </w:r>
      <w:r w:rsidRPr="00A83C94">
        <w:rPr>
          <w:szCs w:val="22"/>
          <w:lang w:val="af-ZA"/>
        </w:rPr>
        <w:t xml:space="preserve"> </w:t>
      </w:r>
      <w:r w:rsidRPr="00A83C94">
        <w:rPr>
          <w:b w:val="0"/>
          <w:bCs/>
          <w:iCs/>
          <w:lang w:val="hy-AM"/>
        </w:rPr>
        <w:t>ծրագրի</w:t>
      </w:r>
      <w:r w:rsidRPr="00A83C94">
        <w:rPr>
          <w:b w:val="0"/>
          <w:bCs/>
          <w:iCs/>
          <w:lang w:val="af-ZA"/>
        </w:rPr>
        <w:t xml:space="preserve"> </w:t>
      </w:r>
      <w:r w:rsidRPr="00A83C94">
        <w:rPr>
          <w:rFonts w:cs="Sylfaen"/>
          <w:b w:val="0"/>
          <w:lang w:val="hy-AM"/>
        </w:rPr>
        <w:t>գծով  2022 թվականին  նախատեսվել է  1</w:t>
      </w:r>
      <w:r w:rsidRPr="00A83C94">
        <w:rPr>
          <w:rFonts w:cs="Sylfaen"/>
          <w:b w:val="0"/>
          <w:lang w:val="af-ZA"/>
        </w:rPr>
        <w:t>,</w:t>
      </w:r>
      <w:r w:rsidRPr="00A83C94">
        <w:rPr>
          <w:rFonts w:cs="Sylfaen"/>
          <w:b w:val="0"/>
          <w:lang w:val="hy-AM"/>
        </w:rPr>
        <w:t>715</w:t>
      </w:r>
      <w:r w:rsidRPr="00A83C94">
        <w:rPr>
          <w:rFonts w:ascii="Cambria Math" w:hAnsi="Cambria Math" w:cs="Cambria Math"/>
          <w:b w:val="0"/>
          <w:lang w:val="hy-AM"/>
        </w:rPr>
        <w:t>․1</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0E4C1416" w14:textId="77777777" w:rsidR="0023176E" w:rsidRPr="00A83C94" w:rsidRDefault="0023176E" w:rsidP="0023176E">
      <w:pPr>
        <w:spacing w:line="276" w:lineRule="auto"/>
        <w:rPr>
          <w:b w:val="0"/>
          <w:szCs w:val="22"/>
          <w:lang w:val="af-ZA"/>
        </w:rPr>
      </w:pPr>
      <w:r w:rsidRPr="00A83C94">
        <w:rPr>
          <w:b w:val="0"/>
          <w:szCs w:val="22"/>
          <w:lang w:val="hy-AM"/>
        </w:rPr>
        <w:t>Ծրագրի</w:t>
      </w:r>
      <w:r w:rsidRPr="00A83C94">
        <w:rPr>
          <w:b w:val="0"/>
          <w:szCs w:val="22"/>
          <w:lang w:val="af-ZA"/>
        </w:rPr>
        <w:t xml:space="preserve"> </w:t>
      </w:r>
      <w:r w:rsidRPr="00A83C94">
        <w:rPr>
          <w:b w:val="0"/>
          <w:szCs w:val="22"/>
          <w:lang w:val="hy-AM"/>
        </w:rPr>
        <w:t>նպատակն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վերականգնել</w:t>
      </w:r>
      <w:r w:rsidRPr="00A83C94">
        <w:rPr>
          <w:b w:val="0"/>
          <w:szCs w:val="22"/>
          <w:lang w:val="af-ZA"/>
        </w:rPr>
        <w:t xml:space="preserve"> </w:t>
      </w:r>
      <w:r w:rsidRPr="00A83C94">
        <w:rPr>
          <w:b w:val="0"/>
          <w:szCs w:val="22"/>
          <w:lang w:val="hy-AM"/>
        </w:rPr>
        <w:t>Արփա</w:t>
      </w:r>
      <w:r w:rsidRPr="00A83C94">
        <w:rPr>
          <w:b w:val="0"/>
          <w:szCs w:val="22"/>
          <w:lang w:val="af-ZA"/>
        </w:rPr>
        <w:t>-</w:t>
      </w:r>
      <w:r w:rsidRPr="00A83C94">
        <w:rPr>
          <w:b w:val="0"/>
          <w:szCs w:val="22"/>
          <w:lang w:val="hy-AM"/>
        </w:rPr>
        <w:t>Սևան</w:t>
      </w:r>
      <w:r w:rsidRPr="00A83C94">
        <w:rPr>
          <w:b w:val="0"/>
          <w:szCs w:val="22"/>
          <w:lang w:val="af-ZA"/>
        </w:rPr>
        <w:t xml:space="preserve"> </w:t>
      </w:r>
      <w:r w:rsidRPr="00A83C94">
        <w:rPr>
          <w:b w:val="0"/>
          <w:szCs w:val="22"/>
          <w:lang w:val="hy-AM"/>
        </w:rPr>
        <w:t>թունելի</w:t>
      </w:r>
      <w:r w:rsidRPr="00A83C94">
        <w:rPr>
          <w:b w:val="0"/>
          <w:szCs w:val="22"/>
          <w:lang w:val="af-ZA"/>
        </w:rPr>
        <w:t xml:space="preserve"> </w:t>
      </w:r>
      <w:r w:rsidRPr="00A83C94">
        <w:rPr>
          <w:b w:val="0"/>
          <w:szCs w:val="22"/>
          <w:lang w:val="hy-AM"/>
        </w:rPr>
        <w:t>վթարային</w:t>
      </w:r>
      <w:r w:rsidRPr="00A83C94">
        <w:rPr>
          <w:b w:val="0"/>
          <w:szCs w:val="22"/>
          <w:lang w:val="af-ZA"/>
        </w:rPr>
        <w:t xml:space="preserve"> </w:t>
      </w:r>
      <w:r w:rsidRPr="00A83C94">
        <w:rPr>
          <w:b w:val="0"/>
          <w:szCs w:val="22"/>
          <w:lang w:val="hy-AM"/>
        </w:rPr>
        <w:t>հատվածները</w:t>
      </w:r>
      <w:r w:rsidRPr="00A83C94">
        <w:rPr>
          <w:b w:val="0"/>
          <w:szCs w:val="22"/>
          <w:lang w:val="af-ZA"/>
        </w:rPr>
        <w:t xml:space="preserve"> </w:t>
      </w:r>
      <w:r w:rsidRPr="00A83C94">
        <w:rPr>
          <w:b w:val="0"/>
          <w:szCs w:val="22"/>
          <w:lang w:val="hy-AM"/>
        </w:rPr>
        <w:t>և</w:t>
      </w:r>
      <w:r w:rsidRPr="00A83C94">
        <w:rPr>
          <w:b w:val="0"/>
          <w:szCs w:val="22"/>
          <w:lang w:val="af-ZA"/>
        </w:rPr>
        <w:t xml:space="preserve"> </w:t>
      </w:r>
      <w:r w:rsidRPr="00A83C94">
        <w:rPr>
          <w:b w:val="0"/>
          <w:szCs w:val="22"/>
          <w:lang w:val="hy-AM"/>
        </w:rPr>
        <w:t>պահպանել</w:t>
      </w:r>
      <w:r w:rsidRPr="00A83C94">
        <w:rPr>
          <w:b w:val="0"/>
          <w:szCs w:val="22"/>
          <w:lang w:val="af-ZA"/>
        </w:rPr>
        <w:t xml:space="preserve"> </w:t>
      </w:r>
      <w:r w:rsidRPr="00A83C94">
        <w:rPr>
          <w:b w:val="0"/>
          <w:szCs w:val="22"/>
          <w:lang w:val="hy-AM"/>
        </w:rPr>
        <w:t>այն</w:t>
      </w:r>
      <w:r w:rsidRPr="00A83C94">
        <w:rPr>
          <w:b w:val="0"/>
          <w:szCs w:val="22"/>
          <w:lang w:val="af-ZA"/>
        </w:rPr>
        <w:t xml:space="preserve">, </w:t>
      </w:r>
      <w:r w:rsidRPr="00A83C94">
        <w:rPr>
          <w:b w:val="0"/>
          <w:szCs w:val="22"/>
          <w:lang w:val="hy-AM"/>
        </w:rPr>
        <w:t>որից</w:t>
      </w:r>
      <w:r w:rsidRPr="00A83C94">
        <w:rPr>
          <w:b w:val="0"/>
          <w:szCs w:val="22"/>
          <w:lang w:val="af-ZA"/>
        </w:rPr>
        <w:t xml:space="preserve"> </w:t>
      </w:r>
      <w:r w:rsidRPr="00A83C94">
        <w:rPr>
          <w:b w:val="0"/>
          <w:szCs w:val="22"/>
          <w:lang w:val="hy-AM"/>
        </w:rPr>
        <w:t>ակնկալվող</w:t>
      </w:r>
      <w:r w:rsidRPr="00A83C94">
        <w:rPr>
          <w:b w:val="0"/>
          <w:szCs w:val="22"/>
          <w:lang w:val="af-ZA"/>
        </w:rPr>
        <w:t xml:space="preserve"> </w:t>
      </w:r>
      <w:r w:rsidRPr="00A83C94">
        <w:rPr>
          <w:b w:val="0"/>
          <w:szCs w:val="22"/>
          <w:lang w:val="hy-AM"/>
        </w:rPr>
        <w:t>վերջնական</w:t>
      </w:r>
      <w:r w:rsidRPr="00A83C94">
        <w:rPr>
          <w:b w:val="0"/>
          <w:szCs w:val="22"/>
          <w:lang w:val="af-ZA"/>
        </w:rPr>
        <w:t xml:space="preserve"> </w:t>
      </w:r>
      <w:r w:rsidRPr="00A83C94">
        <w:rPr>
          <w:b w:val="0"/>
          <w:szCs w:val="22"/>
          <w:lang w:val="hy-AM"/>
        </w:rPr>
        <w:t>արդյունքն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առավելագույն</w:t>
      </w:r>
      <w:r w:rsidRPr="00A83C94">
        <w:rPr>
          <w:b w:val="0"/>
          <w:szCs w:val="22"/>
          <w:lang w:val="af-ZA"/>
        </w:rPr>
        <w:t xml:space="preserve"> </w:t>
      </w:r>
      <w:r w:rsidRPr="00A83C94">
        <w:rPr>
          <w:b w:val="0"/>
          <w:szCs w:val="22"/>
          <w:lang w:val="hy-AM"/>
        </w:rPr>
        <w:t>քանակի</w:t>
      </w:r>
      <w:r w:rsidRPr="00A83C94">
        <w:rPr>
          <w:b w:val="0"/>
          <w:szCs w:val="22"/>
          <w:lang w:val="af-ZA"/>
        </w:rPr>
        <w:t xml:space="preserve"> </w:t>
      </w:r>
      <w:r w:rsidRPr="00A83C94">
        <w:rPr>
          <w:b w:val="0"/>
          <w:szCs w:val="22"/>
          <w:lang w:val="hy-AM"/>
        </w:rPr>
        <w:t>ջուր</w:t>
      </w:r>
      <w:r w:rsidRPr="00A83C94">
        <w:rPr>
          <w:b w:val="0"/>
          <w:szCs w:val="22"/>
          <w:lang w:val="af-ZA"/>
        </w:rPr>
        <w:t xml:space="preserve"> </w:t>
      </w:r>
      <w:r w:rsidRPr="00A83C94">
        <w:rPr>
          <w:b w:val="0"/>
          <w:szCs w:val="22"/>
          <w:lang w:val="hy-AM"/>
        </w:rPr>
        <w:t>տեղափոխել</w:t>
      </w:r>
      <w:r w:rsidRPr="00A83C94">
        <w:rPr>
          <w:b w:val="0"/>
          <w:szCs w:val="22"/>
          <w:lang w:val="af-ZA"/>
        </w:rPr>
        <w:t xml:space="preserve"> </w:t>
      </w:r>
      <w:r w:rsidRPr="00A83C94">
        <w:rPr>
          <w:b w:val="0"/>
          <w:szCs w:val="22"/>
          <w:lang w:val="hy-AM"/>
        </w:rPr>
        <w:t>դեպի</w:t>
      </w:r>
      <w:r w:rsidRPr="00A83C94">
        <w:rPr>
          <w:b w:val="0"/>
          <w:szCs w:val="22"/>
          <w:lang w:val="af-ZA"/>
        </w:rPr>
        <w:t xml:space="preserve"> </w:t>
      </w:r>
      <w:r w:rsidRPr="00A83C94">
        <w:rPr>
          <w:b w:val="0"/>
          <w:szCs w:val="22"/>
          <w:lang w:val="hy-AM"/>
        </w:rPr>
        <w:t>Սևանա</w:t>
      </w:r>
      <w:r w:rsidRPr="00A83C94">
        <w:rPr>
          <w:b w:val="0"/>
          <w:szCs w:val="22"/>
          <w:lang w:val="af-ZA"/>
        </w:rPr>
        <w:t xml:space="preserve"> </w:t>
      </w:r>
      <w:r w:rsidRPr="00A83C94">
        <w:rPr>
          <w:b w:val="0"/>
          <w:szCs w:val="22"/>
          <w:lang w:val="hy-AM"/>
        </w:rPr>
        <w:t>լիճ</w:t>
      </w:r>
      <w:r w:rsidRPr="00A83C94">
        <w:rPr>
          <w:b w:val="0"/>
          <w:szCs w:val="22"/>
          <w:lang w:val="af-ZA"/>
        </w:rPr>
        <w:t xml:space="preserve">: </w:t>
      </w:r>
      <w:r w:rsidRPr="00A83C94">
        <w:rPr>
          <w:b w:val="0"/>
          <w:szCs w:val="22"/>
          <w:lang w:val="hy-AM"/>
        </w:rPr>
        <w:t>Ծրագրի</w:t>
      </w:r>
      <w:r w:rsidRPr="00A83C94">
        <w:rPr>
          <w:b w:val="0"/>
          <w:szCs w:val="22"/>
          <w:lang w:val="af-ZA"/>
        </w:rPr>
        <w:t xml:space="preserve"> </w:t>
      </w:r>
      <w:r w:rsidRPr="00A83C94">
        <w:rPr>
          <w:b w:val="0"/>
          <w:szCs w:val="22"/>
          <w:lang w:val="hy-AM"/>
        </w:rPr>
        <w:t>շրջանակներում</w:t>
      </w:r>
      <w:r w:rsidRPr="00A83C94">
        <w:rPr>
          <w:b w:val="0"/>
          <w:szCs w:val="22"/>
          <w:lang w:val="af-ZA"/>
        </w:rPr>
        <w:t xml:space="preserve"> </w:t>
      </w:r>
      <w:r w:rsidRPr="00A83C94">
        <w:rPr>
          <w:b w:val="0"/>
          <w:szCs w:val="22"/>
          <w:lang w:val="hy-AM"/>
        </w:rPr>
        <w:t>նախա</w:t>
      </w:r>
      <w:r w:rsidRPr="00A83C94">
        <w:rPr>
          <w:b w:val="0"/>
          <w:szCs w:val="22"/>
          <w:lang w:val="af-ZA"/>
        </w:rPr>
        <w:softHyphen/>
      </w:r>
      <w:r w:rsidRPr="00A83C94">
        <w:rPr>
          <w:b w:val="0"/>
          <w:szCs w:val="22"/>
          <w:lang w:val="hy-AM"/>
        </w:rPr>
        <w:t>տեսվում</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իրականացնել</w:t>
      </w:r>
      <w:r w:rsidRPr="00A83C94">
        <w:rPr>
          <w:b w:val="0"/>
          <w:szCs w:val="22"/>
          <w:lang w:val="af-ZA"/>
        </w:rPr>
        <w:t xml:space="preserve"> </w:t>
      </w:r>
      <w:r w:rsidRPr="00A83C94">
        <w:rPr>
          <w:b w:val="0"/>
          <w:szCs w:val="22"/>
          <w:lang w:val="hy-AM"/>
        </w:rPr>
        <w:t>Որոտան</w:t>
      </w:r>
      <w:r w:rsidRPr="00A83C94">
        <w:rPr>
          <w:b w:val="0"/>
          <w:szCs w:val="22"/>
          <w:lang w:val="af-ZA"/>
        </w:rPr>
        <w:t>-</w:t>
      </w:r>
      <w:r w:rsidRPr="00A83C94">
        <w:rPr>
          <w:b w:val="0"/>
          <w:szCs w:val="22"/>
          <w:lang w:val="hy-AM"/>
        </w:rPr>
        <w:t>Արփա</w:t>
      </w:r>
      <w:r w:rsidRPr="00A83C94">
        <w:rPr>
          <w:b w:val="0"/>
          <w:szCs w:val="22"/>
          <w:lang w:val="af-ZA"/>
        </w:rPr>
        <w:t>-</w:t>
      </w:r>
      <w:r w:rsidRPr="00A83C94">
        <w:rPr>
          <w:b w:val="0"/>
          <w:szCs w:val="22"/>
          <w:lang w:val="hy-AM"/>
        </w:rPr>
        <w:t>Սևան</w:t>
      </w:r>
      <w:r w:rsidRPr="00A83C94">
        <w:rPr>
          <w:b w:val="0"/>
          <w:szCs w:val="22"/>
          <w:lang w:val="af-ZA"/>
        </w:rPr>
        <w:t xml:space="preserve"> </w:t>
      </w:r>
      <w:r w:rsidRPr="00A83C94">
        <w:rPr>
          <w:b w:val="0"/>
          <w:szCs w:val="22"/>
          <w:lang w:val="hy-AM"/>
        </w:rPr>
        <w:t>թունելի</w:t>
      </w:r>
      <w:r w:rsidRPr="00A83C94">
        <w:rPr>
          <w:b w:val="0"/>
          <w:szCs w:val="22"/>
          <w:lang w:val="af-ZA"/>
        </w:rPr>
        <w:t xml:space="preserve"> 48 </w:t>
      </w:r>
      <w:r w:rsidRPr="00A83C94">
        <w:rPr>
          <w:b w:val="0"/>
          <w:szCs w:val="22"/>
          <w:lang w:val="hy-AM"/>
        </w:rPr>
        <w:t>կմ</w:t>
      </w:r>
      <w:r w:rsidRPr="00A83C94">
        <w:rPr>
          <w:b w:val="0"/>
          <w:szCs w:val="22"/>
          <w:lang w:val="af-ZA"/>
        </w:rPr>
        <w:t xml:space="preserve"> </w:t>
      </w:r>
      <w:r w:rsidRPr="00A83C94">
        <w:rPr>
          <w:b w:val="0"/>
          <w:szCs w:val="22"/>
          <w:lang w:val="hy-AM"/>
        </w:rPr>
        <w:t>երկարությամբ</w:t>
      </w:r>
      <w:r w:rsidRPr="00A83C94">
        <w:rPr>
          <w:b w:val="0"/>
          <w:szCs w:val="22"/>
          <w:lang w:val="af-ZA"/>
        </w:rPr>
        <w:t xml:space="preserve"> </w:t>
      </w:r>
      <w:r w:rsidRPr="00A83C94">
        <w:rPr>
          <w:b w:val="0"/>
          <w:szCs w:val="22"/>
          <w:lang w:val="hy-AM"/>
        </w:rPr>
        <w:t>հատվածի</w:t>
      </w:r>
      <w:r w:rsidRPr="00A83C94">
        <w:rPr>
          <w:b w:val="0"/>
          <w:szCs w:val="22"/>
          <w:lang w:val="af-ZA"/>
        </w:rPr>
        <w:t xml:space="preserve"> </w:t>
      </w:r>
      <w:r w:rsidRPr="00A83C94">
        <w:rPr>
          <w:b w:val="0"/>
          <w:szCs w:val="22"/>
          <w:lang w:val="hy-AM"/>
        </w:rPr>
        <w:t>պահպանման</w:t>
      </w:r>
      <w:r w:rsidRPr="00A83C94">
        <w:rPr>
          <w:b w:val="0"/>
          <w:szCs w:val="22"/>
          <w:lang w:val="af-ZA"/>
        </w:rPr>
        <w:t xml:space="preserve"> </w:t>
      </w:r>
      <w:r w:rsidRPr="00A83C94">
        <w:rPr>
          <w:b w:val="0"/>
          <w:szCs w:val="22"/>
          <w:lang w:val="hy-AM"/>
        </w:rPr>
        <w:t>ու</w:t>
      </w:r>
      <w:r w:rsidRPr="00A83C94">
        <w:rPr>
          <w:b w:val="0"/>
          <w:szCs w:val="22"/>
          <w:lang w:val="af-ZA"/>
        </w:rPr>
        <w:t xml:space="preserve"> </w:t>
      </w:r>
      <w:r w:rsidRPr="00A83C94">
        <w:rPr>
          <w:b w:val="0"/>
          <w:szCs w:val="22"/>
          <w:lang w:val="hy-AM"/>
        </w:rPr>
        <w:t>շահագործման և թունելի</w:t>
      </w:r>
      <w:r w:rsidRPr="00A83C94">
        <w:rPr>
          <w:b w:val="0"/>
          <w:szCs w:val="22"/>
          <w:lang w:val="af-ZA"/>
        </w:rPr>
        <w:t xml:space="preserve"> </w:t>
      </w:r>
      <w:r w:rsidRPr="00A83C94">
        <w:rPr>
          <w:b w:val="0"/>
          <w:szCs w:val="22"/>
          <w:lang w:val="hy-AM"/>
        </w:rPr>
        <w:t>վթարային</w:t>
      </w:r>
      <w:r w:rsidRPr="00A83C94">
        <w:rPr>
          <w:b w:val="0"/>
          <w:szCs w:val="22"/>
          <w:lang w:val="af-ZA"/>
        </w:rPr>
        <w:t xml:space="preserve"> </w:t>
      </w:r>
      <w:r w:rsidRPr="00A83C94">
        <w:rPr>
          <w:b w:val="0"/>
          <w:szCs w:val="22"/>
          <w:lang w:val="hy-AM"/>
        </w:rPr>
        <w:t>առանձին՝</w:t>
      </w:r>
      <w:r w:rsidRPr="00A83C94">
        <w:rPr>
          <w:b w:val="0"/>
          <w:szCs w:val="22"/>
          <w:lang w:val="af-ZA"/>
        </w:rPr>
        <w:t xml:space="preserve"> 220.1 </w:t>
      </w:r>
      <w:r w:rsidRPr="00A83C94">
        <w:rPr>
          <w:b w:val="0"/>
          <w:szCs w:val="22"/>
          <w:lang w:val="hy-AM"/>
        </w:rPr>
        <w:t>գծմ</w:t>
      </w:r>
      <w:r w:rsidRPr="00A83C94">
        <w:rPr>
          <w:b w:val="0"/>
          <w:szCs w:val="22"/>
          <w:lang w:val="af-ZA"/>
        </w:rPr>
        <w:t xml:space="preserve"> </w:t>
      </w:r>
      <w:r w:rsidRPr="00A83C94">
        <w:rPr>
          <w:b w:val="0"/>
          <w:szCs w:val="22"/>
          <w:lang w:val="hy-AM"/>
        </w:rPr>
        <w:t>հատվածների</w:t>
      </w:r>
      <w:r w:rsidRPr="00A83C94">
        <w:rPr>
          <w:b w:val="0"/>
          <w:szCs w:val="22"/>
          <w:lang w:val="af-ZA"/>
        </w:rPr>
        <w:t xml:space="preserve"> </w:t>
      </w:r>
      <w:r w:rsidRPr="00A83C94">
        <w:rPr>
          <w:b w:val="0"/>
          <w:szCs w:val="22"/>
          <w:lang w:val="hy-AM"/>
        </w:rPr>
        <w:t>հիմնանորոգման</w:t>
      </w:r>
      <w:r w:rsidRPr="00A83C94">
        <w:rPr>
          <w:b w:val="0"/>
          <w:szCs w:val="22"/>
          <w:lang w:val="af-ZA"/>
        </w:rPr>
        <w:t xml:space="preserve"> </w:t>
      </w:r>
      <w:r w:rsidRPr="00A83C94">
        <w:rPr>
          <w:b w:val="0"/>
          <w:szCs w:val="22"/>
          <w:lang w:val="hy-AM"/>
        </w:rPr>
        <w:t>աշխատանքներ։</w:t>
      </w:r>
    </w:p>
    <w:p w14:paraId="17AB44D2" w14:textId="77777777" w:rsidR="0023176E" w:rsidRPr="00A83C94" w:rsidRDefault="0023176E" w:rsidP="0023176E">
      <w:pPr>
        <w:spacing w:before="0" w:line="276" w:lineRule="auto"/>
        <w:rPr>
          <w:b w:val="0"/>
          <w:bCs/>
          <w:iCs/>
          <w:lang w:val="hy-AM"/>
        </w:rPr>
      </w:pPr>
      <w:r w:rsidRPr="00A83C94">
        <w:rPr>
          <w:szCs w:val="22"/>
          <w:lang w:val="af-ZA"/>
        </w:rPr>
        <w:t xml:space="preserve">Սոցիալական ներդրումների և տեղական զարգացման </w:t>
      </w:r>
      <w:r w:rsidRPr="00A83C94">
        <w:rPr>
          <w:b w:val="0"/>
          <w:szCs w:val="22"/>
          <w:lang w:val="af-ZA"/>
        </w:rPr>
        <w:t>ծրագր</w:t>
      </w:r>
      <w:r w:rsidRPr="00A83C94">
        <w:rPr>
          <w:b w:val="0"/>
          <w:szCs w:val="22"/>
          <w:lang w:val="hy-AM"/>
        </w:rPr>
        <w:t xml:space="preserve">ի </w:t>
      </w:r>
      <w:r w:rsidRPr="00A83C94">
        <w:rPr>
          <w:rFonts w:cs="Sylfaen"/>
          <w:b w:val="0"/>
          <w:lang w:val="hy-AM"/>
        </w:rPr>
        <w:t>գծով  2022 թվականին  նախատեսվել է  4,295</w:t>
      </w:r>
      <w:r w:rsidRPr="00A83C94">
        <w:rPr>
          <w:rFonts w:ascii="Cambria Math" w:hAnsi="Cambria Math" w:cs="Cambria Math"/>
          <w:b w:val="0"/>
          <w:lang w:val="hy-AM"/>
        </w:rPr>
        <w:t>․</w:t>
      </w:r>
      <w:r w:rsidRPr="00A83C94">
        <w:rPr>
          <w:rFonts w:cs="Sylfaen"/>
          <w:b w:val="0"/>
          <w:lang w:val="hy-AM"/>
        </w:rPr>
        <w:t xml:space="preserve">5 մլն </w:t>
      </w:r>
      <w:r w:rsidRPr="00A83C94">
        <w:rPr>
          <w:rFonts w:cs="GHEA Grapalat"/>
          <w:b w:val="0"/>
          <w:lang w:val="hy-AM"/>
        </w:rPr>
        <w:t>դրամ</w:t>
      </w:r>
      <w:r w:rsidRPr="00A83C94">
        <w:rPr>
          <w:b w:val="0"/>
          <w:bCs/>
          <w:iCs/>
          <w:lang w:val="hy-AM"/>
        </w:rPr>
        <w:t>.</w:t>
      </w:r>
    </w:p>
    <w:p w14:paraId="207BE1F1" w14:textId="77777777" w:rsidR="0023176E" w:rsidRPr="00A83C94" w:rsidRDefault="0023176E" w:rsidP="0023176E">
      <w:pPr>
        <w:spacing w:line="276" w:lineRule="auto"/>
        <w:rPr>
          <w:b w:val="0"/>
          <w:szCs w:val="22"/>
          <w:lang w:val="hy-AM"/>
        </w:rPr>
      </w:pPr>
      <w:r w:rsidRPr="00A83C94">
        <w:rPr>
          <w:b w:val="0"/>
          <w:szCs w:val="22"/>
          <w:lang w:val="hy-AM"/>
        </w:rPr>
        <w:t>Ծրագրի նպատակն է նպաստել բնակչության նյութական և ոչ նյութական բարեկեցության աճին, որով նախատեսվում է համայնքային և միջհամայնքային ենթակառուցվածքների և որակի հասանելիության բարելավում, ինստիտուցիոնալ և ֆինանասական կարողությունների հզորացում: Ծրագրի շրջանակներում նախատեսվում է իրականացնել 20 համայնքներում արևային կայանների տեղադրման,  6  համայնքներում խմելու ջրի ջրամատակարարման և 7 համայնքներում ոռոգման համակարգերի հիմնանորոգման և կառոցման աշխատանքները, ևս 5 համայնքներում նախատեսվում է համայնքային կենտրոններին, դպրոցներին և մանկապարտեզներին գույքի տրամադրում, 18 համայնքներ կօգտվեն հիմնանորոգված և  նոր կառուցված ջրագծերի, առողջապահության, կրթության, մշակույթի, հատուկ խնամքի և  ենթակառուցվածքների ոլորտի օբյեկտներից:</w:t>
      </w:r>
    </w:p>
    <w:p w14:paraId="4B979020" w14:textId="77777777" w:rsidR="0023176E" w:rsidRPr="00A83C94" w:rsidRDefault="0023176E" w:rsidP="0023176E">
      <w:pPr>
        <w:spacing w:line="276" w:lineRule="auto"/>
        <w:rPr>
          <w:b w:val="0"/>
          <w:szCs w:val="22"/>
          <w:lang w:val="af-ZA"/>
        </w:rPr>
      </w:pPr>
      <w:r w:rsidRPr="00A83C94">
        <w:rPr>
          <w:szCs w:val="22"/>
          <w:lang w:val="hy-AM"/>
        </w:rPr>
        <w:t>Կոլեկտորադրենաժային</w:t>
      </w:r>
      <w:r w:rsidRPr="00A83C94">
        <w:rPr>
          <w:szCs w:val="22"/>
          <w:lang w:val="af-ZA"/>
        </w:rPr>
        <w:t xml:space="preserve"> </w:t>
      </w:r>
      <w:r w:rsidRPr="00A83C94">
        <w:rPr>
          <w:szCs w:val="22"/>
          <w:lang w:val="hy-AM"/>
        </w:rPr>
        <w:t>ծառայություններ</w:t>
      </w:r>
      <w:r w:rsidRPr="00A83C94">
        <w:rPr>
          <w:szCs w:val="22"/>
          <w:lang w:val="af-ZA"/>
        </w:rPr>
        <w:t xml:space="preserve"> </w:t>
      </w:r>
      <w:r w:rsidRPr="00A83C94">
        <w:rPr>
          <w:b w:val="0"/>
          <w:bCs/>
          <w:iCs/>
          <w:lang w:val="hy-AM"/>
        </w:rPr>
        <w:t xml:space="preserve">ծրագրի </w:t>
      </w:r>
      <w:r w:rsidRPr="00A83C94">
        <w:rPr>
          <w:rFonts w:cs="Sylfaen"/>
          <w:b w:val="0"/>
          <w:lang w:val="hy-AM"/>
        </w:rPr>
        <w:t>գծով  2022 թվականին  նախատեսվել է  290</w:t>
      </w:r>
      <w:r w:rsidRPr="00A83C94">
        <w:rPr>
          <w:rFonts w:ascii="Cambria Math" w:hAnsi="Cambria Math" w:cs="Cambria Math"/>
          <w:b w:val="0"/>
          <w:lang w:val="hy-AM"/>
        </w:rPr>
        <w:t>․</w:t>
      </w:r>
      <w:r w:rsidRPr="00A83C94">
        <w:rPr>
          <w:rFonts w:cs="Sylfaen"/>
          <w:b w:val="0"/>
          <w:lang w:val="hy-AM"/>
        </w:rPr>
        <w:t>8 մլն դրամ.</w:t>
      </w:r>
    </w:p>
    <w:p w14:paraId="1080F099" w14:textId="77777777" w:rsidR="0023176E" w:rsidRPr="00A83C94" w:rsidRDefault="0023176E" w:rsidP="0023176E">
      <w:pPr>
        <w:spacing w:line="276" w:lineRule="auto"/>
        <w:rPr>
          <w:b w:val="0"/>
          <w:szCs w:val="22"/>
          <w:lang w:val="af-ZA"/>
        </w:rPr>
      </w:pPr>
      <w:r w:rsidRPr="00A83C94">
        <w:rPr>
          <w:b w:val="0"/>
          <w:szCs w:val="22"/>
          <w:lang w:val="hy-AM"/>
        </w:rPr>
        <w:t>Ծրագրի</w:t>
      </w:r>
      <w:r w:rsidRPr="00A83C94">
        <w:rPr>
          <w:b w:val="0"/>
          <w:szCs w:val="22"/>
          <w:lang w:val="af-ZA"/>
        </w:rPr>
        <w:t xml:space="preserve"> </w:t>
      </w:r>
      <w:r w:rsidRPr="00A83C94">
        <w:rPr>
          <w:b w:val="0"/>
          <w:szCs w:val="22"/>
          <w:lang w:val="hy-AM"/>
        </w:rPr>
        <w:t>նպատակն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բարելավել</w:t>
      </w:r>
      <w:r w:rsidRPr="00A83C94">
        <w:rPr>
          <w:b w:val="0"/>
          <w:szCs w:val="22"/>
          <w:lang w:val="af-ZA"/>
        </w:rPr>
        <w:t xml:space="preserve"> </w:t>
      </w:r>
      <w:r w:rsidRPr="00A83C94">
        <w:rPr>
          <w:b w:val="0"/>
          <w:szCs w:val="22"/>
          <w:lang w:val="hy-AM"/>
        </w:rPr>
        <w:t>ՀՀ</w:t>
      </w:r>
      <w:r w:rsidRPr="00A83C94">
        <w:rPr>
          <w:b w:val="0"/>
          <w:szCs w:val="22"/>
          <w:lang w:val="af-ZA"/>
        </w:rPr>
        <w:t xml:space="preserve"> </w:t>
      </w:r>
      <w:r w:rsidRPr="00A83C94">
        <w:rPr>
          <w:b w:val="0"/>
          <w:szCs w:val="22"/>
          <w:lang w:val="hy-AM"/>
        </w:rPr>
        <w:t>ոռոգելի</w:t>
      </w:r>
      <w:r w:rsidRPr="00A83C94">
        <w:rPr>
          <w:b w:val="0"/>
          <w:szCs w:val="22"/>
          <w:lang w:val="af-ZA"/>
        </w:rPr>
        <w:t xml:space="preserve"> </w:t>
      </w:r>
      <w:r w:rsidRPr="00A83C94">
        <w:rPr>
          <w:b w:val="0"/>
          <w:szCs w:val="22"/>
          <w:lang w:val="hy-AM"/>
        </w:rPr>
        <w:t>հողերի</w:t>
      </w:r>
      <w:r w:rsidRPr="00A83C94">
        <w:rPr>
          <w:b w:val="0"/>
          <w:szCs w:val="22"/>
          <w:lang w:val="af-ZA"/>
        </w:rPr>
        <w:t xml:space="preserve"> </w:t>
      </w:r>
      <w:r w:rsidRPr="00A83C94">
        <w:rPr>
          <w:b w:val="0"/>
          <w:szCs w:val="22"/>
          <w:lang w:val="hy-AM"/>
        </w:rPr>
        <w:t>մելիորատիվ</w:t>
      </w:r>
      <w:r w:rsidRPr="00A83C94">
        <w:rPr>
          <w:b w:val="0"/>
          <w:szCs w:val="22"/>
          <w:lang w:val="af-ZA"/>
        </w:rPr>
        <w:t xml:space="preserve"> </w:t>
      </w:r>
      <w:r w:rsidRPr="00A83C94">
        <w:rPr>
          <w:b w:val="0"/>
          <w:szCs w:val="22"/>
          <w:lang w:val="hy-AM"/>
        </w:rPr>
        <w:t>վիճակը</w:t>
      </w:r>
      <w:r w:rsidRPr="00A83C94">
        <w:rPr>
          <w:b w:val="0"/>
          <w:szCs w:val="22"/>
          <w:lang w:val="af-ZA"/>
        </w:rPr>
        <w:t xml:space="preserve">, </w:t>
      </w:r>
      <w:r w:rsidRPr="00A83C94">
        <w:rPr>
          <w:b w:val="0"/>
          <w:szCs w:val="22"/>
          <w:lang w:val="hy-AM"/>
        </w:rPr>
        <w:t>կարգավորել</w:t>
      </w:r>
      <w:r w:rsidRPr="00A83C94">
        <w:rPr>
          <w:b w:val="0"/>
          <w:szCs w:val="22"/>
          <w:lang w:val="af-ZA"/>
        </w:rPr>
        <w:t xml:space="preserve"> </w:t>
      </w:r>
      <w:r w:rsidRPr="00A83C94">
        <w:rPr>
          <w:b w:val="0"/>
          <w:szCs w:val="22"/>
          <w:lang w:val="hy-AM"/>
        </w:rPr>
        <w:t>գրունտային</w:t>
      </w:r>
      <w:r w:rsidRPr="00A83C94">
        <w:rPr>
          <w:b w:val="0"/>
          <w:szCs w:val="22"/>
          <w:lang w:val="af-ZA"/>
        </w:rPr>
        <w:t xml:space="preserve"> </w:t>
      </w:r>
      <w:r w:rsidRPr="00A83C94">
        <w:rPr>
          <w:b w:val="0"/>
          <w:szCs w:val="22"/>
          <w:lang w:val="hy-AM"/>
        </w:rPr>
        <w:t>ջրերի</w:t>
      </w:r>
      <w:r w:rsidRPr="00A83C94">
        <w:rPr>
          <w:b w:val="0"/>
          <w:szCs w:val="22"/>
          <w:lang w:val="af-ZA"/>
        </w:rPr>
        <w:t xml:space="preserve"> </w:t>
      </w:r>
      <w:r w:rsidRPr="00A83C94">
        <w:rPr>
          <w:b w:val="0"/>
          <w:szCs w:val="22"/>
          <w:lang w:val="hy-AM"/>
        </w:rPr>
        <w:t>մակարդակները</w:t>
      </w:r>
      <w:r w:rsidRPr="00A83C94">
        <w:rPr>
          <w:b w:val="0"/>
          <w:szCs w:val="22"/>
          <w:lang w:val="af-ZA"/>
        </w:rPr>
        <w:t xml:space="preserve">, </w:t>
      </w:r>
      <w:r w:rsidRPr="00A83C94">
        <w:rPr>
          <w:b w:val="0"/>
          <w:szCs w:val="22"/>
          <w:lang w:val="hy-AM"/>
        </w:rPr>
        <w:t>կանխել</w:t>
      </w:r>
      <w:r w:rsidRPr="00A83C94">
        <w:rPr>
          <w:b w:val="0"/>
          <w:szCs w:val="22"/>
          <w:lang w:val="af-ZA"/>
        </w:rPr>
        <w:t xml:space="preserve"> </w:t>
      </w:r>
      <w:r w:rsidRPr="00A83C94">
        <w:rPr>
          <w:b w:val="0"/>
          <w:szCs w:val="22"/>
          <w:lang w:val="hy-AM"/>
        </w:rPr>
        <w:t>հողատեսքերի</w:t>
      </w:r>
      <w:r w:rsidRPr="00A83C94">
        <w:rPr>
          <w:b w:val="0"/>
          <w:szCs w:val="22"/>
          <w:lang w:val="af-ZA"/>
        </w:rPr>
        <w:t xml:space="preserve"> </w:t>
      </w:r>
      <w:r w:rsidRPr="00A83C94">
        <w:rPr>
          <w:b w:val="0"/>
          <w:szCs w:val="22"/>
          <w:lang w:val="hy-AM"/>
        </w:rPr>
        <w:t>աղակալումը</w:t>
      </w:r>
      <w:r w:rsidRPr="00A83C94">
        <w:rPr>
          <w:b w:val="0"/>
          <w:szCs w:val="22"/>
          <w:lang w:val="af-ZA"/>
        </w:rPr>
        <w:t xml:space="preserve">, </w:t>
      </w:r>
      <w:r w:rsidRPr="00A83C94">
        <w:rPr>
          <w:b w:val="0"/>
          <w:szCs w:val="22"/>
          <w:lang w:val="hy-AM"/>
        </w:rPr>
        <w:t>բնակավայրերի</w:t>
      </w:r>
      <w:r w:rsidRPr="00A83C94">
        <w:rPr>
          <w:b w:val="0"/>
          <w:szCs w:val="22"/>
          <w:lang w:val="af-ZA"/>
        </w:rPr>
        <w:t xml:space="preserve"> </w:t>
      </w:r>
      <w:r w:rsidRPr="00A83C94">
        <w:rPr>
          <w:b w:val="0"/>
          <w:szCs w:val="22"/>
          <w:lang w:val="hy-AM"/>
        </w:rPr>
        <w:t>ջրակալումը</w:t>
      </w:r>
      <w:r w:rsidRPr="00A83C94">
        <w:rPr>
          <w:b w:val="0"/>
          <w:szCs w:val="22"/>
          <w:lang w:val="af-ZA"/>
        </w:rPr>
        <w:t xml:space="preserve"> </w:t>
      </w:r>
      <w:r w:rsidRPr="00A83C94">
        <w:rPr>
          <w:b w:val="0"/>
          <w:szCs w:val="22"/>
          <w:lang w:val="hy-AM"/>
        </w:rPr>
        <w:t>և</w:t>
      </w:r>
      <w:r w:rsidRPr="00A83C94">
        <w:rPr>
          <w:b w:val="0"/>
          <w:szCs w:val="22"/>
          <w:lang w:val="af-ZA"/>
        </w:rPr>
        <w:t xml:space="preserve"> </w:t>
      </w:r>
      <w:r w:rsidRPr="00A83C94">
        <w:rPr>
          <w:b w:val="0"/>
          <w:szCs w:val="22"/>
          <w:lang w:val="hy-AM"/>
        </w:rPr>
        <w:t>ապահովել</w:t>
      </w:r>
      <w:r w:rsidRPr="00A83C94">
        <w:rPr>
          <w:b w:val="0"/>
          <w:szCs w:val="22"/>
          <w:lang w:val="af-ZA"/>
        </w:rPr>
        <w:t xml:space="preserve"> </w:t>
      </w:r>
      <w:r w:rsidRPr="00A83C94">
        <w:rPr>
          <w:b w:val="0"/>
          <w:szCs w:val="22"/>
          <w:lang w:val="hy-AM"/>
        </w:rPr>
        <w:t>մշակաբույսերի</w:t>
      </w:r>
      <w:r w:rsidRPr="00A83C94">
        <w:rPr>
          <w:b w:val="0"/>
          <w:szCs w:val="22"/>
          <w:lang w:val="af-ZA"/>
        </w:rPr>
        <w:t xml:space="preserve"> </w:t>
      </w:r>
      <w:r w:rsidRPr="00A83C94">
        <w:rPr>
          <w:b w:val="0"/>
          <w:szCs w:val="22"/>
          <w:lang w:val="hy-AM"/>
        </w:rPr>
        <w:t>բնականոն</w:t>
      </w:r>
      <w:r w:rsidRPr="00A83C94">
        <w:rPr>
          <w:b w:val="0"/>
          <w:szCs w:val="22"/>
          <w:lang w:val="af-ZA"/>
        </w:rPr>
        <w:t xml:space="preserve"> </w:t>
      </w:r>
      <w:r w:rsidRPr="00A83C94">
        <w:rPr>
          <w:b w:val="0"/>
          <w:szCs w:val="22"/>
          <w:lang w:val="hy-AM"/>
        </w:rPr>
        <w:t>աճը</w:t>
      </w:r>
      <w:r w:rsidRPr="00A83C94">
        <w:rPr>
          <w:b w:val="0"/>
          <w:szCs w:val="22"/>
          <w:lang w:val="af-ZA"/>
        </w:rPr>
        <w:t xml:space="preserve">, </w:t>
      </w:r>
      <w:r w:rsidRPr="00A83C94">
        <w:rPr>
          <w:b w:val="0"/>
          <w:szCs w:val="22"/>
          <w:lang w:val="hy-AM"/>
        </w:rPr>
        <w:t>որի</w:t>
      </w:r>
      <w:r w:rsidRPr="00A83C94">
        <w:rPr>
          <w:b w:val="0"/>
          <w:szCs w:val="22"/>
          <w:lang w:val="af-ZA"/>
        </w:rPr>
        <w:t xml:space="preserve"> </w:t>
      </w:r>
      <w:r w:rsidRPr="00A83C94">
        <w:rPr>
          <w:b w:val="0"/>
          <w:szCs w:val="22"/>
          <w:lang w:val="hy-AM"/>
        </w:rPr>
        <w:t>վերջնական</w:t>
      </w:r>
      <w:r w:rsidRPr="00A83C94">
        <w:rPr>
          <w:b w:val="0"/>
          <w:szCs w:val="22"/>
          <w:lang w:val="af-ZA"/>
        </w:rPr>
        <w:t xml:space="preserve"> </w:t>
      </w:r>
      <w:r w:rsidRPr="00A83C94">
        <w:rPr>
          <w:b w:val="0"/>
          <w:szCs w:val="22"/>
          <w:lang w:val="hy-AM"/>
        </w:rPr>
        <w:t>արդյունքն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ավելացնել</w:t>
      </w:r>
      <w:r w:rsidRPr="00A83C94">
        <w:rPr>
          <w:b w:val="0"/>
          <w:szCs w:val="22"/>
          <w:lang w:val="af-ZA"/>
        </w:rPr>
        <w:t xml:space="preserve"> </w:t>
      </w:r>
      <w:r w:rsidRPr="00A83C94">
        <w:rPr>
          <w:b w:val="0"/>
          <w:szCs w:val="22"/>
          <w:lang w:val="hy-AM"/>
        </w:rPr>
        <w:t>մշակելի</w:t>
      </w:r>
      <w:r w:rsidRPr="00A83C94">
        <w:rPr>
          <w:b w:val="0"/>
          <w:szCs w:val="22"/>
          <w:lang w:val="af-ZA"/>
        </w:rPr>
        <w:t xml:space="preserve"> </w:t>
      </w:r>
      <w:r w:rsidRPr="00A83C94">
        <w:rPr>
          <w:b w:val="0"/>
          <w:szCs w:val="22"/>
          <w:lang w:val="hy-AM"/>
        </w:rPr>
        <w:t>հողատարածքների</w:t>
      </w:r>
      <w:r w:rsidRPr="00A83C94">
        <w:rPr>
          <w:b w:val="0"/>
          <w:szCs w:val="22"/>
          <w:lang w:val="af-ZA"/>
        </w:rPr>
        <w:t xml:space="preserve"> </w:t>
      </w:r>
      <w:r w:rsidRPr="00A83C94">
        <w:rPr>
          <w:b w:val="0"/>
          <w:szCs w:val="22"/>
          <w:lang w:val="hy-AM"/>
        </w:rPr>
        <w:t>մակերեսը</w:t>
      </w:r>
      <w:r w:rsidRPr="00A83C94">
        <w:rPr>
          <w:b w:val="0"/>
          <w:szCs w:val="22"/>
          <w:lang w:val="af-ZA"/>
        </w:rPr>
        <w:t xml:space="preserve">: </w:t>
      </w:r>
      <w:r w:rsidRPr="00A83C94">
        <w:rPr>
          <w:b w:val="0"/>
          <w:szCs w:val="22"/>
          <w:lang w:val="hy-AM"/>
        </w:rPr>
        <w:t>Ծրագրի</w:t>
      </w:r>
      <w:r w:rsidRPr="00A83C94">
        <w:rPr>
          <w:b w:val="0"/>
          <w:szCs w:val="22"/>
          <w:lang w:val="af-ZA"/>
        </w:rPr>
        <w:t xml:space="preserve"> </w:t>
      </w:r>
      <w:r w:rsidRPr="00A83C94">
        <w:rPr>
          <w:b w:val="0"/>
          <w:szCs w:val="22"/>
          <w:lang w:val="hy-AM"/>
        </w:rPr>
        <w:t>շրջանակներում</w:t>
      </w:r>
      <w:r w:rsidRPr="00A83C94">
        <w:rPr>
          <w:b w:val="0"/>
          <w:szCs w:val="22"/>
          <w:lang w:val="af-ZA"/>
        </w:rPr>
        <w:t xml:space="preserve"> </w:t>
      </w:r>
      <w:r w:rsidRPr="00A83C94">
        <w:rPr>
          <w:b w:val="0"/>
          <w:szCs w:val="22"/>
          <w:lang w:val="hy-AM"/>
        </w:rPr>
        <w:t>նախատեսվում</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մաքրել</w:t>
      </w:r>
      <w:r w:rsidRPr="00A83C94">
        <w:rPr>
          <w:b w:val="0"/>
          <w:szCs w:val="22"/>
          <w:lang w:val="af-ZA"/>
        </w:rPr>
        <w:t xml:space="preserve"> </w:t>
      </w:r>
      <w:r w:rsidRPr="00A83C94">
        <w:rPr>
          <w:b w:val="0"/>
          <w:szCs w:val="22"/>
          <w:lang w:val="hy-AM"/>
        </w:rPr>
        <w:t>և</w:t>
      </w:r>
      <w:r w:rsidRPr="00A83C94">
        <w:rPr>
          <w:b w:val="0"/>
          <w:szCs w:val="22"/>
          <w:lang w:val="af-ZA"/>
        </w:rPr>
        <w:t xml:space="preserve"> </w:t>
      </w:r>
      <w:r w:rsidRPr="00A83C94">
        <w:rPr>
          <w:b w:val="0"/>
          <w:szCs w:val="22"/>
          <w:lang w:val="hy-AM"/>
        </w:rPr>
        <w:t>վերանորոգել</w:t>
      </w:r>
      <w:r w:rsidRPr="00A83C94">
        <w:rPr>
          <w:b w:val="0"/>
          <w:szCs w:val="22"/>
          <w:lang w:val="af-ZA"/>
        </w:rPr>
        <w:t xml:space="preserve"> 220 </w:t>
      </w:r>
      <w:r w:rsidRPr="00A83C94">
        <w:rPr>
          <w:b w:val="0"/>
          <w:szCs w:val="22"/>
          <w:lang w:val="hy-AM"/>
        </w:rPr>
        <w:t>կմ</w:t>
      </w:r>
      <w:r w:rsidRPr="00A83C94">
        <w:rPr>
          <w:b w:val="0"/>
          <w:szCs w:val="22"/>
          <w:lang w:val="af-ZA"/>
        </w:rPr>
        <w:t xml:space="preserve"> </w:t>
      </w:r>
      <w:r w:rsidRPr="00A83C94">
        <w:rPr>
          <w:b w:val="0"/>
          <w:szCs w:val="22"/>
          <w:lang w:val="hy-AM"/>
        </w:rPr>
        <w:t>երկարությամբ</w:t>
      </w:r>
      <w:r w:rsidRPr="00A83C94">
        <w:rPr>
          <w:b w:val="0"/>
          <w:szCs w:val="22"/>
          <w:lang w:val="af-ZA"/>
        </w:rPr>
        <w:t xml:space="preserve"> </w:t>
      </w:r>
      <w:r w:rsidRPr="00A83C94">
        <w:rPr>
          <w:b w:val="0"/>
          <w:szCs w:val="22"/>
          <w:lang w:val="hy-AM"/>
        </w:rPr>
        <w:t>կոլեկտորադրենաժային</w:t>
      </w:r>
      <w:r w:rsidRPr="00A83C94">
        <w:rPr>
          <w:b w:val="0"/>
          <w:szCs w:val="22"/>
          <w:lang w:val="af-ZA"/>
        </w:rPr>
        <w:t xml:space="preserve"> </w:t>
      </w:r>
      <w:r w:rsidRPr="00A83C94">
        <w:rPr>
          <w:b w:val="0"/>
          <w:szCs w:val="22"/>
          <w:lang w:val="hy-AM"/>
        </w:rPr>
        <w:t>ցանց</w:t>
      </w:r>
      <w:r w:rsidRPr="00A83C94">
        <w:rPr>
          <w:b w:val="0"/>
          <w:szCs w:val="22"/>
          <w:lang w:val="af-ZA"/>
        </w:rPr>
        <w:t>:</w:t>
      </w:r>
    </w:p>
    <w:p w14:paraId="3D9AD04F" w14:textId="77777777" w:rsidR="0023176E" w:rsidRPr="00A83C94" w:rsidRDefault="0023176E" w:rsidP="0023176E">
      <w:pPr>
        <w:widowControl w:val="0"/>
        <w:spacing w:line="276" w:lineRule="auto"/>
        <w:rPr>
          <w:rFonts w:cs="Sylfaen"/>
          <w:b w:val="0"/>
          <w:szCs w:val="22"/>
          <w:lang w:val="af-ZA"/>
        </w:rPr>
      </w:pPr>
      <w:r w:rsidRPr="00A83C94">
        <w:rPr>
          <w:rFonts w:cs="Sylfaen"/>
          <w:szCs w:val="22"/>
          <w:lang w:val="hy-AM"/>
        </w:rPr>
        <w:t>Տարածքային</w:t>
      </w:r>
      <w:r w:rsidRPr="00A83C94">
        <w:rPr>
          <w:rFonts w:cs="Sylfaen"/>
          <w:szCs w:val="22"/>
          <w:lang w:val="af-ZA"/>
        </w:rPr>
        <w:t xml:space="preserve"> </w:t>
      </w:r>
      <w:r w:rsidRPr="00A83C94">
        <w:rPr>
          <w:rFonts w:cs="Sylfaen"/>
          <w:szCs w:val="22"/>
          <w:lang w:val="hy-AM"/>
        </w:rPr>
        <w:t>կառավարման</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տեղական</w:t>
      </w:r>
      <w:r w:rsidRPr="00A83C94">
        <w:rPr>
          <w:rFonts w:cs="Sylfaen"/>
          <w:szCs w:val="22"/>
          <w:lang w:val="af-ZA"/>
        </w:rPr>
        <w:t xml:space="preserve"> </w:t>
      </w:r>
      <w:r w:rsidRPr="00A83C94">
        <w:rPr>
          <w:rFonts w:cs="Sylfaen"/>
          <w:szCs w:val="22"/>
          <w:lang w:val="hy-AM"/>
        </w:rPr>
        <w:t>ինքնակառավարման</w:t>
      </w:r>
      <w:r w:rsidRPr="00A83C94">
        <w:rPr>
          <w:rFonts w:cs="Sylfaen"/>
          <w:szCs w:val="22"/>
          <w:lang w:val="af-ZA"/>
        </w:rPr>
        <w:t xml:space="preserve"> </w:t>
      </w:r>
      <w:r w:rsidRPr="00A83C94">
        <w:rPr>
          <w:rFonts w:cs="Sylfaen"/>
          <w:szCs w:val="22"/>
          <w:lang w:val="hy-AM"/>
        </w:rPr>
        <w:t>մարմինների</w:t>
      </w:r>
      <w:r w:rsidRPr="00A83C94">
        <w:rPr>
          <w:rFonts w:cs="Sylfaen"/>
          <w:szCs w:val="22"/>
          <w:lang w:val="af-ZA"/>
        </w:rPr>
        <w:t xml:space="preserve"> </w:t>
      </w:r>
      <w:r w:rsidRPr="00A83C94">
        <w:rPr>
          <w:rFonts w:cs="Sylfaen"/>
          <w:szCs w:val="22"/>
          <w:lang w:val="hy-AM"/>
        </w:rPr>
        <w:t>ներկայացուցիչների</w:t>
      </w:r>
      <w:r w:rsidRPr="00A83C94">
        <w:rPr>
          <w:rFonts w:cs="Sylfaen"/>
          <w:szCs w:val="22"/>
          <w:lang w:val="af-ZA"/>
        </w:rPr>
        <w:t xml:space="preserve"> </w:t>
      </w:r>
      <w:r w:rsidRPr="00A83C94">
        <w:rPr>
          <w:rFonts w:cs="Sylfaen"/>
          <w:szCs w:val="22"/>
          <w:lang w:val="hy-AM"/>
        </w:rPr>
        <w:t>մասնագիտական</w:t>
      </w:r>
      <w:r w:rsidRPr="00A83C94">
        <w:rPr>
          <w:rFonts w:cs="Sylfaen"/>
          <w:szCs w:val="22"/>
          <w:lang w:val="af-ZA"/>
        </w:rPr>
        <w:t xml:space="preserve"> </w:t>
      </w:r>
      <w:r w:rsidRPr="00A83C94">
        <w:rPr>
          <w:rFonts w:cs="Sylfaen"/>
          <w:szCs w:val="22"/>
          <w:lang w:val="hy-AM"/>
        </w:rPr>
        <w:t>վերապատրաստում</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հատուկ</w:t>
      </w:r>
      <w:r w:rsidRPr="00A83C94">
        <w:rPr>
          <w:rFonts w:cs="Sylfaen"/>
          <w:szCs w:val="22"/>
          <w:lang w:val="af-ZA"/>
        </w:rPr>
        <w:t xml:space="preserve"> </w:t>
      </w:r>
      <w:r w:rsidRPr="00A83C94">
        <w:rPr>
          <w:rFonts w:cs="Sylfaen"/>
          <w:szCs w:val="22"/>
          <w:lang w:val="hy-AM"/>
        </w:rPr>
        <w:t>ուսուցում</w:t>
      </w:r>
      <w:r w:rsidRPr="00A83C94">
        <w:rPr>
          <w:rFonts w:cs="Sylfaen"/>
          <w:szCs w:val="22"/>
          <w:lang w:val="af-ZA"/>
        </w:rPr>
        <w:t xml:space="preserve"> </w:t>
      </w:r>
      <w:r w:rsidRPr="00A83C94">
        <w:rPr>
          <w:b w:val="0"/>
          <w:bCs/>
          <w:iCs/>
          <w:lang w:val="hy-AM"/>
        </w:rPr>
        <w:t xml:space="preserve">ծրագրի </w:t>
      </w:r>
      <w:r w:rsidRPr="00A83C94">
        <w:rPr>
          <w:rFonts w:cs="Sylfaen"/>
          <w:b w:val="0"/>
          <w:lang w:val="hy-AM"/>
        </w:rPr>
        <w:t>գծով  2022 թվականին  նախատեսվել է  1</w:t>
      </w:r>
      <w:r w:rsidRPr="00A83C94">
        <w:rPr>
          <w:rFonts w:cs="Sylfaen"/>
          <w:b w:val="0"/>
          <w:lang w:val="af-ZA"/>
        </w:rPr>
        <w:t>8</w:t>
      </w:r>
      <w:r w:rsidRPr="00A83C94">
        <w:rPr>
          <w:rFonts w:ascii="Cambria Math" w:hAnsi="Cambria Math" w:cs="Cambria Math"/>
          <w:b w:val="0"/>
          <w:lang w:val="hy-AM"/>
        </w:rPr>
        <w:t>․</w:t>
      </w:r>
      <w:r w:rsidRPr="00A83C94">
        <w:rPr>
          <w:rFonts w:ascii="Cambria Math" w:hAnsi="Cambria Math" w:cs="Cambria Math"/>
          <w:b w:val="0"/>
          <w:lang w:val="af-ZA"/>
        </w:rPr>
        <w:t>5</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77363F69"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տարածքային</w:t>
      </w:r>
      <w:r w:rsidRPr="00A83C94">
        <w:rPr>
          <w:rFonts w:cs="Sylfaen"/>
          <w:b w:val="0"/>
          <w:szCs w:val="22"/>
          <w:lang w:val="af-ZA"/>
        </w:rPr>
        <w:t xml:space="preserve"> </w:t>
      </w:r>
      <w:r w:rsidRPr="00A83C94">
        <w:rPr>
          <w:rFonts w:cs="Sylfaen"/>
          <w:b w:val="0"/>
          <w:szCs w:val="22"/>
        </w:rPr>
        <w:t>կառավարման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տեղական</w:t>
      </w:r>
      <w:r w:rsidRPr="00A83C94">
        <w:rPr>
          <w:rFonts w:cs="Sylfaen"/>
          <w:b w:val="0"/>
          <w:szCs w:val="22"/>
          <w:lang w:val="af-ZA"/>
        </w:rPr>
        <w:t xml:space="preserve"> </w:t>
      </w:r>
      <w:r w:rsidRPr="00A83C94">
        <w:rPr>
          <w:rFonts w:cs="Sylfaen"/>
          <w:b w:val="0"/>
          <w:szCs w:val="22"/>
        </w:rPr>
        <w:t>ինքնակառավարման</w:t>
      </w:r>
      <w:r w:rsidRPr="00A83C94">
        <w:rPr>
          <w:rFonts w:cs="Sylfaen"/>
          <w:b w:val="0"/>
          <w:szCs w:val="22"/>
          <w:lang w:val="af-ZA"/>
        </w:rPr>
        <w:t xml:space="preserve"> </w:t>
      </w:r>
      <w:r w:rsidRPr="00A83C94">
        <w:rPr>
          <w:rFonts w:cs="Sylfaen"/>
          <w:b w:val="0"/>
          <w:szCs w:val="22"/>
        </w:rPr>
        <w:t>մարմինների</w:t>
      </w:r>
      <w:r w:rsidRPr="00A83C94">
        <w:rPr>
          <w:rFonts w:cs="Sylfaen"/>
          <w:b w:val="0"/>
          <w:szCs w:val="22"/>
          <w:lang w:val="af-ZA"/>
        </w:rPr>
        <w:t xml:space="preserve"> </w:t>
      </w:r>
      <w:r w:rsidRPr="00A83C94">
        <w:rPr>
          <w:rFonts w:cs="Sylfaen"/>
          <w:b w:val="0"/>
          <w:szCs w:val="22"/>
        </w:rPr>
        <w:t>աշխատակիցների</w:t>
      </w:r>
      <w:r w:rsidRPr="00A83C94">
        <w:rPr>
          <w:rFonts w:cs="Sylfaen"/>
          <w:b w:val="0"/>
          <w:szCs w:val="22"/>
          <w:lang w:val="af-ZA"/>
        </w:rPr>
        <w:t xml:space="preserve"> </w:t>
      </w:r>
      <w:r w:rsidRPr="00A83C94">
        <w:rPr>
          <w:rFonts w:cs="Sylfaen"/>
          <w:b w:val="0"/>
          <w:szCs w:val="22"/>
        </w:rPr>
        <w:t>աշխատանքի</w:t>
      </w:r>
      <w:r w:rsidRPr="00A83C94">
        <w:rPr>
          <w:rFonts w:cs="Sylfaen"/>
          <w:b w:val="0"/>
          <w:szCs w:val="22"/>
          <w:lang w:val="af-ZA"/>
        </w:rPr>
        <w:t xml:space="preserve"> </w:t>
      </w:r>
      <w:r w:rsidRPr="00A83C94">
        <w:rPr>
          <w:rFonts w:cs="Sylfaen"/>
          <w:b w:val="0"/>
          <w:szCs w:val="22"/>
        </w:rPr>
        <w:t>արդյունավետության</w:t>
      </w:r>
      <w:r w:rsidRPr="00A83C94">
        <w:rPr>
          <w:rFonts w:cs="Sylfaen"/>
          <w:b w:val="0"/>
          <w:szCs w:val="22"/>
          <w:lang w:val="af-ZA"/>
        </w:rPr>
        <w:t xml:space="preserve"> </w:t>
      </w:r>
      <w:r w:rsidRPr="00A83C94">
        <w:rPr>
          <w:rFonts w:cs="Sylfaen"/>
          <w:b w:val="0"/>
          <w:szCs w:val="22"/>
        </w:rPr>
        <w:t>բարելավումը</w:t>
      </w:r>
      <w:r w:rsidRPr="00A83C94">
        <w:rPr>
          <w:rFonts w:cs="Sylfaen"/>
          <w:b w:val="0"/>
          <w:szCs w:val="22"/>
          <w:lang w:val="af-ZA"/>
        </w:rPr>
        <w:t>:</w:t>
      </w:r>
    </w:p>
    <w:p w14:paraId="772BA1BE"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rPr>
        <w:t>Միջոցառմամբ</w:t>
      </w:r>
      <w:r w:rsidRPr="00A83C94">
        <w:rPr>
          <w:rFonts w:cs="Sylfaen"/>
          <w:b w:val="0"/>
          <w:szCs w:val="22"/>
          <w:lang w:val="af-ZA"/>
        </w:rPr>
        <w:t xml:space="preserve"> </w:t>
      </w:r>
      <w:r w:rsidRPr="00A83C94">
        <w:rPr>
          <w:rFonts w:cs="Sylfaen"/>
          <w:b w:val="0"/>
          <w:szCs w:val="22"/>
        </w:rPr>
        <w:t>նախատեսվում</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իրականացնել</w:t>
      </w:r>
      <w:r w:rsidRPr="00A83C94">
        <w:rPr>
          <w:rFonts w:cs="Sylfaen"/>
          <w:b w:val="0"/>
          <w:szCs w:val="22"/>
          <w:lang w:val="af-ZA"/>
        </w:rPr>
        <w:t xml:space="preserve"> </w:t>
      </w:r>
      <w:r w:rsidRPr="00A83C94">
        <w:rPr>
          <w:rFonts w:cs="Sylfaen"/>
          <w:b w:val="0"/>
          <w:szCs w:val="22"/>
        </w:rPr>
        <w:t>համայնքային</w:t>
      </w:r>
      <w:r w:rsidRPr="00A83C94">
        <w:rPr>
          <w:rFonts w:cs="Sylfaen"/>
          <w:b w:val="0"/>
          <w:szCs w:val="22"/>
          <w:lang w:val="af-ZA"/>
        </w:rPr>
        <w:t xml:space="preserve"> </w:t>
      </w:r>
      <w:r w:rsidRPr="00A83C94">
        <w:rPr>
          <w:rFonts w:cs="Sylfaen"/>
          <w:b w:val="0"/>
          <w:szCs w:val="22"/>
        </w:rPr>
        <w:t>ծառայողների</w:t>
      </w:r>
      <w:r w:rsidRPr="00A83C94">
        <w:rPr>
          <w:rFonts w:cs="Sylfaen"/>
          <w:b w:val="0"/>
          <w:szCs w:val="22"/>
          <w:lang w:val="af-ZA"/>
        </w:rPr>
        <w:t xml:space="preserve">, </w:t>
      </w:r>
      <w:r w:rsidRPr="00A83C94">
        <w:rPr>
          <w:rFonts w:cs="Sylfaen"/>
          <w:b w:val="0"/>
          <w:szCs w:val="22"/>
        </w:rPr>
        <w:t>տեղական</w:t>
      </w:r>
      <w:r w:rsidRPr="00A83C94">
        <w:rPr>
          <w:rFonts w:cs="Sylfaen"/>
          <w:b w:val="0"/>
          <w:szCs w:val="22"/>
          <w:lang w:val="af-ZA"/>
        </w:rPr>
        <w:t xml:space="preserve"> </w:t>
      </w:r>
      <w:r w:rsidRPr="00A83C94">
        <w:rPr>
          <w:rFonts w:cs="Sylfaen"/>
          <w:b w:val="0"/>
          <w:szCs w:val="22"/>
        </w:rPr>
        <w:t>ինքնակառավարման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տարածքային</w:t>
      </w:r>
      <w:r w:rsidRPr="00A83C94">
        <w:rPr>
          <w:rFonts w:cs="Sylfaen"/>
          <w:b w:val="0"/>
          <w:szCs w:val="22"/>
          <w:lang w:val="af-ZA"/>
        </w:rPr>
        <w:t xml:space="preserve"> </w:t>
      </w:r>
      <w:r w:rsidRPr="00A83C94">
        <w:rPr>
          <w:rFonts w:cs="Sylfaen"/>
          <w:b w:val="0"/>
          <w:szCs w:val="22"/>
        </w:rPr>
        <w:t>կառավարման</w:t>
      </w:r>
      <w:r w:rsidRPr="00A83C94">
        <w:rPr>
          <w:rFonts w:cs="Sylfaen"/>
          <w:b w:val="0"/>
          <w:szCs w:val="22"/>
          <w:lang w:val="af-ZA"/>
        </w:rPr>
        <w:t xml:space="preserve"> </w:t>
      </w:r>
      <w:r w:rsidRPr="00A83C94">
        <w:rPr>
          <w:rFonts w:cs="Sylfaen"/>
          <w:b w:val="0"/>
          <w:szCs w:val="22"/>
        </w:rPr>
        <w:t>մարմիններ</w:t>
      </w:r>
      <w:r w:rsidRPr="00A83C94">
        <w:rPr>
          <w:rFonts w:cs="Sylfaen"/>
          <w:b w:val="0"/>
          <w:szCs w:val="22"/>
          <w:lang w:val="hy-AM"/>
        </w:rPr>
        <w:t xml:space="preserve"> 1400</w:t>
      </w:r>
      <w:r w:rsidRPr="00A83C94">
        <w:rPr>
          <w:rFonts w:cs="Sylfaen"/>
          <w:b w:val="0"/>
          <w:szCs w:val="22"/>
          <w:lang w:val="af-ZA"/>
        </w:rPr>
        <w:t xml:space="preserve"> </w:t>
      </w:r>
      <w:r w:rsidRPr="00A83C94">
        <w:rPr>
          <w:rFonts w:cs="Sylfaen"/>
          <w:b w:val="0"/>
          <w:szCs w:val="22"/>
        </w:rPr>
        <w:t>աշխատակիցների</w:t>
      </w:r>
      <w:r w:rsidRPr="00A83C94">
        <w:rPr>
          <w:rFonts w:cs="Sylfaen"/>
          <w:b w:val="0"/>
          <w:szCs w:val="22"/>
          <w:lang w:val="af-ZA"/>
        </w:rPr>
        <w:t xml:space="preserve"> </w:t>
      </w:r>
      <w:r w:rsidRPr="00A83C94">
        <w:rPr>
          <w:rFonts w:cs="Sylfaen"/>
          <w:b w:val="0"/>
          <w:szCs w:val="22"/>
        </w:rPr>
        <w:t>վերապատրաստում</w:t>
      </w:r>
      <w:r w:rsidRPr="00A83C94">
        <w:rPr>
          <w:rFonts w:cs="Sylfaen"/>
          <w:b w:val="0"/>
          <w:szCs w:val="22"/>
          <w:lang w:val="af-ZA"/>
        </w:rPr>
        <w:t>:</w:t>
      </w:r>
    </w:p>
    <w:p w14:paraId="5FE8E6F0" w14:textId="296F1103" w:rsidR="0023176E" w:rsidRPr="00A83C94" w:rsidRDefault="0023176E" w:rsidP="0023176E">
      <w:pPr>
        <w:widowControl w:val="0"/>
        <w:spacing w:line="276" w:lineRule="auto"/>
        <w:rPr>
          <w:rFonts w:cs="Sylfaen"/>
          <w:b w:val="0"/>
          <w:szCs w:val="22"/>
          <w:lang w:val="af-ZA"/>
        </w:rPr>
      </w:pPr>
      <w:r w:rsidRPr="00A83C94">
        <w:rPr>
          <w:rFonts w:cs="Sylfaen"/>
          <w:szCs w:val="22"/>
          <w:lang w:val="hy-AM"/>
        </w:rPr>
        <w:t xml:space="preserve">Կոշտ թափոնների կառավարում </w:t>
      </w:r>
      <w:r w:rsidRPr="00A83C94">
        <w:rPr>
          <w:b w:val="0"/>
          <w:bCs/>
          <w:iCs/>
          <w:lang w:val="hy-AM"/>
        </w:rPr>
        <w:t xml:space="preserve">ծրագրի </w:t>
      </w:r>
      <w:r w:rsidRPr="00A83C94">
        <w:rPr>
          <w:rFonts w:cs="Sylfaen"/>
          <w:b w:val="0"/>
          <w:lang w:val="hy-AM"/>
        </w:rPr>
        <w:t xml:space="preserve">գծով  2022 թվականին  նախատեսվել է  </w:t>
      </w:r>
      <w:r w:rsidR="005A3F0B" w:rsidRPr="005A3F0B">
        <w:rPr>
          <w:rFonts w:cs="Sylfaen"/>
          <w:b w:val="0"/>
          <w:lang w:val="af-ZA"/>
        </w:rPr>
        <w:t>3</w:t>
      </w:r>
      <w:r w:rsidRPr="00A83C94">
        <w:rPr>
          <w:rFonts w:cs="Sylfaen"/>
          <w:b w:val="0"/>
          <w:lang w:val="hy-AM"/>
        </w:rPr>
        <w:t>,</w:t>
      </w:r>
      <w:r w:rsidR="005A3F0B" w:rsidRPr="005A3F0B">
        <w:rPr>
          <w:rFonts w:cs="Sylfaen"/>
          <w:b w:val="0"/>
          <w:lang w:val="af-ZA"/>
        </w:rPr>
        <w:t>735</w:t>
      </w:r>
      <w:r w:rsidRPr="00A83C94">
        <w:rPr>
          <w:rFonts w:cs="Sylfaen"/>
          <w:b w:val="0"/>
          <w:lang w:val="hy-AM"/>
        </w:rPr>
        <w:t xml:space="preserve">.8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04F07B34" w14:textId="77777777" w:rsidR="0023176E" w:rsidRPr="00A83C94" w:rsidRDefault="0023176E" w:rsidP="0023176E">
      <w:pPr>
        <w:widowControl w:val="0"/>
        <w:spacing w:line="276" w:lineRule="auto"/>
        <w:rPr>
          <w:rFonts w:cs="Sylfaen"/>
          <w:b w:val="0"/>
          <w:color w:val="000000"/>
          <w:lang w:val="hy-AM"/>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կենցաղային</w:t>
      </w:r>
      <w:r w:rsidRPr="00A83C94">
        <w:rPr>
          <w:rFonts w:cs="Sylfaen"/>
          <w:b w:val="0"/>
          <w:szCs w:val="22"/>
          <w:lang w:val="af-ZA"/>
        </w:rPr>
        <w:t xml:space="preserve"> </w:t>
      </w:r>
      <w:r w:rsidRPr="00A83C94">
        <w:rPr>
          <w:rFonts w:cs="Sylfaen"/>
          <w:b w:val="0"/>
          <w:szCs w:val="22"/>
        </w:rPr>
        <w:t>թափոնների</w:t>
      </w:r>
      <w:r w:rsidRPr="00A83C94">
        <w:rPr>
          <w:rFonts w:cs="Sylfaen"/>
          <w:b w:val="0"/>
          <w:szCs w:val="22"/>
          <w:lang w:val="af-ZA"/>
        </w:rPr>
        <w:t xml:space="preserve"> </w:t>
      </w:r>
      <w:r w:rsidRPr="00A83C94">
        <w:rPr>
          <w:rFonts w:cs="Sylfaen"/>
          <w:b w:val="0"/>
          <w:szCs w:val="22"/>
        </w:rPr>
        <w:t>արդյունավետ</w:t>
      </w:r>
      <w:r w:rsidRPr="00A83C94">
        <w:rPr>
          <w:rFonts w:cs="Sylfaen"/>
          <w:b w:val="0"/>
          <w:szCs w:val="22"/>
          <w:lang w:val="af-ZA"/>
        </w:rPr>
        <w:t xml:space="preserve"> </w:t>
      </w:r>
      <w:r w:rsidRPr="00A83C94">
        <w:rPr>
          <w:rFonts w:cs="Sylfaen"/>
          <w:b w:val="0"/>
          <w:szCs w:val="22"/>
        </w:rPr>
        <w:t>կառավարումը</w:t>
      </w:r>
      <w:r w:rsidRPr="00A83C94">
        <w:rPr>
          <w:rFonts w:cs="Sylfaen"/>
          <w:b w:val="0"/>
          <w:szCs w:val="22"/>
          <w:lang w:val="af-ZA"/>
        </w:rPr>
        <w:t xml:space="preserve">, </w:t>
      </w:r>
      <w:r w:rsidRPr="00A83C94">
        <w:rPr>
          <w:rFonts w:cs="Sylfaen"/>
          <w:b w:val="0"/>
          <w:szCs w:val="22"/>
        </w:rPr>
        <w:t>սոցիալական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բնապահպանական</w:t>
      </w:r>
      <w:r w:rsidRPr="00A83C94">
        <w:rPr>
          <w:rFonts w:cs="Sylfaen"/>
          <w:b w:val="0"/>
          <w:szCs w:val="22"/>
          <w:lang w:val="af-ZA"/>
        </w:rPr>
        <w:t xml:space="preserve"> </w:t>
      </w:r>
      <w:r w:rsidRPr="00A83C94">
        <w:rPr>
          <w:rFonts w:cs="Sylfaen"/>
          <w:b w:val="0"/>
          <w:szCs w:val="22"/>
        </w:rPr>
        <w:t>խնդիրների</w:t>
      </w:r>
      <w:r w:rsidRPr="00A83C94">
        <w:rPr>
          <w:rFonts w:cs="Sylfaen"/>
          <w:b w:val="0"/>
          <w:szCs w:val="22"/>
          <w:lang w:val="af-ZA"/>
        </w:rPr>
        <w:t xml:space="preserve"> </w:t>
      </w:r>
      <w:r w:rsidRPr="00A83C94">
        <w:rPr>
          <w:rFonts w:cs="Sylfaen"/>
          <w:b w:val="0"/>
          <w:szCs w:val="22"/>
        </w:rPr>
        <w:t>լուծումը</w:t>
      </w:r>
      <w:r w:rsidRPr="00A83C94">
        <w:rPr>
          <w:rFonts w:cs="Sylfaen"/>
          <w:b w:val="0"/>
          <w:szCs w:val="22"/>
          <w:lang w:val="hy-AM"/>
        </w:rPr>
        <w:t xml:space="preserve">, մասնավորապես </w:t>
      </w:r>
      <w:r w:rsidRPr="00A83C94">
        <w:rPr>
          <w:rFonts w:cs="Sylfaen"/>
          <w:b w:val="0"/>
          <w:color w:val="000000"/>
          <w:lang w:val="hy-AM"/>
        </w:rPr>
        <w:t>բարելավել հանրապետությունում աղբահանության և սանիտարական մաքրման համակարգը,  ինչպես նաև նպաստել հանրապետությունում կոշտ կենցաղային թափոնների արդյունավետ կառավարմանը:</w:t>
      </w:r>
    </w:p>
    <w:p w14:paraId="18B33097" w14:textId="77777777" w:rsidR="0023176E" w:rsidRPr="00A83C94" w:rsidRDefault="0023176E" w:rsidP="0023176E">
      <w:pPr>
        <w:widowControl w:val="0"/>
        <w:spacing w:line="276" w:lineRule="auto"/>
        <w:rPr>
          <w:b w:val="0"/>
          <w:lang w:val="hy-AM"/>
        </w:rPr>
      </w:pPr>
      <w:r w:rsidRPr="00A83C94">
        <w:rPr>
          <w:b w:val="0"/>
          <w:bCs/>
          <w:color w:val="000000"/>
          <w:lang w:val="hy-AM"/>
        </w:rPr>
        <w:t xml:space="preserve">Ծրագրով նախատեսվում է բարելավել 2 մարզերի աղբահանության համակարգը և կառուցել ԵՄ չափանիշներին համապատասխան աղբավայր Հրազդան քաղաքում, ինչպես նաև </w:t>
      </w:r>
      <w:r w:rsidRPr="00A83C94">
        <w:rPr>
          <w:b w:val="0"/>
          <w:lang w:val="hy-AM"/>
        </w:rPr>
        <w:t xml:space="preserve">երկու մարզերում ներդնել ԵՄ չափանիշներին համապատասխան աղբահանության համակարգ, այդ թվում կառուցել 2 փոխաբեռնման կայան՝ Ակունք և Մարտունի համայնքներում, ձեռք բերել անհրաժեշտ տեխնիկա, աղբատար մեքենաներ,  աղբամաններ։ </w:t>
      </w:r>
    </w:p>
    <w:p w14:paraId="2D5BDB43" w14:textId="77777777" w:rsidR="0023176E" w:rsidRPr="00A83C94" w:rsidRDefault="0023176E" w:rsidP="0023176E">
      <w:pPr>
        <w:widowControl w:val="0"/>
        <w:spacing w:line="276" w:lineRule="auto"/>
        <w:rPr>
          <w:rFonts w:ascii="Calibri" w:hAnsi="Calibri" w:cs="Calibri"/>
          <w:b w:val="0"/>
          <w:lang w:val="hy-AM"/>
        </w:rPr>
      </w:pPr>
      <w:r w:rsidRPr="00A83C94">
        <w:rPr>
          <w:b w:val="0"/>
          <w:lang w:val="hy-AM"/>
        </w:rPr>
        <w:t>Միաժամանակ Եվրոմիության աջակցության վարկային ծրագրի շրջանակներում</w:t>
      </w:r>
      <w:r w:rsidRPr="00A83C94">
        <w:rPr>
          <w:b w:val="0"/>
          <w:szCs w:val="22"/>
          <w:lang w:val="hy-AM" w:eastAsia="en-US"/>
        </w:rPr>
        <w:t xml:space="preserve"> </w:t>
      </w:r>
      <w:r w:rsidRPr="00A83C94">
        <w:rPr>
          <w:rFonts w:eastAsia="Calibri"/>
          <w:b w:val="0"/>
          <w:szCs w:val="22"/>
          <w:lang w:val="hy-AM" w:eastAsia="en-US"/>
        </w:rPr>
        <w:t>նախատեսվում է 8 մարզերում ներդնել աղբահանության և կոշտ թափոնների ինտեգրված համակարգ (4 սանիտարական աղբավայր, 16 փոխբեռնման կայան</w:t>
      </w:r>
      <w:r w:rsidRPr="00A83C94">
        <w:rPr>
          <w:rFonts w:ascii="Calibri" w:eastAsia="Calibri" w:hAnsi="Calibri" w:cs="Calibri"/>
          <w:b w:val="0"/>
          <w:szCs w:val="22"/>
          <w:lang w:val="hy-AM" w:eastAsia="en-US"/>
        </w:rPr>
        <w:t>)</w:t>
      </w:r>
    </w:p>
    <w:p w14:paraId="37F75AFA" w14:textId="062222E4" w:rsidR="0023176E" w:rsidRPr="00A83C94" w:rsidRDefault="0023176E" w:rsidP="0023176E">
      <w:pPr>
        <w:widowControl w:val="0"/>
        <w:spacing w:line="276" w:lineRule="auto"/>
        <w:rPr>
          <w:rFonts w:cs="Sylfaen"/>
          <w:b w:val="0"/>
          <w:szCs w:val="22"/>
          <w:lang w:val="af-ZA"/>
        </w:rPr>
      </w:pPr>
      <w:r w:rsidRPr="00A83C94">
        <w:rPr>
          <w:rFonts w:cs="Sylfaen"/>
          <w:szCs w:val="22"/>
          <w:lang w:val="hy-AM"/>
        </w:rPr>
        <w:t>Ճանապարհային</w:t>
      </w:r>
      <w:r w:rsidRPr="00A83C94">
        <w:rPr>
          <w:rFonts w:cs="Sylfaen"/>
          <w:szCs w:val="22"/>
          <w:lang w:val="af-ZA"/>
        </w:rPr>
        <w:t xml:space="preserve"> </w:t>
      </w:r>
      <w:r w:rsidRPr="00A83C94">
        <w:rPr>
          <w:rFonts w:cs="Sylfaen"/>
          <w:szCs w:val="22"/>
          <w:lang w:val="hy-AM"/>
        </w:rPr>
        <w:t>ցանցի</w:t>
      </w:r>
      <w:r w:rsidRPr="00A83C94">
        <w:rPr>
          <w:rFonts w:cs="Sylfaen"/>
          <w:szCs w:val="22"/>
          <w:lang w:val="af-ZA"/>
        </w:rPr>
        <w:t xml:space="preserve"> </w:t>
      </w:r>
      <w:r w:rsidRPr="00A83C94">
        <w:rPr>
          <w:rFonts w:cs="Sylfaen"/>
          <w:szCs w:val="22"/>
          <w:lang w:val="hy-AM"/>
        </w:rPr>
        <w:t>բարելավում</w:t>
      </w:r>
      <w:r w:rsidRPr="00A83C94">
        <w:rPr>
          <w:rFonts w:cs="Sylfaen"/>
          <w:szCs w:val="22"/>
          <w:lang w:val="af-ZA"/>
        </w:rPr>
        <w:t xml:space="preserve"> </w:t>
      </w:r>
      <w:r w:rsidRPr="00A83C94">
        <w:rPr>
          <w:b w:val="0"/>
          <w:bCs/>
          <w:iCs/>
          <w:lang w:val="hy-AM"/>
        </w:rPr>
        <w:t xml:space="preserve">ծրագրի </w:t>
      </w:r>
      <w:r w:rsidRPr="00A83C94">
        <w:rPr>
          <w:rFonts w:cs="Sylfaen"/>
          <w:b w:val="0"/>
          <w:lang w:val="hy-AM"/>
        </w:rPr>
        <w:t>գծով 2022 թվականին  նախատեսվել է  1</w:t>
      </w:r>
      <w:r w:rsidR="005A3F0B" w:rsidRPr="00F36E04">
        <w:rPr>
          <w:rFonts w:cs="Sylfaen"/>
          <w:b w:val="0"/>
          <w:lang w:val="hy-AM"/>
        </w:rPr>
        <w:t>1</w:t>
      </w:r>
      <w:r w:rsidRPr="00A83C94">
        <w:rPr>
          <w:rFonts w:cs="Sylfaen"/>
          <w:b w:val="0"/>
          <w:lang w:val="hy-AM"/>
        </w:rPr>
        <w:t xml:space="preserve">5,177.3 մլն </w:t>
      </w:r>
      <w:r w:rsidRPr="00A83C94">
        <w:rPr>
          <w:rFonts w:cs="GHEA Grapalat"/>
          <w:b w:val="0"/>
          <w:lang w:val="hy-AM"/>
        </w:rPr>
        <w:t>դրամ</w:t>
      </w:r>
      <w:r w:rsidRPr="00A83C94">
        <w:rPr>
          <w:b w:val="0"/>
          <w:bCs/>
          <w:iCs/>
          <w:lang w:val="hy-AM"/>
        </w:rPr>
        <w:t>.</w:t>
      </w:r>
    </w:p>
    <w:p w14:paraId="276A0728"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lang w:val="hy-AM"/>
        </w:rPr>
        <w:t>Ծրագրի</w:t>
      </w:r>
      <w:r w:rsidRPr="00A83C94">
        <w:rPr>
          <w:rFonts w:cs="Sylfaen"/>
          <w:b w:val="0"/>
          <w:szCs w:val="22"/>
          <w:lang w:val="af-ZA"/>
        </w:rPr>
        <w:t xml:space="preserve"> </w:t>
      </w:r>
      <w:r w:rsidRPr="00A83C94">
        <w:rPr>
          <w:rFonts w:cs="Sylfaen"/>
          <w:b w:val="0"/>
          <w:szCs w:val="22"/>
          <w:lang w:val="hy-AM"/>
        </w:rPr>
        <w:t>նպատակն</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ճանապարհային</w:t>
      </w:r>
      <w:r w:rsidRPr="00A83C94">
        <w:rPr>
          <w:rFonts w:cs="Sylfaen"/>
          <w:b w:val="0"/>
          <w:szCs w:val="22"/>
          <w:lang w:val="af-ZA"/>
        </w:rPr>
        <w:t xml:space="preserve"> </w:t>
      </w:r>
      <w:r w:rsidRPr="00A83C94">
        <w:rPr>
          <w:rFonts w:cs="Sylfaen"/>
          <w:b w:val="0"/>
          <w:szCs w:val="22"/>
          <w:lang w:val="hy-AM"/>
        </w:rPr>
        <w:t>ցանցի</w:t>
      </w:r>
      <w:r w:rsidRPr="00A83C94">
        <w:rPr>
          <w:rFonts w:cs="Sylfaen"/>
          <w:b w:val="0"/>
          <w:szCs w:val="22"/>
          <w:lang w:val="af-ZA"/>
        </w:rPr>
        <w:t xml:space="preserve"> </w:t>
      </w:r>
      <w:r w:rsidRPr="00A83C94">
        <w:rPr>
          <w:rFonts w:cs="Sylfaen"/>
          <w:b w:val="0"/>
          <w:szCs w:val="22"/>
          <w:lang w:val="hy-AM"/>
        </w:rPr>
        <w:t>բարելավումն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անվտանգ</w:t>
      </w:r>
      <w:r w:rsidRPr="00A83C94">
        <w:rPr>
          <w:rFonts w:cs="Sylfaen"/>
          <w:b w:val="0"/>
          <w:szCs w:val="22"/>
          <w:lang w:val="af-ZA"/>
        </w:rPr>
        <w:t xml:space="preserve"> </w:t>
      </w:r>
      <w:r w:rsidRPr="00A83C94">
        <w:rPr>
          <w:rFonts w:cs="Sylfaen"/>
          <w:b w:val="0"/>
          <w:szCs w:val="22"/>
          <w:lang w:val="hy-AM"/>
        </w:rPr>
        <w:t>երթևեկության</w:t>
      </w:r>
      <w:r w:rsidRPr="00A83C94">
        <w:rPr>
          <w:rFonts w:cs="Sylfaen"/>
          <w:b w:val="0"/>
          <w:szCs w:val="22"/>
          <w:lang w:val="af-ZA"/>
        </w:rPr>
        <w:t xml:space="preserve"> </w:t>
      </w:r>
      <w:r w:rsidRPr="00A83C94">
        <w:rPr>
          <w:rFonts w:cs="Sylfaen"/>
          <w:b w:val="0"/>
          <w:szCs w:val="22"/>
          <w:lang w:val="hy-AM"/>
        </w:rPr>
        <w:t>ապահովումը</w:t>
      </w:r>
      <w:r w:rsidRPr="00A83C94">
        <w:rPr>
          <w:rFonts w:cs="Sylfaen"/>
          <w:b w:val="0"/>
          <w:szCs w:val="22"/>
          <w:lang w:val="af-ZA"/>
        </w:rPr>
        <w:t xml:space="preserve">, </w:t>
      </w:r>
      <w:r w:rsidRPr="00A83C94">
        <w:rPr>
          <w:rFonts w:cs="Sylfaen"/>
          <w:b w:val="0"/>
          <w:szCs w:val="22"/>
          <w:lang w:val="hy-AM"/>
        </w:rPr>
        <w:t>որի</w:t>
      </w:r>
      <w:r w:rsidRPr="00A83C94">
        <w:rPr>
          <w:rFonts w:cs="Sylfaen"/>
          <w:b w:val="0"/>
          <w:szCs w:val="22"/>
          <w:lang w:val="af-ZA"/>
        </w:rPr>
        <w:t xml:space="preserve"> </w:t>
      </w:r>
      <w:r w:rsidRPr="00A83C94">
        <w:rPr>
          <w:rFonts w:cs="Sylfaen"/>
          <w:b w:val="0"/>
          <w:szCs w:val="22"/>
          <w:lang w:val="hy-AM"/>
        </w:rPr>
        <w:t>շրջանակներում</w:t>
      </w:r>
      <w:r w:rsidRPr="00A83C94">
        <w:rPr>
          <w:rFonts w:cs="Sylfaen"/>
          <w:b w:val="0"/>
          <w:szCs w:val="22"/>
          <w:lang w:val="af-ZA"/>
        </w:rPr>
        <w:t xml:space="preserve"> 2022 </w:t>
      </w:r>
      <w:r w:rsidRPr="00A83C94">
        <w:rPr>
          <w:rFonts w:cs="Sylfaen"/>
          <w:b w:val="0"/>
          <w:szCs w:val="22"/>
          <w:lang w:val="hy-AM"/>
        </w:rPr>
        <w:t>թվականին</w:t>
      </w:r>
      <w:r w:rsidRPr="00A83C94">
        <w:rPr>
          <w:rFonts w:cs="Sylfaen"/>
          <w:b w:val="0"/>
          <w:szCs w:val="22"/>
          <w:lang w:val="af-ZA"/>
        </w:rPr>
        <w:t xml:space="preserve"> </w:t>
      </w:r>
      <w:r w:rsidRPr="00A83C94">
        <w:rPr>
          <w:rFonts w:cs="Sylfaen"/>
          <w:b w:val="0"/>
          <w:szCs w:val="22"/>
          <w:lang w:val="hy-AM"/>
        </w:rPr>
        <w:t>ակնկալվում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համայնքների</w:t>
      </w:r>
      <w:r w:rsidRPr="00A83C94">
        <w:rPr>
          <w:rFonts w:cs="Sylfaen"/>
          <w:b w:val="0"/>
          <w:szCs w:val="22"/>
          <w:lang w:val="af-ZA"/>
        </w:rPr>
        <w:t xml:space="preserve"> </w:t>
      </w:r>
      <w:r w:rsidRPr="00A83C94">
        <w:rPr>
          <w:rFonts w:cs="Sylfaen"/>
          <w:b w:val="0"/>
          <w:szCs w:val="22"/>
          <w:lang w:val="hy-AM"/>
        </w:rPr>
        <w:t>տրանսպորտային</w:t>
      </w:r>
      <w:r w:rsidRPr="00A83C94">
        <w:rPr>
          <w:rFonts w:cs="Sylfaen"/>
          <w:b w:val="0"/>
          <w:szCs w:val="22"/>
          <w:lang w:val="af-ZA"/>
        </w:rPr>
        <w:t xml:space="preserve"> </w:t>
      </w:r>
      <w:r w:rsidRPr="00A83C94">
        <w:rPr>
          <w:rFonts w:cs="Sylfaen"/>
          <w:b w:val="0"/>
          <w:szCs w:val="22"/>
          <w:lang w:val="hy-AM"/>
        </w:rPr>
        <w:t>կապի</w:t>
      </w:r>
      <w:r w:rsidRPr="00A83C94">
        <w:rPr>
          <w:rFonts w:cs="Sylfaen"/>
          <w:b w:val="0"/>
          <w:szCs w:val="22"/>
          <w:lang w:val="af-ZA"/>
        </w:rPr>
        <w:t xml:space="preserve"> </w:t>
      </w:r>
      <w:r w:rsidRPr="00A83C94">
        <w:rPr>
          <w:rFonts w:cs="Sylfaen"/>
          <w:b w:val="0"/>
          <w:szCs w:val="22"/>
          <w:lang w:val="hy-AM"/>
        </w:rPr>
        <w:t>ցուցանիշի</w:t>
      </w:r>
      <w:r w:rsidRPr="00A83C94">
        <w:rPr>
          <w:rFonts w:cs="Sylfaen"/>
          <w:b w:val="0"/>
          <w:szCs w:val="22"/>
          <w:lang w:val="af-ZA"/>
        </w:rPr>
        <w:t xml:space="preserve"> (</w:t>
      </w:r>
      <w:r w:rsidRPr="00A83C94">
        <w:rPr>
          <w:rFonts w:cs="Sylfaen"/>
          <w:b w:val="0"/>
          <w:szCs w:val="22"/>
          <w:lang w:val="hy-AM"/>
        </w:rPr>
        <w:t>հիմնական</w:t>
      </w:r>
      <w:r w:rsidRPr="00A83C94">
        <w:rPr>
          <w:rFonts w:cs="Sylfaen"/>
          <w:b w:val="0"/>
          <w:szCs w:val="22"/>
          <w:lang w:val="af-ZA"/>
        </w:rPr>
        <w:t xml:space="preserve"> </w:t>
      </w:r>
      <w:r w:rsidRPr="00A83C94">
        <w:rPr>
          <w:rFonts w:cs="Sylfaen"/>
          <w:b w:val="0"/>
          <w:szCs w:val="22"/>
          <w:lang w:val="hy-AM"/>
        </w:rPr>
        <w:t>ճանապարհային</w:t>
      </w:r>
      <w:r w:rsidRPr="00A83C94">
        <w:rPr>
          <w:rFonts w:cs="Sylfaen"/>
          <w:b w:val="0"/>
          <w:szCs w:val="22"/>
          <w:lang w:val="af-ZA"/>
        </w:rPr>
        <w:t xml:space="preserve"> </w:t>
      </w:r>
      <w:r w:rsidRPr="00A83C94">
        <w:rPr>
          <w:rFonts w:cs="Sylfaen"/>
          <w:b w:val="0"/>
          <w:szCs w:val="22"/>
          <w:lang w:val="hy-AM"/>
        </w:rPr>
        <w:t>ցանցի</w:t>
      </w:r>
      <w:r w:rsidRPr="00A83C94">
        <w:rPr>
          <w:rFonts w:cs="Sylfaen"/>
          <w:b w:val="0"/>
          <w:szCs w:val="22"/>
          <w:lang w:val="af-ZA"/>
        </w:rPr>
        <w:t xml:space="preserve"> </w:t>
      </w:r>
      <w:r w:rsidRPr="00A83C94">
        <w:rPr>
          <w:rFonts w:cs="Sylfaen"/>
          <w:b w:val="0"/>
          <w:szCs w:val="22"/>
          <w:lang w:val="hy-AM"/>
        </w:rPr>
        <w:t>կամ</w:t>
      </w:r>
      <w:r w:rsidRPr="00A83C94">
        <w:rPr>
          <w:rFonts w:cs="Sylfaen"/>
          <w:b w:val="0"/>
          <w:szCs w:val="22"/>
          <w:lang w:val="af-ZA"/>
        </w:rPr>
        <w:t xml:space="preserve"> </w:t>
      </w:r>
      <w:r w:rsidRPr="00A83C94">
        <w:rPr>
          <w:rFonts w:cs="Sylfaen"/>
          <w:b w:val="0"/>
          <w:szCs w:val="22"/>
          <w:lang w:val="hy-AM"/>
        </w:rPr>
        <w:t>մարզկենտրոնների</w:t>
      </w:r>
      <w:r w:rsidRPr="00A83C94">
        <w:rPr>
          <w:rFonts w:cs="Sylfaen"/>
          <w:b w:val="0"/>
          <w:szCs w:val="22"/>
          <w:lang w:val="af-ZA"/>
        </w:rPr>
        <w:t xml:space="preserve"> </w:t>
      </w:r>
      <w:r w:rsidRPr="00A83C94">
        <w:rPr>
          <w:rFonts w:cs="Sylfaen"/>
          <w:b w:val="0"/>
          <w:szCs w:val="22"/>
          <w:lang w:val="hy-AM"/>
        </w:rPr>
        <w:t>հետ</w:t>
      </w:r>
      <w:r w:rsidRPr="00A83C94">
        <w:rPr>
          <w:rFonts w:cs="Sylfaen"/>
          <w:b w:val="0"/>
          <w:szCs w:val="22"/>
          <w:lang w:val="af-ZA"/>
        </w:rPr>
        <w:t xml:space="preserve"> </w:t>
      </w:r>
      <w:r w:rsidRPr="00A83C94">
        <w:rPr>
          <w:rFonts w:cs="Sylfaen"/>
          <w:b w:val="0"/>
          <w:szCs w:val="22"/>
          <w:lang w:val="hy-AM"/>
        </w:rPr>
        <w:t>առնվազն</w:t>
      </w:r>
      <w:r w:rsidRPr="00A83C94">
        <w:rPr>
          <w:rFonts w:cs="Sylfaen"/>
          <w:b w:val="0"/>
          <w:szCs w:val="22"/>
          <w:lang w:val="af-ZA"/>
        </w:rPr>
        <w:t xml:space="preserve"> </w:t>
      </w:r>
      <w:r w:rsidRPr="00A83C94">
        <w:rPr>
          <w:rFonts w:cs="Sylfaen"/>
          <w:b w:val="0"/>
          <w:szCs w:val="22"/>
          <w:lang w:val="hy-AM"/>
        </w:rPr>
        <w:t>մեկ</w:t>
      </w:r>
      <w:r w:rsidRPr="00A83C94">
        <w:rPr>
          <w:rFonts w:cs="Sylfaen"/>
          <w:b w:val="0"/>
          <w:szCs w:val="22"/>
          <w:lang w:val="af-ZA"/>
        </w:rPr>
        <w:t xml:space="preserve"> </w:t>
      </w:r>
      <w:r w:rsidRPr="00A83C94">
        <w:rPr>
          <w:rFonts w:cs="Sylfaen"/>
          <w:b w:val="0"/>
          <w:szCs w:val="22"/>
          <w:lang w:val="hy-AM"/>
        </w:rPr>
        <w:t>բավարար</w:t>
      </w:r>
      <w:r w:rsidRPr="00A83C94">
        <w:rPr>
          <w:rFonts w:cs="Sylfaen"/>
          <w:b w:val="0"/>
          <w:szCs w:val="22"/>
          <w:lang w:val="af-ZA"/>
        </w:rPr>
        <w:t xml:space="preserve"> </w:t>
      </w:r>
      <w:r w:rsidRPr="00A83C94">
        <w:rPr>
          <w:rFonts w:cs="Sylfaen"/>
          <w:b w:val="0"/>
          <w:szCs w:val="22"/>
          <w:lang w:val="hy-AM"/>
        </w:rPr>
        <w:t>կամ</w:t>
      </w:r>
      <w:r w:rsidRPr="00A83C94">
        <w:rPr>
          <w:rFonts w:cs="Sylfaen"/>
          <w:b w:val="0"/>
          <w:szCs w:val="22"/>
          <w:lang w:val="af-ZA"/>
        </w:rPr>
        <w:t xml:space="preserve"> </w:t>
      </w:r>
      <w:r w:rsidRPr="00A83C94">
        <w:rPr>
          <w:rFonts w:cs="Sylfaen"/>
          <w:b w:val="0"/>
          <w:szCs w:val="22"/>
          <w:lang w:val="hy-AM"/>
        </w:rPr>
        <w:t>ավելի</w:t>
      </w:r>
      <w:r w:rsidRPr="00A83C94">
        <w:rPr>
          <w:rFonts w:cs="Sylfaen"/>
          <w:b w:val="0"/>
          <w:szCs w:val="22"/>
          <w:lang w:val="af-ZA"/>
        </w:rPr>
        <w:t xml:space="preserve"> </w:t>
      </w:r>
      <w:r w:rsidRPr="00A83C94">
        <w:rPr>
          <w:rFonts w:cs="Sylfaen"/>
          <w:b w:val="0"/>
          <w:szCs w:val="22"/>
          <w:lang w:val="hy-AM"/>
        </w:rPr>
        <w:t>լավ</w:t>
      </w:r>
      <w:r w:rsidRPr="00A83C94">
        <w:rPr>
          <w:rFonts w:cs="Sylfaen"/>
          <w:b w:val="0"/>
          <w:szCs w:val="22"/>
          <w:lang w:val="af-ZA"/>
        </w:rPr>
        <w:t xml:space="preserve"> </w:t>
      </w:r>
      <w:r w:rsidRPr="00A83C94">
        <w:rPr>
          <w:rFonts w:cs="Sylfaen"/>
          <w:b w:val="0"/>
          <w:szCs w:val="22"/>
          <w:lang w:val="hy-AM"/>
        </w:rPr>
        <w:t>վիճակում</w:t>
      </w:r>
      <w:r w:rsidRPr="00A83C94">
        <w:rPr>
          <w:rFonts w:cs="Sylfaen"/>
          <w:b w:val="0"/>
          <w:szCs w:val="22"/>
          <w:lang w:val="af-ZA"/>
        </w:rPr>
        <w:t xml:space="preserve"> </w:t>
      </w:r>
      <w:r w:rsidRPr="00A83C94">
        <w:rPr>
          <w:rFonts w:cs="Sylfaen"/>
          <w:b w:val="0"/>
          <w:szCs w:val="22"/>
          <w:lang w:val="hy-AM"/>
        </w:rPr>
        <w:t>գտնվող</w:t>
      </w:r>
      <w:r w:rsidRPr="00A83C94">
        <w:rPr>
          <w:rFonts w:cs="Sylfaen"/>
          <w:b w:val="0"/>
          <w:szCs w:val="22"/>
          <w:lang w:val="af-ZA"/>
        </w:rPr>
        <w:t xml:space="preserve"> </w:t>
      </w:r>
      <w:r w:rsidRPr="00A83C94">
        <w:rPr>
          <w:rFonts w:cs="Sylfaen"/>
          <w:b w:val="0"/>
          <w:szCs w:val="22"/>
          <w:lang w:val="hy-AM"/>
        </w:rPr>
        <w:t>ճանապարհներ</w:t>
      </w:r>
      <w:r w:rsidRPr="00A83C94">
        <w:rPr>
          <w:rFonts w:cs="Sylfaen"/>
          <w:b w:val="0"/>
          <w:szCs w:val="22"/>
          <w:lang w:val="af-ZA"/>
        </w:rPr>
        <w:t xml:space="preserve"> </w:t>
      </w:r>
      <w:r w:rsidRPr="00A83C94">
        <w:rPr>
          <w:rFonts w:cs="Sylfaen"/>
          <w:b w:val="0"/>
          <w:szCs w:val="22"/>
          <w:lang w:val="hy-AM"/>
        </w:rPr>
        <w:t>ունեցող</w:t>
      </w:r>
      <w:r w:rsidRPr="00A83C94">
        <w:rPr>
          <w:rFonts w:cs="Sylfaen"/>
          <w:b w:val="0"/>
          <w:szCs w:val="22"/>
          <w:lang w:val="af-ZA"/>
        </w:rPr>
        <w:t xml:space="preserve"> </w:t>
      </w:r>
      <w:r w:rsidRPr="00A83C94">
        <w:rPr>
          <w:rFonts w:cs="Sylfaen"/>
          <w:b w:val="0"/>
          <w:szCs w:val="22"/>
          <w:lang w:val="hy-AM"/>
        </w:rPr>
        <w:t>բնակավայրերի</w:t>
      </w:r>
      <w:r w:rsidRPr="00A83C94">
        <w:rPr>
          <w:rFonts w:cs="Sylfaen"/>
          <w:b w:val="0"/>
          <w:szCs w:val="22"/>
          <w:lang w:val="af-ZA"/>
        </w:rPr>
        <w:t xml:space="preserve"> </w:t>
      </w:r>
      <w:r w:rsidRPr="00A83C94">
        <w:rPr>
          <w:rFonts w:cs="Sylfaen"/>
          <w:b w:val="0"/>
          <w:szCs w:val="22"/>
          <w:lang w:val="hy-AM"/>
        </w:rPr>
        <w:t>մասնաբաժինը</w:t>
      </w:r>
      <w:r w:rsidRPr="00A83C94">
        <w:rPr>
          <w:rFonts w:cs="Sylfaen"/>
          <w:b w:val="0"/>
          <w:szCs w:val="22"/>
          <w:lang w:val="af-ZA"/>
        </w:rPr>
        <w:t xml:space="preserve"> </w:t>
      </w:r>
      <w:r w:rsidRPr="00A83C94">
        <w:rPr>
          <w:rFonts w:cs="Sylfaen"/>
          <w:b w:val="0"/>
          <w:szCs w:val="22"/>
          <w:lang w:val="hy-AM"/>
        </w:rPr>
        <w:t>բնակավայրերի</w:t>
      </w:r>
      <w:r w:rsidRPr="00A83C94">
        <w:rPr>
          <w:rFonts w:cs="Sylfaen"/>
          <w:b w:val="0"/>
          <w:szCs w:val="22"/>
          <w:lang w:val="af-ZA"/>
        </w:rPr>
        <w:t xml:space="preserve"> </w:t>
      </w:r>
      <w:r w:rsidRPr="00A83C94">
        <w:rPr>
          <w:rFonts w:cs="Sylfaen"/>
          <w:b w:val="0"/>
          <w:szCs w:val="22"/>
          <w:lang w:val="hy-AM"/>
        </w:rPr>
        <w:t>ընդհանուր</w:t>
      </w:r>
      <w:r w:rsidRPr="00A83C94">
        <w:rPr>
          <w:rFonts w:cs="Sylfaen"/>
          <w:b w:val="0"/>
          <w:szCs w:val="22"/>
          <w:lang w:val="af-ZA"/>
        </w:rPr>
        <w:t xml:space="preserve"> </w:t>
      </w:r>
      <w:r w:rsidRPr="00A83C94">
        <w:rPr>
          <w:rFonts w:cs="Sylfaen"/>
          <w:b w:val="0"/>
          <w:szCs w:val="22"/>
          <w:lang w:val="hy-AM"/>
        </w:rPr>
        <w:t>թվում</w:t>
      </w:r>
      <w:r w:rsidRPr="00A83C94">
        <w:rPr>
          <w:rFonts w:cs="Sylfaen"/>
          <w:b w:val="0"/>
          <w:szCs w:val="22"/>
          <w:lang w:val="af-ZA"/>
        </w:rPr>
        <w:t xml:space="preserve">) </w:t>
      </w:r>
      <w:r w:rsidRPr="00A83C94">
        <w:rPr>
          <w:rFonts w:cs="Sylfaen"/>
          <w:b w:val="0"/>
          <w:szCs w:val="22"/>
          <w:lang w:val="hy-AM"/>
        </w:rPr>
        <w:t>մասով</w:t>
      </w:r>
      <w:r w:rsidRPr="00A83C94">
        <w:rPr>
          <w:rFonts w:cs="Sylfaen"/>
          <w:b w:val="0"/>
          <w:szCs w:val="22"/>
          <w:lang w:val="af-ZA"/>
        </w:rPr>
        <w:t xml:space="preserve"> </w:t>
      </w:r>
      <w:r w:rsidRPr="00A83C94">
        <w:rPr>
          <w:rFonts w:cs="Sylfaen"/>
          <w:b w:val="0"/>
          <w:szCs w:val="22"/>
          <w:lang w:val="hy-AM"/>
        </w:rPr>
        <w:t>բազային</w:t>
      </w:r>
      <w:r w:rsidRPr="00A83C94">
        <w:rPr>
          <w:rFonts w:cs="Sylfaen"/>
          <w:b w:val="0"/>
          <w:szCs w:val="22"/>
          <w:lang w:val="af-ZA"/>
        </w:rPr>
        <w:t xml:space="preserve"> 65.9 </w:t>
      </w:r>
      <w:r w:rsidRPr="00A83C94">
        <w:rPr>
          <w:rFonts w:cs="Sylfaen"/>
          <w:b w:val="0"/>
          <w:szCs w:val="22"/>
          <w:lang w:val="hy-AM"/>
        </w:rPr>
        <w:t>տոկոսի</w:t>
      </w:r>
      <w:r w:rsidRPr="00A83C94">
        <w:rPr>
          <w:rFonts w:cs="Sylfaen"/>
          <w:b w:val="0"/>
          <w:szCs w:val="22"/>
          <w:lang w:val="af-ZA"/>
        </w:rPr>
        <w:t xml:space="preserve"> </w:t>
      </w:r>
      <w:r w:rsidRPr="00A83C94">
        <w:rPr>
          <w:rFonts w:cs="Sylfaen"/>
          <w:b w:val="0"/>
          <w:szCs w:val="22"/>
          <w:lang w:val="hy-AM"/>
        </w:rPr>
        <w:t>դիմաց</w:t>
      </w:r>
      <w:r w:rsidRPr="00A83C94">
        <w:rPr>
          <w:rFonts w:cs="Sylfaen"/>
          <w:b w:val="0"/>
          <w:szCs w:val="22"/>
          <w:lang w:val="af-ZA"/>
        </w:rPr>
        <w:t xml:space="preserve"> </w:t>
      </w:r>
      <w:r w:rsidRPr="00A83C94">
        <w:rPr>
          <w:rFonts w:cs="Sylfaen"/>
          <w:b w:val="0"/>
          <w:szCs w:val="22"/>
          <w:lang w:val="hy-AM"/>
        </w:rPr>
        <w:t>ապահովել</w:t>
      </w:r>
      <w:r w:rsidRPr="00A83C94">
        <w:rPr>
          <w:rFonts w:cs="Sylfaen"/>
          <w:b w:val="0"/>
          <w:szCs w:val="22"/>
          <w:lang w:val="af-ZA"/>
        </w:rPr>
        <w:t xml:space="preserve"> 68 </w:t>
      </w:r>
      <w:r w:rsidRPr="00A83C94">
        <w:rPr>
          <w:rFonts w:cs="Sylfaen"/>
          <w:b w:val="0"/>
          <w:szCs w:val="22"/>
          <w:lang w:val="hy-AM"/>
        </w:rPr>
        <w:t>տոկոս</w:t>
      </w:r>
      <w:r w:rsidRPr="00A83C94">
        <w:rPr>
          <w:rFonts w:cs="Sylfaen"/>
          <w:b w:val="0"/>
          <w:szCs w:val="22"/>
          <w:lang w:val="af-ZA"/>
        </w:rPr>
        <w:t xml:space="preserve"> </w:t>
      </w:r>
      <w:r w:rsidRPr="00A83C94">
        <w:rPr>
          <w:rFonts w:cs="Sylfaen"/>
          <w:b w:val="0"/>
          <w:szCs w:val="22"/>
          <w:lang w:val="hy-AM"/>
        </w:rPr>
        <w:t>թիրախային</w:t>
      </w:r>
      <w:r w:rsidRPr="00A83C94">
        <w:rPr>
          <w:rFonts w:cs="Sylfaen"/>
          <w:b w:val="0"/>
          <w:szCs w:val="22"/>
          <w:lang w:val="af-ZA"/>
        </w:rPr>
        <w:t xml:space="preserve"> </w:t>
      </w:r>
      <w:r w:rsidRPr="00A83C94">
        <w:rPr>
          <w:rFonts w:cs="Sylfaen"/>
          <w:b w:val="0"/>
          <w:szCs w:val="22"/>
          <w:lang w:val="hy-AM"/>
        </w:rPr>
        <w:t>ցուցանիշը</w:t>
      </w:r>
      <w:r w:rsidRPr="00A83C94">
        <w:rPr>
          <w:rFonts w:cs="Sylfaen"/>
          <w:b w:val="0"/>
          <w:szCs w:val="22"/>
          <w:lang w:val="af-ZA"/>
        </w:rPr>
        <w:t xml:space="preserve">, </w:t>
      </w:r>
      <w:r w:rsidRPr="00A83C94">
        <w:rPr>
          <w:rFonts w:cs="Sylfaen"/>
          <w:b w:val="0"/>
          <w:szCs w:val="22"/>
          <w:lang w:val="hy-AM"/>
        </w:rPr>
        <w:t>իսկ</w:t>
      </w:r>
      <w:r w:rsidRPr="00A83C94">
        <w:rPr>
          <w:rFonts w:cs="Sylfaen"/>
          <w:b w:val="0"/>
          <w:szCs w:val="22"/>
          <w:lang w:val="af-ZA"/>
        </w:rPr>
        <w:t xml:space="preserve"> </w:t>
      </w:r>
      <w:r w:rsidRPr="00A83C94">
        <w:rPr>
          <w:rFonts w:cs="GHEA Grapalat"/>
          <w:b w:val="0"/>
          <w:szCs w:val="22"/>
          <w:lang w:val="hy-AM"/>
        </w:rPr>
        <w:t>միջպետական</w:t>
      </w:r>
      <w:r w:rsidRPr="00A83C94">
        <w:rPr>
          <w:rFonts w:cs="Sylfaen"/>
          <w:b w:val="0"/>
          <w:szCs w:val="22"/>
          <w:lang w:val="af-ZA"/>
        </w:rPr>
        <w:t xml:space="preserve"> </w:t>
      </w:r>
      <w:r w:rsidRPr="00A83C94">
        <w:rPr>
          <w:rFonts w:cs="Sylfaen"/>
          <w:b w:val="0"/>
          <w:szCs w:val="22"/>
          <w:lang w:val="hy-AM"/>
        </w:rPr>
        <w:t>նշանակության</w:t>
      </w:r>
      <w:r w:rsidRPr="00A83C94">
        <w:rPr>
          <w:rFonts w:cs="Sylfaen"/>
          <w:b w:val="0"/>
          <w:szCs w:val="22"/>
          <w:lang w:val="af-ZA"/>
        </w:rPr>
        <w:t xml:space="preserve"> </w:t>
      </w:r>
      <w:r w:rsidRPr="00A83C94">
        <w:rPr>
          <w:rFonts w:cs="Sylfaen"/>
          <w:b w:val="0"/>
          <w:szCs w:val="22"/>
          <w:lang w:val="hy-AM"/>
        </w:rPr>
        <w:t>ճանապարհների</w:t>
      </w:r>
      <w:r w:rsidRPr="00A83C94">
        <w:rPr>
          <w:rFonts w:cs="Sylfaen"/>
          <w:b w:val="0"/>
          <w:szCs w:val="22"/>
          <w:lang w:val="af-ZA"/>
        </w:rPr>
        <w:t xml:space="preserve"> </w:t>
      </w:r>
      <w:r w:rsidRPr="00A83C94">
        <w:rPr>
          <w:rFonts w:cs="Sylfaen"/>
          <w:b w:val="0"/>
          <w:szCs w:val="22"/>
          <w:lang w:val="hy-AM"/>
        </w:rPr>
        <w:t>անհարթության</w:t>
      </w:r>
      <w:r w:rsidRPr="00A83C94">
        <w:rPr>
          <w:rFonts w:cs="Sylfaen"/>
          <w:b w:val="0"/>
          <w:szCs w:val="22"/>
          <w:lang w:val="af-ZA"/>
        </w:rPr>
        <w:t xml:space="preserve"> IRI </w:t>
      </w:r>
      <w:r w:rsidRPr="00A83C94">
        <w:rPr>
          <w:rFonts w:cs="Sylfaen"/>
          <w:b w:val="0"/>
          <w:szCs w:val="22"/>
          <w:lang w:val="hy-AM"/>
        </w:rPr>
        <w:t>գործակցի</w:t>
      </w:r>
      <w:r w:rsidRPr="00A83C94">
        <w:rPr>
          <w:rFonts w:cs="Sylfaen"/>
          <w:b w:val="0"/>
          <w:szCs w:val="22"/>
          <w:lang w:val="af-ZA"/>
        </w:rPr>
        <w:t xml:space="preserve"> </w:t>
      </w:r>
      <w:r w:rsidRPr="00A83C94">
        <w:rPr>
          <w:rFonts w:cs="Sylfaen"/>
          <w:b w:val="0"/>
          <w:szCs w:val="22"/>
          <w:lang w:val="hy-AM"/>
        </w:rPr>
        <w:t>միջին</w:t>
      </w:r>
      <w:r w:rsidRPr="00A83C94">
        <w:rPr>
          <w:rFonts w:cs="Sylfaen"/>
          <w:b w:val="0"/>
          <w:szCs w:val="22"/>
          <w:lang w:val="af-ZA"/>
        </w:rPr>
        <w:t xml:space="preserve"> </w:t>
      </w:r>
      <w:r w:rsidRPr="00A83C94">
        <w:rPr>
          <w:rFonts w:cs="Sylfaen"/>
          <w:b w:val="0"/>
          <w:szCs w:val="22"/>
          <w:lang w:val="hy-AM"/>
        </w:rPr>
        <w:t>թվաբանականի</w:t>
      </w:r>
      <w:r w:rsidRPr="00A83C94">
        <w:rPr>
          <w:rFonts w:cs="Sylfaen"/>
          <w:b w:val="0"/>
          <w:szCs w:val="22"/>
          <w:lang w:val="af-ZA"/>
        </w:rPr>
        <w:t xml:space="preserve"> </w:t>
      </w:r>
      <w:r w:rsidRPr="00A83C94">
        <w:rPr>
          <w:rFonts w:cs="Sylfaen"/>
          <w:b w:val="0"/>
          <w:szCs w:val="22"/>
          <w:lang w:val="hy-AM"/>
        </w:rPr>
        <w:t>համար՝</w:t>
      </w:r>
      <w:r w:rsidRPr="00A83C94">
        <w:rPr>
          <w:rFonts w:cs="Sylfaen"/>
          <w:b w:val="0"/>
          <w:szCs w:val="22"/>
          <w:lang w:val="af-ZA"/>
        </w:rPr>
        <w:t xml:space="preserve"> </w:t>
      </w:r>
      <w:r w:rsidRPr="00A83C94">
        <w:rPr>
          <w:rFonts w:cs="Sylfaen"/>
          <w:b w:val="0"/>
          <w:szCs w:val="22"/>
          <w:lang w:val="hy-AM"/>
        </w:rPr>
        <w:t>պահպանել</w:t>
      </w:r>
      <w:r w:rsidRPr="00A83C94">
        <w:rPr>
          <w:rFonts w:cs="Sylfaen"/>
          <w:b w:val="0"/>
          <w:szCs w:val="22"/>
          <w:lang w:val="af-ZA"/>
        </w:rPr>
        <w:t xml:space="preserve"> 6.3 </w:t>
      </w:r>
      <w:r w:rsidRPr="00A83C94">
        <w:rPr>
          <w:rFonts w:cs="Sylfaen"/>
          <w:b w:val="0"/>
          <w:szCs w:val="22"/>
          <w:lang w:val="hy-AM"/>
        </w:rPr>
        <w:t>մ</w:t>
      </w:r>
      <w:r w:rsidRPr="00A83C94">
        <w:rPr>
          <w:rFonts w:cs="Sylfaen"/>
          <w:b w:val="0"/>
          <w:szCs w:val="22"/>
          <w:lang w:val="af-ZA"/>
        </w:rPr>
        <w:t>/</w:t>
      </w:r>
      <w:r w:rsidRPr="00A83C94">
        <w:rPr>
          <w:rFonts w:cs="Sylfaen"/>
          <w:b w:val="0"/>
          <w:szCs w:val="22"/>
          <w:lang w:val="hy-AM"/>
        </w:rPr>
        <w:t>կմ</w:t>
      </w:r>
      <w:r w:rsidRPr="00A83C94">
        <w:rPr>
          <w:rFonts w:ascii="Calibri" w:hAnsi="Calibri" w:cs="Calibri"/>
          <w:b w:val="0"/>
          <w:szCs w:val="22"/>
          <w:lang w:val="af-ZA"/>
        </w:rPr>
        <w:t> </w:t>
      </w:r>
      <w:r w:rsidRPr="00A83C94">
        <w:rPr>
          <w:rFonts w:cs="Sylfaen"/>
          <w:b w:val="0"/>
          <w:szCs w:val="22"/>
          <w:lang w:val="hy-AM"/>
        </w:rPr>
        <w:t>ցուցանիշը</w:t>
      </w:r>
      <w:r w:rsidRPr="00A83C94">
        <w:rPr>
          <w:rFonts w:cs="Sylfaen"/>
          <w:b w:val="0"/>
          <w:szCs w:val="22"/>
          <w:lang w:val="af-ZA"/>
        </w:rPr>
        <w:t>:</w:t>
      </w:r>
    </w:p>
    <w:p w14:paraId="29A1574F" w14:textId="77777777" w:rsidR="0023176E" w:rsidRPr="00A83C94" w:rsidRDefault="0023176E" w:rsidP="0023176E">
      <w:pPr>
        <w:widowControl w:val="0"/>
        <w:spacing w:line="276" w:lineRule="auto"/>
        <w:ind w:left="1" w:firstLine="566"/>
        <w:rPr>
          <w:rFonts w:cs="Sylfaen"/>
          <w:b w:val="0"/>
          <w:szCs w:val="22"/>
          <w:lang w:val="hy-AM"/>
        </w:rPr>
      </w:pPr>
      <w:r w:rsidRPr="00A83C94">
        <w:rPr>
          <w:rFonts w:cs="Sylfaen"/>
          <w:b w:val="0"/>
          <w:szCs w:val="22"/>
          <w:lang w:val="hy-AM"/>
        </w:rPr>
        <w:t>Ծրագրի</w:t>
      </w:r>
      <w:r w:rsidRPr="00A83C94">
        <w:rPr>
          <w:rFonts w:cs="Sylfaen"/>
          <w:b w:val="0"/>
          <w:szCs w:val="22"/>
          <w:lang w:val="af-ZA"/>
        </w:rPr>
        <w:t xml:space="preserve"> </w:t>
      </w:r>
      <w:r w:rsidRPr="00A83C94">
        <w:rPr>
          <w:rFonts w:cs="Sylfaen"/>
          <w:b w:val="0"/>
          <w:szCs w:val="22"/>
          <w:lang w:val="hy-AM"/>
        </w:rPr>
        <w:t>շրջանակներում</w:t>
      </w:r>
      <w:r w:rsidRPr="00A83C94">
        <w:rPr>
          <w:rFonts w:cs="Sylfaen"/>
          <w:b w:val="0"/>
          <w:szCs w:val="22"/>
          <w:lang w:val="af-ZA"/>
        </w:rPr>
        <w:t xml:space="preserve"> </w:t>
      </w:r>
      <w:r w:rsidRPr="00A83C94">
        <w:rPr>
          <w:rFonts w:cs="Sylfaen"/>
          <w:b w:val="0"/>
          <w:szCs w:val="22"/>
          <w:lang w:val="hy-AM"/>
        </w:rPr>
        <w:t>ներքին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արտաքին</w:t>
      </w:r>
      <w:r w:rsidRPr="00A83C94">
        <w:rPr>
          <w:rFonts w:cs="Sylfaen"/>
          <w:b w:val="0"/>
          <w:szCs w:val="22"/>
          <w:lang w:val="af-ZA"/>
        </w:rPr>
        <w:t xml:space="preserve"> </w:t>
      </w:r>
      <w:r w:rsidRPr="00A83C94">
        <w:rPr>
          <w:rFonts w:cs="Sylfaen"/>
          <w:b w:val="0"/>
          <w:szCs w:val="22"/>
          <w:lang w:val="hy-AM"/>
        </w:rPr>
        <w:t>աղբյուրների</w:t>
      </w:r>
      <w:r w:rsidRPr="00A83C94">
        <w:rPr>
          <w:rFonts w:cs="Sylfaen"/>
          <w:b w:val="0"/>
          <w:szCs w:val="22"/>
          <w:lang w:val="af-ZA"/>
        </w:rPr>
        <w:t xml:space="preserve"> </w:t>
      </w:r>
      <w:r w:rsidRPr="00A83C94">
        <w:rPr>
          <w:rFonts w:cs="Sylfaen"/>
          <w:b w:val="0"/>
          <w:szCs w:val="22"/>
          <w:lang w:val="hy-AM"/>
        </w:rPr>
        <w:t>ֆինանսավորմամբ</w:t>
      </w:r>
      <w:r w:rsidRPr="00A83C94">
        <w:rPr>
          <w:rFonts w:cs="Sylfaen"/>
          <w:b w:val="0"/>
          <w:color w:val="FF0000"/>
          <w:szCs w:val="22"/>
          <w:lang w:val="hy-AM"/>
        </w:rPr>
        <w:t xml:space="preserve"> </w:t>
      </w:r>
      <w:r w:rsidRPr="00A83C94">
        <w:rPr>
          <w:rFonts w:cs="Sylfaen"/>
          <w:b w:val="0"/>
          <w:szCs w:val="22"/>
          <w:lang w:val="hy-AM"/>
        </w:rPr>
        <w:t>նախատեսվում</w:t>
      </w:r>
      <w:r w:rsidRPr="00A83C94">
        <w:rPr>
          <w:rFonts w:cs="Sylfaen"/>
          <w:b w:val="0"/>
          <w:szCs w:val="22"/>
          <w:lang w:val="af-ZA"/>
        </w:rPr>
        <w:t xml:space="preserve"> </w:t>
      </w:r>
      <w:r w:rsidRPr="00A83C94">
        <w:rPr>
          <w:rFonts w:cs="Sylfaen"/>
          <w:b w:val="0"/>
          <w:szCs w:val="22"/>
          <w:lang w:val="hy-AM"/>
        </w:rPr>
        <w:t>է իրականացնել միջպետական, հանրապետական և  մարզային նշանակության ավտոմոբիլային ճանապարհների ցանցի նորոգում, հիմնանորոգում և որակի շարունակական բարձրացում, որի շնորհիվ կունենանք շուրջ 500 կմ վերանորոգված ավտոճանապարհներ:</w:t>
      </w:r>
    </w:p>
    <w:p w14:paraId="2D9F3A02" w14:textId="77777777" w:rsidR="0023176E" w:rsidRPr="00A83C94" w:rsidRDefault="0023176E" w:rsidP="00956324">
      <w:pPr>
        <w:spacing w:before="0" w:line="276" w:lineRule="auto"/>
        <w:ind w:firstLine="720"/>
        <w:rPr>
          <w:rFonts w:cs="Sylfaen"/>
          <w:b w:val="0"/>
          <w:szCs w:val="22"/>
          <w:lang w:val="hy-AM"/>
        </w:rPr>
      </w:pPr>
      <w:r w:rsidRPr="00A83C94">
        <w:rPr>
          <w:rFonts w:cs="Sylfaen"/>
          <w:b w:val="0"/>
          <w:szCs w:val="22"/>
          <w:lang w:val="hy-AM"/>
        </w:rPr>
        <w:t>Մասնավորապես 2022 թվականին ներքին աղբյուրների հաշվին նախատեսվում է իրականացնել շուրջ</w:t>
      </w:r>
      <w:r w:rsidRPr="00A83C94">
        <w:rPr>
          <w:rFonts w:cs="Sylfaen"/>
          <w:b w:val="0"/>
          <w:szCs w:val="22"/>
          <w:lang w:val="af-ZA"/>
        </w:rPr>
        <w:t xml:space="preserve"> 300.0 </w:t>
      </w:r>
      <w:r w:rsidRPr="00A83C94">
        <w:rPr>
          <w:rFonts w:cs="Sylfaen"/>
          <w:b w:val="0"/>
          <w:szCs w:val="22"/>
          <w:lang w:val="hy-AM"/>
        </w:rPr>
        <w:t>կմ</w:t>
      </w:r>
      <w:r w:rsidRPr="00A83C94">
        <w:rPr>
          <w:rFonts w:cs="Sylfaen"/>
          <w:b w:val="0"/>
          <w:szCs w:val="22"/>
          <w:lang w:val="af-ZA"/>
        </w:rPr>
        <w:t xml:space="preserve"> </w:t>
      </w:r>
      <w:r w:rsidRPr="00A83C94">
        <w:rPr>
          <w:rFonts w:cs="Sylfaen"/>
          <w:b w:val="0"/>
          <w:szCs w:val="22"/>
          <w:lang w:val="hy-AM"/>
        </w:rPr>
        <w:t>երկարությամբ</w:t>
      </w:r>
      <w:r w:rsidRPr="00A83C94">
        <w:rPr>
          <w:rFonts w:cs="Sylfaen"/>
          <w:b w:val="0"/>
          <w:szCs w:val="22"/>
          <w:lang w:val="af-ZA"/>
        </w:rPr>
        <w:t xml:space="preserve"> </w:t>
      </w:r>
      <w:r w:rsidRPr="00A83C94">
        <w:rPr>
          <w:rFonts w:cs="Sylfaen"/>
          <w:b w:val="0"/>
          <w:szCs w:val="22"/>
          <w:lang w:val="hy-AM"/>
        </w:rPr>
        <w:t>միջպետական</w:t>
      </w:r>
      <w:r w:rsidRPr="00A83C94">
        <w:rPr>
          <w:rFonts w:cs="Sylfaen"/>
          <w:b w:val="0"/>
          <w:szCs w:val="22"/>
          <w:lang w:val="af-ZA"/>
        </w:rPr>
        <w:t xml:space="preserve"> </w:t>
      </w:r>
      <w:r w:rsidRPr="00A83C94">
        <w:rPr>
          <w:rFonts w:cs="Sylfaen"/>
          <w:b w:val="0"/>
          <w:szCs w:val="22"/>
          <w:lang w:val="hy-AM"/>
        </w:rPr>
        <w:t>հանրապետական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մարզային</w:t>
      </w:r>
      <w:r w:rsidRPr="00A83C94">
        <w:rPr>
          <w:rFonts w:cs="Sylfaen"/>
          <w:b w:val="0"/>
          <w:szCs w:val="22"/>
          <w:lang w:val="af-ZA"/>
        </w:rPr>
        <w:t xml:space="preserve"> </w:t>
      </w:r>
      <w:r w:rsidRPr="00A83C94">
        <w:rPr>
          <w:rFonts w:cs="Sylfaen"/>
          <w:b w:val="0"/>
          <w:szCs w:val="22"/>
          <w:lang w:val="hy-AM"/>
        </w:rPr>
        <w:t>նշանակության</w:t>
      </w:r>
      <w:r w:rsidRPr="00A83C94">
        <w:rPr>
          <w:rFonts w:cs="Sylfaen"/>
          <w:b w:val="0"/>
          <w:szCs w:val="22"/>
          <w:lang w:val="af-ZA"/>
        </w:rPr>
        <w:t xml:space="preserve"> </w:t>
      </w:r>
      <w:r w:rsidRPr="00A83C94">
        <w:rPr>
          <w:rFonts w:cs="Sylfaen"/>
          <w:b w:val="0"/>
          <w:szCs w:val="22"/>
          <w:lang w:val="hy-AM"/>
        </w:rPr>
        <w:t>ավտոմոբիլային</w:t>
      </w:r>
      <w:r w:rsidRPr="00A83C94">
        <w:rPr>
          <w:rFonts w:cs="Sylfaen"/>
          <w:b w:val="0"/>
          <w:szCs w:val="22"/>
          <w:lang w:val="af-ZA"/>
        </w:rPr>
        <w:t xml:space="preserve"> </w:t>
      </w:r>
      <w:r w:rsidRPr="00A83C94">
        <w:rPr>
          <w:rFonts w:cs="Sylfaen"/>
          <w:b w:val="0"/>
          <w:szCs w:val="22"/>
          <w:lang w:val="hy-AM"/>
        </w:rPr>
        <w:t>ճանապարհների և թվով</w:t>
      </w:r>
      <w:r w:rsidRPr="00A83C94">
        <w:rPr>
          <w:rFonts w:cs="Sylfaen"/>
          <w:b w:val="0"/>
          <w:szCs w:val="22"/>
          <w:lang w:val="af-ZA"/>
        </w:rPr>
        <w:t xml:space="preserve"> 4 </w:t>
      </w:r>
      <w:r w:rsidRPr="00A83C94">
        <w:rPr>
          <w:rFonts w:cs="Sylfaen"/>
          <w:b w:val="0"/>
          <w:szCs w:val="22"/>
          <w:lang w:val="hy-AM"/>
        </w:rPr>
        <w:t>կամուրջների հիմնանորոգման, 80 կմ միջին</w:t>
      </w:r>
      <w:r w:rsidRPr="00A83C94">
        <w:rPr>
          <w:rFonts w:cs="Sylfaen"/>
          <w:b w:val="0"/>
          <w:szCs w:val="22"/>
          <w:lang w:val="af-ZA"/>
        </w:rPr>
        <w:t xml:space="preserve"> </w:t>
      </w:r>
      <w:r w:rsidRPr="00A83C94">
        <w:rPr>
          <w:rFonts w:cs="Sylfaen"/>
          <w:b w:val="0"/>
          <w:szCs w:val="22"/>
          <w:lang w:val="hy-AM"/>
        </w:rPr>
        <w:t>նորոգման, 4163</w:t>
      </w:r>
      <w:r w:rsidRPr="00A83C94">
        <w:rPr>
          <w:rFonts w:cs="Sylfaen"/>
          <w:b w:val="0"/>
          <w:szCs w:val="22"/>
          <w:lang w:val="af-ZA"/>
        </w:rPr>
        <w:t xml:space="preserve"> </w:t>
      </w:r>
      <w:r w:rsidRPr="00A83C94">
        <w:rPr>
          <w:rFonts w:cs="Sylfaen"/>
          <w:b w:val="0"/>
          <w:szCs w:val="22"/>
          <w:lang w:val="hy-AM"/>
        </w:rPr>
        <w:t>կմ</w:t>
      </w:r>
      <w:r w:rsidRPr="00A83C94">
        <w:rPr>
          <w:rFonts w:cs="Sylfaen"/>
          <w:b w:val="0"/>
          <w:szCs w:val="22"/>
          <w:lang w:val="af-ZA"/>
        </w:rPr>
        <w:t xml:space="preserve"> </w:t>
      </w:r>
      <w:r w:rsidRPr="00A83C94">
        <w:rPr>
          <w:rFonts w:cs="Sylfaen"/>
          <w:b w:val="0"/>
          <w:szCs w:val="22"/>
          <w:lang w:val="hy-AM"/>
        </w:rPr>
        <w:t>ամառային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5421.5</w:t>
      </w:r>
      <w:r w:rsidRPr="00A83C94">
        <w:rPr>
          <w:rFonts w:cs="Sylfaen"/>
          <w:b w:val="0"/>
          <w:szCs w:val="22"/>
          <w:lang w:val="af-ZA"/>
        </w:rPr>
        <w:t xml:space="preserve"> </w:t>
      </w:r>
      <w:r w:rsidRPr="00A83C94">
        <w:rPr>
          <w:rFonts w:cs="Sylfaen"/>
          <w:b w:val="0"/>
          <w:szCs w:val="22"/>
          <w:lang w:val="hy-AM"/>
        </w:rPr>
        <w:t>կմ ձմեռային պահպանման, ինչպես նաև 3 թունելների և 5 կամուրջների պահպանման ու շահագործման աշխատանքներ:</w:t>
      </w:r>
    </w:p>
    <w:p w14:paraId="50811D11" w14:textId="77777777" w:rsidR="0023176E" w:rsidRPr="00A83C94" w:rsidRDefault="0023176E" w:rsidP="00956324">
      <w:pPr>
        <w:spacing w:before="0" w:line="276" w:lineRule="auto"/>
        <w:ind w:firstLine="720"/>
        <w:rPr>
          <w:rFonts w:cs="Sylfaen"/>
          <w:b w:val="0"/>
          <w:szCs w:val="22"/>
          <w:lang w:val="hy-AM"/>
        </w:rPr>
      </w:pPr>
      <w:r w:rsidRPr="00A83C94">
        <w:rPr>
          <w:rFonts w:cs="Sylfaen"/>
          <w:b w:val="0"/>
          <w:szCs w:val="22"/>
          <w:lang w:val="hy-AM"/>
        </w:rPr>
        <w:t xml:space="preserve">Արտաքին աղբյուրների ֆինանսավորմամբ իրականացվող շարունակական ծրագրերի ներքո նախատեսվում է հիմնանորոգել շուրջ 120 կմ ճանապարհահատված, «Բագրատաշեն» անցման կետի կամրջի վերակառուցումը, ինչպես նաև մեկնարկելու են Քաջարան-Ագարակ, Սիսիան-Քաջարան և Քաջարանի թունել տանող ճանապարհահատվածների հողերի օտարման և վերակառուցման աշխատանքները: </w:t>
      </w:r>
    </w:p>
    <w:p w14:paraId="0444F3D0" w14:textId="77777777" w:rsidR="0023176E" w:rsidRPr="00A83C94" w:rsidRDefault="0023176E" w:rsidP="00956324">
      <w:pPr>
        <w:spacing w:before="0" w:line="276" w:lineRule="auto"/>
        <w:ind w:firstLine="720"/>
        <w:rPr>
          <w:rFonts w:cs="Sylfaen"/>
          <w:b w:val="0"/>
          <w:szCs w:val="22"/>
          <w:lang w:val="hy-AM"/>
        </w:rPr>
      </w:pPr>
      <w:r w:rsidRPr="00A83C94">
        <w:rPr>
          <w:rFonts w:cs="Sylfaen"/>
          <w:b w:val="0"/>
          <w:szCs w:val="22"/>
          <w:lang w:val="hy-AM"/>
        </w:rPr>
        <w:t>Եվրոմիության աջակցության վարկային ծրագրի շրջանակներում նախատեսվում է վերականգնել Սյունիքի մարզի միջհամայնքային բնակավայրերից մայրուղի տանող և ներբնակավայրային ճանապարհները, 4 քաղաքներում կառուցել ավտոկայանների, ձեռք բերել ավտոբուսների և միկրոավտոբուսներ, ինչպես նաև բարելավել դեպի հեռագնա արոտավայրեր տանող ճանապարները:</w:t>
      </w:r>
    </w:p>
    <w:p w14:paraId="644A35D9" w14:textId="77777777" w:rsidR="0023176E" w:rsidRPr="00A83C94" w:rsidRDefault="0023176E" w:rsidP="00956324">
      <w:pPr>
        <w:widowControl w:val="0"/>
        <w:spacing w:line="276" w:lineRule="auto"/>
        <w:ind w:firstLine="720"/>
        <w:rPr>
          <w:rFonts w:cs="Sylfaen"/>
          <w:b w:val="0"/>
          <w:szCs w:val="22"/>
          <w:lang w:val="af-ZA"/>
        </w:rPr>
      </w:pPr>
      <w:r w:rsidRPr="00A83C94">
        <w:rPr>
          <w:rFonts w:cs="Sylfaen"/>
          <w:szCs w:val="22"/>
          <w:lang w:val="hy-AM"/>
        </w:rPr>
        <w:t>Աջակցություն</w:t>
      </w:r>
      <w:r w:rsidRPr="00A83C94">
        <w:rPr>
          <w:rFonts w:cs="Sylfaen"/>
          <w:szCs w:val="22"/>
          <w:lang w:val="af-ZA"/>
        </w:rPr>
        <w:t xml:space="preserve"> </w:t>
      </w:r>
      <w:r w:rsidRPr="00A83C94">
        <w:rPr>
          <w:rFonts w:cs="Sylfaen"/>
          <w:szCs w:val="22"/>
          <w:lang w:val="hy-AM"/>
        </w:rPr>
        <w:t>փախստականների</w:t>
      </w:r>
      <w:r w:rsidRPr="00A83C94">
        <w:rPr>
          <w:rFonts w:cs="Sylfaen"/>
          <w:szCs w:val="22"/>
          <w:lang w:val="af-ZA"/>
        </w:rPr>
        <w:t xml:space="preserve"> </w:t>
      </w:r>
      <w:r w:rsidRPr="00A83C94">
        <w:rPr>
          <w:rFonts w:cs="Sylfaen"/>
          <w:szCs w:val="22"/>
          <w:lang w:val="hy-AM"/>
        </w:rPr>
        <w:t xml:space="preserve">ինտեգրմանը </w:t>
      </w:r>
      <w:r w:rsidRPr="00A83C94">
        <w:rPr>
          <w:b w:val="0"/>
          <w:bCs/>
          <w:iCs/>
          <w:lang w:val="hy-AM"/>
        </w:rPr>
        <w:t>ծրագրի</w:t>
      </w:r>
      <w:r w:rsidRPr="00A83C94">
        <w:rPr>
          <w:b w:val="0"/>
          <w:bCs/>
          <w:iCs/>
          <w:lang w:val="af-ZA"/>
        </w:rPr>
        <w:t xml:space="preserve"> </w:t>
      </w:r>
      <w:r w:rsidRPr="00A83C94">
        <w:rPr>
          <w:rFonts w:cs="Sylfaen"/>
          <w:b w:val="0"/>
          <w:lang w:val="hy-AM"/>
        </w:rPr>
        <w:t>գծով  2022 թվականին  նախատեսվել է  1,</w:t>
      </w:r>
      <w:r w:rsidRPr="00A83C94">
        <w:rPr>
          <w:rFonts w:cs="Sylfaen"/>
          <w:b w:val="0"/>
          <w:lang w:val="af-ZA"/>
        </w:rPr>
        <w:t>606.9</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0E00A405" w14:textId="77777777" w:rsidR="0023176E" w:rsidRPr="00A83C94" w:rsidRDefault="0023176E" w:rsidP="00956324">
      <w:pPr>
        <w:widowControl w:val="0"/>
        <w:spacing w:line="276" w:lineRule="auto"/>
        <w:ind w:firstLine="720"/>
        <w:rPr>
          <w:rFonts w:cs="Sylfaen"/>
          <w:b w:val="0"/>
          <w:szCs w:val="22"/>
          <w:lang w:val="hy-AM"/>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ապահովել</w:t>
      </w:r>
      <w:r w:rsidRPr="00A83C94">
        <w:rPr>
          <w:rFonts w:cs="Sylfaen"/>
          <w:b w:val="0"/>
          <w:szCs w:val="22"/>
          <w:lang w:val="af-ZA"/>
        </w:rPr>
        <w:t xml:space="preserve"> </w:t>
      </w:r>
      <w:r w:rsidRPr="00A83C94">
        <w:rPr>
          <w:rFonts w:cs="Sylfaen"/>
          <w:b w:val="0"/>
          <w:szCs w:val="22"/>
        </w:rPr>
        <w:t>փախստականների</w:t>
      </w:r>
      <w:r w:rsidRPr="00A83C94">
        <w:rPr>
          <w:rFonts w:cs="Sylfaen"/>
          <w:b w:val="0"/>
          <w:szCs w:val="22"/>
          <w:lang w:val="af-ZA"/>
        </w:rPr>
        <w:t xml:space="preserve"> </w:t>
      </w:r>
      <w:r w:rsidRPr="00A83C94">
        <w:rPr>
          <w:rFonts w:cs="Sylfaen"/>
          <w:b w:val="0"/>
          <w:szCs w:val="22"/>
        </w:rPr>
        <w:t>ինտեգրումը</w:t>
      </w:r>
      <w:r w:rsidRPr="00A83C94">
        <w:rPr>
          <w:rFonts w:cs="Sylfaen"/>
          <w:b w:val="0"/>
          <w:szCs w:val="22"/>
          <w:lang w:val="af-ZA"/>
        </w:rPr>
        <w:t xml:space="preserve"> </w:t>
      </w:r>
      <w:r w:rsidRPr="00A83C94">
        <w:rPr>
          <w:rFonts w:cs="Sylfaen"/>
          <w:b w:val="0"/>
          <w:szCs w:val="22"/>
        </w:rPr>
        <w:t>հասարակությանը</w:t>
      </w:r>
      <w:r w:rsidRPr="00A83C94">
        <w:rPr>
          <w:rFonts w:cs="Sylfaen"/>
          <w:b w:val="0"/>
          <w:szCs w:val="22"/>
          <w:lang w:val="af-ZA"/>
        </w:rPr>
        <w:t xml:space="preserve">, </w:t>
      </w:r>
      <w:r w:rsidRPr="00A83C94">
        <w:rPr>
          <w:rFonts w:cs="Sylfaen"/>
          <w:b w:val="0"/>
          <w:szCs w:val="22"/>
        </w:rPr>
        <w:t>որի</w:t>
      </w:r>
      <w:r w:rsidRPr="00A83C94">
        <w:rPr>
          <w:rFonts w:cs="Sylfaen"/>
          <w:b w:val="0"/>
          <w:szCs w:val="22"/>
          <w:lang w:val="af-ZA"/>
        </w:rPr>
        <w:t xml:space="preserve"> </w:t>
      </w:r>
      <w:r w:rsidRPr="00A83C94">
        <w:rPr>
          <w:rFonts w:cs="Sylfaen"/>
          <w:b w:val="0"/>
          <w:szCs w:val="22"/>
        </w:rPr>
        <w:t>շրջանակներում</w:t>
      </w:r>
      <w:r w:rsidRPr="00A83C94">
        <w:rPr>
          <w:rFonts w:cs="Sylfaen"/>
          <w:b w:val="0"/>
          <w:szCs w:val="22"/>
          <w:lang w:val="af-ZA"/>
        </w:rPr>
        <w:t xml:space="preserve"> </w:t>
      </w:r>
      <w:r w:rsidRPr="00A83C94">
        <w:rPr>
          <w:rFonts w:cs="Sylfaen"/>
          <w:b w:val="0"/>
          <w:szCs w:val="22"/>
        </w:rPr>
        <w:t>նախա</w:t>
      </w:r>
      <w:r w:rsidRPr="00A83C94">
        <w:rPr>
          <w:rFonts w:cs="Sylfaen"/>
          <w:b w:val="0"/>
          <w:szCs w:val="22"/>
          <w:lang w:val="af-ZA"/>
        </w:rPr>
        <w:softHyphen/>
      </w:r>
      <w:r w:rsidRPr="00A83C94">
        <w:rPr>
          <w:rFonts w:cs="Sylfaen"/>
          <w:b w:val="0"/>
          <w:szCs w:val="22"/>
        </w:rPr>
        <w:t>տեսվում</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40-45 </w:t>
      </w:r>
      <w:r w:rsidRPr="00A83C94">
        <w:rPr>
          <w:rFonts w:cs="Sylfaen"/>
          <w:b w:val="0"/>
          <w:szCs w:val="22"/>
        </w:rPr>
        <w:t>ապաստան</w:t>
      </w:r>
      <w:r w:rsidRPr="00A83C94">
        <w:rPr>
          <w:rFonts w:cs="Sylfaen"/>
          <w:b w:val="0"/>
          <w:szCs w:val="22"/>
          <w:lang w:val="af-ZA"/>
        </w:rPr>
        <w:t xml:space="preserve"> </w:t>
      </w:r>
      <w:r w:rsidRPr="00A83C94">
        <w:rPr>
          <w:rFonts w:cs="Sylfaen"/>
          <w:b w:val="0"/>
          <w:szCs w:val="22"/>
        </w:rPr>
        <w:t>հայցողի</w:t>
      </w:r>
      <w:r w:rsidRPr="00A83C94">
        <w:rPr>
          <w:rFonts w:cs="Sylfaen"/>
          <w:b w:val="0"/>
          <w:szCs w:val="22"/>
          <w:lang w:val="af-ZA"/>
        </w:rPr>
        <w:t xml:space="preserve"> </w:t>
      </w:r>
      <w:r w:rsidRPr="00A83C94">
        <w:rPr>
          <w:rFonts w:cs="Sylfaen"/>
          <w:b w:val="0"/>
          <w:szCs w:val="22"/>
        </w:rPr>
        <w:t>մուտք</w:t>
      </w:r>
      <w:r w:rsidRPr="00A83C94">
        <w:rPr>
          <w:rFonts w:cs="Sylfaen"/>
          <w:b w:val="0"/>
          <w:szCs w:val="22"/>
          <w:lang w:val="af-ZA"/>
        </w:rPr>
        <w:t xml:space="preserve"> </w:t>
      </w:r>
      <w:r w:rsidRPr="00A83C94">
        <w:rPr>
          <w:rFonts w:cs="Sylfaen"/>
          <w:b w:val="0"/>
          <w:szCs w:val="22"/>
          <w:lang w:val="hy-AM"/>
        </w:rPr>
        <w:t xml:space="preserve">ժամանակավոր </w:t>
      </w:r>
      <w:r w:rsidRPr="00A83C94">
        <w:rPr>
          <w:rFonts w:cs="Sylfaen"/>
          <w:b w:val="0"/>
          <w:szCs w:val="22"/>
        </w:rPr>
        <w:t>կացարան՝</w:t>
      </w:r>
      <w:r w:rsidRPr="00A83C94">
        <w:rPr>
          <w:rFonts w:cs="Sylfaen"/>
          <w:b w:val="0"/>
          <w:szCs w:val="22"/>
          <w:lang w:val="af-ZA"/>
        </w:rPr>
        <w:t xml:space="preserve"> </w:t>
      </w:r>
      <w:r w:rsidRPr="00A83C94">
        <w:rPr>
          <w:rFonts w:cs="Sylfaen"/>
          <w:b w:val="0"/>
          <w:szCs w:val="22"/>
        </w:rPr>
        <w:t>յուրաքանչյուրին</w:t>
      </w:r>
      <w:r w:rsidRPr="00A83C94">
        <w:rPr>
          <w:rFonts w:cs="Sylfaen"/>
          <w:b w:val="0"/>
          <w:szCs w:val="22"/>
          <w:lang w:val="af-ZA"/>
        </w:rPr>
        <w:t xml:space="preserve"> 150 </w:t>
      </w:r>
      <w:r w:rsidRPr="00A83C94">
        <w:rPr>
          <w:rFonts w:cs="Sylfaen"/>
          <w:b w:val="0"/>
          <w:szCs w:val="22"/>
        </w:rPr>
        <w:t>օր</w:t>
      </w:r>
      <w:r w:rsidRPr="00A83C94">
        <w:rPr>
          <w:rFonts w:cs="Sylfaen"/>
          <w:b w:val="0"/>
          <w:szCs w:val="22"/>
          <w:lang w:val="af-ZA"/>
        </w:rPr>
        <w:t xml:space="preserve"> </w:t>
      </w:r>
      <w:r w:rsidRPr="00A83C94">
        <w:rPr>
          <w:rFonts w:cs="Sylfaen"/>
          <w:b w:val="0"/>
          <w:szCs w:val="22"/>
        </w:rPr>
        <w:t>կեցության</w:t>
      </w:r>
      <w:r w:rsidRPr="00A83C94">
        <w:rPr>
          <w:rFonts w:cs="Sylfaen"/>
          <w:b w:val="0"/>
          <w:szCs w:val="22"/>
          <w:lang w:val="af-ZA"/>
        </w:rPr>
        <w:t xml:space="preserve"> </w:t>
      </w:r>
      <w:r w:rsidRPr="00A83C94">
        <w:rPr>
          <w:rFonts w:cs="Sylfaen"/>
          <w:b w:val="0"/>
          <w:szCs w:val="22"/>
        </w:rPr>
        <w:t>ապահովումով</w:t>
      </w:r>
      <w:r w:rsidRPr="00A83C94">
        <w:rPr>
          <w:rFonts w:cs="Sylfaen"/>
          <w:b w:val="0"/>
          <w:szCs w:val="22"/>
          <w:lang w:val="af-ZA"/>
        </w:rPr>
        <w:t xml:space="preserve"> (</w:t>
      </w:r>
      <w:r w:rsidRPr="00A83C94">
        <w:rPr>
          <w:rFonts w:cs="Sylfaen"/>
          <w:b w:val="0"/>
          <w:szCs w:val="22"/>
        </w:rPr>
        <w:t>տարեկան</w:t>
      </w:r>
      <w:r w:rsidRPr="00A83C94">
        <w:rPr>
          <w:rFonts w:cs="Sylfaen"/>
          <w:b w:val="0"/>
          <w:szCs w:val="22"/>
          <w:lang w:val="af-ZA"/>
        </w:rPr>
        <w:t xml:space="preserve"> </w:t>
      </w:r>
      <w:r w:rsidRPr="00A83C94">
        <w:rPr>
          <w:rFonts w:cs="Sylfaen"/>
          <w:b w:val="0"/>
          <w:szCs w:val="22"/>
        </w:rPr>
        <w:t>միջինում</w:t>
      </w:r>
      <w:r w:rsidRPr="00A83C94">
        <w:rPr>
          <w:rFonts w:cs="Sylfaen"/>
          <w:b w:val="0"/>
          <w:szCs w:val="22"/>
          <w:lang w:val="af-ZA"/>
        </w:rPr>
        <w:t xml:space="preserve"> 588 </w:t>
      </w:r>
      <w:r w:rsidRPr="00A83C94">
        <w:rPr>
          <w:rFonts w:cs="Sylfaen"/>
          <w:b w:val="0"/>
          <w:szCs w:val="22"/>
        </w:rPr>
        <w:t>փախստական</w:t>
      </w:r>
      <w:r w:rsidRPr="00A83C94">
        <w:rPr>
          <w:rFonts w:cs="Sylfaen"/>
          <w:b w:val="0"/>
          <w:szCs w:val="22"/>
          <w:lang w:val="af-ZA"/>
        </w:rPr>
        <w:t>),</w:t>
      </w:r>
      <w:r w:rsidRPr="00A83C94">
        <w:rPr>
          <w:rFonts w:cs="Sylfaen"/>
          <w:b w:val="0"/>
          <w:szCs w:val="22"/>
          <w:lang w:val="hy-AM"/>
        </w:rPr>
        <w:t xml:space="preserve"> </w:t>
      </w:r>
      <w:r w:rsidRPr="00A83C94">
        <w:rPr>
          <w:rFonts w:cs="Sylfaen"/>
          <w:b w:val="0"/>
          <w:szCs w:val="22"/>
        </w:rPr>
        <w:t>ապաստան</w:t>
      </w:r>
      <w:r w:rsidRPr="00A83C94">
        <w:rPr>
          <w:rFonts w:cs="Sylfaen"/>
          <w:b w:val="0"/>
          <w:szCs w:val="22"/>
          <w:lang w:val="af-ZA"/>
        </w:rPr>
        <w:t xml:space="preserve"> </w:t>
      </w:r>
      <w:r w:rsidRPr="00A83C94">
        <w:rPr>
          <w:rFonts w:cs="Sylfaen"/>
          <w:b w:val="0"/>
          <w:szCs w:val="22"/>
        </w:rPr>
        <w:t>հայցող</w:t>
      </w:r>
      <w:r w:rsidRPr="00A83C94">
        <w:rPr>
          <w:rFonts w:cs="Sylfaen"/>
          <w:b w:val="0"/>
          <w:szCs w:val="22"/>
          <w:lang w:val="hy-AM"/>
        </w:rPr>
        <w:t>ներ</w:t>
      </w:r>
      <w:r w:rsidRPr="00A83C94">
        <w:rPr>
          <w:rFonts w:cs="Sylfaen"/>
          <w:b w:val="0"/>
          <w:szCs w:val="22"/>
        </w:rPr>
        <w:t>ի</w:t>
      </w:r>
      <w:r w:rsidRPr="00A83C94">
        <w:rPr>
          <w:rFonts w:cs="Sylfaen"/>
          <w:b w:val="0"/>
          <w:szCs w:val="22"/>
          <w:lang w:val="af-ZA"/>
        </w:rPr>
        <w:t xml:space="preserve"> </w:t>
      </w:r>
      <w:r w:rsidRPr="00A83C94">
        <w:rPr>
          <w:rFonts w:cs="Sylfaen"/>
          <w:b w:val="0"/>
          <w:szCs w:val="22"/>
          <w:lang w:val="hy-AM"/>
        </w:rPr>
        <w:t xml:space="preserve">համար թարգմանչական ծառայությունների տրամադրում, </w:t>
      </w:r>
      <w:r w:rsidRPr="00A83C94">
        <w:rPr>
          <w:rFonts w:cs="Sylfaen"/>
          <w:b w:val="0"/>
          <w:szCs w:val="22"/>
        </w:rPr>
        <w:t>փախստական</w:t>
      </w:r>
      <w:r w:rsidRPr="00A83C94">
        <w:rPr>
          <w:rFonts w:cs="Sylfaen"/>
          <w:b w:val="0"/>
          <w:szCs w:val="22"/>
          <w:lang w:val="af-ZA"/>
        </w:rPr>
        <w:t xml:space="preserve"> </w:t>
      </w:r>
      <w:r w:rsidRPr="00A83C94">
        <w:rPr>
          <w:rFonts w:cs="Sylfaen"/>
          <w:b w:val="0"/>
          <w:szCs w:val="22"/>
        </w:rPr>
        <w:t>ճանաչված</w:t>
      </w:r>
      <w:r w:rsidRPr="00A83C94">
        <w:rPr>
          <w:rFonts w:cs="Sylfaen"/>
          <w:b w:val="0"/>
          <w:szCs w:val="22"/>
          <w:lang w:val="af-ZA"/>
        </w:rPr>
        <w:t xml:space="preserve"> 150 </w:t>
      </w:r>
      <w:r w:rsidRPr="00A83C94">
        <w:rPr>
          <w:rFonts w:cs="Sylfaen"/>
          <w:b w:val="0"/>
          <w:szCs w:val="22"/>
        </w:rPr>
        <w:t>անձի</w:t>
      </w:r>
      <w:r w:rsidRPr="00A83C94">
        <w:rPr>
          <w:rFonts w:cs="Sylfaen"/>
          <w:b w:val="0"/>
          <w:szCs w:val="22"/>
          <w:lang w:val="af-ZA"/>
        </w:rPr>
        <w:t xml:space="preserve"> </w:t>
      </w:r>
      <w:r w:rsidRPr="00A83C94">
        <w:rPr>
          <w:rFonts w:cs="Sylfaen"/>
          <w:b w:val="0"/>
          <w:szCs w:val="22"/>
        </w:rPr>
        <w:t>համար</w:t>
      </w:r>
      <w:r w:rsidRPr="00A83C94">
        <w:rPr>
          <w:rFonts w:cs="Sylfaen"/>
          <w:b w:val="0"/>
          <w:szCs w:val="22"/>
          <w:lang w:val="af-ZA"/>
        </w:rPr>
        <w:t xml:space="preserve"> </w:t>
      </w:r>
      <w:r w:rsidRPr="00A83C94">
        <w:rPr>
          <w:rFonts w:cs="Sylfaen"/>
          <w:b w:val="0"/>
          <w:szCs w:val="22"/>
        </w:rPr>
        <w:t>քաղաքացիական</w:t>
      </w:r>
      <w:r w:rsidRPr="00A83C94">
        <w:rPr>
          <w:rFonts w:cs="Sylfaen"/>
          <w:b w:val="0"/>
          <w:szCs w:val="22"/>
          <w:lang w:val="af-ZA"/>
        </w:rPr>
        <w:t xml:space="preserve"> </w:t>
      </w:r>
      <w:r w:rsidRPr="00A83C94">
        <w:rPr>
          <w:rFonts w:cs="Sylfaen"/>
          <w:b w:val="0"/>
          <w:szCs w:val="22"/>
        </w:rPr>
        <w:t>կողմնորոշման</w:t>
      </w:r>
      <w:r w:rsidRPr="00A83C94">
        <w:rPr>
          <w:rFonts w:cs="Sylfaen"/>
          <w:b w:val="0"/>
          <w:szCs w:val="22"/>
          <w:lang w:val="af-ZA"/>
        </w:rPr>
        <w:t xml:space="preserve"> </w:t>
      </w:r>
      <w:r w:rsidRPr="00A83C94">
        <w:rPr>
          <w:rFonts w:cs="Sylfaen"/>
          <w:b w:val="0"/>
          <w:szCs w:val="22"/>
        </w:rPr>
        <w:t>դասընթացների</w:t>
      </w:r>
      <w:r w:rsidRPr="00A83C94">
        <w:rPr>
          <w:rFonts w:cs="Sylfaen"/>
          <w:b w:val="0"/>
          <w:szCs w:val="22"/>
          <w:lang w:val="af-ZA"/>
        </w:rPr>
        <w:t xml:space="preserve"> </w:t>
      </w:r>
      <w:r w:rsidRPr="00A83C94">
        <w:rPr>
          <w:rFonts w:cs="Sylfaen"/>
          <w:b w:val="0"/>
          <w:szCs w:val="22"/>
          <w:lang w:val="hy-AM"/>
        </w:rPr>
        <w:t xml:space="preserve">կազմակերպում, Ժամանակավոր տեղավորման կենտրոնում չտեղավորված ապաստան հայցող 37 ընտանիքների </w:t>
      </w:r>
      <w:r w:rsidRPr="00A83C94">
        <w:rPr>
          <w:rFonts w:cs="Sylfaen"/>
          <w:b w:val="0"/>
          <w:szCs w:val="22"/>
        </w:rPr>
        <w:t>դրամական</w:t>
      </w:r>
      <w:r w:rsidRPr="00A83C94">
        <w:rPr>
          <w:rFonts w:cs="Sylfaen"/>
          <w:b w:val="0"/>
          <w:szCs w:val="22"/>
          <w:lang w:val="af-ZA"/>
        </w:rPr>
        <w:t xml:space="preserve"> </w:t>
      </w:r>
      <w:r w:rsidRPr="00A83C94">
        <w:rPr>
          <w:rFonts w:cs="Sylfaen"/>
          <w:b w:val="0"/>
          <w:szCs w:val="22"/>
        </w:rPr>
        <w:t>օգնության</w:t>
      </w:r>
      <w:r w:rsidRPr="00A83C94">
        <w:rPr>
          <w:rFonts w:cs="Sylfaen"/>
          <w:b w:val="0"/>
          <w:szCs w:val="22"/>
          <w:lang w:val="af-ZA"/>
        </w:rPr>
        <w:t xml:space="preserve"> </w:t>
      </w:r>
      <w:r w:rsidRPr="00A83C94">
        <w:rPr>
          <w:rFonts w:cs="Sylfaen"/>
          <w:b w:val="0"/>
          <w:szCs w:val="22"/>
        </w:rPr>
        <w:t>տրամադրում</w:t>
      </w:r>
      <w:r w:rsidRPr="00A83C94">
        <w:rPr>
          <w:rFonts w:cs="Sylfaen"/>
          <w:b w:val="0"/>
          <w:szCs w:val="22"/>
          <w:lang w:val="af-ZA"/>
        </w:rPr>
        <w:t xml:space="preserve">, </w:t>
      </w:r>
      <w:r w:rsidRPr="00A83C94">
        <w:rPr>
          <w:rFonts w:cs="Sylfaen"/>
          <w:b w:val="0"/>
          <w:szCs w:val="22"/>
        </w:rPr>
        <w:t>ապաստան</w:t>
      </w:r>
      <w:r w:rsidRPr="00A83C94">
        <w:rPr>
          <w:rFonts w:cs="Sylfaen"/>
          <w:b w:val="0"/>
          <w:szCs w:val="22"/>
          <w:lang w:val="af-ZA"/>
        </w:rPr>
        <w:t xml:space="preserve"> </w:t>
      </w:r>
      <w:r w:rsidRPr="00A83C94">
        <w:rPr>
          <w:rFonts w:cs="Sylfaen"/>
          <w:b w:val="0"/>
          <w:szCs w:val="22"/>
        </w:rPr>
        <w:t>ստացած</w:t>
      </w:r>
      <w:r w:rsidRPr="00A83C94">
        <w:rPr>
          <w:rFonts w:cs="Sylfaen"/>
          <w:b w:val="0"/>
          <w:szCs w:val="22"/>
          <w:lang w:val="af-ZA"/>
        </w:rPr>
        <w:t xml:space="preserve"> 25 </w:t>
      </w:r>
      <w:r w:rsidRPr="00A83C94">
        <w:rPr>
          <w:rFonts w:cs="Sylfaen"/>
          <w:b w:val="0"/>
          <w:szCs w:val="22"/>
        </w:rPr>
        <w:t>ընտանիքների</w:t>
      </w:r>
      <w:r w:rsidRPr="00A83C94">
        <w:rPr>
          <w:rFonts w:cs="Sylfaen"/>
          <w:b w:val="0"/>
          <w:szCs w:val="22"/>
          <w:lang w:val="af-ZA"/>
        </w:rPr>
        <w:t xml:space="preserve"> </w:t>
      </w:r>
      <w:r w:rsidRPr="00A83C94">
        <w:rPr>
          <w:rFonts w:cs="Sylfaen"/>
          <w:b w:val="0"/>
          <w:szCs w:val="22"/>
        </w:rPr>
        <w:t>բնակարաններ</w:t>
      </w:r>
      <w:r w:rsidRPr="00A83C94">
        <w:rPr>
          <w:rFonts w:cs="Sylfaen"/>
          <w:b w:val="0"/>
          <w:szCs w:val="22"/>
          <w:lang w:val="af-ZA"/>
        </w:rPr>
        <w:t xml:space="preserve"> </w:t>
      </w:r>
      <w:r w:rsidRPr="00A83C94">
        <w:rPr>
          <w:rFonts w:cs="Sylfaen"/>
          <w:b w:val="0"/>
          <w:szCs w:val="22"/>
        </w:rPr>
        <w:t>վարձակալելու</w:t>
      </w:r>
      <w:r w:rsidRPr="00A83C94">
        <w:rPr>
          <w:rFonts w:cs="Sylfaen"/>
          <w:b w:val="0"/>
          <w:szCs w:val="22"/>
          <w:lang w:val="af-ZA"/>
        </w:rPr>
        <w:t xml:space="preserve"> </w:t>
      </w:r>
      <w:r w:rsidRPr="00A83C94">
        <w:rPr>
          <w:rFonts w:cs="Sylfaen"/>
          <w:b w:val="0"/>
          <w:szCs w:val="22"/>
        </w:rPr>
        <w:t>համար</w:t>
      </w:r>
      <w:r w:rsidRPr="00A83C94">
        <w:rPr>
          <w:rFonts w:cs="Sylfaen"/>
          <w:b w:val="0"/>
          <w:szCs w:val="22"/>
          <w:lang w:val="af-ZA"/>
        </w:rPr>
        <w:t xml:space="preserve"> </w:t>
      </w:r>
      <w:r w:rsidRPr="00A83C94">
        <w:rPr>
          <w:rFonts w:cs="Sylfaen"/>
          <w:b w:val="0"/>
          <w:szCs w:val="22"/>
        </w:rPr>
        <w:t>սուբսիդիաների</w:t>
      </w:r>
      <w:r w:rsidRPr="00A83C94">
        <w:rPr>
          <w:rFonts w:cs="Sylfaen"/>
          <w:b w:val="0"/>
          <w:szCs w:val="22"/>
          <w:lang w:val="af-ZA"/>
        </w:rPr>
        <w:t xml:space="preserve"> </w:t>
      </w:r>
      <w:r w:rsidRPr="00A83C94">
        <w:rPr>
          <w:rFonts w:cs="Sylfaen"/>
          <w:b w:val="0"/>
          <w:szCs w:val="22"/>
        </w:rPr>
        <w:t>տրամադրում</w:t>
      </w:r>
      <w:r w:rsidRPr="00A83C94">
        <w:rPr>
          <w:rFonts w:cs="Sylfaen"/>
          <w:b w:val="0"/>
          <w:szCs w:val="22"/>
          <w:lang w:val="hy-AM"/>
        </w:rPr>
        <w:t xml:space="preserve">, </w:t>
      </w:r>
      <w:r w:rsidRPr="00A83C94">
        <w:rPr>
          <w:b w:val="0"/>
          <w:szCs w:val="22"/>
        </w:rPr>
        <w:t>Հայաստանի</w:t>
      </w:r>
      <w:r w:rsidRPr="00A83C94">
        <w:rPr>
          <w:b w:val="0"/>
          <w:szCs w:val="22"/>
          <w:lang w:val="af-ZA"/>
        </w:rPr>
        <w:t xml:space="preserve"> </w:t>
      </w:r>
      <w:r w:rsidRPr="00A83C94">
        <w:rPr>
          <w:b w:val="0"/>
          <w:szCs w:val="22"/>
        </w:rPr>
        <w:t>Հանրապետությունում</w:t>
      </w:r>
      <w:r w:rsidRPr="00A83C94">
        <w:rPr>
          <w:b w:val="0"/>
          <w:szCs w:val="22"/>
          <w:lang w:val="af-ZA"/>
        </w:rPr>
        <w:t xml:space="preserve"> </w:t>
      </w:r>
      <w:r w:rsidRPr="00A83C94">
        <w:rPr>
          <w:b w:val="0"/>
          <w:szCs w:val="22"/>
        </w:rPr>
        <w:t>բնակության</w:t>
      </w:r>
      <w:r w:rsidRPr="00A83C94">
        <w:rPr>
          <w:b w:val="0"/>
          <w:szCs w:val="22"/>
          <w:lang w:val="af-ZA"/>
        </w:rPr>
        <w:t xml:space="preserve"> </w:t>
      </w:r>
      <w:r w:rsidRPr="00A83C94">
        <w:rPr>
          <w:b w:val="0"/>
          <w:szCs w:val="22"/>
        </w:rPr>
        <w:t>վայր</w:t>
      </w:r>
      <w:r w:rsidRPr="00A83C94">
        <w:rPr>
          <w:b w:val="0"/>
          <w:szCs w:val="22"/>
          <w:lang w:val="af-ZA"/>
        </w:rPr>
        <w:t xml:space="preserve"> </w:t>
      </w:r>
      <w:r w:rsidRPr="00A83C94">
        <w:rPr>
          <w:b w:val="0"/>
          <w:szCs w:val="22"/>
        </w:rPr>
        <w:t>չունեցող</w:t>
      </w:r>
      <w:r w:rsidRPr="00A83C94">
        <w:rPr>
          <w:b w:val="0"/>
          <w:szCs w:val="22"/>
          <w:lang w:val="af-ZA"/>
        </w:rPr>
        <w:t xml:space="preserve"> </w:t>
      </w:r>
      <w:r w:rsidRPr="00A83C94">
        <w:rPr>
          <w:b w:val="0"/>
          <w:szCs w:val="22"/>
        </w:rPr>
        <w:t>թվով</w:t>
      </w:r>
      <w:r w:rsidRPr="00A83C94">
        <w:rPr>
          <w:b w:val="0"/>
          <w:szCs w:val="22"/>
          <w:lang w:val="af-ZA"/>
        </w:rPr>
        <w:t xml:space="preserve"> 254 </w:t>
      </w:r>
      <w:r w:rsidRPr="00A83C94">
        <w:rPr>
          <w:b w:val="0"/>
          <w:szCs w:val="22"/>
        </w:rPr>
        <w:t>փախստա</w:t>
      </w:r>
      <w:r w:rsidRPr="00A83C94">
        <w:rPr>
          <w:b w:val="0"/>
          <w:szCs w:val="22"/>
          <w:lang w:val="af-ZA"/>
        </w:rPr>
        <w:softHyphen/>
      </w:r>
      <w:r w:rsidRPr="00A83C94">
        <w:rPr>
          <w:b w:val="0"/>
          <w:szCs w:val="22"/>
        </w:rPr>
        <w:t>կան</w:t>
      </w:r>
      <w:r w:rsidRPr="00A83C94">
        <w:rPr>
          <w:b w:val="0"/>
          <w:szCs w:val="22"/>
          <w:lang w:val="af-ZA"/>
        </w:rPr>
        <w:t xml:space="preserve"> </w:t>
      </w:r>
      <w:r w:rsidRPr="00A83C94">
        <w:rPr>
          <w:b w:val="0"/>
          <w:szCs w:val="22"/>
        </w:rPr>
        <w:t>ընտանիքների</w:t>
      </w:r>
      <w:r w:rsidRPr="00A83C94">
        <w:rPr>
          <w:b w:val="0"/>
          <w:szCs w:val="22"/>
          <w:lang w:val="af-ZA"/>
        </w:rPr>
        <w:t xml:space="preserve"> </w:t>
      </w:r>
      <w:r w:rsidRPr="00A83C94">
        <w:rPr>
          <w:b w:val="0"/>
          <w:szCs w:val="22"/>
        </w:rPr>
        <w:t>բնակարանային</w:t>
      </w:r>
      <w:r w:rsidRPr="00A83C94">
        <w:rPr>
          <w:b w:val="0"/>
          <w:szCs w:val="22"/>
          <w:lang w:val="af-ZA"/>
        </w:rPr>
        <w:t xml:space="preserve"> </w:t>
      </w:r>
      <w:r w:rsidRPr="00A83C94">
        <w:rPr>
          <w:b w:val="0"/>
          <w:szCs w:val="22"/>
        </w:rPr>
        <w:t>ապահովման</w:t>
      </w:r>
      <w:r w:rsidRPr="00A83C94">
        <w:rPr>
          <w:b w:val="0"/>
          <w:szCs w:val="22"/>
          <w:lang w:val="hy-AM"/>
        </w:rPr>
        <w:t>ն</w:t>
      </w:r>
      <w:r w:rsidRPr="00A83C94">
        <w:rPr>
          <w:b w:val="0"/>
          <w:szCs w:val="22"/>
          <w:lang w:val="af-ZA"/>
        </w:rPr>
        <w:t xml:space="preserve"> </w:t>
      </w:r>
      <w:r w:rsidRPr="00A83C94">
        <w:rPr>
          <w:b w:val="0"/>
          <w:szCs w:val="22"/>
        </w:rPr>
        <w:t>աջակցություն</w:t>
      </w:r>
      <w:r w:rsidRPr="00A83C94">
        <w:rPr>
          <w:b w:val="0"/>
          <w:szCs w:val="22"/>
          <w:lang w:val="hy-AM"/>
        </w:rPr>
        <w:t>։</w:t>
      </w:r>
    </w:p>
    <w:p w14:paraId="49A113A8" w14:textId="66864CAB" w:rsidR="0023176E" w:rsidRPr="00A83C94" w:rsidRDefault="0023176E" w:rsidP="0023176E">
      <w:pPr>
        <w:widowControl w:val="0"/>
        <w:spacing w:line="276" w:lineRule="auto"/>
        <w:rPr>
          <w:rFonts w:cs="Sylfaen"/>
          <w:b w:val="0"/>
          <w:szCs w:val="22"/>
          <w:lang w:val="af-ZA"/>
        </w:rPr>
      </w:pPr>
      <w:r w:rsidRPr="00A83C94">
        <w:rPr>
          <w:rFonts w:cs="Sylfaen"/>
          <w:szCs w:val="22"/>
          <w:lang w:val="hy-AM"/>
        </w:rPr>
        <w:t>Ջրամատակարարման</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ջրահեռացման</w:t>
      </w:r>
      <w:r w:rsidRPr="00A83C94">
        <w:rPr>
          <w:rFonts w:cs="Sylfaen"/>
          <w:szCs w:val="22"/>
          <w:lang w:val="af-ZA"/>
        </w:rPr>
        <w:t xml:space="preserve"> </w:t>
      </w:r>
      <w:r w:rsidRPr="00A83C94">
        <w:rPr>
          <w:rFonts w:cs="Sylfaen"/>
          <w:b w:val="0"/>
          <w:szCs w:val="22"/>
          <w:lang w:val="hy-AM"/>
        </w:rPr>
        <w:t xml:space="preserve">ծրագրի </w:t>
      </w:r>
      <w:r w:rsidRPr="00A83C94">
        <w:rPr>
          <w:rFonts w:cs="Sylfaen"/>
          <w:b w:val="0"/>
          <w:lang w:val="hy-AM"/>
        </w:rPr>
        <w:t>գծով  2022 թվականին  նախատեսվել է  1</w:t>
      </w:r>
      <w:r w:rsidR="00956324" w:rsidRPr="00890730">
        <w:rPr>
          <w:rFonts w:cs="Sylfaen"/>
          <w:b w:val="0"/>
          <w:lang w:val="hy-AM"/>
        </w:rPr>
        <w:t>2</w:t>
      </w:r>
      <w:r w:rsidRPr="00A83C94">
        <w:rPr>
          <w:rFonts w:cs="Sylfaen"/>
          <w:b w:val="0"/>
          <w:lang w:val="hy-AM"/>
        </w:rPr>
        <w:t>,</w:t>
      </w:r>
      <w:r w:rsidR="00956324" w:rsidRPr="00890730">
        <w:rPr>
          <w:rFonts w:cs="Sylfaen"/>
          <w:b w:val="0"/>
          <w:lang w:val="hy-AM"/>
        </w:rPr>
        <w:t>357</w:t>
      </w:r>
      <w:r w:rsidRPr="00A83C94">
        <w:rPr>
          <w:rFonts w:cs="Sylfaen"/>
          <w:b w:val="0"/>
          <w:lang w:val="hy-AM"/>
        </w:rPr>
        <w:t xml:space="preserve">.6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437BE494" w14:textId="7C29DAE5" w:rsidR="0023176E" w:rsidRPr="00A83C94" w:rsidRDefault="0023176E" w:rsidP="0023176E">
      <w:pPr>
        <w:widowControl w:val="0"/>
        <w:spacing w:line="276" w:lineRule="auto"/>
        <w:rPr>
          <w:rFonts w:cs="Sylfaen"/>
          <w:b w:val="0"/>
          <w:szCs w:val="22"/>
          <w:lang w:val="af-ZA"/>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ջրամատակարարման</w:t>
      </w:r>
      <w:r w:rsidRPr="00A83C94">
        <w:rPr>
          <w:rFonts w:cs="Sylfaen"/>
          <w:b w:val="0"/>
          <w:szCs w:val="22"/>
          <w:lang w:val="af-ZA"/>
        </w:rPr>
        <w:t xml:space="preserve">, </w:t>
      </w:r>
      <w:r w:rsidRPr="00A83C94">
        <w:rPr>
          <w:rFonts w:cs="Sylfaen"/>
          <w:b w:val="0"/>
          <w:szCs w:val="22"/>
        </w:rPr>
        <w:t>ջրահեռացման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կեղտաջրերի</w:t>
      </w:r>
      <w:r w:rsidRPr="00A83C94">
        <w:rPr>
          <w:rFonts w:cs="Sylfaen"/>
          <w:b w:val="0"/>
          <w:szCs w:val="22"/>
          <w:lang w:val="af-ZA"/>
        </w:rPr>
        <w:t xml:space="preserve"> </w:t>
      </w:r>
      <w:r w:rsidRPr="00A83C94">
        <w:rPr>
          <w:rFonts w:cs="Sylfaen"/>
          <w:b w:val="0"/>
          <w:szCs w:val="22"/>
        </w:rPr>
        <w:t>մաքրման</w:t>
      </w:r>
      <w:r w:rsidRPr="00A83C94">
        <w:rPr>
          <w:rFonts w:cs="Sylfaen"/>
          <w:b w:val="0"/>
          <w:szCs w:val="22"/>
          <w:lang w:val="af-ZA"/>
        </w:rPr>
        <w:t xml:space="preserve"> </w:t>
      </w:r>
      <w:r w:rsidRPr="00A83C94">
        <w:rPr>
          <w:rFonts w:cs="Sylfaen"/>
          <w:b w:val="0"/>
          <w:szCs w:val="22"/>
        </w:rPr>
        <w:t>աշխատանքների</w:t>
      </w:r>
      <w:r w:rsidRPr="00A83C94">
        <w:rPr>
          <w:rFonts w:cs="Sylfaen"/>
          <w:b w:val="0"/>
          <w:szCs w:val="22"/>
          <w:lang w:val="af-ZA"/>
        </w:rPr>
        <w:t xml:space="preserve"> </w:t>
      </w:r>
      <w:r w:rsidRPr="00A83C94">
        <w:rPr>
          <w:rFonts w:cs="Sylfaen"/>
          <w:b w:val="0"/>
          <w:szCs w:val="22"/>
        </w:rPr>
        <w:t>արդյունավետության</w:t>
      </w:r>
      <w:r w:rsidRPr="00A83C94">
        <w:rPr>
          <w:rFonts w:cs="Sylfaen"/>
          <w:b w:val="0"/>
          <w:szCs w:val="22"/>
          <w:lang w:val="af-ZA"/>
        </w:rPr>
        <w:t xml:space="preserve"> </w:t>
      </w:r>
      <w:r w:rsidRPr="00A83C94">
        <w:rPr>
          <w:rFonts w:cs="Sylfaen"/>
          <w:b w:val="0"/>
          <w:szCs w:val="22"/>
        </w:rPr>
        <w:t>բարձրացումը</w:t>
      </w:r>
      <w:r w:rsidRPr="00A83C94">
        <w:rPr>
          <w:rFonts w:cs="Sylfaen"/>
          <w:b w:val="0"/>
          <w:szCs w:val="22"/>
          <w:lang w:val="af-ZA"/>
        </w:rPr>
        <w:t xml:space="preserve">, </w:t>
      </w:r>
      <w:r w:rsidRPr="00A83C94">
        <w:rPr>
          <w:rFonts w:cs="Sylfaen"/>
          <w:b w:val="0"/>
          <w:szCs w:val="22"/>
        </w:rPr>
        <w:t>համակարգերում</w:t>
      </w:r>
      <w:r w:rsidRPr="00A83C94">
        <w:rPr>
          <w:rFonts w:cs="Sylfaen"/>
          <w:b w:val="0"/>
          <w:szCs w:val="22"/>
          <w:lang w:val="af-ZA"/>
        </w:rPr>
        <w:t xml:space="preserve"> </w:t>
      </w:r>
      <w:r w:rsidRPr="00A83C94">
        <w:rPr>
          <w:rFonts w:cs="Sylfaen"/>
          <w:b w:val="0"/>
          <w:szCs w:val="22"/>
        </w:rPr>
        <w:t>ջրամատակարարման</w:t>
      </w:r>
      <w:r w:rsidRPr="00A83C94">
        <w:rPr>
          <w:rFonts w:cs="Sylfaen"/>
          <w:b w:val="0"/>
          <w:szCs w:val="22"/>
          <w:lang w:val="af-ZA"/>
        </w:rPr>
        <w:t xml:space="preserve"> </w:t>
      </w:r>
      <w:r w:rsidRPr="00A83C94">
        <w:rPr>
          <w:rFonts w:cs="Sylfaen"/>
          <w:b w:val="0"/>
          <w:szCs w:val="22"/>
        </w:rPr>
        <w:t>շարունակականության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ջրի</w:t>
      </w:r>
      <w:r w:rsidRPr="00A83C94">
        <w:rPr>
          <w:rFonts w:cs="Sylfaen"/>
          <w:b w:val="0"/>
          <w:szCs w:val="22"/>
          <w:lang w:val="af-ZA"/>
        </w:rPr>
        <w:t xml:space="preserve"> </w:t>
      </w:r>
      <w:r w:rsidRPr="00A83C94">
        <w:rPr>
          <w:rFonts w:cs="Sylfaen"/>
          <w:b w:val="0"/>
          <w:szCs w:val="22"/>
        </w:rPr>
        <w:t>որակի</w:t>
      </w:r>
      <w:r w:rsidRPr="00A83C94">
        <w:rPr>
          <w:rFonts w:cs="Sylfaen"/>
          <w:b w:val="0"/>
          <w:szCs w:val="22"/>
          <w:lang w:val="af-ZA"/>
        </w:rPr>
        <w:t xml:space="preserve"> </w:t>
      </w:r>
      <w:r w:rsidRPr="00A83C94">
        <w:rPr>
          <w:rFonts w:cs="Sylfaen"/>
          <w:b w:val="0"/>
          <w:szCs w:val="22"/>
        </w:rPr>
        <w:t>բարելավման</w:t>
      </w:r>
      <w:r w:rsidRPr="00A83C94">
        <w:rPr>
          <w:rFonts w:cs="Sylfaen"/>
          <w:b w:val="0"/>
          <w:szCs w:val="22"/>
          <w:lang w:val="af-ZA"/>
        </w:rPr>
        <w:t xml:space="preserve"> </w:t>
      </w:r>
      <w:r w:rsidRPr="00A83C94">
        <w:rPr>
          <w:rFonts w:cs="Sylfaen"/>
          <w:b w:val="0"/>
          <w:szCs w:val="22"/>
        </w:rPr>
        <w:t>ապահովումը</w:t>
      </w:r>
      <w:r w:rsidRPr="00A83C94">
        <w:rPr>
          <w:rFonts w:cs="Sylfaen"/>
          <w:b w:val="0"/>
          <w:szCs w:val="22"/>
          <w:lang w:val="af-ZA"/>
        </w:rPr>
        <w:t xml:space="preserve">, </w:t>
      </w:r>
      <w:r w:rsidRPr="00A83C94">
        <w:rPr>
          <w:rFonts w:cs="Sylfaen"/>
          <w:b w:val="0"/>
          <w:szCs w:val="22"/>
        </w:rPr>
        <w:t>կառավարման</w:t>
      </w:r>
      <w:r w:rsidRPr="00A83C94">
        <w:rPr>
          <w:rFonts w:cs="Sylfaen"/>
          <w:b w:val="0"/>
          <w:szCs w:val="22"/>
          <w:lang w:val="af-ZA"/>
        </w:rPr>
        <w:t xml:space="preserve"> </w:t>
      </w:r>
      <w:r w:rsidRPr="00A83C94">
        <w:rPr>
          <w:rFonts w:cs="Sylfaen"/>
          <w:b w:val="0"/>
          <w:szCs w:val="22"/>
        </w:rPr>
        <w:t>բարեփո</w:t>
      </w:r>
      <w:r w:rsidR="00CE1B59" w:rsidRPr="00A83C94">
        <w:rPr>
          <w:rFonts w:cs="Sylfaen"/>
          <w:b w:val="0"/>
          <w:szCs w:val="22"/>
          <w:lang w:val="af-ZA"/>
        </w:rPr>
        <w:softHyphen/>
      </w:r>
      <w:r w:rsidRPr="00A83C94">
        <w:rPr>
          <w:rFonts w:cs="Sylfaen"/>
          <w:b w:val="0"/>
          <w:szCs w:val="22"/>
        </w:rPr>
        <w:t>խումների</w:t>
      </w:r>
      <w:r w:rsidRPr="00A83C94">
        <w:rPr>
          <w:rFonts w:cs="Sylfaen"/>
          <w:b w:val="0"/>
          <w:szCs w:val="22"/>
          <w:lang w:val="af-ZA"/>
        </w:rPr>
        <w:t xml:space="preserve"> </w:t>
      </w:r>
      <w:r w:rsidRPr="00A83C94">
        <w:rPr>
          <w:rFonts w:cs="Sylfaen"/>
          <w:b w:val="0"/>
          <w:szCs w:val="22"/>
        </w:rPr>
        <w:t>խորացումն</w:t>
      </w:r>
      <w:r w:rsidRPr="00A83C94">
        <w:rPr>
          <w:rFonts w:cs="Sylfaen"/>
          <w:b w:val="0"/>
          <w:szCs w:val="22"/>
          <w:lang w:val="af-ZA"/>
        </w:rPr>
        <w:t xml:space="preserve"> </w:t>
      </w:r>
      <w:r w:rsidRPr="00A83C94">
        <w:rPr>
          <w:rFonts w:cs="Sylfaen"/>
          <w:b w:val="0"/>
          <w:szCs w:val="22"/>
        </w:rPr>
        <w:t>ու</w:t>
      </w:r>
      <w:r w:rsidRPr="00A83C94">
        <w:rPr>
          <w:rFonts w:cs="Sylfaen"/>
          <w:b w:val="0"/>
          <w:szCs w:val="22"/>
          <w:lang w:val="af-ZA"/>
        </w:rPr>
        <w:t xml:space="preserve"> </w:t>
      </w:r>
      <w:r w:rsidRPr="00A83C94">
        <w:rPr>
          <w:rFonts w:cs="Sylfaen"/>
          <w:b w:val="0"/>
          <w:szCs w:val="22"/>
        </w:rPr>
        <w:t>ամրապնդումը</w:t>
      </w:r>
      <w:r w:rsidRPr="00A83C94">
        <w:rPr>
          <w:rFonts w:cs="Sylfaen"/>
          <w:b w:val="0"/>
          <w:szCs w:val="22"/>
          <w:lang w:val="af-ZA"/>
        </w:rPr>
        <w:t xml:space="preserve">, </w:t>
      </w:r>
      <w:r w:rsidRPr="00A83C94">
        <w:rPr>
          <w:rFonts w:cs="Sylfaen"/>
          <w:b w:val="0"/>
          <w:szCs w:val="22"/>
        </w:rPr>
        <w:t>կատարելագործումը</w:t>
      </w:r>
      <w:r w:rsidRPr="00A83C94">
        <w:rPr>
          <w:rFonts w:cs="Sylfaen"/>
          <w:b w:val="0"/>
          <w:szCs w:val="22"/>
          <w:lang w:val="af-ZA"/>
        </w:rPr>
        <w:t xml:space="preserve">, </w:t>
      </w:r>
      <w:r w:rsidRPr="00A83C94">
        <w:rPr>
          <w:rFonts w:cs="Sylfaen"/>
          <w:b w:val="0"/>
          <w:szCs w:val="22"/>
        </w:rPr>
        <w:t>ներդրումների</w:t>
      </w:r>
      <w:r w:rsidRPr="00A83C94">
        <w:rPr>
          <w:rFonts w:cs="Sylfaen"/>
          <w:b w:val="0"/>
          <w:szCs w:val="22"/>
          <w:lang w:val="af-ZA"/>
        </w:rPr>
        <w:t xml:space="preserve"> </w:t>
      </w:r>
      <w:r w:rsidRPr="00A83C94">
        <w:rPr>
          <w:rFonts w:cs="Sylfaen"/>
          <w:b w:val="0"/>
          <w:szCs w:val="22"/>
        </w:rPr>
        <w:t>անհրաժեշտ</w:t>
      </w:r>
      <w:r w:rsidRPr="00A83C94">
        <w:rPr>
          <w:rFonts w:cs="Sylfaen"/>
          <w:b w:val="0"/>
          <w:szCs w:val="22"/>
          <w:lang w:val="af-ZA"/>
        </w:rPr>
        <w:t xml:space="preserve"> </w:t>
      </w:r>
      <w:r w:rsidRPr="00A83C94">
        <w:rPr>
          <w:rFonts w:cs="Sylfaen"/>
          <w:b w:val="0"/>
          <w:szCs w:val="22"/>
        </w:rPr>
        <w:t>ծավալների</w:t>
      </w:r>
      <w:r w:rsidRPr="00A83C94">
        <w:rPr>
          <w:rFonts w:cs="Sylfaen"/>
          <w:b w:val="0"/>
          <w:szCs w:val="22"/>
          <w:lang w:val="af-ZA"/>
        </w:rPr>
        <w:t xml:space="preserve"> </w:t>
      </w:r>
      <w:r w:rsidRPr="00A83C94">
        <w:rPr>
          <w:rFonts w:cs="Sylfaen"/>
          <w:b w:val="0"/>
          <w:szCs w:val="22"/>
        </w:rPr>
        <w:t>ներգրավումը</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իրականացումը</w:t>
      </w:r>
      <w:r w:rsidRPr="00A83C94">
        <w:rPr>
          <w:rFonts w:cs="Sylfaen"/>
          <w:b w:val="0"/>
          <w:szCs w:val="22"/>
          <w:lang w:val="af-ZA"/>
        </w:rPr>
        <w:t xml:space="preserve">: </w:t>
      </w:r>
    </w:p>
    <w:p w14:paraId="02FCE5B9" w14:textId="428E83B1" w:rsidR="0023176E" w:rsidRPr="00A83C94" w:rsidRDefault="0023176E" w:rsidP="0023176E">
      <w:pPr>
        <w:widowControl w:val="0"/>
        <w:spacing w:line="276" w:lineRule="auto"/>
        <w:rPr>
          <w:b w:val="0"/>
          <w:szCs w:val="22"/>
          <w:lang w:val="af-ZA"/>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շրջանակներում</w:t>
      </w:r>
      <w:r w:rsidRPr="00A83C94">
        <w:rPr>
          <w:rFonts w:cs="Sylfaen"/>
          <w:b w:val="0"/>
          <w:szCs w:val="22"/>
          <w:lang w:val="af-ZA"/>
        </w:rPr>
        <w:t xml:space="preserve"> </w:t>
      </w:r>
      <w:r w:rsidRPr="00A83C94">
        <w:rPr>
          <w:rFonts w:cs="Sylfaen"/>
          <w:b w:val="0"/>
          <w:szCs w:val="22"/>
          <w:lang w:val="hy-AM"/>
        </w:rPr>
        <w:t xml:space="preserve">2022 թվականին ներքին աղբյուրների ֆինանսավորմամբ մեկնարկելու են </w:t>
      </w:r>
      <w:r w:rsidRPr="00A83C94">
        <w:rPr>
          <w:rFonts w:cs="Sylfaen"/>
          <w:b w:val="0"/>
          <w:szCs w:val="22"/>
        </w:rPr>
        <w:t>թվով</w:t>
      </w:r>
      <w:r w:rsidRPr="00A83C94">
        <w:rPr>
          <w:rFonts w:cs="Sylfaen"/>
          <w:b w:val="0"/>
          <w:szCs w:val="22"/>
          <w:lang w:val="af-ZA"/>
        </w:rPr>
        <w:t xml:space="preserve"> 2 </w:t>
      </w:r>
      <w:r w:rsidRPr="00A83C94">
        <w:rPr>
          <w:rFonts w:cs="Sylfaen"/>
          <w:b w:val="0"/>
          <w:szCs w:val="22"/>
        </w:rPr>
        <w:t>քլորակայան</w:t>
      </w:r>
      <w:r w:rsidRPr="00A83C94">
        <w:rPr>
          <w:rFonts w:cs="Sylfaen"/>
          <w:b w:val="0"/>
          <w:szCs w:val="22"/>
          <w:lang w:val="hy-AM"/>
        </w:rPr>
        <w:t>ի</w:t>
      </w:r>
      <w:r w:rsidRPr="00A83C94">
        <w:rPr>
          <w:rFonts w:cs="Sylfaen"/>
          <w:b w:val="0"/>
          <w:szCs w:val="22"/>
          <w:lang w:val="af-ZA"/>
        </w:rPr>
        <w:t xml:space="preserve"> </w:t>
      </w:r>
      <w:r w:rsidRPr="00A83C94">
        <w:rPr>
          <w:rFonts w:cs="Sylfaen"/>
          <w:b w:val="0"/>
          <w:szCs w:val="22"/>
        </w:rPr>
        <w:t>կառուց</w:t>
      </w:r>
      <w:r w:rsidRPr="00A83C94">
        <w:rPr>
          <w:rFonts w:cs="Sylfaen"/>
          <w:b w:val="0"/>
          <w:szCs w:val="22"/>
          <w:lang w:val="hy-AM"/>
        </w:rPr>
        <w:t xml:space="preserve">ման աշխատանքները, ինչպես նաև </w:t>
      </w:r>
      <w:r w:rsidRPr="00A83C94">
        <w:rPr>
          <w:b w:val="0"/>
          <w:szCs w:val="22"/>
          <w:lang w:val="af-ZA"/>
        </w:rPr>
        <w:t></w:t>
      </w:r>
      <w:r w:rsidRPr="00A83C94">
        <w:rPr>
          <w:b w:val="0"/>
          <w:szCs w:val="22"/>
        </w:rPr>
        <w:t>Վեոլիա</w:t>
      </w:r>
      <w:r w:rsidRPr="00A83C94">
        <w:rPr>
          <w:b w:val="0"/>
          <w:szCs w:val="22"/>
          <w:lang w:val="af-ZA"/>
        </w:rPr>
        <w:t xml:space="preserve"> </w:t>
      </w:r>
      <w:r w:rsidRPr="00A83C94">
        <w:rPr>
          <w:b w:val="0"/>
          <w:szCs w:val="22"/>
        </w:rPr>
        <w:t>Ջուր</w:t>
      </w:r>
      <w:r w:rsidRPr="00A83C94">
        <w:rPr>
          <w:b w:val="0"/>
          <w:szCs w:val="22"/>
          <w:lang w:val="af-ZA"/>
        </w:rPr>
        <w:t xml:space="preserve"> </w:t>
      </w:r>
      <w:r w:rsidRPr="00A83C94">
        <w:rPr>
          <w:b w:val="0"/>
          <w:szCs w:val="22"/>
        </w:rPr>
        <w:t>ՓԲԸ</w:t>
      </w:r>
      <w:r w:rsidRPr="00A83C94">
        <w:rPr>
          <w:rFonts w:cs="Sylfaen"/>
          <w:b w:val="0"/>
          <w:szCs w:val="22"/>
          <w:lang w:val="af-ZA"/>
        </w:rPr>
        <w:t>-</w:t>
      </w:r>
      <w:r w:rsidRPr="00A83C94">
        <w:rPr>
          <w:rFonts w:cs="Sylfaen"/>
          <w:b w:val="0"/>
          <w:szCs w:val="22"/>
        </w:rPr>
        <w:t>ի</w:t>
      </w:r>
      <w:r w:rsidRPr="00A83C94">
        <w:rPr>
          <w:rFonts w:cs="Sylfaen"/>
          <w:b w:val="0"/>
          <w:szCs w:val="22"/>
          <w:lang w:val="af-ZA"/>
        </w:rPr>
        <w:t xml:space="preserve"> </w:t>
      </w:r>
      <w:r w:rsidRPr="00A83C94">
        <w:rPr>
          <w:rFonts w:cs="Sylfaen"/>
          <w:b w:val="0"/>
          <w:szCs w:val="22"/>
        </w:rPr>
        <w:t>կողմից</w:t>
      </w:r>
      <w:r w:rsidRPr="00A83C94">
        <w:rPr>
          <w:rFonts w:cs="Sylfaen"/>
          <w:b w:val="0"/>
          <w:szCs w:val="22"/>
          <w:lang w:val="af-ZA"/>
        </w:rPr>
        <w:t xml:space="preserve"> </w:t>
      </w:r>
      <w:r w:rsidRPr="00A83C94">
        <w:rPr>
          <w:rFonts w:cs="Times Armenian"/>
          <w:b w:val="0"/>
          <w:color w:val="000000"/>
          <w:szCs w:val="22"/>
          <w:lang w:val="fr-FR"/>
        </w:rPr>
        <w:t xml:space="preserve">չսպասարկվող </w:t>
      </w:r>
      <w:r w:rsidRPr="00A83C94">
        <w:rPr>
          <w:b w:val="0"/>
          <w:szCs w:val="22"/>
          <w:lang w:val="af-ZA"/>
        </w:rPr>
        <w:t>բնակավայրերում խմելու ջրի մատակարարման և ջրահեռացման ոլորտում առկա խնդիրների կարգավորմ</w:t>
      </w:r>
      <w:r w:rsidR="006450C3" w:rsidRPr="00A83C94">
        <w:rPr>
          <w:b w:val="0"/>
          <w:szCs w:val="22"/>
          <w:lang w:val="af-ZA"/>
        </w:rPr>
        <w:t>ան նպատակով</w:t>
      </w:r>
      <w:r w:rsidR="006450C3" w:rsidRPr="00A83C94">
        <w:rPr>
          <w:b w:val="0"/>
          <w:szCs w:val="22"/>
          <w:lang w:val="hy-AM"/>
        </w:rPr>
        <w:t xml:space="preserve"> որոշ</w:t>
      </w:r>
      <w:r w:rsidRPr="00A83C94">
        <w:rPr>
          <w:b w:val="0"/>
          <w:szCs w:val="22"/>
          <w:lang w:val="af-ZA"/>
        </w:rPr>
        <w:t xml:space="preserve"> բնակավայրերում իրականացնել առաջնահրեթ միջոցառումներ: </w:t>
      </w:r>
    </w:p>
    <w:p w14:paraId="3B05A986" w14:textId="77777777" w:rsidR="0023176E" w:rsidRPr="00A83C94" w:rsidRDefault="0023176E" w:rsidP="0023176E">
      <w:pPr>
        <w:widowControl w:val="0"/>
        <w:spacing w:line="276" w:lineRule="auto"/>
        <w:rPr>
          <w:b w:val="0"/>
          <w:szCs w:val="22"/>
          <w:lang w:val="af-ZA"/>
        </w:rPr>
      </w:pPr>
      <w:r w:rsidRPr="00A83C94">
        <w:rPr>
          <w:b w:val="0"/>
          <w:szCs w:val="22"/>
          <w:lang w:val="af-ZA"/>
        </w:rPr>
        <w:t>Արտաքին աղբյուրների ֆինանսավորմամբ իրականացվող շարունակական ծրագրերի ներքո նախատեսվում է բարելավել Երևանի ջրամատակարարումը Հաղթանակ, Սիլիկյան և Մալաթիա թաղամասերում, ինչպես նաև՝ ՀՀ մարզերում մեկնարկած ջրամատակարարման և ջրահեռացման համակարգերի վերականգնման աշխատանքները։ Երևանում նախատեսվում է նորոգել ընդհանուր առմամբ 21 կմ ջրագիծ, 18 կմ մուտքագիծ և 21</w:t>
      </w:r>
      <w:r w:rsidRPr="00A83C94">
        <w:rPr>
          <w:rFonts w:ascii="Calibri" w:hAnsi="Calibri" w:cs="Calibri"/>
          <w:b w:val="0"/>
          <w:szCs w:val="22"/>
          <w:lang w:val="af-ZA"/>
        </w:rPr>
        <w:t> </w:t>
      </w:r>
      <w:r w:rsidRPr="00A83C94">
        <w:rPr>
          <w:b w:val="0"/>
          <w:szCs w:val="22"/>
          <w:lang w:val="af-ZA"/>
        </w:rPr>
        <w:t>000 հատ տնային միացումներ։ ՀՀ մարզերում ընդհանուր առմամբ նախատեսվում է նորոգել 164 կմ ջրագիծ, 8.5 կմ կոյուղագիծ և 7550 հատ տնային միացումներ։</w:t>
      </w:r>
    </w:p>
    <w:p w14:paraId="63453FD0" w14:textId="77777777" w:rsidR="0023176E" w:rsidRPr="00A83C94" w:rsidRDefault="0023176E" w:rsidP="0023176E">
      <w:pPr>
        <w:widowControl w:val="0"/>
        <w:spacing w:line="276" w:lineRule="auto"/>
        <w:rPr>
          <w:b w:val="0"/>
          <w:szCs w:val="22"/>
          <w:lang w:val="hy-AM"/>
        </w:rPr>
      </w:pPr>
      <w:r w:rsidRPr="00A83C94">
        <w:rPr>
          <w:b w:val="0"/>
          <w:szCs w:val="22"/>
          <w:lang w:val="hy-AM"/>
        </w:rPr>
        <w:t xml:space="preserve">Միաժամանակ Եվրոմիության համատեղ ֆինանսավորմամբ նախատեսվում է իրականացնել </w:t>
      </w:r>
      <w:r w:rsidRPr="00A83C94">
        <w:rPr>
          <w:b w:val="0"/>
          <w:szCs w:val="22"/>
          <w:lang w:val="af-ZA"/>
        </w:rPr>
        <w:t>80 բնակավայրերում խմելու ջրի ջրամատակարարման ներքին ցանց</w:t>
      </w:r>
      <w:r w:rsidRPr="00A83C94">
        <w:rPr>
          <w:b w:val="0"/>
          <w:szCs w:val="22"/>
          <w:lang w:val="hy-AM"/>
        </w:rPr>
        <w:t>ի</w:t>
      </w:r>
      <w:r w:rsidRPr="00A83C94">
        <w:rPr>
          <w:b w:val="0"/>
          <w:szCs w:val="22"/>
          <w:lang w:val="af-ZA"/>
        </w:rPr>
        <w:t>, ջրամաքրման կայաններ</w:t>
      </w:r>
      <w:r w:rsidRPr="00A83C94">
        <w:rPr>
          <w:b w:val="0"/>
          <w:szCs w:val="22"/>
          <w:lang w:val="hy-AM"/>
        </w:rPr>
        <w:t>ի</w:t>
      </w:r>
      <w:r w:rsidRPr="00A83C94">
        <w:rPr>
          <w:b w:val="0"/>
          <w:szCs w:val="22"/>
          <w:lang w:val="af-ZA"/>
        </w:rPr>
        <w:t>, խողովակաշարեր</w:t>
      </w:r>
      <w:r w:rsidRPr="00A83C94">
        <w:rPr>
          <w:b w:val="0"/>
          <w:szCs w:val="22"/>
          <w:lang w:val="hy-AM"/>
        </w:rPr>
        <w:t xml:space="preserve">ի </w:t>
      </w:r>
      <w:r w:rsidRPr="00A83C94">
        <w:rPr>
          <w:b w:val="0"/>
          <w:szCs w:val="22"/>
          <w:lang w:val="af-ZA"/>
        </w:rPr>
        <w:t>բարելավման աշխատանքների իրականացում</w:t>
      </w:r>
      <w:r w:rsidRPr="00A83C94">
        <w:rPr>
          <w:b w:val="0"/>
          <w:szCs w:val="22"/>
          <w:lang w:val="hy-AM"/>
        </w:rPr>
        <w:t>:</w:t>
      </w:r>
    </w:p>
    <w:p w14:paraId="72AE0000" w14:textId="77777777" w:rsidR="0023176E" w:rsidRPr="00A83C94" w:rsidRDefault="0023176E" w:rsidP="0023176E">
      <w:pPr>
        <w:widowControl w:val="0"/>
        <w:spacing w:line="276" w:lineRule="auto"/>
        <w:rPr>
          <w:b w:val="0"/>
          <w:szCs w:val="22"/>
          <w:lang w:val="af-ZA"/>
        </w:rPr>
      </w:pPr>
      <w:r w:rsidRPr="00A83C94">
        <w:rPr>
          <w:rFonts w:cs="Sylfaen"/>
          <w:szCs w:val="22"/>
          <w:lang w:val="hy-AM"/>
        </w:rPr>
        <w:t>Ընդերքի</w:t>
      </w:r>
      <w:r w:rsidRPr="00A83C94">
        <w:rPr>
          <w:rFonts w:cs="Sylfaen"/>
          <w:szCs w:val="22"/>
          <w:lang w:val="af-ZA"/>
        </w:rPr>
        <w:t xml:space="preserve"> </w:t>
      </w:r>
      <w:r w:rsidRPr="00A83C94">
        <w:rPr>
          <w:rFonts w:cs="Sylfaen"/>
          <w:szCs w:val="22"/>
          <w:lang w:val="hy-AM"/>
        </w:rPr>
        <w:t>ուսումնասիրության</w:t>
      </w:r>
      <w:r w:rsidRPr="00A83C94">
        <w:rPr>
          <w:rFonts w:cs="Sylfaen"/>
          <w:szCs w:val="22"/>
          <w:lang w:val="af-ZA"/>
        </w:rPr>
        <w:t xml:space="preserve">, </w:t>
      </w:r>
      <w:r w:rsidRPr="00A83C94">
        <w:rPr>
          <w:rFonts w:cs="Sylfaen"/>
          <w:szCs w:val="22"/>
          <w:lang w:val="hy-AM"/>
        </w:rPr>
        <w:t>օգտագործման</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պահպանման</w:t>
      </w:r>
      <w:r w:rsidRPr="00A83C94">
        <w:rPr>
          <w:rFonts w:cs="Sylfaen"/>
          <w:szCs w:val="22"/>
          <w:lang w:val="af-ZA"/>
        </w:rPr>
        <w:t xml:space="preserve"> </w:t>
      </w:r>
      <w:r w:rsidRPr="00A83C94">
        <w:rPr>
          <w:rFonts w:cs="Sylfaen"/>
          <w:szCs w:val="22"/>
          <w:lang w:val="hy-AM"/>
        </w:rPr>
        <w:t xml:space="preserve">ծառայություններ </w:t>
      </w:r>
      <w:r w:rsidRPr="00A83C94">
        <w:rPr>
          <w:b w:val="0"/>
          <w:szCs w:val="22"/>
          <w:lang w:val="hy-AM"/>
        </w:rPr>
        <w:t>ծրագրի</w:t>
      </w:r>
      <w:r w:rsidRPr="00A83C94">
        <w:rPr>
          <w:b w:val="0"/>
          <w:szCs w:val="22"/>
          <w:lang w:val="af-ZA"/>
        </w:rPr>
        <w:t xml:space="preserve"> </w:t>
      </w:r>
      <w:r w:rsidRPr="00A83C94">
        <w:rPr>
          <w:b w:val="0"/>
          <w:szCs w:val="22"/>
          <w:lang w:val="hy-AM"/>
        </w:rPr>
        <w:t>գծով</w:t>
      </w:r>
      <w:r w:rsidRPr="00A83C94">
        <w:rPr>
          <w:b w:val="0"/>
          <w:szCs w:val="22"/>
          <w:lang w:val="af-ZA"/>
        </w:rPr>
        <w:t xml:space="preserve"> 2022 </w:t>
      </w:r>
      <w:r w:rsidRPr="00A83C94">
        <w:rPr>
          <w:b w:val="0"/>
          <w:szCs w:val="22"/>
          <w:lang w:val="hy-AM"/>
        </w:rPr>
        <w:t>թվականին</w:t>
      </w:r>
      <w:r w:rsidRPr="00A83C94">
        <w:rPr>
          <w:b w:val="0"/>
          <w:szCs w:val="22"/>
          <w:lang w:val="af-ZA"/>
        </w:rPr>
        <w:t xml:space="preserve"> </w:t>
      </w:r>
      <w:r w:rsidRPr="00A83C94">
        <w:rPr>
          <w:b w:val="0"/>
          <w:szCs w:val="22"/>
          <w:lang w:val="hy-AM"/>
        </w:rPr>
        <w:t>նախատեսվել</w:t>
      </w:r>
      <w:r w:rsidRPr="00A83C94">
        <w:rPr>
          <w:b w:val="0"/>
          <w:szCs w:val="22"/>
          <w:lang w:val="af-ZA"/>
        </w:rPr>
        <w:t xml:space="preserve"> </w:t>
      </w:r>
      <w:r w:rsidRPr="00A83C94">
        <w:rPr>
          <w:b w:val="0"/>
          <w:szCs w:val="22"/>
          <w:lang w:val="hy-AM"/>
        </w:rPr>
        <w:t>է</w:t>
      </w:r>
      <w:r w:rsidRPr="00A83C94">
        <w:rPr>
          <w:b w:val="0"/>
          <w:szCs w:val="22"/>
          <w:lang w:val="af-ZA"/>
        </w:rPr>
        <w:t xml:space="preserve"> 1</w:t>
      </w:r>
      <w:r w:rsidRPr="00A83C94">
        <w:rPr>
          <w:b w:val="0"/>
          <w:szCs w:val="22"/>
          <w:lang w:val="hy-AM"/>
        </w:rPr>
        <w:t>37</w:t>
      </w:r>
      <w:r w:rsidRPr="00A83C94">
        <w:rPr>
          <w:b w:val="0"/>
          <w:szCs w:val="22"/>
          <w:lang w:val="af-ZA"/>
        </w:rPr>
        <w:t>.</w:t>
      </w:r>
      <w:r w:rsidRPr="00A83C94">
        <w:rPr>
          <w:b w:val="0"/>
          <w:szCs w:val="22"/>
          <w:lang w:val="hy-AM"/>
        </w:rPr>
        <w:t>3</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lang w:val="hy-AM"/>
        </w:rPr>
        <w:t>դրամ</w:t>
      </w:r>
      <w:r w:rsidRPr="00A83C94">
        <w:rPr>
          <w:b w:val="0"/>
          <w:szCs w:val="22"/>
          <w:lang w:val="af-ZA"/>
        </w:rPr>
        <w:t>.</w:t>
      </w:r>
    </w:p>
    <w:p w14:paraId="1843005B" w14:textId="77777777" w:rsidR="0023176E" w:rsidRPr="00A83C94" w:rsidRDefault="0023176E" w:rsidP="0023176E">
      <w:pPr>
        <w:spacing w:line="276" w:lineRule="auto"/>
        <w:rPr>
          <w:b w:val="0"/>
          <w:lang w:val="hy-AM"/>
        </w:rPr>
      </w:pPr>
      <w:r w:rsidRPr="00A83C94">
        <w:rPr>
          <w:b w:val="0"/>
          <w:lang w:val="hy-AM"/>
        </w:rPr>
        <w:t>Ծրագրի</w:t>
      </w:r>
      <w:r w:rsidRPr="00A83C94">
        <w:rPr>
          <w:b w:val="0"/>
          <w:lang w:val="af-ZA"/>
        </w:rPr>
        <w:t xml:space="preserve"> </w:t>
      </w:r>
      <w:r w:rsidRPr="00A83C94">
        <w:rPr>
          <w:b w:val="0"/>
          <w:lang w:val="hy-AM"/>
        </w:rPr>
        <w:t>նպատակն</w:t>
      </w:r>
      <w:r w:rsidRPr="00A83C94">
        <w:rPr>
          <w:b w:val="0"/>
          <w:lang w:val="af-ZA"/>
        </w:rPr>
        <w:t xml:space="preserve"> </w:t>
      </w:r>
      <w:r w:rsidRPr="00A83C94">
        <w:rPr>
          <w:b w:val="0"/>
          <w:lang w:val="hy-AM"/>
        </w:rPr>
        <w:t>է</w:t>
      </w:r>
      <w:r w:rsidRPr="00A83C94">
        <w:rPr>
          <w:b w:val="0"/>
          <w:lang w:val="af-ZA"/>
        </w:rPr>
        <w:t xml:space="preserve"> </w:t>
      </w:r>
      <w:r w:rsidRPr="00A83C94">
        <w:rPr>
          <w:b w:val="0"/>
          <w:lang w:val="hy-AM"/>
        </w:rPr>
        <w:t>ՀՀ</w:t>
      </w:r>
      <w:r w:rsidRPr="00A83C94">
        <w:rPr>
          <w:b w:val="0"/>
          <w:lang w:val="af-ZA"/>
        </w:rPr>
        <w:t xml:space="preserve"> </w:t>
      </w:r>
      <w:r w:rsidRPr="00A83C94">
        <w:rPr>
          <w:b w:val="0"/>
          <w:lang w:val="hy-AM"/>
        </w:rPr>
        <w:t>ընդերքի</w:t>
      </w:r>
      <w:r w:rsidRPr="00A83C94">
        <w:rPr>
          <w:b w:val="0"/>
          <w:lang w:val="af-ZA"/>
        </w:rPr>
        <w:t xml:space="preserve"> </w:t>
      </w:r>
      <w:r w:rsidRPr="00A83C94">
        <w:rPr>
          <w:b w:val="0"/>
          <w:lang w:val="hy-AM"/>
        </w:rPr>
        <w:t>վերաբերյալ</w:t>
      </w:r>
      <w:r w:rsidRPr="00A83C94">
        <w:rPr>
          <w:b w:val="0"/>
          <w:lang w:val="af-ZA"/>
        </w:rPr>
        <w:t xml:space="preserve"> </w:t>
      </w:r>
      <w:r w:rsidRPr="00A83C94">
        <w:rPr>
          <w:b w:val="0"/>
          <w:lang w:val="hy-AM"/>
        </w:rPr>
        <w:t>տեղեկության</w:t>
      </w:r>
      <w:r w:rsidRPr="00A83C94">
        <w:rPr>
          <w:b w:val="0"/>
          <w:lang w:val="af-ZA"/>
        </w:rPr>
        <w:t xml:space="preserve"> </w:t>
      </w:r>
      <w:r w:rsidRPr="00A83C94">
        <w:rPr>
          <w:b w:val="0"/>
          <w:lang w:val="hy-AM"/>
        </w:rPr>
        <w:t>ընդունումը</w:t>
      </w:r>
      <w:r w:rsidRPr="00A83C94">
        <w:rPr>
          <w:b w:val="0"/>
          <w:lang w:val="af-ZA"/>
        </w:rPr>
        <w:t xml:space="preserve">, </w:t>
      </w:r>
      <w:r w:rsidRPr="00A83C94">
        <w:rPr>
          <w:b w:val="0"/>
          <w:lang w:val="hy-AM"/>
        </w:rPr>
        <w:t>հաշվառումը</w:t>
      </w:r>
      <w:r w:rsidRPr="00A83C94">
        <w:rPr>
          <w:b w:val="0"/>
          <w:lang w:val="af-ZA"/>
        </w:rPr>
        <w:t xml:space="preserve">, </w:t>
      </w:r>
      <w:r w:rsidRPr="00A83C94">
        <w:rPr>
          <w:b w:val="0"/>
          <w:lang w:val="hy-AM"/>
        </w:rPr>
        <w:t>պահպանումը</w:t>
      </w:r>
      <w:r w:rsidRPr="00A83C94">
        <w:rPr>
          <w:b w:val="0"/>
          <w:lang w:val="af-ZA"/>
        </w:rPr>
        <w:t xml:space="preserve">, </w:t>
      </w:r>
      <w:r w:rsidRPr="00A83C94">
        <w:rPr>
          <w:b w:val="0"/>
          <w:lang w:val="hy-AM"/>
        </w:rPr>
        <w:t>պարբերաբար</w:t>
      </w:r>
      <w:r w:rsidRPr="00A83C94">
        <w:rPr>
          <w:b w:val="0"/>
          <w:lang w:val="af-ZA"/>
        </w:rPr>
        <w:t xml:space="preserve"> </w:t>
      </w:r>
      <w:r w:rsidRPr="00A83C94">
        <w:rPr>
          <w:b w:val="0"/>
          <w:lang w:val="hy-AM"/>
        </w:rPr>
        <w:t>թարմացումը</w:t>
      </w:r>
      <w:r w:rsidRPr="00A83C94">
        <w:rPr>
          <w:b w:val="0"/>
          <w:lang w:val="af-ZA"/>
        </w:rPr>
        <w:t xml:space="preserve">, </w:t>
      </w:r>
      <w:r w:rsidRPr="00A83C94">
        <w:rPr>
          <w:b w:val="0"/>
          <w:lang w:val="hy-AM"/>
        </w:rPr>
        <w:t>ամբողջականության</w:t>
      </w:r>
      <w:r w:rsidRPr="00A83C94">
        <w:rPr>
          <w:b w:val="0"/>
          <w:lang w:val="af-ZA"/>
        </w:rPr>
        <w:t xml:space="preserve"> </w:t>
      </w:r>
      <w:r w:rsidRPr="00A83C94">
        <w:rPr>
          <w:b w:val="0"/>
          <w:lang w:val="hy-AM"/>
        </w:rPr>
        <w:t>և</w:t>
      </w:r>
      <w:r w:rsidRPr="00A83C94">
        <w:rPr>
          <w:b w:val="0"/>
          <w:lang w:val="af-ZA"/>
        </w:rPr>
        <w:t xml:space="preserve"> </w:t>
      </w:r>
      <w:r w:rsidRPr="00A83C94">
        <w:rPr>
          <w:b w:val="0"/>
          <w:lang w:val="hy-AM"/>
        </w:rPr>
        <w:t>մատչելիության</w:t>
      </w:r>
      <w:r w:rsidRPr="00A83C94">
        <w:rPr>
          <w:b w:val="0"/>
          <w:lang w:val="af-ZA"/>
        </w:rPr>
        <w:t xml:space="preserve"> </w:t>
      </w:r>
      <w:r w:rsidRPr="00A83C94">
        <w:rPr>
          <w:b w:val="0"/>
          <w:lang w:val="hy-AM"/>
        </w:rPr>
        <w:t>ապահովումը</w:t>
      </w:r>
      <w:r w:rsidRPr="00A83C94">
        <w:rPr>
          <w:b w:val="0"/>
          <w:lang w:val="af-ZA"/>
        </w:rPr>
        <w:t xml:space="preserve">, </w:t>
      </w:r>
      <w:r w:rsidRPr="00A83C94">
        <w:rPr>
          <w:b w:val="0"/>
          <w:lang w:val="hy-AM"/>
        </w:rPr>
        <w:t>ինչպես</w:t>
      </w:r>
      <w:r w:rsidRPr="00A83C94">
        <w:rPr>
          <w:b w:val="0"/>
          <w:lang w:val="af-ZA"/>
        </w:rPr>
        <w:t xml:space="preserve"> </w:t>
      </w:r>
      <w:r w:rsidRPr="00A83C94">
        <w:rPr>
          <w:b w:val="0"/>
          <w:lang w:val="hy-AM"/>
        </w:rPr>
        <w:t>նաև</w:t>
      </w:r>
      <w:r w:rsidRPr="00A83C94">
        <w:rPr>
          <w:b w:val="0"/>
          <w:lang w:val="af-ZA"/>
        </w:rPr>
        <w:t xml:space="preserve"> </w:t>
      </w:r>
      <w:r w:rsidRPr="00A83C94">
        <w:rPr>
          <w:b w:val="0"/>
          <w:lang w:val="hy-AM"/>
        </w:rPr>
        <w:t>պետական</w:t>
      </w:r>
      <w:r w:rsidRPr="00A83C94">
        <w:rPr>
          <w:b w:val="0"/>
          <w:lang w:val="af-ZA"/>
        </w:rPr>
        <w:t xml:space="preserve"> </w:t>
      </w:r>
      <w:r w:rsidRPr="00A83C94">
        <w:rPr>
          <w:b w:val="0"/>
          <w:lang w:val="hy-AM"/>
        </w:rPr>
        <w:t>մարմիններին</w:t>
      </w:r>
      <w:r w:rsidRPr="00A83C94">
        <w:rPr>
          <w:b w:val="0"/>
          <w:lang w:val="af-ZA"/>
        </w:rPr>
        <w:t xml:space="preserve"> </w:t>
      </w:r>
      <w:r w:rsidRPr="00A83C94">
        <w:rPr>
          <w:b w:val="0"/>
          <w:lang w:val="hy-AM"/>
        </w:rPr>
        <w:t>ընդերքի</w:t>
      </w:r>
      <w:r w:rsidRPr="00A83C94">
        <w:rPr>
          <w:b w:val="0"/>
          <w:lang w:val="af-ZA"/>
        </w:rPr>
        <w:t xml:space="preserve"> </w:t>
      </w:r>
      <w:r w:rsidRPr="00A83C94">
        <w:rPr>
          <w:b w:val="0"/>
          <w:lang w:val="hy-AM"/>
        </w:rPr>
        <w:t>մասին</w:t>
      </w:r>
      <w:r w:rsidRPr="00A83C94">
        <w:rPr>
          <w:b w:val="0"/>
          <w:lang w:val="af-ZA"/>
        </w:rPr>
        <w:t xml:space="preserve"> </w:t>
      </w:r>
      <w:r w:rsidRPr="00A83C94">
        <w:rPr>
          <w:b w:val="0"/>
          <w:lang w:val="hy-AM"/>
        </w:rPr>
        <w:t>տեղեկատվության</w:t>
      </w:r>
      <w:r w:rsidRPr="00A83C94">
        <w:rPr>
          <w:b w:val="0"/>
          <w:lang w:val="af-ZA"/>
        </w:rPr>
        <w:t xml:space="preserve"> </w:t>
      </w:r>
      <w:r w:rsidRPr="00A83C94">
        <w:rPr>
          <w:b w:val="0"/>
          <w:lang w:val="hy-AM"/>
        </w:rPr>
        <w:t>տրամադրումը</w:t>
      </w:r>
      <w:r w:rsidRPr="00A83C94">
        <w:rPr>
          <w:b w:val="0"/>
          <w:lang w:val="af-ZA"/>
        </w:rPr>
        <w:t xml:space="preserve">: </w:t>
      </w:r>
      <w:r w:rsidRPr="00A83C94">
        <w:rPr>
          <w:b w:val="0"/>
          <w:lang w:val="hy-AM"/>
        </w:rPr>
        <w:t>Ծրագրի</w:t>
      </w:r>
      <w:r w:rsidRPr="00A83C94">
        <w:rPr>
          <w:b w:val="0"/>
          <w:lang w:val="af-ZA"/>
        </w:rPr>
        <w:t xml:space="preserve"> </w:t>
      </w:r>
      <w:r w:rsidRPr="00A83C94">
        <w:rPr>
          <w:b w:val="0"/>
          <w:lang w:val="hy-AM"/>
        </w:rPr>
        <w:t xml:space="preserve">կատարմամբ ակնկալվում է ընդերքօգտագործման ֆոնդի ամբողջականության ապահովումը: </w:t>
      </w:r>
    </w:p>
    <w:p w14:paraId="5D715C61" w14:textId="77777777" w:rsidR="0023176E" w:rsidRPr="00A83C94" w:rsidRDefault="0023176E" w:rsidP="0023176E">
      <w:pPr>
        <w:spacing w:line="276" w:lineRule="auto"/>
        <w:rPr>
          <w:b w:val="0"/>
          <w:lang w:val="hy-AM"/>
        </w:rPr>
      </w:pPr>
      <w:r w:rsidRPr="00A83C94">
        <w:rPr>
          <w:b w:val="0"/>
          <w:lang w:val="hy-AM"/>
        </w:rPr>
        <w:t>Ծրագրի շրջանակներում նախատեսվում է 1520 հատ երկրաբանական նյութերի ուսումնասիրությունների վերաբերյալ տեղեկությունների ընդունում, թվայնացում և կայքում տեղադրում, 930 հանքավայրերի օգտակար հանածոների պաշարների, 250 ընդերքի տեղամասերի ներկայացված կոորդինատների վերաբերյալ տեղեկությունների և տրամադրված 500 ընդերքօգտագործման իրավունքների հաշվառում:</w:t>
      </w:r>
    </w:p>
    <w:p w14:paraId="60F1CD5A" w14:textId="56DDE432" w:rsidR="0023176E" w:rsidRPr="00A83C94" w:rsidRDefault="0023176E" w:rsidP="0023176E">
      <w:pPr>
        <w:spacing w:line="276" w:lineRule="auto"/>
        <w:rPr>
          <w:b w:val="0"/>
          <w:lang w:val="hy-AM"/>
        </w:rPr>
      </w:pPr>
      <w:r w:rsidRPr="00A83C94">
        <w:rPr>
          <w:b w:val="0"/>
          <w:lang w:val="hy-AM"/>
        </w:rPr>
        <w:t xml:space="preserve">Արտաքին աղբյուրների ֆինանսավորմամբ իրականացվող շարունակական ծրագրերի ներքո նախատեսվում է Հայաստանի հանքարդյունաբերության ոլորտի քաղաքականության </w:t>
      </w:r>
      <w:r w:rsidR="006E0AE4" w:rsidRPr="000F464F">
        <w:rPr>
          <w:b w:val="0"/>
          <w:lang w:val="hy-AM"/>
        </w:rPr>
        <w:t>և</w:t>
      </w:r>
      <w:r w:rsidRPr="00A83C94">
        <w:rPr>
          <w:b w:val="0"/>
          <w:lang w:val="hy-AM"/>
        </w:rPr>
        <w:t xml:space="preserve"> դրանից բխող գործողությունների ծրագրի մշակմանն օժանդակելը, որը կենտրոնանում է կայուն տնտեսական զարգացման մեջ հանքարդյունաբերության ոլորտի միջոցով կատարվող ներդրումն ամրապնդելու վրա:</w:t>
      </w:r>
    </w:p>
    <w:p w14:paraId="375FE6EA" w14:textId="77777777" w:rsidR="0023176E" w:rsidRPr="00A83C94" w:rsidRDefault="0023176E" w:rsidP="0023176E">
      <w:pPr>
        <w:widowControl w:val="0"/>
        <w:spacing w:line="276" w:lineRule="auto"/>
        <w:rPr>
          <w:rFonts w:cs="Sylfaen"/>
          <w:b w:val="0"/>
          <w:szCs w:val="22"/>
          <w:lang w:val="hy-AM"/>
        </w:rPr>
      </w:pPr>
      <w:r w:rsidRPr="00A83C94">
        <w:rPr>
          <w:b w:val="0"/>
          <w:szCs w:val="22"/>
          <w:lang w:val="af-ZA"/>
        </w:rPr>
        <w:t xml:space="preserve"> </w:t>
      </w:r>
      <w:r w:rsidRPr="00A83C94">
        <w:rPr>
          <w:rFonts w:cs="Sylfaen"/>
          <w:szCs w:val="22"/>
          <w:lang w:val="hy-AM"/>
        </w:rPr>
        <w:t>Երկաթուղային</w:t>
      </w:r>
      <w:r w:rsidRPr="00A83C94">
        <w:rPr>
          <w:rFonts w:cs="Sylfaen"/>
          <w:szCs w:val="22"/>
          <w:lang w:val="af-ZA"/>
        </w:rPr>
        <w:t xml:space="preserve"> </w:t>
      </w:r>
      <w:r w:rsidRPr="00A83C94">
        <w:rPr>
          <w:rFonts w:cs="Sylfaen"/>
          <w:szCs w:val="22"/>
          <w:lang w:val="hy-AM"/>
        </w:rPr>
        <w:t>ցանցի</w:t>
      </w:r>
      <w:r w:rsidRPr="00A83C94">
        <w:rPr>
          <w:rFonts w:cs="Sylfaen"/>
          <w:szCs w:val="22"/>
          <w:lang w:val="af-ZA"/>
        </w:rPr>
        <w:t xml:space="preserve"> </w:t>
      </w:r>
      <w:r w:rsidRPr="00A83C94">
        <w:rPr>
          <w:rFonts w:cs="Sylfaen"/>
          <w:szCs w:val="22"/>
          <w:lang w:val="hy-AM"/>
        </w:rPr>
        <w:t>զարգացում</w:t>
      </w:r>
      <w:r w:rsidRPr="00A83C94">
        <w:rPr>
          <w:rFonts w:cs="Sylfaen"/>
          <w:szCs w:val="22"/>
          <w:lang w:val="af-ZA"/>
        </w:rPr>
        <w:t xml:space="preserve"> </w:t>
      </w:r>
      <w:r w:rsidRPr="00A83C94">
        <w:rPr>
          <w:rFonts w:cs="Sylfaen"/>
          <w:b w:val="0"/>
          <w:szCs w:val="22"/>
          <w:lang w:val="hy-AM"/>
        </w:rPr>
        <w:t>ծրագրի գծով ուղևորափոխադրումներից</w:t>
      </w:r>
      <w:r w:rsidRPr="00A83C94">
        <w:rPr>
          <w:rFonts w:cs="Sylfaen"/>
          <w:b w:val="0"/>
          <w:szCs w:val="22"/>
          <w:lang w:val="af-ZA"/>
        </w:rPr>
        <w:t xml:space="preserve"> </w:t>
      </w:r>
      <w:r w:rsidRPr="00A83C94">
        <w:rPr>
          <w:rFonts w:cs="Sylfaen"/>
          <w:b w:val="0"/>
          <w:szCs w:val="22"/>
          <w:lang w:val="hy-AM"/>
        </w:rPr>
        <w:t>ստացված</w:t>
      </w:r>
      <w:r w:rsidRPr="00A83C94">
        <w:rPr>
          <w:rFonts w:cs="Sylfaen"/>
          <w:b w:val="0"/>
          <w:szCs w:val="22"/>
          <w:lang w:val="af-ZA"/>
        </w:rPr>
        <w:t xml:space="preserve"> </w:t>
      </w:r>
      <w:r w:rsidRPr="00A83C94">
        <w:rPr>
          <w:rFonts w:cs="Sylfaen"/>
          <w:b w:val="0"/>
          <w:szCs w:val="22"/>
          <w:lang w:val="hy-AM"/>
        </w:rPr>
        <w:t>վնասի</w:t>
      </w:r>
      <w:r w:rsidRPr="00A83C94">
        <w:rPr>
          <w:rFonts w:cs="Sylfaen"/>
          <w:b w:val="0"/>
          <w:szCs w:val="22"/>
          <w:lang w:val="af-ZA"/>
        </w:rPr>
        <w:t xml:space="preserve"> </w:t>
      </w:r>
      <w:r w:rsidRPr="00A83C94">
        <w:rPr>
          <w:rFonts w:cs="Sylfaen"/>
          <w:b w:val="0"/>
          <w:szCs w:val="22"/>
          <w:lang w:val="hy-AM"/>
        </w:rPr>
        <w:t>դիմաց</w:t>
      </w:r>
      <w:r w:rsidRPr="00A83C94">
        <w:rPr>
          <w:rFonts w:cs="Sylfaen"/>
          <w:b w:val="0"/>
          <w:szCs w:val="22"/>
          <w:lang w:val="af-ZA"/>
        </w:rPr>
        <w:t xml:space="preserve"> «</w:t>
      </w:r>
      <w:r w:rsidRPr="00A83C94">
        <w:rPr>
          <w:rFonts w:cs="Sylfaen"/>
          <w:b w:val="0"/>
          <w:szCs w:val="22"/>
          <w:lang w:val="hy-AM"/>
        </w:rPr>
        <w:t>Հարավկովկասյան</w:t>
      </w:r>
      <w:r w:rsidRPr="00A83C94">
        <w:rPr>
          <w:rFonts w:cs="Sylfaen"/>
          <w:b w:val="0"/>
          <w:szCs w:val="22"/>
          <w:lang w:val="af-ZA"/>
        </w:rPr>
        <w:t xml:space="preserve"> </w:t>
      </w:r>
      <w:r w:rsidRPr="00A83C94">
        <w:rPr>
          <w:rFonts w:cs="Sylfaen"/>
          <w:b w:val="0"/>
          <w:szCs w:val="22"/>
          <w:lang w:val="hy-AM"/>
        </w:rPr>
        <w:t>երկաթուղի</w:t>
      </w:r>
      <w:r w:rsidRPr="00A83C94">
        <w:rPr>
          <w:rFonts w:cs="Sylfaen"/>
          <w:b w:val="0"/>
          <w:szCs w:val="22"/>
          <w:lang w:val="af-ZA"/>
        </w:rPr>
        <w:t xml:space="preserve">» </w:t>
      </w:r>
      <w:r w:rsidRPr="00A83C94">
        <w:rPr>
          <w:rFonts w:cs="Sylfaen"/>
          <w:b w:val="0"/>
          <w:szCs w:val="22"/>
          <w:lang w:val="hy-AM"/>
        </w:rPr>
        <w:t>ՓԲԸ</w:t>
      </w:r>
      <w:r w:rsidRPr="00A83C94">
        <w:rPr>
          <w:rFonts w:cs="Sylfaen"/>
          <w:b w:val="0"/>
          <w:szCs w:val="22"/>
          <w:lang w:val="af-ZA"/>
        </w:rPr>
        <w:t>-</w:t>
      </w:r>
      <w:r w:rsidRPr="00A83C94">
        <w:rPr>
          <w:rFonts w:cs="Sylfaen"/>
          <w:b w:val="0"/>
          <w:szCs w:val="22"/>
          <w:lang w:val="hy-AM"/>
        </w:rPr>
        <w:t>ին</w:t>
      </w:r>
      <w:r w:rsidRPr="00A83C94">
        <w:rPr>
          <w:rFonts w:cs="Sylfaen"/>
          <w:b w:val="0"/>
          <w:szCs w:val="22"/>
          <w:lang w:val="af-ZA"/>
        </w:rPr>
        <w:t xml:space="preserve"> </w:t>
      </w:r>
      <w:r w:rsidRPr="00A83C94">
        <w:rPr>
          <w:rFonts w:cs="Sylfaen"/>
          <w:b w:val="0"/>
          <w:szCs w:val="22"/>
          <w:lang w:val="hy-AM"/>
        </w:rPr>
        <w:t>սուբսիդիայի</w:t>
      </w:r>
      <w:r w:rsidRPr="00A83C94">
        <w:rPr>
          <w:rFonts w:cs="Sylfaen"/>
          <w:b w:val="0"/>
          <w:szCs w:val="22"/>
          <w:lang w:val="af-ZA"/>
        </w:rPr>
        <w:t xml:space="preserve"> </w:t>
      </w:r>
      <w:r w:rsidRPr="00A83C94">
        <w:rPr>
          <w:rFonts w:cs="Sylfaen"/>
          <w:b w:val="0"/>
          <w:szCs w:val="22"/>
          <w:lang w:val="hy-AM"/>
        </w:rPr>
        <w:t>տրամադրման</w:t>
      </w:r>
      <w:r w:rsidRPr="00A83C94">
        <w:rPr>
          <w:rFonts w:cs="Sylfaen"/>
          <w:b w:val="0"/>
          <w:szCs w:val="22"/>
          <w:lang w:val="af-ZA"/>
        </w:rPr>
        <w:t xml:space="preserve"> </w:t>
      </w:r>
      <w:r w:rsidRPr="00A83C94">
        <w:rPr>
          <w:rFonts w:cs="Sylfaen"/>
          <w:b w:val="0"/>
          <w:szCs w:val="22"/>
          <w:lang w:val="hy-AM"/>
        </w:rPr>
        <w:t>համար</w:t>
      </w:r>
      <w:r w:rsidRPr="00A83C94">
        <w:rPr>
          <w:rFonts w:cs="Sylfaen"/>
          <w:b w:val="0"/>
          <w:szCs w:val="22"/>
          <w:lang w:val="af-ZA"/>
        </w:rPr>
        <w:t xml:space="preserve"> </w:t>
      </w:r>
      <w:r w:rsidRPr="00A83C94">
        <w:rPr>
          <w:rFonts w:cs="Sylfaen"/>
          <w:b w:val="0"/>
          <w:szCs w:val="22"/>
          <w:lang w:val="hy-AM"/>
        </w:rPr>
        <w:t>նախատեսվում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2022 </w:t>
      </w:r>
      <w:r w:rsidRPr="00A83C94">
        <w:rPr>
          <w:rFonts w:cs="Sylfaen"/>
          <w:b w:val="0"/>
          <w:szCs w:val="22"/>
          <w:lang w:val="hy-AM"/>
        </w:rPr>
        <w:t>թվականին</w:t>
      </w:r>
      <w:r w:rsidRPr="00A83C94">
        <w:rPr>
          <w:rFonts w:cs="Sylfaen"/>
          <w:b w:val="0"/>
          <w:szCs w:val="22"/>
          <w:lang w:val="af-ZA"/>
        </w:rPr>
        <w:t xml:space="preserve"> </w:t>
      </w:r>
      <w:r w:rsidRPr="00A83C94">
        <w:rPr>
          <w:rFonts w:cs="Sylfaen"/>
          <w:b w:val="0"/>
          <w:szCs w:val="22"/>
          <w:lang w:val="hy-AM"/>
        </w:rPr>
        <w:t>հատկացնել</w:t>
      </w:r>
      <w:r w:rsidRPr="00A83C94">
        <w:rPr>
          <w:rFonts w:cs="Sylfaen"/>
          <w:b w:val="0"/>
          <w:szCs w:val="22"/>
          <w:lang w:val="af-ZA"/>
        </w:rPr>
        <w:t xml:space="preserve"> 423.0 </w:t>
      </w:r>
      <w:r w:rsidRPr="00A83C94">
        <w:rPr>
          <w:rFonts w:cs="Sylfaen"/>
          <w:b w:val="0"/>
          <w:szCs w:val="22"/>
          <w:lang w:val="hy-AM"/>
        </w:rPr>
        <w:t>մլն</w:t>
      </w:r>
      <w:r w:rsidRPr="00A83C94">
        <w:rPr>
          <w:rFonts w:cs="Sylfaen"/>
          <w:b w:val="0"/>
          <w:szCs w:val="22"/>
          <w:lang w:val="af-ZA"/>
        </w:rPr>
        <w:t xml:space="preserve"> </w:t>
      </w:r>
      <w:r w:rsidRPr="00A83C94">
        <w:rPr>
          <w:rFonts w:cs="Sylfaen"/>
          <w:b w:val="0"/>
          <w:szCs w:val="22"/>
          <w:lang w:val="hy-AM"/>
        </w:rPr>
        <w:t>դրամ:</w:t>
      </w:r>
    </w:p>
    <w:p w14:paraId="752A6417"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lang w:val="hy-AM"/>
        </w:rPr>
        <w:t>Միջոցառման</w:t>
      </w:r>
      <w:r w:rsidRPr="00A83C94">
        <w:rPr>
          <w:rFonts w:cs="Sylfaen"/>
          <w:b w:val="0"/>
          <w:szCs w:val="22"/>
          <w:lang w:val="af-ZA"/>
        </w:rPr>
        <w:t xml:space="preserve"> </w:t>
      </w:r>
      <w:r w:rsidRPr="00A83C94">
        <w:rPr>
          <w:rFonts w:cs="Sylfaen"/>
          <w:b w:val="0"/>
          <w:szCs w:val="22"/>
          <w:lang w:val="hy-AM"/>
        </w:rPr>
        <w:t>նպատակն</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ՀՀ</w:t>
      </w:r>
      <w:r w:rsidRPr="00A83C94">
        <w:rPr>
          <w:rFonts w:cs="Sylfaen"/>
          <w:b w:val="0"/>
          <w:szCs w:val="22"/>
          <w:lang w:val="af-ZA"/>
        </w:rPr>
        <w:t xml:space="preserve"> </w:t>
      </w:r>
      <w:r w:rsidRPr="00A83C94">
        <w:rPr>
          <w:rFonts w:cs="Sylfaen"/>
          <w:b w:val="0"/>
          <w:szCs w:val="22"/>
          <w:lang w:val="hy-AM"/>
        </w:rPr>
        <w:t>կառավարության</w:t>
      </w:r>
      <w:r w:rsidRPr="00A83C94">
        <w:rPr>
          <w:rFonts w:cs="Sylfaen"/>
          <w:b w:val="0"/>
          <w:szCs w:val="22"/>
          <w:lang w:val="af-ZA"/>
        </w:rPr>
        <w:t xml:space="preserve"> 07.02.2008</w:t>
      </w:r>
      <w:r w:rsidRPr="00A83C94">
        <w:rPr>
          <w:rFonts w:cs="Sylfaen"/>
          <w:b w:val="0"/>
          <w:szCs w:val="22"/>
          <w:lang w:val="hy-AM"/>
        </w:rPr>
        <w:t>թ</w:t>
      </w:r>
      <w:r w:rsidRPr="00A83C94">
        <w:rPr>
          <w:rFonts w:cs="Sylfaen"/>
          <w:b w:val="0"/>
          <w:szCs w:val="22"/>
          <w:lang w:val="af-ZA"/>
        </w:rPr>
        <w:t>. N 83-</w:t>
      </w:r>
      <w:r w:rsidRPr="00A83C94">
        <w:rPr>
          <w:rFonts w:cs="Sylfaen"/>
          <w:b w:val="0"/>
          <w:szCs w:val="22"/>
          <w:lang w:val="hy-AM"/>
        </w:rPr>
        <w:t>Ա</w:t>
      </w:r>
      <w:r w:rsidRPr="00A83C94">
        <w:rPr>
          <w:rFonts w:cs="Sylfaen"/>
          <w:b w:val="0"/>
          <w:szCs w:val="22"/>
          <w:lang w:val="af-ZA"/>
        </w:rPr>
        <w:t xml:space="preserve"> </w:t>
      </w:r>
      <w:r w:rsidRPr="00A83C94">
        <w:rPr>
          <w:rFonts w:cs="Sylfaen"/>
          <w:b w:val="0"/>
          <w:szCs w:val="22"/>
          <w:lang w:val="hy-AM"/>
        </w:rPr>
        <w:t>որոշմամբ</w:t>
      </w:r>
      <w:r w:rsidRPr="00A83C94">
        <w:rPr>
          <w:rFonts w:cs="Sylfaen"/>
          <w:b w:val="0"/>
          <w:szCs w:val="22"/>
          <w:lang w:val="af-ZA"/>
        </w:rPr>
        <w:t xml:space="preserve"> </w:t>
      </w:r>
      <w:r w:rsidRPr="00A83C94">
        <w:rPr>
          <w:rFonts w:cs="Sylfaen"/>
          <w:b w:val="0"/>
          <w:szCs w:val="22"/>
          <w:lang w:val="hy-AM"/>
        </w:rPr>
        <w:t>հաս</w:t>
      </w:r>
      <w:r w:rsidRPr="00A83C94">
        <w:rPr>
          <w:rFonts w:cs="Sylfaen"/>
          <w:b w:val="0"/>
          <w:szCs w:val="22"/>
          <w:lang w:val="af-ZA"/>
        </w:rPr>
        <w:softHyphen/>
      </w:r>
      <w:r w:rsidRPr="00A83C94">
        <w:rPr>
          <w:rFonts w:cs="Sylfaen"/>
          <w:b w:val="0"/>
          <w:szCs w:val="22"/>
          <w:lang w:val="hy-AM"/>
        </w:rPr>
        <w:t>տատված</w:t>
      </w:r>
      <w:r w:rsidRPr="00A83C94">
        <w:rPr>
          <w:rFonts w:cs="Sylfaen"/>
          <w:b w:val="0"/>
          <w:szCs w:val="22"/>
          <w:lang w:val="af-ZA"/>
        </w:rPr>
        <w:t xml:space="preserve"> </w:t>
      </w:r>
      <w:r w:rsidRPr="00A83C94">
        <w:rPr>
          <w:rFonts w:cs="Sylfaen"/>
          <w:b w:val="0"/>
          <w:szCs w:val="22"/>
          <w:lang w:val="hy-AM"/>
        </w:rPr>
        <w:t>Կոնցեսիոն</w:t>
      </w:r>
      <w:r w:rsidRPr="00A83C94">
        <w:rPr>
          <w:rFonts w:cs="Sylfaen"/>
          <w:b w:val="0"/>
          <w:szCs w:val="22"/>
          <w:lang w:val="af-ZA"/>
        </w:rPr>
        <w:t xml:space="preserve"> </w:t>
      </w:r>
      <w:r w:rsidRPr="00A83C94">
        <w:rPr>
          <w:rFonts w:cs="Sylfaen"/>
          <w:b w:val="0"/>
          <w:szCs w:val="22"/>
          <w:lang w:val="hy-AM"/>
        </w:rPr>
        <w:t>պայմա</w:t>
      </w:r>
      <w:r w:rsidRPr="00A83C94">
        <w:rPr>
          <w:rFonts w:cs="Sylfaen"/>
          <w:b w:val="0"/>
          <w:szCs w:val="22"/>
          <w:lang w:val="af-ZA"/>
        </w:rPr>
        <w:softHyphen/>
      </w:r>
      <w:r w:rsidRPr="00A83C94">
        <w:rPr>
          <w:rFonts w:cs="Sylfaen"/>
          <w:b w:val="0"/>
          <w:szCs w:val="22"/>
          <w:lang w:val="hy-AM"/>
        </w:rPr>
        <w:t>նագրի</w:t>
      </w:r>
      <w:r w:rsidRPr="00A83C94">
        <w:rPr>
          <w:rFonts w:cs="Sylfaen"/>
          <w:b w:val="0"/>
          <w:szCs w:val="22"/>
          <w:lang w:val="af-ZA"/>
        </w:rPr>
        <w:t xml:space="preserve"> </w:t>
      </w:r>
      <w:r w:rsidRPr="00A83C94">
        <w:rPr>
          <w:rFonts w:cs="Sylfaen"/>
          <w:b w:val="0"/>
          <w:szCs w:val="22"/>
          <w:lang w:val="hy-AM"/>
        </w:rPr>
        <w:t>համաձայն</w:t>
      </w:r>
      <w:r w:rsidRPr="00A83C94">
        <w:rPr>
          <w:rFonts w:cs="Sylfaen"/>
          <w:b w:val="0"/>
          <w:szCs w:val="22"/>
          <w:lang w:val="af-ZA"/>
        </w:rPr>
        <w:t xml:space="preserve"> </w:t>
      </w:r>
      <w:r w:rsidRPr="00A83C94">
        <w:rPr>
          <w:rFonts w:cs="Sylfaen"/>
          <w:b w:val="0"/>
          <w:szCs w:val="22"/>
          <w:lang w:val="hy-AM"/>
        </w:rPr>
        <w:t>մասնակի սուբսիդավորել</w:t>
      </w:r>
      <w:r w:rsidRPr="00A83C94">
        <w:rPr>
          <w:rFonts w:cs="Sylfaen"/>
          <w:b w:val="0"/>
          <w:szCs w:val="22"/>
          <w:lang w:val="af-ZA"/>
        </w:rPr>
        <w:t xml:space="preserve"> (</w:t>
      </w:r>
      <w:r w:rsidRPr="00A83C94">
        <w:rPr>
          <w:rFonts w:cs="Sylfaen"/>
          <w:b w:val="0"/>
          <w:szCs w:val="22"/>
          <w:lang w:val="hy-AM"/>
        </w:rPr>
        <w:t xml:space="preserve">2022 թվականին՝ </w:t>
      </w:r>
      <w:r w:rsidRPr="00A83C94">
        <w:rPr>
          <w:rFonts w:cs="Sylfaen"/>
          <w:b w:val="0"/>
          <w:szCs w:val="22"/>
          <w:lang w:val="af-ZA"/>
        </w:rPr>
        <w:t>30%)</w:t>
      </w:r>
      <w:r w:rsidRPr="00A83C94">
        <w:rPr>
          <w:rFonts w:cs="Sylfaen"/>
          <w:b w:val="0"/>
          <w:szCs w:val="22"/>
          <w:lang w:val="hy-AM"/>
        </w:rPr>
        <w:t xml:space="preserve"> համաձայնեցված</w:t>
      </w:r>
      <w:r w:rsidRPr="00A83C94">
        <w:rPr>
          <w:rFonts w:cs="Sylfaen"/>
          <w:b w:val="0"/>
          <w:szCs w:val="22"/>
          <w:lang w:val="af-ZA"/>
        </w:rPr>
        <w:t xml:space="preserve"> </w:t>
      </w:r>
      <w:r w:rsidRPr="00A83C94">
        <w:rPr>
          <w:rFonts w:cs="Sylfaen"/>
          <w:b w:val="0"/>
          <w:szCs w:val="22"/>
          <w:lang w:val="hy-AM"/>
        </w:rPr>
        <w:t>ծավալներով</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ուղղու</w:t>
      </w:r>
      <w:r w:rsidRPr="00A83C94">
        <w:rPr>
          <w:rFonts w:cs="Sylfaen"/>
          <w:b w:val="0"/>
          <w:szCs w:val="22"/>
          <w:lang w:val="af-ZA"/>
        </w:rPr>
        <w:softHyphen/>
      </w:r>
      <w:r w:rsidRPr="00A83C94">
        <w:rPr>
          <w:rFonts w:cs="Sylfaen"/>
          <w:b w:val="0"/>
          <w:szCs w:val="22"/>
          <w:lang w:val="hy-AM"/>
        </w:rPr>
        <w:t>թյուն</w:t>
      </w:r>
      <w:r w:rsidRPr="00A83C94">
        <w:rPr>
          <w:rFonts w:cs="Sylfaen"/>
          <w:b w:val="0"/>
          <w:szCs w:val="22"/>
          <w:lang w:val="af-ZA"/>
        </w:rPr>
        <w:softHyphen/>
      </w:r>
      <w:r w:rsidRPr="00A83C94">
        <w:rPr>
          <w:rFonts w:cs="Sylfaen"/>
          <w:b w:val="0"/>
          <w:szCs w:val="22"/>
          <w:lang w:val="hy-AM"/>
        </w:rPr>
        <w:t>ներով</w:t>
      </w:r>
      <w:r w:rsidRPr="00A83C94">
        <w:rPr>
          <w:rFonts w:cs="Sylfaen"/>
          <w:b w:val="0"/>
          <w:szCs w:val="22"/>
          <w:lang w:val="af-ZA"/>
        </w:rPr>
        <w:t xml:space="preserve"> </w:t>
      </w:r>
      <w:r w:rsidRPr="00A83C94">
        <w:rPr>
          <w:rFonts w:cs="Sylfaen"/>
          <w:b w:val="0"/>
          <w:szCs w:val="22"/>
          <w:lang w:val="hy-AM"/>
        </w:rPr>
        <w:t>ուղևորափոխադրումներից</w:t>
      </w:r>
      <w:r w:rsidRPr="00A83C94">
        <w:rPr>
          <w:rFonts w:cs="Sylfaen"/>
          <w:b w:val="0"/>
          <w:szCs w:val="22"/>
          <w:lang w:val="af-ZA"/>
        </w:rPr>
        <w:t xml:space="preserve"> «</w:t>
      </w:r>
      <w:r w:rsidRPr="00A83C94">
        <w:rPr>
          <w:rFonts w:cs="Sylfaen"/>
          <w:b w:val="0"/>
          <w:szCs w:val="22"/>
          <w:lang w:val="hy-AM"/>
        </w:rPr>
        <w:t>Հարավկով</w:t>
      </w:r>
      <w:r w:rsidRPr="00A83C94">
        <w:rPr>
          <w:rFonts w:cs="Sylfaen"/>
          <w:b w:val="0"/>
          <w:szCs w:val="22"/>
          <w:lang w:val="af-ZA"/>
        </w:rPr>
        <w:softHyphen/>
      </w:r>
      <w:r w:rsidRPr="00A83C94">
        <w:rPr>
          <w:rFonts w:cs="Sylfaen"/>
          <w:b w:val="0"/>
          <w:szCs w:val="22"/>
          <w:lang w:val="hy-AM"/>
        </w:rPr>
        <w:t>կասյան</w:t>
      </w:r>
      <w:r w:rsidRPr="00A83C94">
        <w:rPr>
          <w:rFonts w:cs="Sylfaen"/>
          <w:b w:val="0"/>
          <w:szCs w:val="22"/>
          <w:lang w:val="af-ZA"/>
        </w:rPr>
        <w:t xml:space="preserve"> </w:t>
      </w:r>
      <w:r w:rsidRPr="00A83C94">
        <w:rPr>
          <w:rFonts w:cs="Sylfaen"/>
          <w:b w:val="0"/>
          <w:szCs w:val="22"/>
          <w:lang w:val="hy-AM"/>
        </w:rPr>
        <w:t>երկաթուղի</w:t>
      </w:r>
      <w:r w:rsidRPr="00A83C94">
        <w:rPr>
          <w:rFonts w:cs="Sylfaen"/>
          <w:b w:val="0"/>
          <w:szCs w:val="22"/>
          <w:lang w:val="af-ZA"/>
        </w:rPr>
        <w:t xml:space="preserve">» </w:t>
      </w:r>
      <w:r w:rsidRPr="00A83C94">
        <w:rPr>
          <w:rFonts w:cs="Sylfaen"/>
          <w:b w:val="0"/>
          <w:szCs w:val="22"/>
          <w:lang w:val="hy-AM"/>
        </w:rPr>
        <w:t>ՓԲԸ</w:t>
      </w:r>
      <w:r w:rsidRPr="00A83C94">
        <w:rPr>
          <w:rFonts w:cs="Sylfaen"/>
          <w:b w:val="0"/>
          <w:szCs w:val="22"/>
          <w:lang w:val="af-ZA"/>
        </w:rPr>
        <w:t>-</w:t>
      </w:r>
      <w:r w:rsidRPr="00A83C94">
        <w:rPr>
          <w:rFonts w:cs="Sylfaen"/>
          <w:b w:val="0"/>
          <w:szCs w:val="22"/>
          <w:lang w:val="hy-AM"/>
        </w:rPr>
        <w:t>ի</w:t>
      </w:r>
      <w:r w:rsidRPr="00A83C94">
        <w:rPr>
          <w:rFonts w:cs="Sylfaen"/>
          <w:b w:val="0"/>
          <w:szCs w:val="22"/>
          <w:lang w:val="af-ZA"/>
        </w:rPr>
        <w:t xml:space="preserve"> </w:t>
      </w:r>
      <w:r w:rsidRPr="00A83C94">
        <w:rPr>
          <w:rFonts w:cs="Sylfaen"/>
          <w:b w:val="0"/>
          <w:szCs w:val="22"/>
          <w:lang w:val="hy-AM"/>
        </w:rPr>
        <w:t>նախորդ</w:t>
      </w:r>
      <w:r w:rsidRPr="00A83C94">
        <w:rPr>
          <w:rFonts w:cs="Sylfaen"/>
          <w:b w:val="0"/>
          <w:szCs w:val="22"/>
          <w:lang w:val="af-ZA"/>
        </w:rPr>
        <w:t xml:space="preserve"> </w:t>
      </w:r>
      <w:r w:rsidRPr="00A83C94">
        <w:rPr>
          <w:rFonts w:cs="Sylfaen"/>
          <w:b w:val="0"/>
          <w:szCs w:val="22"/>
          <w:lang w:val="hy-AM"/>
        </w:rPr>
        <w:t>տարվա</w:t>
      </w:r>
      <w:r w:rsidRPr="00A83C94">
        <w:rPr>
          <w:rFonts w:cs="Sylfaen"/>
          <w:b w:val="0"/>
          <w:szCs w:val="22"/>
          <w:lang w:val="af-ZA"/>
        </w:rPr>
        <w:t xml:space="preserve"> </w:t>
      </w:r>
      <w:r w:rsidRPr="00A83C94">
        <w:rPr>
          <w:rFonts w:cs="Sylfaen"/>
          <w:b w:val="0"/>
          <w:szCs w:val="22"/>
          <w:lang w:val="hy-AM"/>
        </w:rPr>
        <w:t>արդյունքներով</w:t>
      </w:r>
      <w:r w:rsidRPr="00A83C94">
        <w:rPr>
          <w:rFonts w:cs="Sylfaen"/>
          <w:b w:val="0"/>
          <w:szCs w:val="22"/>
          <w:lang w:val="af-ZA"/>
        </w:rPr>
        <w:t xml:space="preserve"> </w:t>
      </w:r>
      <w:r w:rsidRPr="00A83C94">
        <w:rPr>
          <w:rFonts w:cs="Sylfaen"/>
          <w:b w:val="0"/>
          <w:szCs w:val="22"/>
          <w:lang w:val="hy-AM"/>
        </w:rPr>
        <w:t>առաջացած</w:t>
      </w:r>
      <w:r w:rsidRPr="00A83C94">
        <w:rPr>
          <w:rFonts w:cs="Sylfaen"/>
          <w:b w:val="0"/>
          <w:szCs w:val="22"/>
          <w:lang w:val="af-ZA"/>
        </w:rPr>
        <w:t xml:space="preserve"> </w:t>
      </w:r>
      <w:r w:rsidRPr="00A83C94">
        <w:rPr>
          <w:rFonts w:cs="Sylfaen"/>
          <w:b w:val="0"/>
          <w:szCs w:val="22"/>
          <w:lang w:val="hy-AM"/>
        </w:rPr>
        <w:t>տարեկան</w:t>
      </w:r>
      <w:r w:rsidRPr="00A83C94">
        <w:rPr>
          <w:rFonts w:cs="Sylfaen"/>
          <w:b w:val="0"/>
          <w:szCs w:val="22"/>
          <w:lang w:val="af-ZA"/>
        </w:rPr>
        <w:t xml:space="preserve"> </w:t>
      </w:r>
      <w:r w:rsidRPr="00A83C94">
        <w:rPr>
          <w:rFonts w:cs="Sylfaen"/>
          <w:b w:val="0"/>
          <w:szCs w:val="22"/>
          <w:lang w:val="hy-AM"/>
        </w:rPr>
        <w:t>վնասը (ՀՀ</w:t>
      </w:r>
      <w:r w:rsidRPr="00A83C94">
        <w:rPr>
          <w:rFonts w:cs="Sylfaen"/>
          <w:b w:val="0"/>
          <w:szCs w:val="22"/>
          <w:lang w:val="af-ZA"/>
        </w:rPr>
        <w:t xml:space="preserve"> </w:t>
      </w:r>
      <w:r w:rsidRPr="00A83C94">
        <w:rPr>
          <w:rFonts w:cs="Sylfaen"/>
          <w:b w:val="0"/>
          <w:szCs w:val="22"/>
          <w:lang w:val="hy-AM"/>
        </w:rPr>
        <w:t>կառավարության</w:t>
      </w:r>
      <w:r w:rsidRPr="00A83C94">
        <w:rPr>
          <w:rFonts w:cs="Sylfaen"/>
          <w:b w:val="0"/>
          <w:szCs w:val="22"/>
          <w:lang w:val="af-ZA"/>
        </w:rPr>
        <w:t xml:space="preserve"> 07.02.2008</w:t>
      </w:r>
      <w:r w:rsidRPr="00A83C94">
        <w:rPr>
          <w:rFonts w:cs="Sylfaen"/>
          <w:b w:val="0"/>
          <w:szCs w:val="22"/>
          <w:lang w:val="hy-AM"/>
        </w:rPr>
        <w:t>թ</w:t>
      </w:r>
      <w:r w:rsidRPr="00A83C94">
        <w:rPr>
          <w:rFonts w:cs="Sylfaen"/>
          <w:b w:val="0"/>
          <w:szCs w:val="22"/>
          <w:lang w:val="af-ZA"/>
        </w:rPr>
        <w:t xml:space="preserve"> N 83-</w:t>
      </w:r>
      <w:r w:rsidRPr="00A83C94">
        <w:rPr>
          <w:rFonts w:cs="Sylfaen"/>
          <w:b w:val="0"/>
          <w:szCs w:val="22"/>
          <w:lang w:val="hy-AM"/>
        </w:rPr>
        <w:t>Ա</w:t>
      </w:r>
      <w:r w:rsidRPr="00A83C94">
        <w:rPr>
          <w:rFonts w:cs="Sylfaen"/>
          <w:b w:val="0"/>
          <w:szCs w:val="22"/>
          <w:lang w:val="af-ZA"/>
        </w:rPr>
        <w:t xml:space="preserve"> </w:t>
      </w:r>
      <w:r w:rsidRPr="00A83C94">
        <w:rPr>
          <w:rFonts w:cs="Sylfaen"/>
          <w:b w:val="0"/>
          <w:szCs w:val="22"/>
          <w:lang w:val="hy-AM"/>
        </w:rPr>
        <w:t>որոշումից բխող՝</w:t>
      </w:r>
      <w:r w:rsidRPr="00A83C94">
        <w:rPr>
          <w:rFonts w:cs="Sylfaen"/>
          <w:b w:val="0"/>
          <w:szCs w:val="22"/>
          <w:lang w:val="af-ZA"/>
        </w:rPr>
        <w:t xml:space="preserve"> </w:t>
      </w:r>
      <w:r w:rsidRPr="00A83C94">
        <w:rPr>
          <w:rFonts w:cs="Sylfaen"/>
          <w:b w:val="0"/>
          <w:szCs w:val="22"/>
          <w:lang w:val="hy-AM"/>
        </w:rPr>
        <w:t>կոնցեսիոների</w:t>
      </w:r>
      <w:r w:rsidRPr="00A83C94">
        <w:rPr>
          <w:rFonts w:cs="Sylfaen"/>
          <w:b w:val="0"/>
          <w:szCs w:val="22"/>
          <w:lang w:val="af-ZA"/>
        </w:rPr>
        <w:t xml:space="preserve"> </w:t>
      </w:r>
      <w:r w:rsidRPr="00A83C94">
        <w:rPr>
          <w:rFonts w:cs="Sylfaen"/>
          <w:b w:val="0"/>
          <w:szCs w:val="22"/>
          <w:lang w:val="hy-AM"/>
        </w:rPr>
        <w:t>կողմից</w:t>
      </w:r>
      <w:r w:rsidRPr="00A83C94">
        <w:rPr>
          <w:rFonts w:cs="Sylfaen"/>
          <w:b w:val="0"/>
          <w:szCs w:val="22"/>
          <w:lang w:val="af-ZA"/>
        </w:rPr>
        <w:t xml:space="preserve"> </w:t>
      </w:r>
      <w:r w:rsidRPr="00A83C94">
        <w:rPr>
          <w:rFonts w:cs="Sylfaen"/>
          <w:b w:val="0"/>
          <w:szCs w:val="22"/>
          <w:lang w:val="hy-AM"/>
        </w:rPr>
        <w:t>կանխատեսվող</w:t>
      </w:r>
      <w:r w:rsidRPr="00A83C94">
        <w:rPr>
          <w:rFonts w:cs="Sylfaen"/>
          <w:b w:val="0"/>
          <w:szCs w:val="22"/>
          <w:lang w:val="af-ZA"/>
        </w:rPr>
        <w:t xml:space="preserve"> </w:t>
      </w:r>
      <w:r w:rsidRPr="00A83C94">
        <w:rPr>
          <w:rFonts w:cs="Sylfaen"/>
          <w:b w:val="0"/>
          <w:szCs w:val="22"/>
          <w:lang w:val="hy-AM"/>
        </w:rPr>
        <w:t>կոնցեսիոն</w:t>
      </w:r>
      <w:r w:rsidRPr="00A83C94">
        <w:rPr>
          <w:rFonts w:cs="Sylfaen"/>
          <w:b w:val="0"/>
          <w:szCs w:val="22"/>
          <w:lang w:val="af-ZA"/>
        </w:rPr>
        <w:t xml:space="preserve"> </w:t>
      </w:r>
      <w:r w:rsidRPr="00A83C94">
        <w:rPr>
          <w:rFonts w:cs="Sylfaen"/>
          <w:b w:val="0"/>
          <w:szCs w:val="22"/>
          <w:lang w:val="hy-AM"/>
        </w:rPr>
        <w:t>տարեկան</w:t>
      </w:r>
      <w:r w:rsidRPr="00A83C94">
        <w:rPr>
          <w:rFonts w:cs="Sylfaen"/>
          <w:b w:val="0"/>
          <w:szCs w:val="22"/>
          <w:lang w:val="af-ZA"/>
        </w:rPr>
        <w:t xml:space="preserve"> </w:t>
      </w:r>
      <w:r w:rsidRPr="00A83C94">
        <w:rPr>
          <w:rFonts w:cs="Sylfaen"/>
          <w:b w:val="0"/>
          <w:szCs w:val="22"/>
          <w:lang w:val="hy-AM"/>
        </w:rPr>
        <w:t>վճարի</w:t>
      </w:r>
      <w:r w:rsidRPr="00A83C94">
        <w:rPr>
          <w:rFonts w:cs="Sylfaen"/>
          <w:b w:val="0"/>
          <w:szCs w:val="22"/>
          <w:lang w:val="af-ZA"/>
        </w:rPr>
        <w:t xml:space="preserve"> </w:t>
      </w:r>
      <w:r w:rsidRPr="00A83C94">
        <w:rPr>
          <w:rFonts w:cs="Sylfaen"/>
          <w:b w:val="0"/>
          <w:szCs w:val="22"/>
          <w:lang w:val="hy-AM"/>
        </w:rPr>
        <w:t>չափով)</w:t>
      </w:r>
      <w:r w:rsidRPr="00A83C94">
        <w:rPr>
          <w:rFonts w:cs="Sylfaen"/>
          <w:b w:val="0"/>
          <w:szCs w:val="22"/>
          <w:lang w:val="af-ZA"/>
        </w:rPr>
        <w:t xml:space="preserve">: </w:t>
      </w:r>
    </w:p>
    <w:p w14:paraId="764EB253" w14:textId="77777777" w:rsidR="0023176E" w:rsidRPr="00A83C94" w:rsidRDefault="0023176E" w:rsidP="0023176E">
      <w:pPr>
        <w:widowControl w:val="0"/>
        <w:spacing w:line="276" w:lineRule="auto"/>
        <w:rPr>
          <w:rFonts w:cs="Sylfaen"/>
          <w:b w:val="0"/>
          <w:lang w:val="hy-AM"/>
        </w:rPr>
      </w:pPr>
      <w:r w:rsidRPr="00A83C94">
        <w:rPr>
          <w:rFonts w:cs="Sylfaen"/>
          <w:szCs w:val="22"/>
        </w:rPr>
        <w:t>Պետական</w:t>
      </w:r>
      <w:r w:rsidRPr="00A83C94">
        <w:rPr>
          <w:rFonts w:cs="Sylfaen"/>
          <w:szCs w:val="22"/>
          <w:lang w:val="af-ZA"/>
        </w:rPr>
        <w:t xml:space="preserve"> </w:t>
      </w:r>
      <w:r w:rsidRPr="00A83C94">
        <w:rPr>
          <w:rFonts w:cs="Sylfaen"/>
          <w:szCs w:val="22"/>
        </w:rPr>
        <w:t>գույքի</w:t>
      </w:r>
      <w:r w:rsidRPr="00A83C94">
        <w:rPr>
          <w:rFonts w:cs="Sylfaen"/>
          <w:szCs w:val="22"/>
          <w:lang w:val="af-ZA"/>
        </w:rPr>
        <w:t xml:space="preserve"> </w:t>
      </w:r>
      <w:r w:rsidRPr="00A83C94">
        <w:rPr>
          <w:rFonts w:cs="Sylfaen"/>
          <w:szCs w:val="22"/>
        </w:rPr>
        <w:t>կառավարում</w:t>
      </w:r>
      <w:r w:rsidRPr="00A83C94">
        <w:rPr>
          <w:rFonts w:cs="Sylfaen"/>
          <w:szCs w:val="22"/>
          <w:lang w:val="af-ZA"/>
        </w:rPr>
        <w:t xml:space="preserve"> </w:t>
      </w:r>
      <w:r w:rsidRPr="00A83C94">
        <w:rPr>
          <w:rFonts w:cs="Sylfaen"/>
          <w:b w:val="0"/>
          <w:szCs w:val="22"/>
        </w:rPr>
        <w:t>ծրագրի</w:t>
      </w:r>
      <w:r w:rsidRPr="00A83C94">
        <w:rPr>
          <w:rFonts w:cs="Sylfaen"/>
          <w:b w:val="0"/>
          <w:szCs w:val="22"/>
          <w:lang w:val="af-ZA"/>
        </w:rPr>
        <w:t xml:space="preserve"> </w:t>
      </w:r>
      <w:r w:rsidRPr="00A83C94">
        <w:rPr>
          <w:rFonts w:cs="Sylfaen"/>
          <w:b w:val="0"/>
          <w:lang w:val="hy-AM"/>
        </w:rPr>
        <w:t>գծով  2022 թվականին  նախատեսվել է.</w:t>
      </w:r>
    </w:p>
    <w:p w14:paraId="441C109D" w14:textId="77777777" w:rsidR="0023176E" w:rsidRPr="00A83C94" w:rsidRDefault="0023176E" w:rsidP="0023176E">
      <w:pPr>
        <w:widowControl w:val="0"/>
        <w:spacing w:line="276" w:lineRule="auto"/>
        <w:rPr>
          <w:rFonts w:cs="Sylfaen"/>
          <w:b w:val="0"/>
          <w:szCs w:val="22"/>
          <w:lang w:val="af-ZA"/>
        </w:rPr>
      </w:pPr>
      <w:r w:rsidRPr="00A83C94">
        <w:rPr>
          <w:rFonts w:cs="Sylfaen"/>
          <w:b w:val="0"/>
          <w:lang w:val="hy-AM"/>
        </w:rPr>
        <w:t xml:space="preserve">440.5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 պ</w:t>
      </w:r>
      <w:r w:rsidRPr="00A83C94">
        <w:rPr>
          <w:rFonts w:cs="Sylfaen"/>
          <w:b w:val="0"/>
          <w:szCs w:val="22"/>
          <w:lang w:val="hy-AM"/>
        </w:rPr>
        <w:t>ետական</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հաշվառման</w:t>
      </w:r>
      <w:r w:rsidRPr="00A83C94">
        <w:rPr>
          <w:rFonts w:cs="Sylfaen"/>
          <w:b w:val="0"/>
          <w:szCs w:val="22"/>
          <w:lang w:val="af-ZA"/>
        </w:rPr>
        <w:t xml:space="preserve">, </w:t>
      </w:r>
      <w:r w:rsidRPr="00A83C94">
        <w:rPr>
          <w:rFonts w:cs="Sylfaen"/>
          <w:b w:val="0"/>
          <w:szCs w:val="22"/>
          <w:lang w:val="hy-AM"/>
        </w:rPr>
        <w:t>գույքագրման</w:t>
      </w:r>
      <w:r w:rsidRPr="00A83C94">
        <w:rPr>
          <w:rFonts w:cs="Sylfaen"/>
          <w:b w:val="0"/>
          <w:szCs w:val="22"/>
          <w:lang w:val="af-ZA"/>
        </w:rPr>
        <w:t xml:space="preserve">, </w:t>
      </w:r>
      <w:r w:rsidRPr="00A83C94">
        <w:rPr>
          <w:rFonts w:cs="Sylfaen"/>
          <w:b w:val="0"/>
          <w:szCs w:val="22"/>
          <w:lang w:val="hy-AM"/>
        </w:rPr>
        <w:t>գնահատման</w:t>
      </w:r>
      <w:r w:rsidRPr="00A83C94">
        <w:rPr>
          <w:rFonts w:cs="Sylfaen"/>
          <w:b w:val="0"/>
          <w:szCs w:val="22"/>
          <w:lang w:val="af-ZA"/>
        </w:rPr>
        <w:t xml:space="preserve">, </w:t>
      </w:r>
      <w:r w:rsidRPr="00A83C94">
        <w:rPr>
          <w:rFonts w:cs="Sylfaen"/>
          <w:b w:val="0"/>
          <w:szCs w:val="22"/>
          <w:lang w:val="hy-AM"/>
        </w:rPr>
        <w:t>անշարժ</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պահառության</w:t>
      </w:r>
      <w:r w:rsidRPr="00A83C94">
        <w:rPr>
          <w:rFonts w:cs="Sylfaen"/>
          <w:b w:val="0"/>
          <w:szCs w:val="22"/>
          <w:lang w:val="af-ZA"/>
        </w:rPr>
        <w:t xml:space="preserve">, </w:t>
      </w:r>
      <w:r w:rsidRPr="00A83C94">
        <w:rPr>
          <w:rFonts w:cs="Sylfaen"/>
          <w:b w:val="0"/>
          <w:szCs w:val="22"/>
          <w:lang w:val="hy-AM"/>
        </w:rPr>
        <w:t>սպասարկման</w:t>
      </w:r>
      <w:r w:rsidRPr="00A83C94">
        <w:rPr>
          <w:rFonts w:cs="Sylfaen"/>
          <w:b w:val="0"/>
          <w:szCs w:val="22"/>
          <w:lang w:val="af-ZA"/>
        </w:rPr>
        <w:t xml:space="preserve"> </w:t>
      </w:r>
      <w:r w:rsidRPr="00A83C94">
        <w:rPr>
          <w:rFonts w:cs="Sylfaen"/>
          <w:b w:val="0"/>
          <w:szCs w:val="22"/>
          <w:lang w:val="hy-AM"/>
        </w:rPr>
        <w:t>աշխատանքների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աճուրդների</w:t>
      </w:r>
      <w:r w:rsidRPr="00A83C94">
        <w:rPr>
          <w:rFonts w:cs="Sylfaen"/>
          <w:b w:val="0"/>
          <w:szCs w:val="22"/>
          <w:lang w:val="af-ZA"/>
        </w:rPr>
        <w:t xml:space="preserve"> </w:t>
      </w:r>
      <w:r w:rsidRPr="00A83C94">
        <w:rPr>
          <w:rFonts w:cs="Sylfaen"/>
          <w:b w:val="0"/>
          <w:szCs w:val="22"/>
          <w:lang w:val="hy-AM"/>
        </w:rPr>
        <w:t>իրականացման</w:t>
      </w:r>
      <w:r w:rsidRPr="00A83C94">
        <w:rPr>
          <w:rFonts w:cs="Sylfaen"/>
          <w:b w:val="0"/>
          <w:szCs w:val="22"/>
          <w:lang w:val="af-ZA"/>
        </w:rPr>
        <w:t xml:space="preserve"> </w:t>
      </w:r>
      <w:r w:rsidRPr="00A83C94">
        <w:rPr>
          <w:rFonts w:cs="Sylfaen"/>
          <w:b w:val="0"/>
          <w:szCs w:val="22"/>
          <w:lang w:val="hy-AM"/>
        </w:rPr>
        <w:t>ծառայությունների և պետական</w:t>
      </w:r>
      <w:r w:rsidRPr="00A83C94">
        <w:rPr>
          <w:rFonts w:cs="Sylfaen"/>
          <w:b w:val="0"/>
          <w:szCs w:val="22"/>
          <w:lang w:val="af-ZA"/>
        </w:rPr>
        <w:t xml:space="preserve"> </w:t>
      </w:r>
      <w:r w:rsidRPr="00A83C94">
        <w:rPr>
          <w:rFonts w:cs="Sylfaen"/>
          <w:b w:val="0"/>
          <w:szCs w:val="22"/>
          <w:lang w:val="hy-AM"/>
        </w:rPr>
        <w:t>մարմիններին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կազմակերպություններին</w:t>
      </w:r>
      <w:r w:rsidRPr="00A83C94">
        <w:rPr>
          <w:rFonts w:cs="Sylfaen"/>
          <w:b w:val="0"/>
          <w:szCs w:val="22"/>
          <w:lang w:val="af-ZA"/>
        </w:rPr>
        <w:t xml:space="preserve"> </w:t>
      </w:r>
      <w:r w:rsidRPr="00A83C94">
        <w:rPr>
          <w:rFonts w:cs="Sylfaen"/>
          <w:b w:val="0"/>
          <w:szCs w:val="22"/>
          <w:lang w:val="hy-AM"/>
        </w:rPr>
        <w:t>ամրացված՝</w:t>
      </w:r>
      <w:r w:rsidRPr="00A83C94">
        <w:rPr>
          <w:rFonts w:cs="Sylfaen"/>
          <w:b w:val="0"/>
          <w:szCs w:val="22"/>
          <w:lang w:val="af-ZA"/>
        </w:rPr>
        <w:t xml:space="preserve"> </w:t>
      </w:r>
      <w:r w:rsidRPr="00A83C94">
        <w:rPr>
          <w:rFonts w:cs="Sylfaen"/>
          <w:b w:val="0"/>
          <w:szCs w:val="22"/>
          <w:lang w:val="hy-AM"/>
        </w:rPr>
        <w:t>յուրաքանչյուր</w:t>
      </w:r>
      <w:r w:rsidRPr="00A83C94">
        <w:rPr>
          <w:rFonts w:cs="Sylfaen"/>
          <w:b w:val="0"/>
          <w:szCs w:val="22"/>
          <w:lang w:val="af-ZA"/>
        </w:rPr>
        <w:t xml:space="preserve"> </w:t>
      </w:r>
      <w:r w:rsidRPr="00A83C94">
        <w:rPr>
          <w:rFonts w:cs="Sylfaen"/>
          <w:b w:val="0"/>
          <w:szCs w:val="22"/>
          <w:lang w:val="hy-AM"/>
        </w:rPr>
        <w:t>միավոր</w:t>
      </w:r>
      <w:r w:rsidRPr="00A83C94">
        <w:rPr>
          <w:rFonts w:cs="Sylfaen"/>
          <w:b w:val="0"/>
          <w:szCs w:val="22"/>
          <w:lang w:val="af-ZA"/>
        </w:rPr>
        <w:t xml:space="preserve"> </w:t>
      </w:r>
      <w:r w:rsidRPr="00A83C94">
        <w:rPr>
          <w:rFonts w:cs="Sylfaen"/>
          <w:b w:val="0"/>
          <w:szCs w:val="22"/>
          <w:lang w:val="hy-AM"/>
        </w:rPr>
        <w:t>մինչև</w:t>
      </w:r>
      <w:r w:rsidRPr="00A83C94">
        <w:rPr>
          <w:rFonts w:cs="Sylfaen"/>
          <w:b w:val="0"/>
          <w:szCs w:val="22"/>
          <w:lang w:val="af-ZA"/>
        </w:rPr>
        <w:t xml:space="preserve"> 5 </w:t>
      </w:r>
      <w:r w:rsidRPr="00A83C94">
        <w:rPr>
          <w:rFonts w:cs="Sylfaen"/>
          <w:b w:val="0"/>
          <w:szCs w:val="22"/>
          <w:lang w:val="hy-AM"/>
        </w:rPr>
        <w:t>մլն</w:t>
      </w:r>
      <w:r w:rsidRPr="00A83C94">
        <w:rPr>
          <w:rFonts w:cs="Sylfaen"/>
          <w:b w:val="0"/>
          <w:szCs w:val="22"/>
          <w:lang w:val="af-ZA"/>
        </w:rPr>
        <w:t xml:space="preserve"> </w:t>
      </w:r>
      <w:r w:rsidRPr="00A83C94">
        <w:rPr>
          <w:rFonts w:cs="Sylfaen"/>
          <w:b w:val="0"/>
          <w:szCs w:val="22"/>
          <w:lang w:val="hy-AM"/>
        </w:rPr>
        <w:t>դրամ</w:t>
      </w:r>
      <w:r w:rsidRPr="00A83C94">
        <w:rPr>
          <w:rFonts w:cs="Sylfaen"/>
          <w:b w:val="0"/>
          <w:szCs w:val="22"/>
          <w:lang w:val="af-ZA"/>
        </w:rPr>
        <w:t xml:space="preserve"> </w:t>
      </w:r>
      <w:r w:rsidRPr="00A83C94">
        <w:rPr>
          <w:rFonts w:cs="Sylfaen"/>
          <w:b w:val="0"/>
          <w:szCs w:val="22"/>
          <w:lang w:val="hy-AM"/>
        </w:rPr>
        <w:t>գնահատված</w:t>
      </w:r>
      <w:r w:rsidRPr="00A83C94">
        <w:rPr>
          <w:rFonts w:cs="Sylfaen"/>
          <w:b w:val="0"/>
          <w:szCs w:val="22"/>
          <w:lang w:val="af-ZA"/>
        </w:rPr>
        <w:t xml:space="preserve"> </w:t>
      </w:r>
      <w:r w:rsidRPr="00A83C94">
        <w:rPr>
          <w:rFonts w:cs="Sylfaen"/>
          <w:b w:val="0"/>
          <w:szCs w:val="22"/>
          <w:lang w:val="hy-AM"/>
        </w:rPr>
        <w:t>արժեքով</w:t>
      </w:r>
      <w:r w:rsidRPr="00A83C94">
        <w:rPr>
          <w:rFonts w:cs="Sylfaen"/>
          <w:b w:val="0"/>
          <w:szCs w:val="22"/>
          <w:lang w:val="af-ZA"/>
        </w:rPr>
        <w:t xml:space="preserve"> </w:t>
      </w:r>
      <w:r w:rsidRPr="00A83C94">
        <w:rPr>
          <w:rFonts w:cs="Sylfaen"/>
          <w:b w:val="0"/>
          <w:szCs w:val="22"/>
          <w:lang w:val="hy-AM"/>
        </w:rPr>
        <w:t>շարժական</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օտարման</w:t>
      </w:r>
      <w:r w:rsidRPr="00A83C94">
        <w:rPr>
          <w:rFonts w:cs="Sylfaen"/>
          <w:b w:val="0"/>
          <w:szCs w:val="22"/>
          <w:lang w:val="af-ZA"/>
        </w:rPr>
        <w:t xml:space="preserve"> </w:t>
      </w:r>
      <w:r w:rsidRPr="00A83C94">
        <w:rPr>
          <w:rFonts w:cs="Sylfaen"/>
          <w:b w:val="0"/>
          <w:szCs w:val="22"/>
          <w:lang w:val="hy-AM"/>
        </w:rPr>
        <w:t>գործընթացում</w:t>
      </w:r>
      <w:r w:rsidRPr="00A83C94">
        <w:rPr>
          <w:rFonts w:cs="Sylfaen"/>
          <w:b w:val="0"/>
          <w:szCs w:val="22"/>
          <w:lang w:val="af-ZA"/>
        </w:rPr>
        <w:t xml:space="preserve"> </w:t>
      </w:r>
      <w:r w:rsidRPr="00A83C94">
        <w:rPr>
          <w:rFonts w:cs="Sylfaen"/>
          <w:b w:val="0"/>
          <w:szCs w:val="22"/>
          <w:lang w:val="hy-AM"/>
        </w:rPr>
        <w:t>գտնվելու</w:t>
      </w:r>
      <w:r w:rsidRPr="00A83C94">
        <w:rPr>
          <w:rFonts w:cs="Sylfaen"/>
          <w:b w:val="0"/>
          <w:szCs w:val="22"/>
          <w:lang w:val="af-ZA"/>
        </w:rPr>
        <w:t xml:space="preserve"> </w:t>
      </w:r>
      <w:r w:rsidRPr="00A83C94">
        <w:rPr>
          <w:rFonts w:cs="Sylfaen"/>
          <w:b w:val="0"/>
          <w:szCs w:val="22"/>
          <w:lang w:val="hy-AM"/>
        </w:rPr>
        <w:t>ժամանակահատվածում</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պահառության</w:t>
      </w:r>
      <w:r w:rsidRPr="00A83C94">
        <w:rPr>
          <w:rFonts w:cs="Sylfaen"/>
          <w:b w:val="0"/>
          <w:szCs w:val="22"/>
          <w:lang w:val="af-ZA"/>
        </w:rPr>
        <w:t xml:space="preserve"> </w:t>
      </w:r>
      <w:r w:rsidRPr="00A83C94">
        <w:rPr>
          <w:rFonts w:cs="Sylfaen"/>
          <w:b w:val="0"/>
          <w:szCs w:val="22"/>
          <w:lang w:val="hy-AM"/>
        </w:rPr>
        <w:t>կազմակերպման համար</w:t>
      </w:r>
      <w:r w:rsidRPr="00A83C94">
        <w:rPr>
          <w:rFonts w:cs="Sylfaen"/>
          <w:b w:val="0"/>
          <w:szCs w:val="22"/>
          <w:lang w:val="af-ZA"/>
        </w:rPr>
        <w:t>:</w:t>
      </w:r>
    </w:p>
    <w:p w14:paraId="03B6379F" w14:textId="77777777"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Նշվածի շրջանակներում նախատեսվում է ապահովել</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սեփականություն</w:t>
      </w:r>
      <w:r w:rsidRPr="00A83C94">
        <w:rPr>
          <w:rFonts w:cs="Sylfaen"/>
          <w:b w:val="0"/>
          <w:szCs w:val="22"/>
          <w:lang w:val="af-ZA"/>
        </w:rPr>
        <w:t xml:space="preserve"> </w:t>
      </w:r>
      <w:r w:rsidRPr="00A83C94">
        <w:rPr>
          <w:rFonts w:cs="Sylfaen"/>
          <w:b w:val="0"/>
          <w:szCs w:val="22"/>
          <w:lang w:val="hy-AM"/>
        </w:rPr>
        <w:t>հանդիսացող</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գույքագրման</w:t>
      </w:r>
      <w:r w:rsidRPr="00A83C94">
        <w:rPr>
          <w:rFonts w:cs="Sylfaen"/>
          <w:b w:val="0"/>
          <w:szCs w:val="22"/>
          <w:lang w:val="af-ZA"/>
        </w:rPr>
        <w:t xml:space="preserve">, </w:t>
      </w:r>
      <w:r w:rsidRPr="00A83C94">
        <w:rPr>
          <w:rFonts w:cs="Sylfaen"/>
          <w:b w:val="0"/>
          <w:szCs w:val="22"/>
          <w:lang w:val="hy-AM"/>
        </w:rPr>
        <w:t>գնահատման</w:t>
      </w:r>
      <w:r w:rsidRPr="00A83C94">
        <w:rPr>
          <w:rFonts w:cs="Sylfaen"/>
          <w:b w:val="0"/>
          <w:szCs w:val="22"/>
          <w:lang w:val="af-ZA"/>
        </w:rPr>
        <w:t xml:space="preserve">, </w:t>
      </w:r>
      <w:r w:rsidRPr="00A83C94">
        <w:rPr>
          <w:rFonts w:cs="Sylfaen"/>
          <w:b w:val="0"/>
          <w:szCs w:val="22"/>
          <w:lang w:val="hy-AM"/>
        </w:rPr>
        <w:t>հաշվառման</w:t>
      </w:r>
      <w:r w:rsidRPr="00A83C94">
        <w:rPr>
          <w:rFonts w:cs="Sylfaen"/>
          <w:b w:val="0"/>
          <w:szCs w:val="22"/>
          <w:lang w:val="af-ZA"/>
        </w:rPr>
        <w:t xml:space="preserve">, </w:t>
      </w:r>
      <w:r w:rsidRPr="00A83C94">
        <w:rPr>
          <w:rFonts w:cs="Sylfaen"/>
          <w:b w:val="0"/>
          <w:szCs w:val="22"/>
          <w:lang w:val="hy-AM"/>
        </w:rPr>
        <w:t>հաշվառված</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տվյալների</w:t>
      </w:r>
      <w:r w:rsidRPr="00A83C94">
        <w:rPr>
          <w:rFonts w:cs="Sylfaen"/>
          <w:b w:val="0"/>
          <w:szCs w:val="22"/>
          <w:lang w:val="af-ZA"/>
        </w:rPr>
        <w:t xml:space="preserve"> </w:t>
      </w:r>
      <w:r w:rsidRPr="00A83C94">
        <w:rPr>
          <w:rFonts w:cs="Sylfaen"/>
          <w:b w:val="0"/>
          <w:szCs w:val="22"/>
          <w:lang w:val="hy-AM"/>
        </w:rPr>
        <w:t>մշակման</w:t>
      </w:r>
      <w:r w:rsidRPr="00A83C94">
        <w:rPr>
          <w:rFonts w:cs="Sylfaen"/>
          <w:b w:val="0"/>
          <w:szCs w:val="22"/>
          <w:lang w:val="af-ZA"/>
        </w:rPr>
        <w:t xml:space="preserve">, </w:t>
      </w:r>
      <w:r w:rsidRPr="00A83C94">
        <w:rPr>
          <w:rFonts w:cs="Sylfaen"/>
          <w:b w:val="0"/>
          <w:szCs w:val="22"/>
          <w:lang w:val="hy-AM"/>
        </w:rPr>
        <w:t>փոփոխությունների</w:t>
      </w:r>
      <w:r w:rsidRPr="00A83C94">
        <w:rPr>
          <w:rFonts w:cs="Sylfaen"/>
          <w:b w:val="0"/>
          <w:szCs w:val="22"/>
          <w:lang w:val="af-ZA"/>
        </w:rPr>
        <w:t xml:space="preserve"> </w:t>
      </w:r>
      <w:r w:rsidRPr="00A83C94">
        <w:rPr>
          <w:rFonts w:cs="Sylfaen"/>
          <w:b w:val="0"/>
          <w:szCs w:val="22"/>
          <w:lang w:val="hy-AM"/>
        </w:rPr>
        <w:t>գրանցման</w:t>
      </w:r>
      <w:r w:rsidRPr="00A83C94">
        <w:rPr>
          <w:rFonts w:cs="Sylfaen"/>
          <w:b w:val="0"/>
          <w:szCs w:val="22"/>
          <w:lang w:val="af-ZA"/>
        </w:rPr>
        <w:t xml:space="preserve">, </w:t>
      </w:r>
      <w:r w:rsidRPr="00A83C94">
        <w:rPr>
          <w:rFonts w:cs="Sylfaen"/>
          <w:b w:val="0"/>
          <w:szCs w:val="22"/>
          <w:lang w:val="hy-AM"/>
        </w:rPr>
        <w:t>տեղեկատվության</w:t>
      </w:r>
      <w:r w:rsidRPr="00A83C94">
        <w:rPr>
          <w:rFonts w:cs="Sylfaen"/>
          <w:b w:val="0"/>
          <w:szCs w:val="22"/>
          <w:lang w:val="af-ZA"/>
        </w:rPr>
        <w:t xml:space="preserve"> </w:t>
      </w:r>
      <w:r w:rsidRPr="00A83C94">
        <w:rPr>
          <w:rFonts w:cs="Sylfaen"/>
          <w:b w:val="0"/>
          <w:szCs w:val="22"/>
          <w:lang w:val="hy-AM"/>
        </w:rPr>
        <w:t>տրամադրման</w:t>
      </w:r>
      <w:r w:rsidRPr="00A83C94">
        <w:rPr>
          <w:rFonts w:cs="Sylfaen"/>
          <w:b w:val="0"/>
          <w:szCs w:val="22"/>
          <w:lang w:val="af-ZA"/>
        </w:rPr>
        <w:t xml:space="preserve"> </w:t>
      </w:r>
      <w:r w:rsidRPr="00A83C94">
        <w:rPr>
          <w:rFonts w:cs="Sylfaen"/>
          <w:b w:val="0"/>
          <w:szCs w:val="22"/>
          <w:lang w:val="hy-AM"/>
        </w:rPr>
        <w:t>աշխատանքների</w:t>
      </w:r>
      <w:r w:rsidRPr="00A83C94">
        <w:rPr>
          <w:rFonts w:cs="Sylfaen"/>
          <w:b w:val="0"/>
          <w:szCs w:val="22"/>
          <w:lang w:val="af-ZA"/>
        </w:rPr>
        <w:t xml:space="preserve">, </w:t>
      </w:r>
      <w:r w:rsidRPr="00A83C94">
        <w:rPr>
          <w:rFonts w:cs="Sylfaen"/>
          <w:b w:val="0"/>
          <w:szCs w:val="22"/>
          <w:lang w:val="hy-AM"/>
        </w:rPr>
        <w:t>թվով</w:t>
      </w:r>
      <w:r w:rsidRPr="00A83C94">
        <w:rPr>
          <w:rFonts w:cs="Sylfaen"/>
          <w:b w:val="0"/>
          <w:szCs w:val="22"/>
          <w:lang w:val="af-ZA"/>
        </w:rPr>
        <w:t xml:space="preserve"> 2 </w:t>
      </w:r>
      <w:r w:rsidRPr="00A83C94">
        <w:rPr>
          <w:rFonts w:cs="Sylfaen"/>
          <w:b w:val="0"/>
          <w:szCs w:val="22"/>
          <w:lang w:val="hy-AM"/>
        </w:rPr>
        <w:t>անշարժ</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պահառության</w:t>
      </w:r>
      <w:r w:rsidRPr="00A83C94">
        <w:rPr>
          <w:rFonts w:cs="Sylfaen"/>
          <w:b w:val="0"/>
          <w:szCs w:val="22"/>
          <w:lang w:val="af-ZA"/>
        </w:rPr>
        <w:t xml:space="preserve">, </w:t>
      </w:r>
      <w:r w:rsidRPr="00A83C94">
        <w:rPr>
          <w:rFonts w:cs="Sylfaen"/>
          <w:b w:val="0"/>
          <w:szCs w:val="22"/>
          <w:lang w:val="hy-AM"/>
        </w:rPr>
        <w:t>աճուրդների</w:t>
      </w:r>
      <w:r w:rsidRPr="00A83C94">
        <w:rPr>
          <w:rFonts w:cs="Sylfaen"/>
          <w:b w:val="0"/>
          <w:szCs w:val="22"/>
          <w:lang w:val="af-ZA"/>
        </w:rPr>
        <w:t xml:space="preserve"> </w:t>
      </w:r>
      <w:r w:rsidRPr="00A83C94">
        <w:rPr>
          <w:rFonts w:cs="Sylfaen"/>
          <w:b w:val="0"/>
          <w:szCs w:val="22"/>
          <w:lang w:val="hy-AM"/>
        </w:rPr>
        <w:t>կազմակերպման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անցկացման</w:t>
      </w:r>
      <w:r w:rsidRPr="00A83C94">
        <w:rPr>
          <w:rFonts w:cs="Sylfaen"/>
          <w:b w:val="0"/>
          <w:szCs w:val="22"/>
          <w:lang w:val="af-ZA"/>
        </w:rPr>
        <w:t xml:space="preserve"> </w:t>
      </w:r>
      <w:r w:rsidRPr="00A83C94">
        <w:rPr>
          <w:rFonts w:cs="Sylfaen"/>
          <w:b w:val="0"/>
          <w:szCs w:val="22"/>
          <w:lang w:val="hy-AM"/>
        </w:rPr>
        <w:t>ծառայությունների</w:t>
      </w:r>
      <w:r w:rsidRPr="00A83C94">
        <w:rPr>
          <w:rFonts w:cs="Sylfaen"/>
          <w:b w:val="0"/>
          <w:szCs w:val="22"/>
          <w:lang w:val="af-ZA"/>
        </w:rPr>
        <w:t xml:space="preserve"> </w:t>
      </w:r>
      <w:r w:rsidRPr="00A83C94">
        <w:rPr>
          <w:rFonts w:cs="Sylfaen"/>
          <w:b w:val="0"/>
          <w:szCs w:val="22"/>
          <w:lang w:val="hy-AM"/>
        </w:rPr>
        <w:t>իրականացումը</w:t>
      </w:r>
      <w:r w:rsidRPr="00A83C94">
        <w:rPr>
          <w:rFonts w:cs="Sylfaen"/>
          <w:b w:val="0"/>
          <w:szCs w:val="22"/>
          <w:lang w:val="af-ZA"/>
        </w:rPr>
        <w:t xml:space="preserve">, </w:t>
      </w:r>
      <w:r w:rsidRPr="00A83C94">
        <w:rPr>
          <w:rFonts w:cs="Sylfaen"/>
          <w:b w:val="0"/>
          <w:szCs w:val="22"/>
          <w:lang w:val="hy-AM"/>
        </w:rPr>
        <w:t>ինչպես</w:t>
      </w:r>
      <w:r w:rsidRPr="00A83C94">
        <w:rPr>
          <w:rFonts w:cs="Sylfaen"/>
          <w:b w:val="0"/>
          <w:szCs w:val="22"/>
          <w:lang w:val="af-ZA"/>
        </w:rPr>
        <w:t xml:space="preserve"> </w:t>
      </w:r>
      <w:r w:rsidRPr="00A83C94">
        <w:rPr>
          <w:rFonts w:cs="Sylfaen"/>
          <w:b w:val="0"/>
          <w:szCs w:val="22"/>
          <w:lang w:val="hy-AM"/>
        </w:rPr>
        <w:t>նաև</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հաշվառման</w:t>
      </w:r>
      <w:r w:rsidRPr="00A83C94">
        <w:rPr>
          <w:rFonts w:cs="Sylfaen"/>
          <w:b w:val="0"/>
          <w:szCs w:val="22"/>
          <w:lang w:val="af-ZA"/>
        </w:rPr>
        <w:t xml:space="preserve"> </w:t>
      </w:r>
      <w:r w:rsidRPr="00A83C94">
        <w:rPr>
          <w:rFonts w:cs="Sylfaen"/>
          <w:b w:val="0"/>
          <w:szCs w:val="22"/>
          <w:lang w:val="hy-AM"/>
        </w:rPr>
        <w:t>նոր</w:t>
      </w:r>
      <w:r w:rsidRPr="00A83C94">
        <w:rPr>
          <w:rFonts w:cs="Sylfaen"/>
          <w:b w:val="0"/>
          <w:szCs w:val="22"/>
          <w:lang w:val="af-ZA"/>
        </w:rPr>
        <w:t xml:space="preserve"> </w:t>
      </w:r>
      <w:r w:rsidRPr="00A83C94">
        <w:rPr>
          <w:rFonts w:cs="Sylfaen"/>
          <w:b w:val="0"/>
          <w:szCs w:val="22"/>
          <w:lang w:val="hy-AM"/>
        </w:rPr>
        <w:t>ավտոմատացված</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ամբողջական</w:t>
      </w:r>
      <w:r w:rsidRPr="00A83C94">
        <w:rPr>
          <w:rFonts w:cs="Sylfaen"/>
          <w:b w:val="0"/>
          <w:szCs w:val="22"/>
          <w:lang w:val="af-ZA"/>
        </w:rPr>
        <w:t xml:space="preserve"> </w:t>
      </w:r>
      <w:r w:rsidRPr="00A83C94">
        <w:rPr>
          <w:rFonts w:cs="Sylfaen"/>
          <w:b w:val="0"/>
          <w:szCs w:val="22"/>
          <w:lang w:val="hy-AM"/>
        </w:rPr>
        <w:t>համակարգի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էլեկտրոնային</w:t>
      </w:r>
      <w:r w:rsidRPr="00A83C94">
        <w:rPr>
          <w:rFonts w:cs="Sylfaen"/>
          <w:b w:val="0"/>
          <w:szCs w:val="22"/>
          <w:lang w:val="af-ZA"/>
        </w:rPr>
        <w:t xml:space="preserve"> </w:t>
      </w:r>
      <w:r w:rsidRPr="00A83C94">
        <w:rPr>
          <w:rFonts w:cs="Sylfaen"/>
          <w:b w:val="0"/>
          <w:szCs w:val="22"/>
          <w:lang w:val="hy-AM"/>
        </w:rPr>
        <w:t>աճուրդների</w:t>
      </w:r>
      <w:r w:rsidRPr="00A83C94">
        <w:rPr>
          <w:rFonts w:cs="Sylfaen"/>
          <w:b w:val="0"/>
          <w:szCs w:val="22"/>
          <w:lang w:val="af-ZA"/>
        </w:rPr>
        <w:t xml:space="preserve"> </w:t>
      </w:r>
      <w:r w:rsidRPr="00A83C94">
        <w:rPr>
          <w:rFonts w:cs="Sylfaen"/>
          <w:b w:val="0"/>
          <w:szCs w:val="22"/>
          <w:lang w:val="hy-AM"/>
        </w:rPr>
        <w:t>կազմակերպման</w:t>
      </w:r>
      <w:r w:rsidRPr="00A83C94">
        <w:rPr>
          <w:rFonts w:cs="Sylfaen"/>
          <w:b w:val="0"/>
          <w:szCs w:val="22"/>
          <w:lang w:val="af-ZA"/>
        </w:rPr>
        <w:t xml:space="preserve"> </w:t>
      </w:r>
      <w:r w:rsidRPr="00A83C94">
        <w:rPr>
          <w:rFonts w:cs="Sylfaen"/>
          <w:b w:val="0"/>
          <w:szCs w:val="22"/>
          <w:lang w:val="hy-AM"/>
        </w:rPr>
        <w:t>ծրագրերի</w:t>
      </w:r>
      <w:r w:rsidRPr="00A83C94">
        <w:rPr>
          <w:rFonts w:cs="Sylfaen"/>
          <w:b w:val="0"/>
          <w:szCs w:val="22"/>
          <w:lang w:val="af-ZA"/>
        </w:rPr>
        <w:t xml:space="preserve"> </w:t>
      </w:r>
      <w:r w:rsidRPr="00A83C94">
        <w:rPr>
          <w:rFonts w:cs="Sylfaen"/>
          <w:b w:val="0"/>
          <w:szCs w:val="22"/>
          <w:lang w:val="hy-AM"/>
        </w:rPr>
        <w:t>սպասարկում</w:t>
      </w:r>
      <w:r w:rsidRPr="00A83C94">
        <w:rPr>
          <w:rFonts w:cs="Sylfaen"/>
          <w:b w:val="0"/>
          <w:szCs w:val="22"/>
          <w:lang w:val="af-ZA"/>
        </w:rPr>
        <w:t xml:space="preserve">, </w:t>
      </w:r>
      <w:r w:rsidRPr="00A83C94">
        <w:rPr>
          <w:rFonts w:cs="Sylfaen"/>
          <w:b w:val="0"/>
          <w:szCs w:val="22"/>
          <w:lang w:val="hy-AM"/>
        </w:rPr>
        <w:t>բացի</w:t>
      </w:r>
      <w:r w:rsidRPr="00A83C94">
        <w:rPr>
          <w:rFonts w:cs="Sylfaen"/>
          <w:b w:val="0"/>
          <w:szCs w:val="22"/>
          <w:lang w:val="af-ZA"/>
        </w:rPr>
        <w:t xml:space="preserve"> </w:t>
      </w:r>
      <w:r w:rsidRPr="00A83C94">
        <w:rPr>
          <w:rFonts w:cs="Sylfaen"/>
          <w:b w:val="0"/>
          <w:szCs w:val="22"/>
          <w:lang w:val="hy-AM"/>
        </w:rPr>
        <w:t>այդ</w:t>
      </w:r>
      <w:r w:rsidRPr="00A83C94">
        <w:rPr>
          <w:rFonts w:cs="Sylfaen"/>
          <w:b w:val="0"/>
          <w:szCs w:val="22"/>
          <w:lang w:val="af-ZA"/>
        </w:rPr>
        <w:t xml:space="preserve"> </w:t>
      </w:r>
      <w:r w:rsidRPr="00A83C94">
        <w:rPr>
          <w:rFonts w:cs="Sylfaen"/>
          <w:b w:val="0"/>
          <w:szCs w:val="22"/>
          <w:lang w:val="hy-AM"/>
        </w:rPr>
        <w:t>Կառավարական</w:t>
      </w:r>
      <w:r w:rsidRPr="00A83C94">
        <w:rPr>
          <w:rFonts w:cs="Sylfaen"/>
          <w:b w:val="0"/>
          <w:szCs w:val="22"/>
          <w:lang w:val="af-ZA"/>
        </w:rPr>
        <w:t xml:space="preserve"> N 2 (</w:t>
      </w:r>
      <w:r w:rsidRPr="00A83C94">
        <w:rPr>
          <w:rFonts w:cs="Sylfaen"/>
          <w:b w:val="0"/>
          <w:szCs w:val="22"/>
          <w:lang w:val="hy-AM"/>
        </w:rPr>
        <w:t>հասցե</w:t>
      </w:r>
      <w:r w:rsidRPr="00A83C94">
        <w:rPr>
          <w:rFonts w:cs="Sylfaen"/>
          <w:b w:val="0"/>
          <w:szCs w:val="22"/>
          <w:lang w:val="af-ZA"/>
        </w:rPr>
        <w:t xml:space="preserve">` </w:t>
      </w:r>
      <w:r w:rsidRPr="00A83C94">
        <w:rPr>
          <w:rFonts w:cs="Sylfaen"/>
          <w:b w:val="0"/>
          <w:szCs w:val="22"/>
          <w:lang w:val="hy-AM"/>
        </w:rPr>
        <w:t>ք</w:t>
      </w:r>
      <w:r w:rsidRPr="00A83C94">
        <w:rPr>
          <w:rFonts w:cs="Sylfaen"/>
          <w:b w:val="0"/>
          <w:szCs w:val="22"/>
          <w:lang w:val="af-ZA"/>
        </w:rPr>
        <w:t>.</w:t>
      </w:r>
      <w:r w:rsidRPr="00A83C94">
        <w:rPr>
          <w:rFonts w:cs="Sylfaen"/>
          <w:b w:val="0"/>
          <w:szCs w:val="22"/>
          <w:lang w:val="hy-AM"/>
        </w:rPr>
        <w:t>Երևան</w:t>
      </w:r>
      <w:r w:rsidRPr="00A83C94">
        <w:rPr>
          <w:rFonts w:cs="Sylfaen"/>
          <w:b w:val="0"/>
          <w:szCs w:val="22"/>
          <w:lang w:val="af-ZA"/>
        </w:rPr>
        <w:t xml:space="preserve">, </w:t>
      </w:r>
      <w:r w:rsidRPr="00A83C94">
        <w:rPr>
          <w:rFonts w:cs="Sylfaen"/>
          <w:b w:val="0"/>
          <w:szCs w:val="22"/>
          <w:lang w:val="hy-AM"/>
        </w:rPr>
        <w:t>Վ</w:t>
      </w:r>
      <w:r w:rsidRPr="00A83C94">
        <w:rPr>
          <w:rFonts w:cs="Sylfaen"/>
          <w:b w:val="0"/>
          <w:szCs w:val="22"/>
          <w:lang w:val="af-ZA"/>
        </w:rPr>
        <w:t>.</w:t>
      </w:r>
      <w:r w:rsidRPr="00A83C94">
        <w:rPr>
          <w:rFonts w:cs="Sylfaen"/>
          <w:b w:val="0"/>
          <w:szCs w:val="22"/>
          <w:lang w:val="hy-AM"/>
        </w:rPr>
        <w:t>Սարգսյան</w:t>
      </w:r>
      <w:r w:rsidRPr="00A83C94">
        <w:rPr>
          <w:rFonts w:cs="Sylfaen"/>
          <w:b w:val="0"/>
          <w:szCs w:val="22"/>
          <w:lang w:val="af-ZA"/>
        </w:rPr>
        <w:t xml:space="preserve"> 3, </w:t>
      </w:r>
      <w:r w:rsidRPr="00A83C94">
        <w:rPr>
          <w:rFonts w:cs="Sylfaen"/>
          <w:b w:val="0"/>
          <w:szCs w:val="22"/>
          <w:lang w:val="hy-AM"/>
        </w:rPr>
        <w:t>Վ</w:t>
      </w:r>
      <w:r w:rsidRPr="00A83C94">
        <w:rPr>
          <w:rFonts w:cs="Sylfaen"/>
          <w:b w:val="0"/>
          <w:szCs w:val="22"/>
          <w:lang w:val="af-ZA"/>
        </w:rPr>
        <w:t>.</w:t>
      </w:r>
      <w:r w:rsidRPr="00A83C94">
        <w:rPr>
          <w:rFonts w:cs="Sylfaen"/>
          <w:b w:val="0"/>
          <w:szCs w:val="22"/>
          <w:lang w:val="hy-AM"/>
        </w:rPr>
        <w:t>Սարգսյան</w:t>
      </w:r>
      <w:r w:rsidRPr="00A83C94">
        <w:rPr>
          <w:rFonts w:cs="Sylfaen"/>
          <w:b w:val="0"/>
          <w:szCs w:val="22"/>
          <w:lang w:val="af-ZA"/>
        </w:rPr>
        <w:t xml:space="preserve"> 3/8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Վ</w:t>
      </w:r>
      <w:r w:rsidRPr="00A83C94">
        <w:rPr>
          <w:rFonts w:cs="Sylfaen"/>
          <w:b w:val="0"/>
          <w:szCs w:val="22"/>
          <w:lang w:val="af-ZA"/>
        </w:rPr>
        <w:t xml:space="preserve">. </w:t>
      </w:r>
      <w:r w:rsidRPr="00A83C94">
        <w:rPr>
          <w:rFonts w:cs="Sylfaen"/>
          <w:b w:val="0"/>
          <w:szCs w:val="22"/>
          <w:lang w:val="hy-AM"/>
        </w:rPr>
        <w:t>Սարգսյան</w:t>
      </w:r>
      <w:r w:rsidRPr="00A83C94">
        <w:rPr>
          <w:rFonts w:cs="Sylfaen"/>
          <w:b w:val="0"/>
          <w:szCs w:val="22"/>
          <w:lang w:val="af-ZA"/>
        </w:rPr>
        <w:t xml:space="preserve"> 3/3), </w:t>
      </w:r>
      <w:r w:rsidRPr="00A83C94">
        <w:rPr>
          <w:rFonts w:cs="Sylfaen"/>
          <w:b w:val="0"/>
          <w:szCs w:val="22"/>
          <w:lang w:val="hy-AM"/>
        </w:rPr>
        <w:t>Կառավարական</w:t>
      </w:r>
      <w:r w:rsidRPr="00A83C94">
        <w:rPr>
          <w:rFonts w:cs="Sylfaen"/>
          <w:b w:val="0"/>
          <w:szCs w:val="22"/>
          <w:lang w:val="af-ZA"/>
        </w:rPr>
        <w:t xml:space="preserve"> N 3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Նալբանդյան</w:t>
      </w:r>
      <w:r w:rsidRPr="00A83C94">
        <w:rPr>
          <w:rFonts w:cs="Sylfaen"/>
          <w:b w:val="0"/>
          <w:szCs w:val="22"/>
          <w:lang w:val="af-ZA"/>
        </w:rPr>
        <w:t xml:space="preserve"> 28 </w:t>
      </w:r>
      <w:r w:rsidRPr="00A83C94">
        <w:rPr>
          <w:rFonts w:cs="Sylfaen"/>
          <w:b w:val="0"/>
          <w:szCs w:val="22"/>
          <w:lang w:val="hy-AM"/>
        </w:rPr>
        <w:t>շենքերի</w:t>
      </w:r>
      <w:r w:rsidRPr="00A83C94">
        <w:rPr>
          <w:rFonts w:cs="Sylfaen"/>
          <w:b w:val="0"/>
          <w:szCs w:val="22"/>
          <w:lang w:val="af-ZA"/>
        </w:rPr>
        <w:t xml:space="preserve"> </w:t>
      </w:r>
      <w:r w:rsidRPr="00A83C94">
        <w:rPr>
          <w:rFonts w:cs="Sylfaen"/>
          <w:b w:val="0"/>
          <w:szCs w:val="22"/>
          <w:lang w:val="hy-AM"/>
        </w:rPr>
        <w:t>սպասարկման</w:t>
      </w:r>
      <w:r w:rsidRPr="00A83C94">
        <w:rPr>
          <w:rFonts w:cs="Sylfaen"/>
          <w:b w:val="0"/>
          <w:szCs w:val="22"/>
          <w:lang w:val="af-ZA"/>
        </w:rPr>
        <w:t xml:space="preserve"> </w:t>
      </w:r>
      <w:r w:rsidRPr="00A83C94">
        <w:rPr>
          <w:rFonts w:cs="Sylfaen"/>
          <w:b w:val="0"/>
          <w:szCs w:val="22"/>
          <w:lang w:val="hy-AM"/>
        </w:rPr>
        <w:t>ծառայությունների</w:t>
      </w:r>
      <w:r w:rsidRPr="00A83C94">
        <w:rPr>
          <w:rFonts w:cs="Sylfaen"/>
          <w:b w:val="0"/>
          <w:szCs w:val="22"/>
          <w:lang w:val="af-ZA"/>
        </w:rPr>
        <w:t xml:space="preserve"> </w:t>
      </w:r>
      <w:r w:rsidRPr="00A83C94">
        <w:rPr>
          <w:rFonts w:cs="Sylfaen"/>
          <w:b w:val="0"/>
          <w:szCs w:val="22"/>
          <w:lang w:val="hy-AM"/>
        </w:rPr>
        <w:t>իրականացումը</w:t>
      </w:r>
      <w:r w:rsidRPr="00A83C94">
        <w:rPr>
          <w:rFonts w:cs="Sylfaen"/>
          <w:b w:val="0"/>
          <w:szCs w:val="22"/>
          <w:lang w:val="af-ZA"/>
        </w:rPr>
        <w:t xml:space="preserve">, </w:t>
      </w:r>
      <w:r w:rsidRPr="00A83C94">
        <w:rPr>
          <w:rFonts w:cs="Sylfaen"/>
          <w:b w:val="0"/>
          <w:szCs w:val="22"/>
          <w:lang w:val="hy-AM"/>
        </w:rPr>
        <w:t>որի</w:t>
      </w:r>
      <w:r w:rsidRPr="00A83C94">
        <w:rPr>
          <w:rFonts w:cs="Sylfaen"/>
          <w:b w:val="0"/>
          <w:szCs w:val="22"/>
          <w:lang w:val="af-ZA"/>
        </w:rPr>
        <w:t xml:space="preserve"> </w:t>
      </w:r>
      <w:r w:rsidRPr="00A83C94">
        <w:rPr>
          <w:rFonts w:cs="Sylfaen"/>
          <w:b w:val="0"/>
          <w:szCs w:val="22"/>
          <w:lang w:val="hy-AM"/>
        </w:rPr>
        <w:t>մեջ</w:t>
      </w:r>
      <w:r w:rsidRPr="00A83C94">
        <w:rPr>
          <w:rFonts w:cs="Sylfaen"/>
          <w:b w:val="0"/>
          <w:szCs w:val="22"/>
          <w:lang w:val="af-ZA"/>
        </w:rPr>
        <w:t xml:space="preserve"> </w:t>
      </w:r>
      <w:r w:rsidRPr="00A83C94">
        <w:rPr>
          <w:rFonts w:cs="Sylfaen"/>
          <w:b w:val="0"/>
          <w:szCs w:val="22"/>
          <w:lang w:val="hy-AM"/>
        </w:rPr>
        <w:t>ներառվում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նաև</w:t>
      </w:r>
      <w:r w:rsidRPr="00A83C94">
        <w:rPr>
          <w:rFonts w:cs="Sylfaen"/>
          <w:b w:val="0"/>
          <w:szCs w:val="22"/>
          <w:lang w:val="af-ZA"/>
        </w:rPr>
        <w:t xml:space="preserve"> </w:t>
      </w:r>
      <w:r w:rsidRPr="00A83C94">
        <w:rPr>
          <w:rFonts w:cs="Sylfaen"/>
          <w:b w:val="0"/>
          <w:szCs w:val="22"/>
          <w:lang w:val="hy-AM"/>
        </w:rPr>
        <w:t>վերոնշյալ շենքերի</w:t>
      </w:r>
      <w:r w:rsidRPr="00A83C94">
        <w:rPr>
          <w:rFonts w:cs="Sylfaen"/>
          <w:b w:val="0"/>
          <w:szCs w:val="22"/>
          <w:lang w:val="af-ZA"/>
        </w:rPr>
        <w:t xml:space="preserve"> </w:t>
      </w:r>
      <w:r w:rsidRPr="00A83C94">
        <w:rPr>
          <w:rFonts w:cs="Sylfaen"/>
          <w:b w:val="0"/>
          <w:szCs w:val="22"/>
          <w:lang w:val="hy-AM"/>
        </w:rPr>
        <w:t>թվով</w:t>
      </w:r>
      <w:r w:rsidRPr="00A83C94">
        <w:rPr>
          <w:rFonts w:cs="Sylfaen"/>
          <w:b w:val="0"/>
          <w:szCs w:val="22"/>
          <w:lang w:val="af-ZA"/>
        </w:rPr>
        <w:t xml:space="preserve"> </w:t>
      </w:r>
      <w:r w:rsidRPr="00A83C94">
        <w:rPr>
          <w:rFonts w:cs="Sylfaen"/>
          <w:b w:val="0"/>
          <w:szCs w:val="22"/>
          <w:lang w:val="hy-AM"/>
        </w:rPr>
        <w:t>18</w:t>
      </w:r>
      <w:r w:rsidRPr="00A83C94">
        <w:rPr>
          <w:rFonts w:cs="Sylfaen"/>
          <w:b w:val="0"/>
          <w:szCs w:val="22"/>
          <w:lang w:val="af-ZA"/>
        </w:rPr>
        <w:t xml:space="preserve"> </w:t>
      </w:r>
      <w:r w:rsidRPr="00A83C94">
        <w:rPr>
          <w:rFonts w:cs="Sylfaen"/>
          <w:b w:val="0"/>
          <w:szCs w:val="22"/>
          <w:lang w:val="hy-AM"/>
        </w:rPr>
        <w:t>վերելակների</w:t>
      </w:r>
      <w:r w:rsidRPr="00A83C94">
        <w:rPr>
          <w:rFonts w:cs="Sylfaen"/>
          <w:b w:val="0"/>
          <w:szCs w:val="22"/>
          <w:lang w:val="af-ZA"/>
        </w:rPr>
        <w:t xml:space="preserve">, </w:t>
      </w:r>
      <w:r w:rsidRPr="00A83C94">
        <w:rPr>
          <w:rFonts w:cs="Sylfaen"/>
          <w:b w:val="0"/>
          <w:szCs w:val="22"/>
          <w:lang w:val="hy-AM"/>
        </w:rPr>
        <w:t>օդորակման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օդափոխության</w:t>
      </w:r>
      <w:r w:rsidRPr="00A83C94">
        <w:rPr>
          <w:rFonts w:cs="Sylfaen"/>
          <w:b w:val="0"/>
          <w:szCs w:val="22"/>
          <w:lang w:val="af-ZA"/>
        </w:rPr>
        <w:t xml:space="preserve"> </w:t>
      </w:r>
      <w:r w:rsidRPr="00A83C94">
        <w:rPr>
          <w:rFonts w:cs="Sylfaen"/>
          <w:b w:val="0"/>
          <w:szCs w:val="22"/>
          <w:lang w:val="hy-AM"/>
        </w:rPr>
        <w:t>համակարգերի</w:t>
      </w:r>
      <w:r w:rsidRPr="00A83C94">
        <w:rPr>
          <w:rFonts w:cs="Sylfaen"/>
          <w:b w:val="0"/>
          <w:szCs w:val="22"/>
          <w:lang w:val="af-ZA"/>
        </w:rPr>
        <w:t xml:space="preserve">, </w:t>
      </w:r>
      <w:r w:rsidRPr="00A83C94">
        <w:rPr>
          <w:rFonts w:cs="Sylfaen"/>
          <w:b w:val="0"/>
          <w:szCs w:val="22"/>
          <w:lang w:val="hy-AM"/>
        </w:rPr>
        <w:t>հաստիքային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վթարային</w:t>
      </w:r>
      <w:r w:rsidRPr="00A83C94">
        <w:rPr>
          <w:rFonts w:cs="Sylfaen"/>
          <w:b w:val="0"/>
          <w:szCs w:val="22"/>
          <w:lang w:val="af-ZA"/>
        </w:rPr>
        <w:t xml:space="preserve"> </w:t>
      </w:r>
      <w:r w:rsidRPr="00A83C94">
        <w:rPr>
          <w:rFonts w:cs="Sylfaen"/>
          <w:b w:val="0"/>
          <w:szCs w:val="22"/>
          <w:lang w:val="hy-AM"/>
        </w:rPr>
        <w:t>էլեկտրասնուցման</w:t>
      </w:r>
      <w:r w:rsidRPr="00A83C94">
        <w:rPr>
          <w:rFonts w:cs="Sylfaen"/>
          <w:b w:val="0"/>
          <w:szCs w:val="22"/>
          <w:lang w:val="af-ZA"/>
        </w:rPr>
        <w:t xml:space="preserve"> </w:t>
      </w:r>
      <w:r w:rsidRPr="00A83C94">
        <w:rPr>
          <w:rFonts w:cs="Sylfaen"/>
          <w:b w:val="0"/>
          <w:szCs w:val="22"/>
          <w:lang w:val="hy-AM"/>
        </w:rPr>
        <w:t>համակարգերի</w:t>
      </w:r>
      <w:r w:rsidRPr="00A83C94">
        <w:rPr>
          <w:rFonts w:cs="Sylfaen"/>
          <w:b w:val="0"/>
          <w:szCs w:val="22"/>
          <w:lang w:val="af-ZA"/>
        </w:rPr>
        <w:t xml:space="preserve">, </w:t>
      </w:r>
      <w:r w:rsidRPr="00A83C94">
        <w:rPr>
          <w:rFonts w:cs="Sylfaen"/>
          <w:b w:val="0"/>
          <w:szCs w:val="22"/>
          <w:lang w:val="hy-AM"/>
        </w:rPr>
        <w:t>ներքին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արտաքին</w:t>
      </w:r>
      <w:r w:rsidRPr="00A83C94">
        <w:rPr>
          <w:rFonts w:cs="Sylfaen"/>
          <w:b w:val="0"/>
          <w:szCs w:val="22"/>
          <w:lang w:val="af-ZA"/>
        </w:rPr>
        <w:t xml:space="preserve"> </w:t>
      </w:r>
      <w:r w:rsidRPr="00A83C94">
        <w:rPr>
          <w:rFonts w:cs="Sylfaen"/>
          <w:b w:val="0"/>
          <w:szCs w:val="22"/>
          <w:lang w:val="hy-AM"/>
        </w:rPr>
        <w:t>լուսավորության</w:t>
      </w:r>
      <w:r w:rsidRPr="00A83C94">
        <w:rPr>
          <w:rFonts w:cs="Sylfaen"/>
          <w:b w:val="0"/>
          <w:szCs w:val="22"/>
          <w:lang w:val="af-ZA"/>
        </w:rPr>
        <w:t xml:space="preserve"> </w:t>
      </w:r>
      <w:r w:rsidRPr="00A83C94">
        <w:rPr>
          <w:rFonts w:cs="Sylfaen"/>
          <w:b w:val="0"/>
          <w:szCs w:val="22"/>
          <w:lang w:val="hy-AM"/>
        </w:rPr>
        <w:t>համակարգերի</w:t>
      </w:r>
      <w:r w:rsidRPr="00A83C94">
        <w:rPr>
          <w:rFonts w:cs="Sylfaen"/>
          <w:b w:val="0"/>
          <w:szCs w:val="22"/>
          <w:lang w:val="af-ZA"/>
        </w:rPr>
        <w:t xml:space="preserve">, </w:t>
      </w:r>
      <w:r w:rsidRPr="00A83C94">
        <w:rPr>
          <w:rFonts w:cs="Sylfaen"/>
          <w:b w:val="0"/>
          <w:szCs w:val="22"/>
          <w:lang w:val="hy-AM"/>
        </w:rPr>
        <w:t>ջրամատակարարման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կոյուղուհամակարգի</w:t>
      </w:r>
      <w:r w:rsidRPr="00A83C94">
        <w:rPr>
          <w:rFonts w:cs="Sylfaen"/>
          <w:b w:val="0"/>
          <w:szCs w:val="22"/>
          <w:lang w:val="af-ZA"/>
        </w:rPr>
        <w:t xml:space="preserve">, </w:t>
      </w:r>
      <w:r w:rsidRPr="00A83C94">
        <w:rPr>
          <w:rFonts w:cs="Sylfaen"/>
          <w:b w:val="0"/>
          <w:szCs w:val="22"/>
          <w:lang w:val="hy-AM"/>
        </w:rPr>
        <w:t>հակահրդեհային</w:t>
      </w:r>
      <w:r w:rsidRPr="00A83C94">
        <w:rPr>
          <w:rFonts w:cs="Sylfaen"/>
          <w:b w:val="0"/>
          <w:szCs w:val="22"/>
          <w:lang w:val="af-ZA"/>
        </w:rPr>
        <w:t xml:space="preserve"> </w:t>
      </w:r>
      <w:r w:rsidRPr="00A83C94">
        <w:rPr>
          <w:rFonts w:cs="Sylfaen"/>
          <w:b w:val="0"/>
          <w:szCs w:val="22"/>
          <w:lang w:val="hy-AM"/>
        </w:rPr>
        <w:t>անվտանգության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ծխահեռացման</w:t>
      </w:r>
      <w:r w:rsidRPr="00A83C94">
        <w:rPr>
          <w:rFonts w:cs="Sylfaen"/>
          <w:b w:val="0"/>
          <w:szCs w:val="22"/>
          <w:lang w:val="af-ZA"/>
        </w:rPr>
        <w:t xml:space="preserve"> </w:t>
      </w:r>
      <w:r w:rsidRPr="00A83C94">
        <w:rPr>
          <w:rFonts w:cs="Sylfaen"/>
          <w:b w:val="0"/>
          <w:szCs w:val="22"/>
          <w:lang w:val="hy-AM"/>
        </w:rPr>
        <w:t>համակարգի</w:t>
      </w:r>
      <w:r w:rsidRPr="00A83C94">
        <w:rPr>
          <w:rFonts w:cs="Sylfaen"/>
          <w:b w:val="0"/>
          <w:szCs w:val="22"/>
          <w:lang w:val="af-ZA"/>
        </w:rPr>
        <w:t xml:space="preserve">, </w:t>
      </w:r>
      <w:r w:rsidRPr="00A83C94">
        <w:rPr>
          <w:rFonts w:cs="Sylfaen"/>
          <w:b w:val="0"/>
          <w:szCs w:val="22"/>
          <w:lang w:val="hy-AM"/>
        </w:rPr>
        <w:t>անցակետային</w:t>
      </w:r>
      <w:r w:rsidRPr="00A83C94">
        <w:rPr>
          <w:rFonts w:cs="Sylfaen"/>
          <w:b w:val="0"/>
          <w:szCs w:val="22"/>
          <w:lang w:val="af-ZA"/>
        </w:rPr>
        <w:t xml:space="preserve">, </w:t>
      </w:r>
      <w:r w:rsidRPr="00A83C94">
        <w:rPr>
          <w:rFonts w:cs="Sylfaen"/>
          <w:b w:val="0"/>
          <w:szCs w:val="22"/>
          <w:lang w:val="hy-AM"/>
        </w:rPr>
        <w:t>անվտանգության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տեսահսկման</w:t>
      </w:r>
      <w:r w:rsidRPr="00A83C94">
        <w:rPr>
          <w:rFonts w:cs="Sylfaen"/>
          <w:b w:val="0"/>
          <w:szCs w:val="22"/>
          <w:lang w:val="af-ZA"/>
        </w:rPr>
        <w:t xml:space="preserve"> </w:t>
      </w:r>
      <w:r w:rsidRPr="00A83C94">
        <w:rPr>
          <w:rFonts w:cs="Sylfaen"/>
          <w:b w:val="0"/>
          <w:szCs w:val="22"/>
          <w:lang w:val="hy-AM"/>
        </w:rPr>
        <w:t>համակարգի</w:t>
      </w:r>
      <w:r w:rsidRPr="00A83C94">
        <w:rPr>
          <w:rFonts w:cs="Sylfaen"/>
          <w:b w:val="0"/>
          <w:szCs w:val="22"/>
          <w:lang w:val="af-ZA"/>
        </w:rPr>
        <w:t xml:space="preserve">, </w:t>
      </w:r>
      <w:r w:rsidRPr="00A83C94">
        <w:rPr>
          <w:rFonts w:cs="Sylfaen"/>
          <w:b w:val="0"/>
          <w:szCs w:val="22"/>
          <w:lang w:val="hy-AM"/>
        </w:rPr>
        <w:t>հեռախոսային</w:t>
      </w:r>
      <w:r w:rsidRPr="00A83C94">
        <w:rPr>
          <w:rFonts w:cs="Sylfaen"/>
          <w:b w:val="0"/>
          <w:szCs w:val="22"/>
          <w:lang w:val="af-ZA"/>
        </w:rPr>
        <w:t xml:space="preserve"> </w:t>
      </w:r>
      <w:r w:rsidRPr="00A83C94">
        <w:rPr>
          <w:rFonts w:cs="Sylfaen"/>
          <w:b w:val="0"/>
          <w:szCs w:val="22"/>
          <w:lang w:val="hy-AM"/>
        </w:rPr>
        <w:t>կապի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ինտերնետի ներքին ցանցերի, հետերաշխիքային սպասարկումը։</w:t>
      </w:r>
    </w:p>
    <w:p w14:paraId="00808769" w14:textId="77777777"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Բացի այդ պետական մարմինների կողմից օգտագործվող ոչ ֆինանսական ակտիվների ակտիվների օտարումից նախատեսվում է (10,059.3 մլն դրամի) մուտքեր:</w:t>
      </w:r>
    </w:p>
    <w:p w14:paraId="5DD786E8" w14:textId="77777777" w:rsidR="0023176E" w:rsidRPr="00A83C94" w:rsidRDefault="0023176E" w:rsidP="0023176E">
      <w:pPr>
        <w:widowControl w:val="0"/>
        <w:spacing w:line="276" w:lineRule="auto"/>
        <w:rPr>
          <w:rFonts w:cs="Sylfaen"/>
          <w:b w:val="0"/>
          <w:lang w:val="hy-AM"/>
        </w:rPr>
      </w:pPr>
      <w:r w:rsidRPr="00A83C94">
        <w:rPr>
          <w:rFonts w:cs="Sylfaen"/>
          <w:szCs w:val="22"/>
          <w:lang w:val="hy-AM"/>
        </w:rPr>
        <w:t>Այլընտրանքային</w:t>
      </w:r>
      <w:r w:rsidRPr="00A83C94">
        <w:rPr>
          <w:rFonts w:cs="Sylfaen"/>
          <w:szCs w:val="22"/>
          <w:lang w:val="af-ZA"/>
        </w:rPr>
        <w:t xml:space="preserve"> </w:t>
      </w:r>
      <w:r w:rsidRPr="00A83C94">
        <w:rPr>
          <w:rFonts w:cs="Sylfaen"/>
          <w:szCs w:val="22"/>
          <w:lang w:val="hy-AM"/>
        </w:rPr>
        <w:t>աշխատանքային</w:t>
      </w:r>
      <w:r w:rsidRPr="00A83C94">
        <w:rPr>
          <w:rFonts w:cs="Sylfaen"/>
          <w:szCs w:val="22"/>
          <w:lang w:val="af-ZA"/>
        </w:rPr>
        <w:t xml:space="preserve"> </w:t>
      </w:r>
      <w:r w:rsidRPr="00A83C94">
        <w:rPr>
          <w:rFonts w:cs="Sylfaen"/>
          <w:szCs w:val="22"/>
          <w:lang w:val="hy-AM"/>
        </w:rPr>
        <w:t xml:space="preserve">ծառայություն </w:t>
      </w:r>
      <w:r w:rsidRPr="00A83C94">
        <w:rPr>
          <w:rFonts w:cs="Sylfaen"/>
          <w:b w:val="0"/>
          <w:szCs w:val="22"/>
          <w:lang w:val="hy-AM"/>
        </w:rPr>
        <w:t>ծրագրի</w:t>
      </w:r>
      <w:r w:rsidRPr="00A83C94">
        <w:rPr>
          <w:rFonts w:cs="Sylfaen"/>
          <w:b w:val="0"/>
          <w:szCs w:val="22"/>
          <w:lang w:val="af-ZA"/>
        </w:rPr>
        <w:t xml:space="preserve"> </w:t>
      </w:r>
      <w:r w:rsidRPr="00A83C94">
        <w:rPr>
          <w:rFonts w:cs="Sylfaen"/>
          <w:b w:val="0"/>
          <w:lang w:val="hy-AM"/>
        </w:rPr>
        <w:t>գծով  2022 թվականին  նախատեսվել է</w:t>
      </w:r>
      <w:r w:rsidRPr="00A83C94">
        <w:rPr>
          <w:b w:val="0"/>
          <w:szCs w:val="22"/>
          <w:lang w:val="it-IT"/>
        </w:rPr>
        <w:t xml:space="preserve"> 33.0 </w:t>
      </w:r>
      <w:r w:rsidRPr="00A83C94">
        <w:rPr>
          <w:b w:val="0"/>
          <w:szCs w:val="22"/>
          <w:lang w:val="hy-AM"/>
        </w:rPr>
        <w:t>մլն</w:t>
      </w:r>
      <w:r w:rsidRPr="00A83C94">
        <w:rPr>
          <w:b w:val="0"/>
          <w:szCs w:val="22"/>
          <w:lang w:val="it-IT"/>
        </w:rPr>
        <w:t xml:space="preserve"> </w:t>
      </w:r>
      <w:r w:rsidRPr="00A83C94">
        <w:rPr>
          <w:b w:val="0"/>
          <w:szCs w:val="22"/>
          <w:lang w:val="hy-AM"/>
        </w:rPr>
        <w:t>դրամ:</w:t>
      </w:r>
    </w:p>
    <w:p w14:paraId="305F623A" w14:textId="77777777" w:rsidR="0023176E" w:rsidRPr="00A83C94" w:rsidRDefault="0023176E" w:rsidP="0023176E">
      <w:pPr>
        <w:widowControl w:val="0"/>
        <w:spacing w:line="276" w:lineRule="auto"/>
        <w:rPr>
          <w:rFonts w:cs="Arial"/>
          <w:b w:val="0"/>
          <w:noProof/>
          <w:szCs w:val="22"/>
          <w:lang w:val="hy-AM"/>
        </w:rPr>
      </w:pPr>
      <w:r w:rsidRPr="00A83C94">
        <w:rPr>
          <w:rFonts w:cs="Sylfaen"/>
          <w:b w:val="0"/>
          <w:noProof/>
          <w:szCs w:val="22"/>
          <w:lang w:val="hy-AM"/>
        </w:rPr>
        <w:t>Ծրագրի նպատակն է քաղաքացիական պարտքի կատարման այլընտրանքային տարբերակների ապահովում</w:t>
      </w:r>
      <w:r w:rsidRPr="00A83C94">
        <w:rPr>
          <w:rFonts w:cs="Times Armenian"/>
          <w:b w:val="0"/>
          <w:kern w:val="16"/>
          <w:szCs w:val="22"/>
          <w:lang w:val="hy-AM"/>
        </w:rPr>
        <w:t>,</w:t>
      </w:r>
      <w:r w:rsidRPr="00A83C94">
        <w:rPr>
          <w:b w:val="0"/>
          <w:szCs w:val="22"/>
          <w:lang w:val="it-IT"/>
        </w:rPr>
        <w:t xml:space="preserve"> </w:t>
      </w:r>
      <w:r w:rsidRPr="00A83C94">
        <w:rPr>
          <w:rFonts w:cs="Arial"/>
          <w:b w:val="0"/>
          <w:noProof/>
          <w:szCs w:val="22"/>
          <w:lang w:val="hy-AM"/>
        </w:rPr>
        <w:t>որի շրջանակում թվով 38 այլընտրանքային աշխատանքային ծառայողներին կտրամադրվի դրամական բավարարման և փոխհատուցման տրամադրում:</w:t>
      </w:r>
    </w:p>
    <w:p w14:paraId="5648183F" w14:textId="12E8BA76" w:rsidR="0023176E" w:rsidRPr="00A83C94" w:rsidRDefault="0023176E" w:rsidP="0023176E">
      <w:pPr>
        <w:spacing w:before="0" w:line="240" w:lineRule="auto"/>
        <w:ind w:left="2" w:firstLine="565"/>
        <w:contextualSpacing w:val="0"/>
        <w:rPr>
          <w:rFonts w:cs="Sylfaen"/>
          <w:b w:val="0"/>
          <w:lang w:val="hy-AM"/>
        </w:rPr>
      </w:pPr>
      <w:r w:rsidRPr="00A83C94">
        <w:rPr>
          <w:rFonts w:cs="Sylfaen"/>
          <w:szCs w:val="22"/>
          <w:lang w:val="hy-AM"/>
        </w:rPr>
        <w:t xml:space="preserve">Քաղաքային զարգացում </w:t>
      </w:r>
      <w:r w:rsidRPr="00A83C94">
        <w:rPr>
          <w:rFonts w:cs="Sylfaen"/>
          <w:b w:val="0"/>
          <w:szCs w:val="22"/>
          <w:lang w:val="hy-AM"/>
        </w:rPr>
        <w:t>ծրագրի</w:t>
      </w:r>
      <w:r w:rsidRPr="00A83C94">
        <w:rPr>
          <w:rFonts w:cs="Sylfaen"/>
          <w:b w:val="0"/>
          <w:szCs w:val="22"/>
          <w:lang w:val="af-ZA"/>
        </w:rPr>
        <w:t xml:space="preserve"> </w:t>
      </w:r>
      <w:r w:rsidRPr="00A83C94">
        <w:rPr>
          <w:rFonts w:cs="Sylfaen"/>
          <w:b w:val="0"/>
          <w:lang w:val="hy-AM"/>
        </w:rPr>
        <w:t>գծով  2022 թվականին  նախատեսվել է 2</w:t>
      </w:r>
      <w:r w:rsidR="00890730" w:rsidRPr="005A3F0B">
        <w:rPr>
          <w:rFonts w:cs="Sylfaen"/>
          <w:b w:val="0"/>
          <w:lang w:val="hy-AM"/>
        </w:rPr>
        <w:t>3</w:t>
      </w:r>
      <w:r w:rsidRPr="00A83C94">
        <w:rPr>
          <w:rFonts w:cs="Sylfaen"/>
          <w:b w:val="0"/>
          <w:lang w:val="hy-AM"/>
        </w:rPr>
        <w:t>,986.4 մլն դրամ:</w:t>
      </w:r>
    </w:p>
    <w:p w14:paraId="26D7062D" w14:textId="77777777"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Ծրագրի նպատակն է քաղաքային ենթակառուցվածքների զարգացումը, որի շրջանակներում ներքին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արտաքին</w:t>
      </w:r>
      <w:r w:rsidRPr="00A83C94">
        <w:rPr>
          <w:rFonts w:cs="Sylfaen"/>
          <w:b w:val="0"/>
          <w:szCs w:val="22"/>
          <w:lang w:val="af-ZA"/>
        </w:rPr>
        <w:t xml:space="preserve"> </w:t>
      </w:r>
      <w:r w:rsidRPr="00A83C94">
        <w:rPr>
          <w:rFonts w:cs="Sylfaen"/>
          <w:b w:val="0"/>
          <w:szCs w:val="22"/>
          <w:lang w:val="hy-AM"/>
        </w:rPr>
        <w:t>աղբյուրների</w:t>
      </w:r>
      <w:r w:rsidRPr="00A83C94">
        <w:rPr>
          <w:rFonts w:cs="Sylfaen"/>
          <w:b w:val="0"/>
          <w:szCs w:val="22"/>
          <w:lang w:val="af-ZA"/>
        </w:rPr>
        <w:t xml:space="preserve"> </w:t>
      </w:r>
      <w:r w:rsidRPr="00A83C94">
        <w:rPr>
          <w:rFonts w:cs="Sylfaen"/>
          <w:b w:val="0"/>
          <w:szCs w:val="22"/>
          <w:lang w:val="hy-AM"/>
        </w:rPr>
        <w:t>ֆինանսավորմամբ</w:t>
      </w:r>
      <w:r w:rsidRPr="00A83C94">
        <w:rPr>
          <w:rFonts w:cs="Sylfaen"/>
          <w:b w:val="0"/>
          <w:color w:val="FF0000"/>
          <w:szCs w:val="22"/>
          <w:lang w:val="hy-AM"/>
        </w:rPr>
        <w:t xml:space="preserve"> </w:t>
      </w:r>
      <w:r w:rsidRPr="00A83C94">
        <w:rPr>
          <w:rFonts w:cs="Sylfaen"/>
          <w:b w:val="0"/>
          <w:szCs w:val="22"/>
          <w:lang w:val="hy-AM"/>
        </w:rPr>
        <w:t>նախատեսվում</w:t>
      </w:r>
      <w:r w:rsidRPr="00A83C94">
        <w:rPr>
          <w:rFonts w:cs="Sylfaen"/>
          <w:b w:val="0"/>
          <w:szCs w:val="22"/>
          <w:lang w:val="af-ZA"/>
        </w:rPr>
        <w:t xml:space="preserve"> </w:t>
      </w:r>
      <w:r w:rsidRPr="00A83C94">
        <w:rPr>
          <w:rFonts w:cs="Sylfaen"/>
          <w:b w:val="0"/>
          <w:szCs w:val="22"/>
          <w:lang w:val="hy-AM"/>
        </w:rPr>
        <w:t>է իրականացնել Երևանի մետրոպոլիտենով ուղևորափոխադրման ծառայությունների և Երևանի տարածքում ճանապարհային երթևեկության կարգավորման գծով պետության կողմից համայնքի ղեկավարին պատվիրակված լիազորությունների իրականացման, ինչպես նաև Երևանի էլեկտրատրանսպորտով ուղևորափոխադրումների սպա</w:t>
      </w:r>
      <w:r w:rsidRPr="00A83C94">
        <w:rPr>
          <w:rFonts w:cs="Sylfaen"/>
          <w:b w:val="0"/>
          <w:szCs w:val="22"/>
          <w:lang w:val="hy-AM"/>
        </w:rPr>
        <w:softHyphen/>
        <w:t>սարկ</w:t>
      </w:r>
      <w:r w:rsidRPr="00A83C94">
        <w:rPr>
          <w:rFonts w:cs="Sylfaen"/>
          <w:b w:val="0"/>
          <w:szCs w:val="22"/>
          <w:lang w:val="hy-AM"/>
        </w:rPr>
        <w:softHyphen/>
        <w:t>ման որակի և երթևե</w:t>
      </w:r>
      <w:r w:rsidRPr="00A83C94">
        <w:rPr>
          <w:rFonts w:cs="Sylfaen"/>
          <w:b w:val="0"/>
          <w:szCs w:val="22"/>
          <w:lang w:val="hy-AM"/>
        </w:rPr>
        <w:softHyphen/>
        <w:t xml:space="preserve">կության անվտանգության բարելավման, Երևան և Գյումրի քաղաքների փողոցների և արտաքին լուսավորության ցանցի հիմանորոգման, շահագործման ու պահպանման աշխատանքների իրականացում </w:t>
      </w:r>
    </w:p>
    <w:p w14:paraId="2214A54C" w14:textId="77777777" w:rsidR="0023176E" w:rsidRPr="00A83C94" w:rsidRDefault="0023176E" w:rsidP="0023176E">
      <w:pPr>
        <w:spacing w:before="0" w:line="276" w:lineRule="auto"/>
        <w:ind w:firstLine="720"/>
        <w:rPr>
          <w:rFonts w:cs="Sylfaen"/>
          <w:b w:val="0"/>
          <w:szCs w:val="22"/>
          <w:lang w:val="hy-AM"/>
        </w:rPr>
      </w:pPr>
      <w:r w:rsidRPr="00A83C94">
        <w:rPr>
          <w:rFonts w:cs="Sylfaen"/>
          <w:b w:val="0"/>
          <w:szCs w:val="22"/>
          <w:lang w:val="hy-AM"/>
        </w:rPr>
        <w:t>Մասնավորապես 2022 թվականին ներքին աղբյուրների հաշվին նախատեսվում է իրականացնել Երևան քաղաքի շուրջ</w:t>
      </w:r>
      <w:r w:rsidRPr="00A83C94">
        <w:rPr>
          <w:rFonts w:cs="Sylfaen"/>
          <w:b w:val="0"/>
          <w:szCs w:val="22"/>
          <w:lang w:val="af-ZA"/>
        </w:rPr>
        <w:t xml:space="preserve"> </w:t>
      </w:r>
      <w:r w:rsidRPr="00A83C94">
        <w:rPr>
          <w:rFonts w:cs="Sylfaen"/>
          <w:b w:val="0"/>
          <w:szCs w:val="22"/>
          <w:lang w:val="hy-AM"/>
        </w:rPr>
        <w:t>1691.3</w:t>
      </w:r>
      <w:r w:rsidRPr="00A83C94">
        <w:rPr>
          <w:rFonts w:cs="Sylfaen"/>
          <w:b w:val="0"/>
          <w:szCs w:val="22"/>
          <w:lang w:val="af-ZA"/>
        </w:rPr>
        <w:t xml:space="preserve"> </w:t>
      </w:r>
      <w:r w:rsidRPr="00A83C94">
        <w:rPr>
          <w:rFonts w:cs="Sylfaen"/>
          <w:b w:val="0"/>
          <w:szCs w:val="22"/>
          <w:lang w:val="hy-AM"/>
        </w:rPr>
        <w:t>կմ</w:t>
      </w:r>
      <w:r w:rsidRPr="00A83C94">
        <w:rPr>
          <w:rFonts w:cs="Sylfaen"/>
          <w:b w:val="0"/>
          <w:szCs w:val="22"/>
          <w:lang w:val="af-ZA"/>
        </w:rPr>
        <w:t xml:space="preserve"> </w:t>
      </w:r>
      <w:r w:rsidRPr="00A83C94">
        <w:rPr>
          <w:rFonts w:cs="Sylfaen"/>
          <w:b w:val="0"/>
          <w:szCs w:val="22"/>
          <w:lang w:val="hy-AM"/>
        </w:rPr>
        <w:t>երկարությամբ</w:t>
      </w:r>
      <w:r w:rsidRPr="00A83C94">
        <w:rPr>
          <w:rFonts w:cs="Sylfaen"/>
          <w:b w:val="0"/>
          <w:szCs w:val="22"/>
          <w:lang w:val="af-ZA"/>
        </w:rPr>
        <w:t xml:space="preserve"> </w:t>
      </w:r>
      <w:r w:rsidRPr="00A83C94">
        <w:rPr>
          <w:rFonts w:cs="Sylfaen"/>
          <w:b w:val="0"/>
          <w:szCs w:val="22"/>
          <w:lang w:val="hy-AM"/>
        </w:rPr>
        <w:t>արտաքին լուսավորության ցանցի շահագործում և պահպանում, 450 փողոցների, 30 մայթերի, բակային և միջբակային տարածքների նորոգում, մետրոպոլիտենով 18.7 մլն և էլեկտրատրանսպորտով 4.2 մլն ուղևորների անվտանգ ուղևորափոխադրում:</w:t>
      </w:r>
    </w:p>
    <w:p w14:paraId="0D1609E3" w14:textId="77777777" w:rsidR="0023176E" w:rsidRPr="00A83C94" w:rsidRDefault="0023176E" w:rsidP="0023176E">
      <w:pPr>
        <w:spacing w:before="0" w:line="276" w:lineRule="auto"/>
        <w:ind w:firstLine="720"/>
        <w:rPr>
          <w:b w:val="0"/>
          <w:bCs/>
          <w:iCs/>
          <w:lang w:val="fr-FR"/>
        </w:rPr>
      </w:pPr>
      <w:r w:rsidRPr="00A83C94">
        <w:rPr>
          <w:rFonts w:cs="Sylfaen"/>
          <w:b w:val="0"/>
          <w:szCs w:val="22"/>
          <w:lang w:val="hy-AM"/>
        </w:rPr>
        <w:t>Արտաքին աղբյուրների ֆինանսավորմամբ իրականացվող շարունակական ծրագրերի ներքո նախատեսվում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 xml:space="preserve">Երևանք քաղաքում՝ </w:t>
      </w:r>
      <w:r w:rsidRPr="00A83C94">
        <w:rPr>
          <w:b w:val="0"/>
          <w:bCs/>
          <w:iCs/>
          <w:lang w:val="fr-FR"/>
        </w:rPr>
        <w:t>մետորոպոլիտենի դրենաժային թունելի կառուցում, 28 փողոցների արտաքին լուսավորության ցանց</w:t>
      </w:r>
      <w:r w:rsidRPr="00A83C94">
        <w:rPr>
          <w:b w:val="0"/>
          <w:bCs/>
          <w:iCs/>
          <w:lang w:val="hy-AM"/>
        </w:rPr>
        <w:t>ի</w:t>
      </w:r>
      <w:r w:rsidRPr="00A83C94">
        <w:rPr>
          <w:b w:val="0"/>
          <w:bCs/>
          <w:iCs/>
          <w:lang w:val="fr-FR"/>
        </w:rPr>
        <w:t xml:space="preserve"> արդիականաց</w:t>
      </w:r>
      <w:r w:rsidRPr="00A83C94">
        <w:rPr>
          <w:b w:val="0"/>
          <w:bCs/>
          <w:iCs/>
          <w:lang w:val="hy-AM"/>
        </w:rPr>
        <w:t>ում,</w:t>
      </w:r>
      <w:r w:rsidRPr="00A83C94">
        <w:rPr>
          <w:b w:val="0"/>
          <w:bCs/>
          <w:iCs/>
          <w:lang w:val="fr-FR"/>
        </w:rPr>
        <w:t xml:space="preserve"> ավարտել  Բաբաջանյան-Աշտարակի խճուղի 9.4 կմ երկարությամբ և 24 մ միջին լայնությամբ և Արգավանդ -Շիրակ ճանապարհահատվածի 2.7 կմ երկարությամբ  ճանապարհահատվածների կառուցումը, իսկ Գյումրի քաղաքում՝ ընտրված փողոցների վերանորոգում և լուավորության ցանցի արդիականացում: </w:t>
      </w:r>
    </w:p>
    <w:p w14:paraId="21860290" w14:textId="04A4D5CD" w:rsidR="0023176E" w:rsidRPr="00A83C94" w:rsidRDefault="0023176E" w:rsidP="0023176E">
      <w:pPr>
        <w:spacing w:before="0" w:line="276" w:lineRule="auto"/>
        <w:ind w:firstLine="720"/>
        <w:rPr>
          <w:b w:val="0"/>
          <w:bCs/>
          <w:iCs/>
          <w:lang w:val="hy-AM"/>
        </w:rPr>
      </w:pPr>
      <w:r w:rsidRPr="00A83C94">
        <w:rPr>
          <w:b w:val="0"/>
          <w:bCs/>
          <w:iCs/>
          <w:lang w:val="fr-FR"/>
        </w:rPr>
        <w:t>Եվրոմիության աջակցության վարկային ծրագրի շրջանակներում Էներգախնայողության նպատակով Սյունիքի մարզի բազմաբնակարան շենքերում նախատեսվում</w:t>
      </w:r>
      <w:r w:rsidRPr="00A83C94">
        <w:rPr>
          <w:b w:val="0"/>
          <w:bCs/>
          <w:iCs/>
          <w:lang w:val="hy-AM"/>
        </w:rPr>
        <w:t xml:space="preserve"> է իրականացնել էներգախնայողության (ջերմամեկուսացման) միջոցառումներ՝ Կապանի 151 շենքերում:</w:t>
      </w:r>
      <w:r w:rsidR="004D241C" w:rsidRPr="00A83C94">
        <w:rPr>
          <w:b w:val="0"/>
          <w:bCs/>
          <w:iCs/>
          <w:lang w:val="hy-AM"/>
        </w:rPr>
        <w:t>ս</w:t>
      </w:r>
    </w:p>
    <w:p w14:paraId="2D1D1186" w14:textId="77777777" w:rsidR="0023176E" w:rsidRPr="00A83C94" w:rsidRDefault="0023176E" w:rsidP="0023176E">
      <w:pPr>
        <w:spacing w:before="0" w:line="276" w:lineRule="auto"/>
        <w:ind w:firstLine="720"/>
        <w:rPr>
          <w:b w:val="0"/>
          <w:bCs/>
          <w:iCs/>
          <w:lang w:val="hy-AM"/>
        </w:rPr>
      </w:pPr>
      <w:r w:rsidRPr="00A83C94">
        <w:rPr>
          <w:szCs w:val="22"/>
          <w:lang w:val="hy-AM"/>
        </w:rPr>
        <w:t xml:space="preserve">Էլեկտրաէներգետիկ համակարգի զարգացման </w:t>
      </w:r>
      <w:r w:rsidRPr="00A83C94">
        <w:rPr>
          <w:b w:val="0"/>
          <w:bCs/>
          <w:iCs/>
          <w:lang w:val="hy-AM"/>
        </w:rPr>
        <w:t>ծրագրի գծով 2022 թվականին նախա</w:t>
      </w:r>
      <w:r w:rsidRPr="00A83C94">
        <w:rPr>
          <w:b w:val="0"/>
          <w:bCs/>
          <w:iCs/>
          <w:lang w:val="hy-AM"/>
        </w:rPr>
        <w:softHyphen/>
        <w:t>տեսվում է հատկացնել 469.2 մլն դրամ:</w:t>
      </w:r>
    </w:p>
    <w:p w14:paraId="4F3618E5" w14:textId="77777777" w:rsidR="0023176E" w:rsidRPr="00A83C94" w:rsidRDefault="0023176E" w:rsidP="0023176E">
      <w:pPr>
        <w:spacing w:before="0" w:line="276" w:lineRule="auto"/>
        <w:ind w:firstLine="720"/>
        <w:rPr>
          <w:b w:val="0"/>
          <w:bCs/>
          <w:iCs/>
          <w:lang w:val="hy-AM"/>
        </w:rPr>
      </w:pPr>
      <w:r w:rsidRPr="00A83C94">
        <w:rPr>
          <w:b w:val="0"/>
          <w:bCs/>
          <w:iCs/>
          <w:lang w:val="hy-AM"/>
        </w:rPr>
        <w:t>Ծրագրի նպատակն է նպաստել էլեկտրաէներգետիկ համակարգի հուսալիության բարձրացմանը և էլեկտրաէներգիայի անխափան մատակարարման ապահովմանը:</w:t>
      </w:r>
    </w:p>
    <w:p w14:paraId="6965F383" w14:textId="77777777" w:rsidR="0023176E" w:rsidRPr="00A83C94" w:rsidRDefault="0023176E" w:rsidP="0023176E">
      <w:pPr>
        <w:spacing w:before="0" w:line="276" w:lineRule="auto"/>
        <w:ind w:firstLine="720"/>
        <w:rPr>
          <w:b w:val="0"/>
          <w:bCs/>
          <w:iCs/>
          <w:szCs w:val="22"/>
          <w:lang w:val="hy-AM"/>
        </w:rPr>
      </w:pPr>
      <w:r w:rsidRPr="00A83C94">
        <w:rPr>
          <w:b w:val="0"/>
          <w:bCs/>
          <w:iCs/>
          <w:lang w:val="hy-AM"/>
        </w:rPr>
        <w:t xml:space="preserve">Դրամաշնորհային ծրագրերի շրջանակներում կիրականացվեն Հայաստան-Վրաստան 400 կՎ լարման էլեկտրահաղորդման օդային գծերի և համապատասխան ենթակայանների կառուցման գլխավոր կապալառուների ընտրության և գլխավոր կապալառուների հետ համապատասխան պայմանագրերի կնքման </w:t>
      </w:r>
      <w:r w:rsidRPr="00A83C94">
        <w:rPr>
          <w:b w:val="0"/>
          <w:bCs/>
          <w:iCs/>
          <w:szCs w:val="22"/>
          <w:lang w:val="hy-AM"/>
        </w:rPr>
        <w:t>աշխատանքները, որը կապված է համանուն վարկային ծրագրի հետ:</w:t>
      </w:r>
    </w:p>
    <w:p w14:paraId="073BDF21" w14:textId="77777777" w:rsidR="0023176E" w:rsidRPr="00A83C94" w:rsidRDefault="0023176E" w:rsidP="0023176E">
      <w:pPr>
        <w:spacing w:line="276" w:lineRule="auto"/>
        <w:rPr>
          <w:b w:val="0"/>
          <w:bCs/>
          <w:iCs/>
          <w:szCs w:val="22"/>
          <w:lang w:val="hy-AM"/>
        </w:rPr>
      </w:pPr>
      <w:r w:rsidRPr="00A83C94">
        <w:rPr>
          <w:b w:val="0"/>
          <w:bCs/>
          <w:iCs/>
          <w:szCs w:val="22"/>
          <w:lang w:val="hy-AM"/>
        </w:rPr>
        <w:t>Արդյունքում՝ հայկական և վրացական էներգահամակարգերի միացման հետևանքով Հայաստան-Վրաստան էլեկտրաէներգիայի փոխանակման հզորությունը ներկայիս 200 մՎտ-ից առաջին փուլում կհասցվի 350 մՎտ-ի, հետագայում՝ ելնելով տարածաշրջանային շուկայի պահանջարկից մինչև 1050 մՎտ-ի:</w:t>
      </w:r>
    </w:p>
    <w:p w14:paraId="1EEBB61A" w14:textId="77777777" w:rsidR="0023176E" w:rsidRPr="00A83C94" w:rsidRDefault="0023176E" w:rsidP="0023176E">
      <w:pPr>
        <w:spacing w:line="276" w:lineRule="auto"/>
        <w:rPr>
          <w:b w:val="0"/>
          <w:szCs w:val="22"/>
          <w:lang w:val="hy-AM"/>
        </w:rPr>
      </w:pPr>
      <w:r w:rsidRPr="00A83C94">
        <w:rPr>
          <w:szCs w:val="22"/>
          <w:lang w:val="hy-AM"/>
        </w:rPr>
        <w:t xml:space="preserve">Ռադիոակտիվ թափոնների կառավարում </w:t>
      </w:r>
      <w:r w:rsidRPr="00A83C94">
        <w:rPr>
          <w:b w:val="0"/>
          <w:szCs w:val="22"/>
          <w:lang w:val="hy-AM"/>
        </w:rPr>
        <w:t>ծրագրի գծով 2022 թվականին նախա</w:t>
      </w:r>
      <w:r w:rsidRPr="00A83C94">
        <w:rPr>
          <w:b w:val="0"/>
          <w:szCs w:val="22"/>
          <w:lang w:val="hy-AM"/>
        </w:rPr>
        <w:softHyphen/>
        <w:t>տեսվում է հատկացնել 37.0 մլն դրամ:</w:t>
      </w:r>
    </w:p>
    <w:p w14:paraId="53B5D75D" w14:textId="77777777" w:rsidR="0023176E" w:rsidRPr="00A83C94" w:rsidRDefault="0023176E" w:rsidP="0023176E">
      <w:pPr>
        <w:spacing w:line="276" w:lineRule="auto"/>
        <w:rPr>
          <w:b w:val="0"/>
          <w:szCs w:val="22"/>
          <w:lang w:val="hy-AM"/>
        </w:rPr>
      </w:pPr>
      <w:r w:rsidRPr="00A83C94">
        <w:rPr>
          <w:b w:val="0"/>
          <w:szCs w:val="22"/>
          <w:lang w:val="hy-AM"/>
        </w:rPr>
        <w:t xml:space="preserve">Ծրագրի նպատակն է միջուկային և ճառագայթային անվտանգության նորմերի ու կանոնների պահպանմամբ ռադիոակտիվ թափոնների կենտրոնացված փոխադրման, ուսումնասիրման, պահպանման, վնասազերծման և թաղման ապահովումը` մարդկանց և շրջակա միջավայրի իոնացնող ճառագայթման վնասակար ազդեցությունից պաշտպանելու համար: Ծրագրի կատարումից ակնկալվում է հայտնաբերված ռադիոակտիվ թափոնների 100% վնասազերծում: Ծրագրի շրջանակներում նախատեսվում է 150 ռադիոակտիվ թափոնների միջուկային և ճառագայթային անվտանգության նորմերի ու կանոնների պահպանմամբ կենտրոնացված փոխադրման, ուսումնասիրման, պահպանման և վնասազերծման աշխատանքներ: </w:t>
      </w:r>
    </w:p>
    <w:p w14:paraId="0213F56A" w14:textId="77777777" w:rsidR="0023176E" w:rsidRPr="00A83C94" w:rsidRDefault="0023176E" w:rsidP="0023176E">
      <w:pPr>
        <w:spacing w:line="276" w:lineRule="auto"/>
        <w:rPr>
          <w:b w:val="0"/>
          <w:szCs w:val="22"/>
          <w:lang w:val="hy-AM"/>
        </w:rPr>
      </w:pPr>
      <w:r w:rsidRPr="00A83C94">
        <w:rPr>
          <w:rFonts w:cs="Sylfaen"/>
          <w:szCs w:val="22"/>
          <w:lang w:val="hy-AM"/>
        </w:rPr>
        <w:t xml:space="preserve">Ավիացիայի բնագավառում վերահսկողության, կանոնակարգման և զարգացման ապահովում </w:t>
      </w:r>
      <w:r w:rsidRPr="00A83C94">
        <w:rPr>
          <w:b w:val="0"/>
          <w:szCs w:val="22"/>
          <w:lang w:val="hy-AM"/>
        </w:rPr>
        <w:t>ծրագրի գծով 2022 թվականին նախա</w:t>
      </w:r>
      <w:r w:rsidRPr="00A83C94">
        <w:rPr>
          <w:b w:val="0"/>
          <w:szCs w:val="22"/>
          <w:lang w:val="hy-AM"/>
        </w:rPr>
        <w:softHyphen/>
        <w:t>տեսվել է 1,042.6 մլն դրամ (որից 1,006.0 մլն դրամը ապարատի պահպանմանն ուղղվող գումարներն են):</w:t>
      </w:r>
    </w:p>
    <w:p w14:paraId="52BA82D4" w14:textId="77777777" w:rsidR="0023176E" w:rsidRPr="00A83C94" w:rsidRDefault="0023176E" w:rsidP="0023176E">
      <w:pPr>
        <w:widowControl w:val="0"/>
        <w:spacing w:line="276" w:lineRule="auto"/>
        <w:rPr>
          <w:b w:val="0"/>
          <w:szCs w:val="22"/>
          <w:lang w:val="hy-AM"/>
        </w:rPr>
      </w:pPr>
      <w:r w:rsidRPr="00A83C94">
        <w:rPr>
          <w:rFonts w:cs="Sylfaen"/>
          <w:b w:val="0"/>
          <w:szCs w:val="22"/>
          <w:lang w:val="hy-AM"/>
        </w:rPr>
        <w:t>Նշված ծրագրի շրջանակներում կ</w:t>
      </w:r>
      <w:r w:rsidRPr="00A83C94">
        <w:rPr>
          <w:b w:val="0"/>
          <w:szCs w:val="22"/>
          <w:lang w:val="hy-AM"/>
        </w:rPr>
        <w:t>վերապատրաստվեն ՀՀ տարածքային կառավարման և ենթակառուցվածքների նախարարության քաղաքացիական ավիացիայի կոմիտեի 59 աշխատակիցներ (</w:t>
      </w:r>
      <w:r w:rsidRPr="00A83C94">
        <w:rPr>
          <w:rFonts w:cs="Sylfaen"/>
          <w:b w:val="0"/>
          <w:szCs w:val="22"/>
          <w:lang w:val="hy-AM"/>
        </w:rPr>
        <w:t xml:space="preserve">36.5 </w:t>
      </w:r>
      <w:r w:rsidRPr="00A83C94">
        <w:rPr>
          <w:b w:val="0"/>
          <w:szCs w:val="22"/>
          <w:lang w:val="hy-AM"/>
        </w:rPr>
        <w:t>մլն դրամ):</w:t>
      </w:r>
    </w:p>
    <w:p w14:paraId="5839D602" w14:textId="2AB63F67" w:rsidR="0023176E" w:rsidRPr="00A83C94" w:rsidRDefault="0023176E" w:rsidP="0023176E">
      <w:pPr>
        <w:widowControl w:val="0"/>
        <w:spacing w:line="276" w:lineRule="auto"/>
        <w:rPr>
          <w:b w:val="0"/>
          <w:szCs w:val="22"/>
          <w:lang w:val="hy-AM"/>
        </w:rPr>
      </w:pPr>
      <w:r w:rsidRPr="00A83C94">
        <w:rPr>
          <w:rFonts w:cs="Sylfaen"/>
          <w:szCs w:val="22"/>
          <w:lang w:val="hy-AM"/>
        </w:rPr>
        <w:t xml:space="preserve">Դպրոցների սեյսմիկ անվտանգության մակարդակի բարձրացման </w:t>
      </w:r>
      <w:r w:rsidRPr="00A83C94">
        <w:rPr>
          <w:b w:val="0"/>
          <w:szCs w:val="22"/>
          <w:lang w:val="hy-AM"/>
        </w:rPr>
        <w:t>ծրագրի գծով 2022 թվական</w:t>
      </w:r>
      <w:r w:rsidR="00F36E04">
        <w:rPr>
          <w:b w:val="0"/>
          <w:szCs w:val="22"/>
          <w:lang w:val="hy-AM"/>
        </w:rPr>
        <w:t>ին նախատեսվել է 6</w:t>
      </w:r>
      <w:r w:rsidRPr="00A83C94">
        <w:rPr>
          <w:b w:val="0"/>
          <w:szCs w:val="22"/>
          <w:lang w:val="hy-AM"/>
        </w:rPr>
        <w:t>,</w:t>
      </w:r>
      <w:r w:rsidR="00F36E04" w:rsidRPr="00087CB3">
        <w:rPr>
          <w:b w:val="0"/>
          <w:szCs w:val="22"/>
          <w:lang w:val="hy-AM"/>
        </w:rPr>
        <w:t>1</w:t>
      </w:r>
      <w:r w:rsidRPr="00A83C94">
        <w:rPr>
          <w:b w:val="0"/>
          <w:szCs w:val="22"/>
          <w:lang w:val="hy-AM"/>
        </w:rPr>
        <w:t>92.7 մլն դրամ:</w:t>
      </w:r>
    </w:p>
    <w:p w14:paraId="3DD3F726" w14:textId="77777777" w:rsidR="0023176E" w:rsidRPr="0089541F" w:rsidRDefault="0023176E" w:rsidP="0023176E">
      <w:pPr>
        <w:spacing w:line="276" w:lineRule="auto"/>
        <w:rPr>
          <w:b w:val="0"/>
          <w:szCs w:val="22"/>
          <w:lang w:val="hy-AM"/>
        </w:rPr>
      </w:pPr>
      <w:r w:rsidRPr="00A83C94">
        <w:rPr>
          <w:b w:val="0"/>
          <w:szCs w:val="22"/>
          <w:lang w:val="hy-AM"/>
        </w:rPr>
        <w:t>Ծրագրի նպատակն է նպաստել երկրի սեյսմակայունության ապահովմանը, անհատական և հասարակական անվտանգության մակարդակի բարձրացմանը, որի գծով արտաքին ա</w:t>
      </w:r>
      <w:r w:rsidRPr="0089541F">
        <w:rPr>
          <w:b w:val="0"/>
          <w:szCs w:val="22"/>
          <w:lang w:val="hy-AM"/>
        </w:rPr>
        <w:t xml:space="preserve">ղբյուրների ֆինանսավորմամբ իրականացվող շարունակական ծրագրերի ներքո նախատեսվում է 26 դպրոցներում շինարարության և վերակառուցման աշխատանքներ,  շահագործման կհանձնվեն 7 դպրոցներ, 3216 աշակերտներ կհաճախեն սեյսմիկ անվտանգության չափանիշներին համապատասխան վերակառուցված կամ  նոր կառուցված դպրոցներ: </w:t>
      </w:r>
    </w:p>
    <w:p w14:paraId="07BD4047" w14:textId="77777777" w:rsidR="0023176E" w:rsidRPr="0089541F" w:rsidRDefault="0023176E" w:rsidP="0023176E">
      <w:pPr>
        <w:spacing w:line="276" w:lineRule="auto"/>
        <w:rPr>
          <w:b w:val="0"/>
          <w:szCs w:val="22"/>
          <w:lang w:val="hy-AM"/>
        </w:rPr>
      </w:pPr>
      <w:r w:rsidRPr="0089541F">
        <w:rPr>
          <w:szCs w:val="22"/>
          <w:lang w:val="hy-AM"/>
        </w:rPr>
        <w:t xml:space="preserve">Տարածքային զարգացում </w:t>
      </w:r>
      <w:r w:rsidRPr="0089541F">
        <w:rPr>
          <w:b w:val="0"/>
          <w:szCs w:val="22"/>
          <w:lang w:val="hy-AM"/>
        </w:rPr>
        <w:t>ծրագրի գծով 2022 թվականին նախա</w:t>
      </w:r>
      <w:r w:rsidRPr="0089541F">
        <w:rPr>
          <w:b w:val="0"/>
          <w:szCs w:val="22"/>
          <w:lang w:val="hy-AM"/>
        </w:rPr>
        <w:softHyphen/>
        <w:t>տեսվում է հատկացնել 83</w:t>
      </w:r>
      <w:r w:rsidRPr="0089541F">
        <w:rPr>
          <w:rFonts w:cs="Sylfaen"/>
          <w:b w:val="0"/>
          <w:szCs w:val="22"/>
          <w:lang w:val="hy-AM"/>
        </w:rPr>
        <w:t xml:space="preserve">.509.2 </w:t>
      </w:r>
      <w:r w:rsidRPr="0089541F">
        <w:rPr>
          <w:b w:val="0"/>
          <w:szCs w:val="22"/>
          <w:lang w:val="hy-AM"/>
        </w:rPr>
        <w:t xml:space="preserve">մլն դրամ: </w:t>
      </w:r>
    </w:p>
    <w:p w14:paraId="0257A49C" w14:textId="3C416C59" w:rsidR="0023176E" w:rsidRPr="0089541F" w:rsidRDefault="0023176E" w:rsidP="0023176E">
      <w:pPr>
        <w:spacing w:line="276" w:lineRule="auto"/>
        <w:rPr>
          <w:b w:val="0"/>
          <w:szCs w:val="22"/>
          <w:lang w:val="hy-AM"/>
        </w:rPr>
      </w:pPr>
      <w:r w:rsidRPr="0089541F">
        <w:rPr>
          <w:b w:val="0"/>
          <w:szCs w:val="22"/>
          <w:lang w:val="hy-AM"/>
        </w:rPr>
        <w:t>Ծրագրի նպատակ</w:t>
      </w:r>
      <w:r w:rsidR="00832A79" w:rsidRPr="0089541F">
        <w:rPr>
          <w:b w:val="0"/>
          <w:szCs w:val="22"/>
          <w:lang w:val="hy-AM"/>
        </w:rPr>
        <w:t>ն է</w:t>
      </w:r>
      <w:r w:rsidRPr="0089541F">
        <w:rPr>
          <w:b w:val="0"/>
          <w:szCs w:val="22"/>
          <w:lang w:val="hy-AM"/>
        </w:rPr>
        <w:t xml:space="preserve"> տարածքային համաչափ զարգացման խթանումը (մասնավորապես ՀՀ համայնքների կառավարման արդյունավետության բարձրացումն ու տնտեսական գործունեության խթանումը (ներառյալ </w:t>
      </w:r>
      <w:r w:rsidRPr="0089541F">
        <w:rPr>
          <w:rFonts w:cs="Sylfaen"/>
          <w:b w:val="0"/>
          <w:szCs w:val="22"/>
          <w:lang w:val="hy-AM"/>
        </w:rPr>
        <w:t>ՀՀ</w:t>
      </w:r>
      <w:r w:rsidRPr="0089541F">
        <w:rPr>
          <w:rFonts w:cs="Sylfaen"/>
          <w:b w:val="0"/>
          <w:szCs w:val="22"/>
          <w:lang w:val="fr-FR"/>
        </w:rPr>
        <w:t xml:space="preserve"> </w:t>
      </w:r>
      <w:r w:rsidRPr="0089541F">
        <w:rPr>
          <w:rFonts w:cs="Sylfaen"/>
          <w:b w:val="0"/>
          <w:szCs w:val="22"/>
          <w:lang w:val="hy-AM"/>
        </w:rPr>
        <w:t>Գեղարքունիքի</w:t>
      </w:r>
      <w:r w:rsidRPr="0089541F">
        <w:rPr>
          <w:rFonts w:cs="Sylfaen"/>
          <w:b w:val="0"/>
          <w:szCs w:val="22"/>
          <w:lang w:val="fr-FR"/>
        </w:rPr>
        <w:t xml:space="preserve"> </w:t>
      </w:r>
      <w:r w:rsidRPr="0089541F">
        <w:rPr>
          <w:rFonts w:cs="Sylfaen"/>
          <w:b w:val="0"/>
          <w:szCs w:val="22"/>
          <w:lang w:val="hy-AM"/>
        </w:rPr>
        <w:t>մարզի</w:t>
      </w:r>
      <w:r w:rsidRPr="0089541F">
        <w:rPr>
          <w:rFonts w:cs="Sylfaen"/>
          <w:b w:val="0"/>
          <w:szCs w:val="22"/>
          <w:lang w:val="fr-FR"/>
        </w:rPr>
        <w:t xml:space="preserve"> </w:t>
      </w:r>
      <w:r w:rsidRPr="0089541F">
        <w:rPr>
          <w:rFonts w:cs="Sylfaen"/>
          <w:b w:val="0"/>
          <w:szCs w:val="22"/>
          <w:lang w:val="hy-AM"/>
        </w:rPr>
        <w:t>Արծվաշեն</w:t>
      </w:r>
      <w:r w:rsidRPr="0089541F">
        <w:rPr>
          <w:rFonts w:cs="Sylfaen"/>
          <w:b w:val="0"/>
          <w:szCs w:val="22"/>
          <w:lang w:val="fr-FR"/>
        </w:rPr>
        <w:t xml:space="preserve"> </w:t>
      </w:r>
      <w:r w:rsidRPr="0089541F">
        <w:rPr>
          <w:rFonts w:cs="Sylfaen"/>
          <w:b w:val="0"/>
          <w:szCs w:val="22"/>
          <w:lang w:val="hy-AM"/>
        </w:rPr>
        <w:t>բնակավայրի), սահմանամերձ համայնքների սոցիալական</w:t>
      </w:r>
      <w:r w:rsidRPr="0089541F">
        <w:rPr>
          <w:rFonts w:cs="Sylfaen"/>
          <w:b w:val="0"/>
          <w:szCs w:val="22"/>
          <w:lang w:val="fr-FR"/>
        </w:rPr>
        <w:t xml:space="preserve"> </w:t>
      </w:r>
      <w:r w:rsidRPr="0089541F">
        <w:rPr>
          <w:rFonts w:cs="Sylfaen"/>
          <w:b w:val="0"/>
          <w:szCs w:val="22"/>
          <w:lang w:val="hy-AM"/>
        </w:rPr>
        <w:t>աջակցությունը և ՀՀ կառավարության կողմից համաֆինանսավորման սկզբունքով համայնքներում սուբվենցիոն ծրագրերի իրականացումը</w:t>
      </w:r>
      <w:r w:rsidR="006E0113" w:rsidRPr="006E0113">
        <w:rPr>
          <w:rFonts w:cs="Sylfaen"/>
          <w:b w:val="0"/>
          <w:szCs w:val="22"/>
          <w:lang w:val="hy-AM"/>
        </w:rPr>
        <w:t>, ինչպես նաև համայնքներին ֆինանսական համահարթեցման դոտացիաների տրամադրումը</w:t>
      </w:r>
      <w:r w:rsidRPr="0089541F">
        <w:rPr>
          <w:rFonts w:cs="Sylfaen"/>
          <w:b w:val="0"/>
          <w:szCs w:val="22"/>
          <w:lang w:val="hy-AM"/>
        </w:rPr>
        <w:t>:</w:t>
      </w:r>
    </w:p>
    <w:p w14:paraId="7752ACB7" w14:textId="10DB262A" w:rsidR="0023176E" w:rsidRPr="0089541F" w:rsidRDefault="0023176E" w:rsidP="0023176E">
      <w:pPr>
        <w:widowControl w:val="0"/>
        <w:spacing w:line="276" w:lineRule="auto"/>
        <w:rPr>
          <w:rFonts w:cs="Sylfaen"/>
          <w:b w:val="0"/>
          <w:szCs w:val="22"/>
          <w:lang w:val="fr-FR"/>
        </w:rPr>
      </w:pPr>
      <w:r w:rsidRPr="0089541F">
        <w:rPr>
          <w:b w:val="0"/>
          <w:szCs w:val="22"/>
          <w:lang w:val="hy-AM"/>
        </w:rPr>
        <w:t xml:space="preserve">Նշված ծրագրերի շրջանակներում նախատեսվում է </w:t>
      </w:r>
      <w:r w:rsidRPr="0089541F">
        <w:rPr>
          <w:rFonts w:cs="Sylfaen"/>
          <w:b w:val="0"/>
          <w:szCs w:val="22"/>
          <w:lang w:val="hy-AM"/>
        </w:rPr>
        <w:t>փոխհատուցել սոցիալական</w:t>
      </w:r>
      <w:r w:rsidRPr="0089541F">
        <w:rPr>
          <w:rFonts w:cs="Sylfaen"/>
          <w:b w:val="0"/>
          <w:szCs w:val="22"/>
          <w:lang w:val="fr-FR"/>
        </w:rPr>
        <w:t xml:space="preserve"> </w:t>
      </w:r>
      <w:r w:rsidRPr="0089541F">
        <w:rPr>
          <w:rFonts w:cs="Sylfaen"/>
          <w:b w:val="0"/>
          <w:szCs w:val="22"/>
          <w:lang w:val="hy-AM"/>
        </w:rPr>
        <w:t>աջակցություն</w:t>
      </w:r>
      <w:r w:rsidRPr="0089541F">
        <w:rPr>
          <w:rFonts w:cs="Sylfaen"/>
          <w:b w:val="0"/>
          <w:szCs w:val="22"/>
          <w:lang w:val="fr-FR"/>
        </w:rPr>
        <w:t xml:space="preserve"> </w:t>
      </w:r>
      <w:r w:rsidRPr="0089541F">
        <w:rPr>
          <w:rFonts w:cs="Sylfaen"/>
          <w:b w:val="0"/>
          <w:szCs w:val="22"/>
          <w:lang w:val="hy-AM"/>
        </w:rPr>
        <w:t>ստացող</w:t>
      </w:r>
      <w:r w:rsidRPr="0089541F">
        <w:rPr>
          <w:rFonts w:cs="Sylfaen"/>
          <w:b w:val="0"/>
          <w:szCs w:val="22"/>
          <w:lang w:val="fr-FR"/>
        </w:rPr>
        <w:t xml:space="preserve"> </w:t>
      </w:r>
      <w:r w:rsidRPr="0089541F">
        <w:rPr>
          <w:rFonts w:cs="Sylfaen"/>
          <w:b w:val="0"/>
          <w:szCs w:val="22"/>
          <w:lang w:val="hy-AM"/>
        </w:rPr>
        <w:t>սահմանամերձ</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w:t>
      </w:r>
      <w:r w:rsidR="006E0113" w:rsidRPr="006E0113">
        <w:rPr>
          <w:rFonts w:cs="Sylfaen"/>
          <w:b w:val="0"/>
          <w:szCs w:val="22"/>
          <w:lang w:val="hy-AM"/>
        </w:rPr>
        <w:t>23</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8</w:t>
      </w:r>
      <w:r w:rsidR="006E0113" w:rsidRPr="006E0113">
        <w:rPr>
          <w:rFonts w:cs="Sylfaen"/>
          <w:b w:val="0"/>
          <w:szCs w:val="22"/>
          <w:lang w:val="hy-AM"/>
        </w:rPr>
        <w:t>1</w:t>
      </w:r>
      <w:r w:rsidRPr="0089541F">
        <w:rPr>
          <w:rFonts w:cs="Sylfaen"/>
          <w:b w:val="0"/>
          <w:szCs w:val="22"/>
          <w:lang w:val="fr-FR"/>
        </w:rPr>
        <w:t xml:space="preserve"> </w:t>
      </w:r>
      <w:r w:rsidRPr="0089541F">
        <w:rPr>
          <w:rFonts w:cs="Sylfaen"/>
          <w:b w:val="0"/>
          <w:szCs w:val="22"/>
          <w:lang w:val="hy-AM"/>
        </w:rPr>
        <w:t>բնակավայրեր) կողմից</w:t>
      </w:r>
      <w:r w:rsidRPr="0089541F">
        <w:rPr>
          <w:rFonts w:cs="Sylfaen"/>
          <w:b w:val="0"/>
          <w:szCs w:val="22"/>
          <w:lang w:val="fr-FR"/>
        </w:rPr>
        <w:t xml:space="preserve"> </w:t>
      </w:r>
      <w:r w:rsidRPr="0089541F">
        <w:rPr>
          <w:rFonts w:cs="Sylfaen"/>
          <w:b w:val="0"/>
          <w:szCs w:val="22"/>
          <w:lang w:val="hy-AM"/>
        </w:rPr>
        <w:t>ծախսված</w:t>
      </w:r>
      <w:r w:rsidRPr="0089541F">
        <w:rPr>
          <w:rFonts w:cs="Sylfaen"/>
          <w:b w:val="0"/>
          <w:szCs w:val="22"/>
          <w:lang w:val="fr-FR"/>
        </w:rPr>
        <w:t xml:space="preserve"> </w:t>
      </w:r>
      <w:r w:rsidRPr="0089541F">
        <w:rPr>
          <w:rFonts w:cs="Sylfaen"/>
          <w:b w:val="0"/>
          <w:szCs w:val="22"/>
          <w:lang w:val="hy-AM"/>
        </w:rPr>
        <w:t>բնական</w:t>
      </w:r>
      <w:r w:rsidRPr="0089541F">
        <w:rPr>
          <w:rFonts w:cs="Sylfaen"/>
          <w:b w:val="0"/>
          <w:szCs w:val="22"/>
          <w:lang w:val="fr-FR"/>
        </w:rPr>
        <w:t xml:space="preserve"> </w:t>
      </w:r>
      <w:r w:rsidRPr="0089541F">
        <w:rPr>
          <w:rFonts w:cs="Sylfaen"/>
          <w:b w:val="0"/>
          <w:szCs w:val="22"/>
          <w:lang w:val="hy-AM"/>
        </w:rPr>
        <w:t>գազի</w:t>
      </w:r>
      <w:r w:rsidRPr="0089541F">
        <w:rPr>
          <w:rFonts w:cs="Sylfaen"/>
          <w:b w:val="0"/>
          <w:szCs w:val="22"/>
          <w:lang w:val="fr-FR"/>
        </w:rPr>
        <w:t xml:space="preserve">, </w:t>
      </w:r>
      <w:r w:rsidRPr="0089541F">
        <w:rPr>
          <w:rFonts w:cs="Sylfaen"/>
          <w:b w:val="0"/>
          <w:szCs w:val="22"/>
          <w:lang w:val="hy-AM"/>
        </w:rPr>
        <w:t>էլեկտրաէներգիայի</w:t>
      </w:r>
      <w:r w:rsidRPr="0089541F">
        <w:rPr>
          <w:rFonts w:cs="Sylfaen"/>
          <w:b w:val="0"/>
          <w:szCs w:val="22"/>
          <w:lang w:val="fr-FR"/>
        </w:rPr>
        <w:t xml:space="preserve">, </w:t>
      </w:r>
      <w:r w:rsidRPr="0089541F">
        <w:rPr>
          <w:rFonts w:cs="Sylfaen"/>
          <w:b w:val="0"/>
          <w:szCs w:val="22"/>
          <w:lang w:val="hy-AM"/>
        </w:rPr>
        <w:t>ոռոգման</w:t>
      </w:r>
      <w:r w:rsidRPr="0089541F">
        <w:rPr>
          <w:rFonts w:cs="Sylfaen"/>
          <w:b w:val="0"/>
          <w:szCs w:val="22"/>
          <w:lang w:val="fr-FR"/>
        </w:rPr>
        <w:t xml:space="preserve"> </w:t>
      </w:r>
      <w:r w:rsidRPr="0089541F">
        <w:rPr>
          <w:rFonts w:cs="Sylfaen"/>
          <w:b w:val="0"/>
          <w:szCs w:val="22"/>
          <w:lang w:val="hy-AM"/>
        </w:rPr>
        <w:t>ջրի</w:t>
      </w:r>
      <w:r w:rsidRPr="0089541F">
        <w:rPr>
          <w:rFonts w:cs="Sylfaen"/>
          <w:b w:val="0"/>
          <w:szCs w:val="22"/>
          <w:lang w:val="fr-FR"/>
        </w:rPr>
        <w:t xml:space="preserve">, </w:t>
      </w:r>
      <w:r w:rsidRPr="0089541F">
        <w:rPr>
          <w:rFonts w:cs="Sylfaen"/>
          <w:b w:val="0"/>
          <w:szCs w:val="22"/>
          <w:lang w:val="hy-AM"/>
        </w:rPr>
        <w:t>սահմանամերձ</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վարչական</w:t>
      </w:r>
      <w:r w:rsidRPr="0089541F">
        <w:rPr>
          <w:rFonts w:cs="Sylfaen"/>
          <w:b w:val="0"/>
          <w:szCs w:val="22"/>
          <w:lang w:val="fr-FR"/>
        </w:rPr>
        <w:t xml:space="preserve"> </w:t>
      </w:r>
      <w:r w:rsidRPr="0089541F">
        <w:rPr>
          <w:rFonts w:cs="Sylfaen"/>
          <w:b w:val="0"/>
          <w:szCs w:val="22"/>
          <w:lang w:val="hy-AM"/>
        </w:rPr>
        <w:t>տարածքում</w:t>
      </w:r>
      <w:r w:rsidRPr="0089541F">
        <w:rPr>
          <w:rFonts w:cs="Sylfaen"/>
          <w:b w:val="0"/>
          <w:szCs w:val="22"/>
          <w:lang w:val="fr-FR"/>
        </w:rPr>
        <w:t xml:space="preserve"> </w:t>
      </w:r>
      <w:r w:rsidRPr="0089541F">
        <w:rPr>
          <w:rFonts w:cs="Sylfaen"/>
          <w:b w:val="0"/>
          <w:szCs w:val="22"/>
          <w:lang w:val="hy-AM"/>
        </w:rPr>
        <w:t>գտնվող</w:t>
      </w:r>
      <w:r w:rsidRPr="0089541F">
        <w:rPr>
          <w:rFonts w:cs="Sylfaen"/>
          <w:b w:val="0"/>
          <w:szCs w:val="22"/>
          <w:lang w:val="fr-FR"/>
        </w:rPr>
        <w:t xml:space="preserve"> </w:t>
      </w:r>
      <w:r w:rsidRPr="0089541F">
        <w:rPr>
          <w:rFonts w:cs="Sylfaen"/>
          <w:b w:val="0"/>
          <w:szCs w:val="22"/>
          <w:lang w:val="hy-AM"/>
        </w:rPr>
        <w:t>մարտական</w:t>
      </w:r>
      <w:r w:rsidRPr="0089541F">
        <w:rPr>
          <w:rFonts w:cs="Sylfaen"/>
          <w:b w:val="0"/>
          <w:szCs w:val="22"/>
          <w:lang w:val="fr-FR"/>
        </w:rPr>
        <w:t xml:space="preserve"> </w:t>
      </w:r>
      <w:r w:rsidRPr="0089541F">
        <w:rPr>
          <w:rFonts w:cs="Sylfaen"/>
          <w:b w:val="0"/>
          <w:szCs w:val="22"/>
          <w:lang w:val="hy-AM"/>
        </w:rPr>
        <w:t>գործողությունների</w:t>
      </w:r>
      <w:r w:rsidRPr="0089541F">
        <w:rPr>
          <w:rFonts w:cs="Sylfaen"/>
          <w:b w:val="0"/>
          <w:szCs w:val="22"/>
          <w:lang w:val="fr-FR"/>
        </w:rPr>
        <w:t xml:space="preserve"> </w:t>
      </w:r>
      <w:r w:rsidRPr="0089541F">
        <w:rPr>
          <w:rFonts w:cs="Sylfaen"/>
          <w:b w:val="0"/>
          <w:szCs w:val="22"/>
          <w:lang w:val="hy-AM"/>
        </w:rPr>
        <w:t>հետևանքով</w:t>
      </w:r>
      <w:r w:rsidRPr="0089541F">
        <w:rPr>
          <w:rFonts w:cs="Sylfaen"/>
          <w:b w:val="0"/>
          <w:szCs w:val="22"/>
          <w:lang w:val="fr-FR"/>
        </w:rPr>
        <w:t xml:space="preserve"> </w:t>
      </w:r>
      <w:r w:rsidRPr="0089541F">
        <w:rPr>
          <w:rFonts w:cs="Sylfaen"/>
          <w:b w:val="0"/>
          <w:szCs w:val="22"/>
          <w:lang w:val="hy-AM"/>
        </w:rPr>
        <w:t>չօգտագործվող</w:t>
      </w:r>
      <w:r w:rsidRPr="0089541F">
        <w:rPr>
          <w:rFonts w:cs="Sylfaen"/>
          <w:b w:val="0"/>
          <w:szCs w:val="22"/>
          <w:lang w:val="fr-FR"/>
        </w:rPr>
        <w:t xml:space="preserve"> </w:t>
      </w:r>
      <w:r w:rsidRPr="0089541F">
        <w:rPr>
          <w:rFonts w:cs="Sylfaen"/>
          <w:b w:val="0"/>
          <w:szCs w:val="22"/>
          <w:lang w:val="hy-AM"/>
        </w:rPr>
        <w:t>և</w:t>
      </w:r>
      <w:r w:rsidRPr="0089541F">
        <w:rPr>
          <w:rFonts w:cs="Sylfaen"/>
          <w:b w:val="0"/>
          <w:szCs w:val="22"/>
          <w:lang w:val="fr-FR"/>
        </w:rPr>
        <w:t xml:space="preserve"> </w:t>
      </w:r>
      <w:r w:rsidRPr="0089541F">
        <w:rPr>
          <w:rFonts w:cs="Sylfaen"/>
          <w:b w:val="0"/>
          <w:szCs w:val="22"/>
          <w:lang w:val="hy-AM"/>
        </w:rPr>
        <w:t>հակառակորդի</w:t>
      </w:r>
      <w:r w:rsidRPr="0089541F">
        <w:rPr>
          <w:rFonts w:cs="Sylfaen"/>
          <w:b w:val="0"/>
          <w:szCs w:val="22"/>
          <w:lang w:val="fr-FR"/>
        </w:rPr>
        <w:t xml:space="preserve"> </w:t>
      </w:r>
      <w:r w:rsidRPr="0089541F">
        <w:rPr>
          <w:rFonts w:cs="Sylfaen"/>
          <w:b w:val="0"/>
          <w:szCs w:val="22"/>
          <w:lang w:val="hy-AM"/>
        </w:rPr>
        <w:t>կողմից</w:t>
      </w:r>
      <w:r w:rsidRPr="0089541F">
        <w:rPr>
          <w:rFonts w:cs="Sylfaen"/>
          <w:b w:val="0"/>
          <w:szCs w:val="22"/>
          <w:lang w:val="fr-FR"/>
        </w:rPr>
        <w:t xml:space="preserve"> </w:t>
      </w:r>
      <w:r w:rsidRPr="0089541F">
        <w:rPr>
          <w:rFonts w:cs="Sylfaen"/>
          <w:b w:val="0"/>
          <w:szCs w:val="22"/>
          <w:lang w:val="hy-AM"/>
        </w:rPr>
        <w:t>հողատարածքների</w:t>
      </w:r>
      <w:r w:rsidRPr="0089541F">
        <w:rPr>
          <w:rFonts w:cs="Sylfaen"/>
          <w:b w:val="0"/>
          <w:szCs w:val="22"/>
          <w:lang w:val="fr-FR"/>
        </w:rPr>
        <w:t xml:space="preserve"> </w:t>
      </w:r>
      <w:r w:rsidRPr="0089541F">
        <w:rPr>
          <w:rFonts w:cs="Sylfaen"/>
          <w:b w:val="0"/>
          <w:szCs w:val="22"/>
          <w:lang w:val="hy-AM"/>
        </w:rPr>
        <w:t>գնդակոծման</w:t>
      </w:r>
      <w:r w:rsidRPr="0089541F">
        <w:rPr>
          <w:rFonts w:cs="Sylfaen"/>
          <w:b w:val="0"/>
          <w:szCs w:val="22"/>
          <w:lang w:val="fr-FR"/>
        </w:rPr>
        <w:t xml:space="preserve"> </w:t>
      </w:r>
      <w:r w:rsidRPr="0089541F">
        <w:rPr>
          <w:rFonts w:cs="Sylfaen"/>
          <w:b w:val="0"/>
          <w:szCs w:val="22"/>
          <w:lang w:val="hy-AM"/>
        </w:rPr>
        <w:t>դեպքեր</w:t>
      </w:r>
      <w:r w:rsidRPr="0089541F">
        <w:rPr>
          <w:rFonts w:cs="Sylfaen"/>
          <w:b w:val="0"/>
          <w:szCs w:val="22"/>
          <w:lang w:val="fr-FR"/>
        </w:rPr>
        <w:t xml:space="preserve"> </w:t>
      </w:r>
      <w:r w:rsidRPr="0089541F">
        <w:rPr>
          <w:rFonts w:cs="Sylfaen"/>
          <w:b w:val="0"/>
          <w:szCs w:val="22"/>
          <w:lang w:val="hy-AM"/>
        </w:rPr>
        <w:t>ունեցող</w:t>
      </w:r>
      <w:r w:rsidRPr="0089541F">
        <w:rPr>
          <w:rFonts w:cs="Sylfaen"/>
          <w:b w:val="0"/>
          <w:szCs w:val="22"/>
          <w:lang w:val="fr-FR"/>
        </w:rPr>
        <w:t xml:space="preserve"> </w:t>
      </w:r>
      <w:r w:rsidRPr="0089541F">
        <w:rPr>
          <w:rFonts w:cs="Sylfaen"/>
          <w:b w:val="0"/>
          <w:szCs w:val="22"/>
          <w:lang w:val="hy-AM"/>
        </w:rPr>
        <w:t>գյուղատնտեսական</w:t>
      </w:r>
      <w:r w:rsidRPr="0089541F">
        <w:rPr>
          <w:rFonts w:cs="Sylfaen"/>
          <w:b w:val="0"/>
          <w:szCs w:val="22"/>
          <w:lang w:val="fr-FR"/>
        </w:rPr>
        <w:t xml:space="preserve"> </w:t>
      </w:r>
      <w:r w:rsidRPr="0089541F">
        <w:rPr>
          <w:rFonts w:cs="Sylfaen"/>
          <w:b w:val="0"/>
          <w:szCs w:val="22"/>
          <w:lang w:val="hy-AM"/>
        </w:rPr>
        <w:t>նշանակության</w:t>
      </w:r>
      <w:r w:rsidRPr="0089541F">
        <w:rPr>
          <w:rFonts w:cs="Sylfaen"/>
          <w:b w:val="0"/>
          <w:szCs w:val="22"/>
          <w:lang w:val="fr-FR"/>
        </w:rPr>
        <w:t xml:space="preserve"> </w:t>
      </w:r>
      <w:r w:rsidRPr="0089541F">
        <w:rPr>
          <w:rFonts w:cs="Sylfaen"/>
          <w:b w:val="0"/>
          <w:szCs w:val="22"/>
          <w:lang w:val="hy-AM"/>
        </w:rPr>
        <w:t>և</w:t>
      </w:r>
      <w:r w:rsidRPr="0089541F">
        <w:rPr>
          <w:rFonts w:cs="Sylfaen"/>
          <w:b w:val="0"/>
          <w:szCs w:val="22"/>
          <w:lang w:val="fr-FR"/>
        </w:rPr>
        <w:t xml:space="preserve"> </w:t>
      </w:r>
      <w:r w:rsidRPr="0089541F">
        <w:rPr>
          <w:rFonts w:cs="Sylfaen"/>
          <w:b w:val="0"/>
          <w:szCs w:val="22"/>
          <w:lang w:val="hy-AM"/>
        </w:rPr>
        <w:t>բնակավայրերի</w:t>
      </w:r>
      <w:r w:rsidRPr="0089541F">
        <w:rPr>
          <w:rFonts w:cs="Sylfaen"/>
          <w:b w:val="0"/>
          <w:szCs w:val="22"/>
          <w:lang w:val="fr-FR"/>
        </w:rPr>
        <w:t xml:space="preserve"> </w:t>
      </w:r>
      <w:r w:rsidRPr="0089541F">
        <w:rPr>
          <w:rFonts w:cs="Sylfaen"/>
          <w:b w:val="0"/>
          <w:szCs w:val="22"/>
          <w:lang w:val="hy-AM"/>
        </w:rPr>
        <w:t>բնակելի</w:t>
      </w:r>
      <w:r w:rsidRPr="0089541F">
        <w:rPr>
          <w:rFonts w:cs="Sylfaen"/>
          <w:b w:val="0"/>
          <w:szCs w:val="22"/>
          <w:lang w:val="fr-FR"/>
        </w:rPr>
        <w:t xml:space="preserve"> </w:t>
      </w:r>
      <w:r w:rsidRPr="0089541F">
        <w:rPr>
          <w:rFonts w:cs="Sylfaen"/>
          <w:b w:val="0"/>
          <w:szCs w:val="22"/>
          <w:lang w:val="hy-AM"/>
        </w:rPr>
        <w:t>կառուցապատման</w:t>
      </w:r>
      <w:r w:rsidRPr="0089541F">
        <w:rPr>
          <w:rFonts w:cs="Sylfaen"/>
          <w:b w:val="0"/>
          <w:szCs w:val="22"/>
          <w:lang w:val="fr-FR"/>
        </w:rPr>
        <w:t xml:space="preserve"> </w:t>
      </w:r>
      <w:r w:rsidRPr="0089541F">
        <w:rPr>
          <w:rFonts w:cs="Sylfaen"/>
          <w:b w:val="0"/>
          <w:szCs w:val="22"/>
          <w:lang w:val="hy-AM"/>
        </w:rPr>
        <w:t>հողատարածքների</w:t>
      </w:r>
      <w:r w:rsidRPr="0089541F">
        <w:rPr>
          <w:rFonts w:cs="Sylfaen"/>
          <w:b w:val="0"/>
          <w:szCs w:val="22"/>
          <w:lang w:val="fr-FR"/>
        </w:rPr>
        <w:t xml:space="preserve"> </w:t>
      </w:r>
      <w:r w:rsidRPr="0089541F">
        <w:rPr>
          <w:rFonts w:cs="Sylfaen"/>
          <w:b w:val="0"/>
          <w:szCs w:val="22"/>
          <w:lang w:val="hy-AM"/>
        </w:rPr>
        <w:t>և</w:t>
      </w:r>
      <w:r w:rsidRPr="0089541F">
        <w:rPr>
          <w:rFonts w:cs="Sylfaen"/>
          <w:b w:val="0"/>
          <w:szCs w:val="22"/>
          <w:lang w:val="fr-FR"/>
        </w:rPr>
        <w:t xml:space="preserve"> (</w:t>
      </w:r>
      <w:r w:rsidRPr="0089541F">
        <w:rPr>
          <w:rFonts w:cs="Sylfaen"/>
          <w:b w:val="0"/>
          <w:szCs w:val="22"/>
          <w:lang w:val="hy-AM"/>
        </w:rPr>
        <w:t>կամ</w:t>
      </w:r>
      <w:r w:rsidRPr="0089541F">
        <w:rPr>
          <w:rFonts w:cs="Sylfaen"/>
          <w:b w:val="0"/>
          <w:szCs w:val="22"/>
          <w:lang w:val="fr-FR"/>
        </w:rPr>
        <w:t xml:space="preserve">) </w:t>
      </w:r>
      <w:r w:rsidRPr="0089541F">
        <w:rPr>
          <w:rFonts w:cs="Sylfaen"/>
          <w:b w:val="0"/>
          <w:szCs w:val="22"/>
          <w:lang w:val="hy-AM"/>
        </w:rPr>
        <w:t>դրանց</w:t>
      </w:r>
      <w:r w:rsidRPr="0089541F">
        <w:rPr>
          <w:rFonts w:cs="Sylfaen"/>
          <w:b w:val="0"/>
          <w:szCs w:val="22"/>
          <w:lang w:val="fr-FR"/>
        </w:rPr>
        <w:t xml:space="preserve"> </w:t>
      </w:r>
      <w:r w:rsidRPr="0089541F">
        <w:rPr>
          <w:rFonts w:cs="Sylfaen"/>
          <w:b w:val="0"/>
          <w:szCs w:val="22"/>
          <w:lang w:val="hy-AM"/>
        </w:rPr>
        <w:t>բարելավումների</w:t>
      </w:r>
      <w:r w:rsidRPr="0089541F">
        <w:rPr>
          <w:rFonts w:cs="Sylfaen"/>
          <w:b w:val="0"/>
          <w:szCs w:val="22"/>
          <w:lang w:val="fr-FR"/>
        </w:rPr>
        <w:t xml:space="preserve"> </w:t>
      </w:r>
      <w:r w:rsidRPr="0089541F">
        <w:rPr>
          <w:rFonts w:cs="Sylfaen"/>
          <w:b w:val="0"/>
          <w:szCs w:val="22"/>
          <w:lang w:val="hy-AM"/>
        </w:rPr>
        <w:t>անշարժ</w:t>
      </w:r>
      <w:r w:rsidRPr="0089541F">
        <w:rPr>
          <w:rFonts w:cs="Sylfaen"/>
          <w:b w:val="0"/>
          <w:szCs w:val="22"/>
          <w:lang w:val="fr-FR"/>
        </w:rPr>
        <w:t xml:space="preserve"> </w:t>
      </w:r>
      <w:r w:rsidRPr="0089541F">
        <w:rPr>
          <w:rFonts w:cs="Sylfaen"/>
          <w:b w:val="0"/>
          <w:szCs w:val="22"/>
          <w:lang w:val="hy-AM"/>
        </w:rPr>
        <w:t>գույքի</w:t>
      </w:r>
      <w:r w:rsidRPr="0089541F">
        <w:rPr>
          <w:rFonts w:cs="Sylfaen"/>
          <w:b w:val="0"/>
          <w:szCs w:val="22"/>
          <w:lang w:val="fr-FR"/>
        </w:rPr>
        <w:t xml:space="preserve"> </w:t>
      </w:r>
      <w:r w:rsidRPr="0089541F">
        <w:rPr>
          <w:rFonts w:cs="Sylfaen"/>
          <w:b w:val="0"/>
          <w:szCs w:val="22"/>
          <w:lang w:val="hy-AM"/>
        </w:rPr>
        <w:t>հարկի</w:t>
      </w:r>
      <w:r w:rsidRPr="0089541F">
        <w:rPr>
          <w:rFonts w:cs="Sylfaen"/>
          <w:b w:val="0"/>
          <w:szCs w:val="22"/>
          <w:lang w:val="fr-FR"/>
        </w:rPr>
        <w:t xml:space="preserve"> </w:t>
      </w:r>
      <w:r w:rsidRPr="0089541F">
        <w:rPr>
          <w:rFonts w:cs="Sylfaen"/>
          <w:b w:val="0"/>
          <w:szCs w:val="22"/>
          <w:lang w:val="hy-AM"/>
        </w:rPr>
        <w:t>ծախսերը (Ադրբեջանի</w:t>
      </w:r>
      <w:r w:rsidRPr="0089541F">
        <w:rPr>
          <w:rFonts w:cs="Sylfaen"/>
          <w:b w:val="0"/>
          <w:szCs w:val="22"/>
          <w:lang w:val="fr-FR"/>
        </w:rPr>
        <w:t xml:space="preserve"> </w:t>
      </w:r>
      <w:r w:rsidRPr="0089541F">
        <w:rPr>
          <w:rFonts w:cs="Sylfaen"/>
          <w:b w:val="0"/>
          <w:szCs w:val="22"/>
          <w:lang w:val="hy-AM"/>
        </w:rPr>
        <w:t>կողմից</w:t>
      </w:r>
      <w:r w:rsidRPr="0089541F">
        <w:rPr>
          <w:rFonts w:cs="Sylfaen"/>
          <w:b w:val="0"/>
          <w:szCs w:val="22"/>
          <w:lang w:val="fr-FR"/>
        </w:rPr>
        <w:t xml:space="preserve"> 2020 </w:t>
      </w:r>
      <w:r w:rsidRPr="0089541F">
        <w:rPr>
          <w:rFonts w:cs="Sylfaen"/>
          <w:b w:val="0"/>
          <w:szCs w:val="22"/>
          <w:lang w:val="hy-AM"/>
        </w:rPr>
        <w:t>թվականի</w:t>
      </w:r>
      <w:r w:rsidRPr="0089541F">
        <w:rPr>
          <w:rFonts w:cs="Sylfaen"/>
          <w:b w:val="0"/>
          <w:szCs w:val="22"/>
          <w:lang w:val="fr-FR"/>
        </w:rPr>
        <w:t xml:space="preserve"> </w:t>
      </w:r>
      <w:r w:rsidRPr="0089541F">
        <w:rPr>
          <w:rFonts w:cs="Sylfaen"/>
          <w:b w:val="0"/>
          <w:szCs w:val="22"/>
          <w:lang w:val="hy-AM"/>
        </w:rPr>
        <w:t>սեպտեմբերի</w:t>
      </w:r>
      <w:r w:rsidRPr="0089541F">
        <w:rPr>
          <w:rFonts w:cs="Sylfaen"/>
          <w:b w:val="0"/>
          <w:szCs w:val="22"/>
          <w:lang w:val="fr-FR"/>
        </w:rPr>
        <w:t xml:space="preserve"> 27-</w:t>
      </w:r>
      <w:r w:rsidRPr="0089541F">
        <w:rPr>
          <w:rFonts w:cs="Sylfaen"/>
          <w:b w:val="0"/>
          <w:szCs w:val="22"/>
          <w:lang w:val="hy-AM"/>
        </w:rPr>
        <w:t>ին</w:t>
      </w:r>
      <w:r w:rsidRPr="0089541F">
        <w:rPr>
          <w:rFonts w:cs="Sylfaen"/>
          <w:b w:val="0"/>
          <w:szCs w:val="22"/>
          <w:lang w:val="fr-FR"/>
        </w:rPr>
        <w:t xml:space="preserve"> </w:t>
      </w:r>
      <w:r w:rsidRPr="0089541F">
        <w:rPr>
          <w:rFonts w:cs="Sylfaen"/>
          <w:b w:val="0"/>
          <w:szCs w:val="22"/>
          <w:lang w:val="hy-AM"/>
        </w:rPr>
        <w:t>Արցախի</w:t>
      </w:r>
      <w:r w:rsidRPr="0089541F">
        <w:rPr>
          <w:rFonts w:cs="Sylfaen"/>
          <w:b w:val="0"/>
          <w:szCs w:val="22"/>
          <w:lang w:val="fr-FR"/>
        </w:rPr>
        <w:t xml:space="preserve"> </w:t>
      </w:r>
      <w:r w:rsidRPr="0089541F">
        <w:rPr>
          <w:rFonts w:cs="Sylfaen"/>
          <w:b w:val="0"/>
          <w:szCs w:val="22"/>
          <w:lang w:val="hy-AM"/>
        </w:rPr>
        <w:t>Հանրապետության</w:t>
      </w:r>
      <w:r w:rsidRPr="0089541F">
        <w:rPr>
          <w:rFonts w:cs="Sylfaen"/>
          <w:b w:val="0"/>
          <w:szCs w:val="22"/>
          <w:lang w:val="fr-FR"/>
        </w:rPr>
        <w:t xml:space="preserve"> </w:t>
      </w:r>
      <w:r w:rsidRPr="0089541F">
        <w:rPr>
          <w:rFonts w:cs="Sylfaen"/>
          <w:b w:val="0"/>
          <w:szCs w:val="22"/>
          <w:lang w:val="hy-AM"/>
        </w:rPr>
        <w:t>դեմ</w:t>
      </w:r>
      <w:r w:rsidRPr="0089541F">
        <w:rPr>
          <w:rFonts w:cs="Sylfaen"/>
          <w:b w:val="0"/>
          <w:szCs w:val="22"/>
          <w:lang w:val="fr-FR"/>
        </w:rPr>
        <w:t xml:space="preserve"> </w:t>
      </w:r>
      <w:r w:rsidRPr="0089541F">
        <w:rPr>
          <w:rFonts w:cs="Sylfaen"/>
          <w:b w:val="0"/>
          <w:szCs w:val="22"/>
          <w:lang w:val="hy-AM"/>
        </w:rPr>
        <w:t>սկսված</w:t>
      </w:r>
      <w:r w:rsidRPr="0089541F">
        <w:rPr>
          <w:rFonts w:cs="Sylfaen"/>
          <w:b w:val="0"/>
          <w:szCs w:val="22"/>
          <w:lang w:val="fr-FR"/>
        </w:rPr>
        <w:t xml:space="preserve"> </w:t>
      </w:r>
      <w:r w:rsidRPr="0089541F">
        <w:rPr>
          <w:rFonts w:cs="Sylfaen"/>
          <w:b w:val="0"/>
          <w:szCs w:val="22"/>
          <w:lang w:val="hy-AM"/>
        </w:rPr>
        <w:t>պատերազմական</w:t>
      </w:r>
      <w:r w:rsidRPr="0089541F">
        <w:rPr>
          <w:rFonts w:cs="Sylfaen"/>
          <w:b w:val="0"/>
          <w:szCs w:val="22"/>
          <w:lang w:val="fr-FR"/>
        </w:rPr>
        <w:t xml:space="preserve"> </w:t>
      </w:r>
      <w:r w:rsidRPr="0089541F">
        <w:rPr>
          <w:rFonts w:cs="Sylfaen"/>
          <w:b w:val="0"/>
          <w:szCs w:val="22"/>
          <w:lang w:val="hy-AM"/>
        </w:rPr>
        <w:t>գործողությունների</w:t>
      </w:r>
      <w:r w:rsidRPr="0089541F">
        <w:rPr>
          <w:rFonts w:cs="Sylfaen"/>
          <w:b w:val="0"/>
          <w:szCs w:val="22"/>
          <w:lang w:val="fr-FR"/>
        </w:rPr>
        <w:t xml:space="preserve"> </w:t>
      </w:r>
      <w:r w:rsidRPr="0089541F">
        <w:rPr>
          <w:rFonts w:cs="Sylfaen"/>
          <w:b w:val="0"/>
          <w:szCs w:val="22"/>
          <w:lang w:val="hy-AM"/>
        </w:rPr>
        <w:t>հետևանքով</w:t>
      </w:r>
      <w:r w:rsidRPr="0089541F">
        <w:rPr>
          <w:rFonts w:cs="Sylfaen"/>
          <w:b w:val="0"/>
          <w:szCs w:val="22"/>
          <w:lang w:val="fr-FR"/>
        </w:rPr>
        <w:t xml:space="preserve"> </w:t>
      </w:r>
      <w:r w:rsidRPr="0089541F">
        <w:rPr>
          <w:rFonts w:cs="Sylfaen"/>
          <w:b w:val="0"/>
          <w:szCs w:val="22"/>
          <w:lang w:val="hy-AM"/>
        </w:rPr>
        <w:t>սահմանամերձ</w:t>
      </w:r>
      <w:r w:rsidRPr="0089541F">
        <w:rPr>
          <w:rFonts w:cs="Sylfaen"/>
          <w:b w:val="0"/>
          <w:szCs w:val="22"/>
          <w:lang w:val="fr-FR"/>
        </w:rPr>
        <w:t xml:space="preserve"> </w:t>
      </w:r>
      <w:r w:rsidRPr="0089541F">
        <w:rPr>
          <w:rFonts w:cs="Sylfaen"/>
          <w:b w:val="0"/>
          <w:szCs w:val="22"/>
          <w:lang w:val="hy-AM"/>
        </w:rPr>
        <w:t>են դարձել ևս 7</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4</w:t>
      </w:r>
      <w:r w:rsidRPr="0089541F">
        <w:rPr>
          <w:rFonts w:cs="Sylfaen"/>
          <w:b w:val="0"/>
          <w:szCs w:val="22"/>
          <w:lang w:val="fr-FR"/>
        </w:rPr>
        <w:t xml:space="preserve">3 </w:t>
      </w:r>
      <w:r w:rsidRPr="0089541F">
        <w:rPr>
          <w:rFonts w:cs="Sylfaen"/>
          <w:b w:val="0"/>
          <w:szCs w:val="22"/>
          <w:lang w:val="hy-AM"/>
        </w:rPr>
        <w:t>բնակավայրեր</w:t>
      </w:r>
      <w:r w:rsidRPr="0089541F">
        <w:rPr>
          <w:rFonts w:cs="Sylfaen"/>
          <w:b w:val="0"/>
          <w:szCs w:val="22"/>
          <w:lang w:val="fr-FR"/>
        </w:rPr>
        <w:t>):</w:t>
      </w:r>
      <w:r w:rsidRPr="0089541F">
        <w:rPr>
          <w:rFonts w:cs="Sylfaen"/>
          <w:b w:val="0"/>
          <w:szCs w:val="22"/>
          <w:lang w:val="hy-AM"/>
        </w:rPr>
        <w:t xml:space="preserve"> Կիրականացվեն նաև շուրջ</w:t>
      </w:r>
      <w:r w:rsidRPr="0089541F">
        <w:rPr>
          <w:rFonts w:cs="Sylfaen"/>
          <w:b w:val="0"/>
          <w:szCs w:val="22"/>
          <w:lang w:val="fr-FR"/>
        </w:rPr>
        <w:t xml:space="preserve"> 750 </w:t>
      </w:r>
      <w:r w:rsidRPr="0089541F">
        <w:rPr>
          <w:rFonts w:cs="Sylfaen"/>
          <w:b w:val="0"/>
          <w:szCs w:val="22"/>
          <w:lang w:val="hy-AM"/>
        </w:rPr>
        <w:t>սուբվենցիոն</w:t>
      </w:r>
      <w:r w:rsidRPr="0089541F">
        <w:rPr>
          <w:rFonts w:cs="Sylfaen"/>
          <w:b w:val="0"/>
          <w:szCs w:val="22"/>
          <w:lang w:val="fr-FR"/>
        </w:rPr>
        <w:t xml:space="preserve"> </w:t>
      </w:r>
      <w:r w:rsidRPr="0089541F">
        <w:rPr>
          <w:rFonts w:cs="Sylfaen"/>
          <w:b w:val="0"/>
          <w:szCs w:val="22"/>
          <w:lang w:val="hy-AM"/>
        </w:rPr>
        <w:t>ծրագիր՝</w:t>
      </w:r>
      <w:r w:rsidRPr="0089541F">
        <w:rPr>
          <w:rFonts w:cs="Sylfaen"/>
          <w:b w:val="0"/>
          <w:szCs w:val="22"/>
          <w:lang w:val="fr-FR"/>
        </w:rPr>
        <w:t xml:space="preserve"> </w:t>
      </w:r>
      <w:r w:rsidRPr="0089541F">
        <w:rPr>
          <w:rFonts w:cs="Sylfaen"/>
          <w:b w:val="0"/>
          <w:szCs w:val="22"/>
          <w:lang w:val="hy-AM"/>
        </w:rPr>
        <w:t>ՀՀ</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գծով։</w:t>
      </w:r>
      <w:r w:rsidRPr="0089541F">
        <w:rPr>
          <w:rFonts w:cs="Sylfaen"/>
          <w:b w:val="0"/>
          <w:szCs w:val="22"/>
          <w:lang w:val="fr-FR"/>
        </w:rPr>
        <w:t xml:space="preserve"> </w:t>
      </w:r>
    </w:p>
    <w:p w14:paraId="5CFBC00A" w14:textId="3A1036FB" w:rsidR="00C20A3E" w:rsidRPr="00A83C94" w:rsidRDefault="0084619E" w:rsidP="0023176E">
      <w:pPr>
        <w:spacing w:line="276" w:lineRule="auto"/>
        <w:rPr>
          <w:b w:val="0"/>
          <w:szCs w:val="22"/>
          <w:lang w:val="hy-AM"/>
        </w:rPr>
      </w:pPr>
      <w:r w:rsidRPr="006E0113">
        <w:rPr>
          <w:b w:val="0"/>
          <w:szCs w:val="22"/>
          <w:lang w:val="hy-AM"/>
        </w:rPr>
        <w:t>Հ</w:t>
      </w:r>
      <w:r w:rsidR="0023176E" w:rsidRPr="0089541F">
        <w:rPr>
          <w:b w:val="0"/>
          <w:szCs w:val="22"/>
          <w:lang w:val="hy-AM"/>
        </w:rPr>
        <w:t>ամայնքների ներդաշնակ</w:t>
      </w:r>
      <w:r w:rsidR="0023176E" w:rsidRPr="00A83C94">
        <w:rPr>
          <w:b w:val="0"/>
          <w:szCs w:val="22"/>
          <w:lang w:val="hy-AM"/>
        </w:rPr>
        <w:t xml:space="preserve"> զարգացումն ապահովելու նպատակով </w:t>
      </w:r>
      <w:r w:rsidR="006E0113" w:rsidRPr="006E0113">
        <w:rPr>
          <w:b w:val="0"/>
          <w:szCs w:val="22"/>
          <w:lang w:val="hy-AM"/>
        </w:rPr>
        <w:t xml:space="preserve">Տարածքային զարգացում </w:t>
      </w:r>
      <w:r w:rsidR="006E0113" w:rsidRPr="0089541F">
        <w:rPr>
          <w:b w:val="0"/>
          <w:szCs w:val="22"/>
          <w:lang w:val="hy-AM"/>
        </w:rPr>
        <w:t>ծրագրի</w:t>
      </w:r>
      <w:r w:rsidRPr="00A83C94">
        <w:rPr>
          <w:b w:val="0"/>
          <w:szCs w:val="22"/>
          <w:lang w:val="hy-AM"/>
        </w:rPr>
        <w:t xml:space="preserve"> շրջանակում </w:t>
      </w:r>
      <w:r w:rsidR="0023176E" w:rsidRPr="00A83C94">
        <w:rPr>
          <w:b w:val="0"/>
          <w:szCs w:val="22"/>
          <w:lang w:val="hy-AM"/>
        </w:rPr>
        <w:t>նախատեսվում են</w:t>
      </w:r>
      <w:r w:rsidR="006E0113" w:rsidRPr="006E0113">
        <w:rPr>
          <w:b w:val="0"/>
          <w:szCs w:val="22"/>
          <w:lang w:val="fr-FR"/>
        </w:rPr>
        <w:t xml:space="preserve"> </w:t>
      </w:r>
      <w:r w:rsidR="0023176E" w:rsidRPr="00A83C94">
        <w:rPr>
          <w:b w:val="0"/>
          <w:szCs w:val="22"/>
          <w:lang w:val="hy-AM"/>
        </w:rPr>
        <w:t xml:space="preserve">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 </w:t>
      </w:r>
    </w:p>
    <w:p w14:paraId="39B8E397" w14:textId="04544918" w:rsidR="0023176E" w:rsidRPr="00A83C94" w:rsidRDefault="0084619E" w:rsidP="0023176E">
      <w:pPr>
        <w:spacing w:line="276" w:lineRule="auto"/>
        <w:rPr>
          <w:b w:val="0"/>
          <w:szCs w:val="22"/>
          <w:lang w:val="fr-FR"/>
        </w:rPr>
      </w:pPr>
      <w:r w:rsidRPr="00A83C94">
        <w:rPr>
          <w:b w:val="0"/>
          <w:szCs w:val="22"/>
          <w:lang w:val="hy-AM"/>
        </w:rPr>
        <w:t>Հիմք ընդունելով «Տեղական ինքնակառավարման մասին» և «Հա</w:t>
      </w:r>
      <w:r w:rsidRPr="00A83C94">
        <w:rPr>
          <w:b w:val="0"/>
          <w:szCs w:val="22"/>
          <w:lang w:val="hy-AM"/>
        </w:rPr>
        <w:softHyphen/>
        <w:t>յաս</w:t>
      </w:r>
      <w:r w:rsidRPr="00A83C94">
        <w:rPr>
          <w:b w:val="0"/>
          <w:szCs w:val="22"/>
          <w:lang w:val="hy-AM"/>
        </w:rPr>
        <w:softHyphen/>
        <w:t>տա</w:t>
      </w:r>
      <w:r w:rsidRPr="00A83C94">
        <w:rPr>
          <w:b w:val="0"/>
          <w:szCs w:val="22"/>
          <w:lang w:val="hy-AM"/>
        </w:rPr>
        <w:softHyphen/>
        <w:t xml:space="preserve">նի Հանրապետության բյուջետային համակարգի մասին» օրենքներով սահմանված համապատասխան դրույթները՝ </w:t>
      </w:r>
      <w:r w:rsidR="0023176E" w:rsidRPr="00A83C94">
        <w:rPr>
          <w:b w:val="0"/>
          <w:szCs w:val="22"/>
          <w:lang w:val="hy-AM"/>
        </w:rPr>
        <w:t>2022 թվականին հա</w:t>
      </w:r>
      <w:r w:rsidR="0023176E" w:rsidRPr="00A83C94">
        <w:rPr>
          <w:b w:val="0"/>
          <w:szCs w:val="22"/>
          <w:lang w:val="hy-AM"/>
        </w:rPr>
        <w:softHyphen/>
        <w:t>մայնք</w:t>
      </w:r>
      <w:r w:rsidR="0023176E" w:rsidRPr="00A83C94">
        <w:rPr>
          <w:b w:val="0"/>
          <w:szCs w:val="22"/>
          <w:lang w:val="hy-AM"/>
        </w:rPr>
        <w:softHyphen/>
        <w:t>նե</w:t>
      </w:r>
      <w:r w:rsidR="0023176E" w:rsidRPr="00A83C94">
        <w:rPr>
          <w:b w:val="0"/>
          <w:szCs w:val="22"/>
          <w:lang w:val="hy-AM"/>
        </w:rPr>
        <w:softHyphen/>
        <w:t>րին տրա</w:t>
      </w:r>
      <w:r w:rsidR="0023176E" w:rsidRPr="00A83C94">
        <w:rPr>
          <w:b w:val="0"/>
          <w:szCs w:val="22"/>
          <w:lang w:val="hy-AM"/>
        </w:rPr>
        <w:softHyphen/>
      </w:r>
      <w:r w:rsidR="0023176E" w:rsidRPr="00A83C94">
        <w:rPr>
          <w:b w:val="0"/>
          <w:szCs w:val="22"/>
          <w:lang w:val="hy-AM"/>
        </w:rPr>
        <w:softHyphen/>
        <w:t>մադրվող ֆինան</w:t>
      </w:r>
      <w:r w:rsidR="0023176E" w:rsidRPr="00A83C94">
        <w:rPr>
          <w:b w:val="0"/>
          <w:szCs w:val="22"/>
          <w:lang w:val="hy-AM"/>
        </w:rPr>
        <w:softHyphen/>
        <w:t>սական համա</w:t>
      </w:r>
      <w:r w:rsidR="0023176E" w:rsidRPr="00A83C94">
        <w:rPr>
          <w:b w:val="0"/>
          <w:szCs w:val="22"/>
          <w:lang w:val="hy-AM"/>
        </w:rPr>
        <w:softHyphen/>
        <w:t>հարթեցման դոտա</w:t>
      </w:r>
      <w:r w:rsidR="0023176E" w:rsidRPr="00A83C94">
        <w:rPr>
          <w:b w:val="0"/>
          <w:szCs w:val="22"/>
          <w:lang w:val="hy-AM"/>
        </w:rPr>
        <w:softHyphen/>
        <w:t>ցիա</w:t>
      </w:r>
      <w:r w:rsidR="0023176E" w:rsidRPr="00A83C94">
        <w:rPr>
          <w:b w:val="0"/>
          <w:szCs w:val="22"/>
          <w:lang w:val="hy-AM"/>
        </w:rPr>
        <w:softHyphen/>
        <w:t>ների ընդհա</w:t>
      </w:r>
      <w:r w:rsidR="0023176E" w:rsidRPr="00A83C94">
        <w:rPr>
          <w:b w:val="0"/>
          <w:szCs w:val="22"/>
          <w:lang w:val="hy-AM"/>
        </w:rPr>
        <w:softHyphen/>
        <w:t>նուր գումարը (ներ</w:t>
      </w:r>
      <w:r w:rsidR="0023176E" w:rsidRPr="00A83C94">
        <w:rPr>
          <w:b w:val="0"/>
          <w:szCs w:val="22"/>
          <w:lang w:val="hy-AM"/>
        </w:rPr>
        <w:softHyphen/>
        <w:t>առ</w:t>
      </w:r>
      <w:r w:rsidR="0023176E" w:rsidRPr="00A83C94">
        <w:rPr>
          <w:b w:val="0"/>
          <w:szCs w:val="22"/>
          <w:lang w:val="hy-AM"/>
        </w:rPr>
        <w:softHyphen/>
        <w:t>յալ պե</w:t>
      </w:r>
      <w:r w:rsidR="0023176E" w:rsidRPr="00A83C94">
        <w:rPr>
          <w:b w:val="0"/>
          <w:szCs w:val="22"/>
          <w:lang w:val="hy-AM"/>
        </w:rPr>
        <w:softHyphen/>
        <w:t>տու</w:t>
      </w:r>
      <w:r w:rsidR="0023176E" w:rsidRPr="00A83C94">
        <w:rPr>
          <w:b w:val="0"/>
          <w:szCs w:val="22"/>
          <w:lang w:val="hy-AM"/>
        </w:rPr>
        <w:softHyphen/>
        <w:t>թյան կողմից հա</w:t>
      </w:r>
      <w:r w:rsidR="0023176E" w:rsidRPr="00A83C94">
        <w:rPr>
          <w:b w:val="0"/>
          <w:szCs w:val="22"/>
          <w:lang w:val="hy-AM"/>
        </w:rPr>
        <w:softHyphen/>
      </w:r>
      <w:r w:rsidR="0023176E" w:rsidRPr="00A83C94">
        <w:rPr>
          <w:b w:val="0"/>
          <w:szCs w:val="22"/>
          <w:lang w:val="hy-AM"/>
        </w:rPr>
        <w:softHyphen/>
        <w:t>մայնք</w:t>
      </w:r>
      <w:r w:rsidR="0023176E" w:rsidRPr="00A83C94">
        <w:rPr>
          <w:b w:val="0"/>
          <w:szCs w:val="22"/>
          <w:lang w:val="hy-AM"/>
        </w:rPr>
        <w:softHyphen/>
        <w:t>ներին տվյալ տարում տրվող փոխհա</w:t>
      </w:r>
      <w:r w:rsidR="0023176E" w:rsidRPr="00A83C94">
        <w:rPr>
          <w:b w:val="0"/>
          <w:szCs w:val="22"/>
          <w:lang w:val="hy-AM"/>
        </w:rPr>
        <w:softHyphen/>
        <w:t>տուց</w:t>
      </w:r>
      <w:r w:rsidR="0023176E" w:rsidRPr="00A83C94">
        <w:rPr>
          <w:b w:val="0"/>
          <w:szCs w:val="22"/>
          <w:lang w:val="hy-AM"/>
        </w:rPr>
        <w:softHyphen/>
        <w:t>ման գումարները) չպետք է պա</w:t>
      </w:r>
      <w:r w:rsidR="0023176E" w:rsidRPr="00A83C94">
        <w:rPr>
          <w:b w:val="0"/>
          <w:szCs w:val="22"/>
          <w:lang w:val="hy-AM"/>
        </w:rPr>
        <w:softHyphen/>
        <w:t>կաս լինի ՀՀ 2020 թվա</w:t>
      </w:r>
      <w:r w:rsidR="0023176E" w:rsidRPr="00A83C94">
        <w:rPr>
          <w:b w:val="0"/>
          <w:szCs w:val="22"/>
          <w:lang w:val="hy-AM"/>
        </w:rPr>
        <w:softHyphen/>
        <w:t>կանի հա</w:t>
      </w:r>
      <w:r w:rsidR="0023176E" w:rsidRPr="00A83C94">
        <w:rPr>
          <w:b w:val="0"/>
          <w:szCs w:val="22"/>
          <w:lang w:val="hy-AM"/>
        </w:rPr>
        <w:softHyphen/>
        <w:t>մախմբված բյուջեի փաս</w:t>
      </w:r>
      <w:r w:rsidR="0023176E" w:rsidRPr="00A83C94">
        <w:rPr>
          <w:b w:val="0"/>
          <w:szCs w:val="22"/>
          <w:lang w:val="hy-AM"/>
        </w:rPr>
        <w:softHyphen/>
        <w:t>տա</w:t>
      </w:r>
      <w:r w:rsidR="0023176E" w:rsidRPr="00A83C94">
        <w:rPr>
          <w:b w:val="0"/>
          <w:szCs w:val="22"/>
          <w:lang w:val="hy-AM"/>
        </w:rPr>
        <w:softHyphen/>
        <w:t>ցի եկամուտների ընդ</w:t>
      </w:r>
      <w:r w:rsidR="0023176E" w:rsidRPr="00A83C94">
        <w:rPr>
          <w:b w:val="0"/>
          <w:szCs w:val="22"/>
          <w:lang w:val="hy-AM"/>
        </w:rPr>
        <w:softHyphen/>
        <w:t>հանուր գու</w:t>
      </w:r>
      <w:r w:rsidR="0023176E" w:rsidRPr="00A83C94">
        <w:rPr>
          <w:b w:val="0"/>
          <w:szCs w:val="22"/>
          <w:lang w:val="hy-AM"/>
        </w:rPr>
        <w:softHyphen/>
        <w:t>մարի` 1,608.7 մլրդ դրամի 4%-ը կազ</w:t>
      </w:r>
      <w:r w:rsidR="0023176E" w:rsidRPr="00A83C94">
        <w:rPr>
          <w:b w:val="0"/>
          <w:szCs w:val="22"/>
          <w:lang w:val="hy-AM"/>
        </w:rPr>
        <w:softHyphen/>
        <w:t>մող 64,349.1 մլն դրամից: ՀՀ 2022 թվականի պետական բյուջեի նախագծով նախատեսվում է ֆինանսական համա</w:t>
      </w:r>
      <w:r w:rsidR="0023176E" w:rsidRPr="00A83C94">
        <w:rPr>
          <w:b w:val="0"/>
          <w:szCs w:val="22"/>
          <w:lang w:val="hy-AM"/>
        </w:rPr>
        <w:softHyphen/>
        <w:t>հար</w:t>
      </w:r>
      <w:r w:rsidR="0023176E" w:rsidRPr="00A83C94">
        <w:rPr>
          <w:b w:val="0"/>
          <w:szCs w:val="22"/>
          <w:lang w:val="hy-AM"/>
        </w:rPr>
        <w:softHyphen/>
        <w:t>թեց</w:t>
      </w:r>
      <w:r w:rsidR="0023176E" w:rsidRPr="00A83C94">
        <w:rPr>
          <w:b w:val="0"/>
          <w:szCs w:val="22"/>
          <w:lang w:val="hy-AM"/>
        </w:rPr>
        <w:softHyphen/>
        <w:t>ման սկզբունքով ՀՀ համայնքներին (502 համայնքներին) տրամադրել ընդհանուր գումարով 64,349.1 մլն դրա</w:t>
      </w:r>
      <w:r w:rsidR="0023176E" w:rsidRPr="00A83C94">
        <w:rPr>
          <w:b w:val="0"/>
          <w:szCs w:val="22"/>
          <w:lang w:val="hy-AM"/>
        </w:rPr>
        <w:softHyphen/>
      </w:r>
      <w:r w:rsidR="0023176E" w:rsidRPr="00A83C94">
        <w:rPr>
          <w:b w:val="0"/>
          <w:szCs w:val="22"/>
          <w:lang w:val="hy-AM"/>
        </w:rPr>
        <w:softHyphen/>
        <w:t>մի դո</w:t>
      </w:r>
      <w:r w:rsidR="0023176E" w:rsidRPr="00A83C94">
        <w:rPr>
          <w:b w:val="0"/>
          <w:szCs w:val="22"/>
          <w:lang w:val="hy-AM"/>
        </w:rPr>
        <w:softHyphen/>
        <w:t>տա</w:t>
      </w:r>
      <w:r w:rsidR="0023176E" w:rsidRPr="00A83C94">
        <w:rPr>
          <w:b w:val="0"/>
          <w:szCs w:val="22"/>
          <w:lang w:val="hy-AM"/>
        </w:rPr>
        <w:softHyphen/>
        <w:t>ցիա</w:t>
      </w:r>
      <w:r w:rsidR="0023176E" w:rsidRPr="00A83C94">
        <w:rPr>
          <w:b w:val="0"/>
          <w:szCs w:val="22"/>
          <w:lang w:val="hy-AM"/>
        </w:rPr>
        <w:softHyphen/>
        <w:t>ներ: ՀՀ 2022 թվականի պետական բյուջեի նախագծով նախատեսված ֆինան</w:t>
      </w:r>
      <w:r w:rsidR="0023176E" w:rsidRPr="00A83C94">
        <w:rPr>
          <w:b w:val="0"/>
          <w:szCs w:val="22"/>
          <w:lang w:val="hy-AM"/>
        </w:rPr>
        <w:softHyphen/>
        <w:t>սական համա</w:t>
      </w:r>
      <w:r w:rsidR="0023176E" w:rsidRPr="00A83C94">
        <w:rPr>
          <w:b w:val="0"/>
          <w:szCs w:val="22"/>
          <w:lang w:val="hy-AM"/>
        </w:rPr>
        <w:softHyphen/>
        <w:t>հար</w:t>
      </w:r>
      <w:r w:rsidR="0023176E" w:rsidRPr="00A83C94">
        <w:rPr>
          <w:b w:val="0"/>
          <w:szCs w:val="22"/>
          <w:lang w:val="hy-AM"/>
        </w:rPr>
        <w:softHyphen/>
        <w:t>թեց</w:t>
      </w:r>
      <w:r w:rsidR="0023176E" w:rsidRPr="00A83C94">
        <w:rPr>
          <w:b w:val="0"/>
          <w:szCs w:val="22"/>
          <w:lang w:val="hy-AM"/>
        </w:rPr>
        <w:softHyphen/>
        <w:t>ման սկզբունքով համայնքներին տրամադրվող դոտացիաների բաշխումն ըստ առանձին համայնք</w:t>
      </w:r>
      <w:r w:rsidR="0023176E" w:rsidRPr="00A83C94">
        <w:rPr>
          <w:b w:val="0"/>
          <w:szCs w:val="22"/>
          <w:lang w:val="hy-AM"/>
        </w:rPr>
        <w:softHyphen/>
        <w:t>ների իրականացվել է «Ֆինանսական համահարթեցման մասին» ՀՀ օրենքի դրույթներին հա</w:t>
      </w:r>
      <w:r w:rsidR="0023176E" w:rsidRPr="00A83C94">
        <w:rPr>
          <w:b w:val="0"/>
          <w:szCs w:val="22"/>
          <w:lang w:val="hy-AM"/>
        </w:rPr>
        <w:softHyphen/>
        <w:t>մա</w:t>
      </w:r>
      <w:r w:rsidR="0023176E" w:rsidRPr="00A83C94">
        <w:rPr>
          <w:b w:val="0"/>
          <w:szCs w:val="22"/>
          <w:lang w:val="hy-AM"/>
        </w:rPr>
        <w:softHyphen/>
        <w:t>պա</w:t>
      </w:r>
      <w:r w:rsidR="0023176E" w:rsidRPr="00A83C94">
        <w:rPr>
          <w:b w:val="0"/>
          <w:szCs w:val="22"/>
          <w:lang w:val="hy-AM"/>
        </w:rPr>
        <w:softHyphen/>
        <w:t>տասխան:</w:t>
      </w:r>
    </w:p>
    <w:p w14:paraId="5676C945" w14:textId="77777777" w:rsidR="002F5005" w:rsidRPr="00A83C94" w:rsidRDefault="002F5005" w:rsidP="0023176E">
      <w:pPr>
        <w:spacing w:line="276" w:lineRule="auto"/>
        <w:rPr>
          <w:b w:val="0"/>
          <w:szCs w:val="22"/>
          <w:lang w:val="fr-FR"/>
        </w:rPr>
      </w:pPr>
    </w:p>
    <w:p w14:paraId="6A1BC901" w14:textId="77777777" w:rsidR="0023176E" w:rsidRPr="00A83C94" w:rsidRDefault="0023176E" w:rsidP="002F7255">
      <w:pPr>
        <w:pStyle w:val="Heading3"/>
        <w:rPr>
          <w:noProof/>
        </w:rPr>
      </w:pPr>
      <w:bookmarkStart w:id="277" w:name="_Toc83575904"/>
      <w:bookmarkStart w:id="278" w:name="_Toc83996373"/>
      <w:r w:rsidRPr="00A83C94">
        <w:rPr>
          <w:noProof/>
        </w:rPr>
        <w:t>ՀՀ բարձր տեխնոլոգիական արդյունաբերության նախարարություն</w:t>
      </w:r>
      <w:bookmarkEnd w:id="277"/>
      <w:bookmarkEnd w:id="278"/>
    </w:p>
    <w:p w14:paraId="46FB2DAA" w14:textId="77777777" w:rsidR="0023176E" w:rsidRPr="00A83C94" w:rsidRDefault="0023176E" w:rsidP="0023176E">
      <w:pPr>
        <w:suppressAutoHyphens/>
        <w:spacing w:before="0" w:line="276" w:lineRule="auto"/>
        <w:rPr>
          <w:b w:val="0"/>
          <w:szCs w:val="22"/>
          <w:lang w:val="hy-AM" w:eastAsia="en-US"/>
        </w:rPr>
      </w:pPr>
      <w:r w:rsidRPr="00A83C94">
        <w:rPr>
          <w:b w:val="0"/>
          <w:color w:val="000000"/>
          <w:szCs w:val="22"/>
          <w:lang w:val="hy-AM" w:eastAsia="en-US"/>
        </w:rPr>
        <w:t>ՀՀ Կառավարությունը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14:paraId="2D13A7BA" w14:textId="228BB0AA" w:rsidR="0023176E" w:rsidRPr="00A83C94" w:rsidRDefault="0023176E" w:rsidP="0023176E">
      <w:pPr>
        <w:spacing w:before="0" w:line="276" w:lineRule="auto"/>
        <w:ind w:firstLine="450"/>
        <w:rPr>
          <w:rFonts w:eastAsia="Calibri"/>
          <w:b w:val="0"/>
          <w:szCs w:val="22"/>
          <w:lang w:val="hy-AM" w:eastAsia="en-US"/>
        </w:rPr>
      </w:pPr>
      <w:r w:rsidRPr="00A83C94">
        <w:rPr>
          <w:b w:val="0"/>
          <w:color w:val="000000"/>
          <w:szCs w:val="22"/>
          <w:lang w:val="hy-AM" w:eastAsia="en-US"/>
        </w:rPr>
        <w:t xml:space="preserve">2022թ. ՀՀ պետական բյուջեով ՀՀ </w:t>
      </w:r>
      <w:r w:rsidRPr="00A83C94">
        <w:rPr>
          <w:rFonts w:eastAsia="Calibri" w:cs="Sylfaen"/>
          <w:b w:val="0"/>
          <w:szCs w:val="22"/>
          <w:lang w:val="hy-AM" w:eastAsia="en-US"/>
        </w:rPr>
        <w:t xml:space="preserve">բարձր տեխնոլոգիական արդյունաբերության նախարարությանը նախատեսվում է հատկացնել շուրջ 17,278.7 մլն դրամ </w:t>
      </w:r>
      <w:r w:rsidR="005D36B9" w:rsidRPr="00A83C94">
        <w:rPr>
          <w:b w:val="0"/>
          <w:color w:val="000000"/>
          <w:szCs w:val="22"/>
          <w:lang w:val="hy-AM" w:eastAsia="en-US"/>
        </w:rPr>
        <w:t>(ներառյալ կառավարման ապարատի պահպանման ծախսերը)</w:t>
      </w:r>
      <w:r w:rsidRPr="00A83C94">
        <w:rPr>
          <w:rFonts w:eastAsia="Calibri" w:cs="Sylfaen"/>
          <w:b w:val="0"/>
          <w:szCs w:val="22"/>
          <w:lang w:val="hy-AM" w:eastAsia="en-US"/>
        </w:rPr>
        <w:t>:</w:t>
      </w:r>
    </w:p>
    <w:p w14:paraId="661663A8" w14:textId="77777777" w:rsidR="0023176E" w:rsidRPr="00A83C94" w:rsidRDefault="0023176E" w:rsidP="0023176E">
      <w:pPr>
        <w:spacing w:before="0" w:line="276" w:lineRule="auto"/>
        <w:ind w:firstLine="450"/>
        <w:rPr>
          <w:rFonts w:eastAsia="Calibri"/>
          <w:b w:val="0"/>
          <w:szCs w:val="22"/>
          <w:lang w:val="hy-AM" w:eastAsia="en-US"/>
        </w:rPr>
      </w:pPr>
      <w:r w:rsidRPr="00A83C94">
        <w:rPr>
          <w:rFonts w:eastAsia="Calibri" w:cs="Sylfaen"/>
          <w:b w:val="0"/>
          <w:szCs w:val="22"/>
          <w:lang w:val="hy-AM" w:eastAsia="en-US"/>
        </w:rPr>
        <w:t>Նշված հատկացումների սահմաններում նախարարությունը 2022թ. նախատեսում է իրականացնել հետևյալ ծրագրերն ու միջոցառումները:</w:t>
      </w:r>
      <w:r w:rsidRPr="00A83C94">
        <w:rPr>
          <w:b w:val="0"/>
          <w:szCs w:val="22"/>
          <w:lang w:val="hy-AM" w:eastAsia="en-US"/>
        </w:rPr>
        <w:t xml:space="preserve">: </w:t>
      </w:r>
    </w:p>
    <w:p w14:paraId="03FA231D" w14:textId="77777777" w:rsidR="0023176E" w:rsidRPr="00A83C94" w:rsidRDefault="0023176E" w:rsidP="0023176E">
      <w:pPr>
        <w:spacing w:before="0" w:line="276" w:lineRule="auto"/>
        <w:rPr>
          <w:rFonts w:eastAsia="Calibri"/>
          <w:b w:val="0"/>
          <w:szCs w:val="22"/>
          <w:lang w:val="hy-AM" w:eastAsia="en-US"/>
        </w:rPr>
      </w:pPr>
      <w:r w:rsidRPr="00A83C94">
        <w:rPr>
          <w:rFonts w:eastAsia="Calibri"/>
          <w:szCs w:val="22"/>
          <w:lang w:val="hy-AM"/>
        </w:rPr>
        <w:t xml:space="preserve">Բարձր տեխնոլոգիական արդյունաբերության էկոհամակարգի, թվայնացման և շուկայի զարգացման </w:t>
      </w:r>
      <w:r w:rsidRPr="00A83C94">
        <w:rPr>
          <w:rFonts w:eastAsia="Calibri"/>
          <w:b w:val="0"/>
          <w:szCs w:val="22"/>
          <w:lang w:val="hy-AM"/>
        </w:rPr>
        <w:t xml:space="preserve">ծրագրի գծով </w:t>
      </w:r>
      <w:r w:rsidRPr="00A83C94">
        <w:rPr>
          <w:rFonts w:eastAsia="Calibri"/>
          <w:b w:val="0"/>
          <w:szCs w:val="22"/>
          <w:lang w:val="hy-AM" w:eastAsia="en-US"/>
        </w:rPr>
        <w:t>202</w:t>
      </w:r>
      <w:r w:rsidRPr="00A83C94">
        <w:rPr>
          <w:b w:val="0"/>
          <w:szCs w:val="22"/>
          <w:lang w:val="hy-AM" w:eastAsia="en-US"/>
        </w:rPr>
        <w:t>2</w:t>
      </w:r>
      <w:r w:rsidRPr="00A83C94">
        <w:rPr>
          <w:rFonts w:eastAsia="Calibri"/>
          <w:b w:val="0"/>
          <w:szCs w:val="22"/>
          <w:lang w:val="hy-AM" w:eastAsia="en-US"/>
        </w:rPr>
        <w:t>թ նախատեսվել է 8,522.2</w:t>
      </w:r>
      <w:r w:rsidRPr="00A83C94">
        <w:rPr>
          <w:b w:val="0"/>
          <w:szCs w:val="22"/>
          <w:lang w:val="hy-AM" w:eastAsia="en-US"/>
        </w:rPr>
        <w:t xml:space="preserve"> </w:t>
      </w:r>
      <w:r w:rsidRPr="00A83C94">
        <w:rPr>
          <w:rFonts w:eastAsia="Calibri"/>
          <w:b w:val="0"/>
          <w:szCs w:val="22"/>
          <w:lang w:val="hy-AM" w:eastAsia="en-US"/>
        </w:rPr>
        <w:t>մլն դրամ:</w:t>
      </w:r>
    </w:p>
    <w:p w14:paraId="2E21C569" w14:textId="77777777" w:rsidR="0023176E" w:rsidRPr="00A83C94" w:rsidRDefault="0023176E" w:rsidP="0023176E">
      <w:pPr>
        <w:spacing w:before="0" w:line="276" w:lineRule="auto"/>
        <w:rPr>
          <w:rFonts w:eastAsia="Calibri"/>
          <w:b w:val="0"/>
          <w:szCs w:val="22"/>
          <w:lang w:val="hy-AM" w:eastAsia="en-US"/>
        </w:rPr>
      </w:pPr>
      <w:r w:rsidRPr="00A83C94">
        <w:rPr>
          <w:rFonts w:eastAsia="Calibri"/>
          <w:b w:val="0"/>
          <w:szCs w:val="22"/>
          <w:lang w:val="hy-AM" w:eastAsia="en-US"/>
        </w:rPr>
        <w:t>Ծրագրի նպատակն է բարձր տեխնոլոգիաների ենթակառուցվածքների բարելավում, մասնավորապես.</w:t>
      </w:r>
    </w:p>
    <w:p w14:paraId="609F179F"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szCs w:val="22"/>
          <w:lang w:val="hy-AM" w:eastAsia="en-US"/>
        </w:rPr>
        <w:t xml:space="preserve">Իրականացնել կադրերի թիրախավորված պատրաստում և վերապատրաստում, հաշվի առնելով շուկայի </w:t>
      </w:r>
      <w:r w:rsidRPr="00A83C94">
        <w:rPr>
          <w:b w:val="0"/>
          <w:color w:val="000000"/>
          <w:szCs w:val="22"/>
          <w:lang w:val="hy-AM" w:eastAsia="en-US"/>
        </w:rPr>
        <w:t>կտրուկ զարգացումն ու կադրերի նկատմամբ շուկայի պահանջարկի կտրուկ աճը,</w:t>
      </w:r>
    </w:p>
    <w:p w14:paraId="525A1DBB"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color w:val="000000"/>
          <w:szCs w:val="22"/>
          <w:lang w:val="hy-AM" w:eastAsia="en-US"/>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14:paraId="66336925"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color w:val="000000"/>
          <w:szCs w:val="22"/>
          <w:lang w:val="hy-AM" w:eastAsia="en-US"/>
        </w:rPr>
        <w:t>Հայկական Սփյուռքի ներգրավվածությունն ապահովելու նպատակով նախատեսվում է տարբեր ձևաչափերով շարունակական համագործակցության հարթակ ստեղծել հայկական ընկերությունների, կազմակերպությունների և անհատների հետ,</w:t>
      </w:r>
    </w:p>
    <w:p w14:paraId="5D55A4F4"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color w:val="000000"/>
          <w:szCs w:val="22"/>
          <w:lang w:val="hy-AM" w:eastAsia="en-US"/>
        </w:rPr>
        <w:t>Զանգվածաբար կիրառել և զարգացնել թվային տեխնոլոգիաներ, զուգահեռաբար բարձրացնելով կիբեռանվտանգության և Հայաստանում ինտերնետ հասանելիության մակարդակը։</w:t>
      </w:r>
    </w:p>
    <w:p w14:paraId="39A60FCA" w14:textId="77777777" w:rsidR="0023176E" w:rsidRPr="00A83C94" w:rsidRDefault="0023176E" w:rsidP="0023176E">
      <w:pPr>
        <w:suppressAutoHyphens/>
        <w:spacing w:before="0" w:line="276" w:lineRule="auto"/>
        <w:ind w:firstLine="0"/>
        <w:rPr>
          <w:rFonts w:eastAsia="Calibri"/>
          <w:b w:val="0"/>
          <w:szCs w:val="22"/>
          <w:lang w:val="hy-AM" w:eastAsia="en-US"/>
        </w:rPr>
      </w:pPr>
      <w:r w:rsidRPr="00A83C94">
        <w:rPr>
          <w:b w:val="0"/>
          <w:color w:val="000000"/>
          <w:szCs w:val="22"/>
          <w:lang w:val="hy-AM" w:eastAsia="en-US"/>
        </w:rPr>
        <w:t>Նշվածի շրջանակներում կապահովվի հետևյալ արդյունքային ցուցանիշները՝ դ</w:t>
      </w:r>
      <w:r w:rsidRPr="00A83C94">
        <w:rPr>
          <w:b w:val="0"/>
          <w:iCs/>
          <w:color w:val="000000"/>
          <w:szCs w:val="22"/>
          <w:lang w:val="hy-AM" w:eastAsia="en-US"/>
        </w:rPr>
        <w:t xml:space="preserve">րամաշնորհային ծրագրի շրջանակներում կտրամադրվեն դրամաշնորհներ 50 կազմակերպությունների, </w:t>
      </w:r>
      <w:r w:rsidRPr="00A83C94">
        <w:rPr>
          <w:b w:val="0"/>
          <w:color w:val="000000"/>
          <w:szCs w:val="22"/>
          <w:lang w:val="hy-AM" w:eastAsia="en-US"/>
        </w:rPr>
        <w:t xml:space="preserve"> կիրականացվի մեկ աքսելերացիոն ծրագիր՝ 30 շահառու թիմերի և 150 մասնակիցների համար, 15</w:t>
      </w:r>
      <w:r w:rsidRPr="00A83C94">
        <w:rPr>
          <w:b w:val="0"/>
          <w:iCs/>
          <w:color w:val="000000"/>
          <w:szCs w:val="22"/>
          <w:lang w:val="hy-AM" w:eastAsia="en-US"/>
        </w:rPr>
        <w:t xml:space="preserve"> ուսանողներ կմասնակցեն Բարձր տեխնոլոգիական ոլորտում գործող ձեռներեցների համար արտասահմանում անցկացվելիք աքսելերացիոն վերապատրաստման միջոցառումներին</w:t>
      </w:r>
      <w:r w:rsidRPr="00A83C94">
        <w:rPr>
          <w:b w:val="0"/>
          <w:color w:val="000000"/>
          <w:szCs w:val="22"/>
          <w:lang w:val="hy-AM" w:eastAsia="en-US"/>
        </w:rPr>
        <w:t xml:space="preserve">, ոլորտի բարձրակարգ մասնագետների և ընտրված լավագույն ծրագրերի միջոցով կվերապատրաստվեն  շուրջ 2500 շահառուներ, </w:t>
      </w:r>
      <w:r w:rsidRPr="00A83C94">
        <w:rPr>
          <w:rFonts w:eastAsia="Calibri" w:cs="Sylfaen"/>
          <w:b w:val="0"/>
          <w:color w:val="000000"/>
          <w:szCs w:val="22"/>
          <w:lang w:val="hy-AM" w:eastAsia="en-US"/>
        </w:rPr>
        <w:t>գ</w:t>
      </w:r>
      <w:r w:rsidRPr="00A83C94">
        <w:rPr>
          <w:rFonts w:eastAsia="Calibri"/>
          <w:b w:val="0"/>
          <w:color w:val="000000"/>
          <w:szCs w:val="22"/>
          <w:lang w:val="hy-AM" w:eastAsia="en-US"/>
        </w:rPr>
        <w:t xml:space="preserve">լոբալ տաղանդի ներգրավման համար կիրականացվի 1 միջոցառում, </w:t>
      </w:r>
      <w:r w:rsidRPr="00A83C94">
        <w:rPr>
          <w:rFonts w:eastAsia="Calibri"/>
          <w:b w:val="0"/>
          <w:szCs w:val="22"/>
          <w:lang w:val="hy-AM" w:eastAsia="en-US"/>
        </w:rPr>
        <w:t>Թվայնացման ռազմավարությամբ նախատեսված թվայնացման ստանդարտների, ձևաչափերի և ընթացակարգերի մշակում:</w:t>
      </w:r>
    </w:p>
    <w:p w14:paraId="32B8887B" w14:textId="77777777" w:rsidR="0023176E" w:rsidRPr="00A83C94" w:rsidRDefault="0023176E" w:rsidP="0023176E">
      <w:pPr>
        <w:spacing w:before="0" w:line="276" w:lineRule="auto"/>
        <w:ind w:firstLine="720"/>
        <w:rPr>
          <w:rFonts w:eastAsia="Calibri"/>
          <w:b w:val="0"/>
          <w:szCs w:val="22"/>
          <w:lang w:val="hy-AM" w:eastAsia="en-US"/>
        </w:rPr>
      </w:pPr>
      <w:r w:rsidRPr="00A83C94">
        <w:rPr>
          <w:rFonts w:eastAsia="Calibri"/>
          <w:b w:val="0"/>
          <w:szCs w:val="22"/>
          <w:lang w:val="hy-AM" w:eastAsia="en-US"/>
        </w:rPr>
        <w:t xml:space="preserve">Միաժամանակ </w:t>
      </w:r>
      <w:r w:rsidRPr="00A83C94">
        <w:rPr>
          <w:b w:val="0"/>
          <w:bCs/>
          <w:iCs/>
          <w:lang w:val="fr-FR"/>
        </w:rPr>
        <w:t xml:space="preserve">Եվրոմիության աջակցության </w:t>
      </w:r>
      <w:r w:rsidRPr="00A83C94">
        <w:rPr>
          <w:b w:val="0"/>
          <w:bCs/>
          <w:iCs/>
          <w:lang w:val="hy-AM"/>
        </w:rPr>
        <w:t>դրամաշնորհային</w:t>
      </w:r>
      <w:r w:rsidRPr="00A83C94">
        <w:rPr>
          <w:b w:val="0"/>
          <w:bCs/>
          <w:iCs/>
          <w:lang w:val="fr-FR"/>
        </w:rPr>
        <w:t xml:space="preserve"> ծրագրի շրջանակներում </w:t>
      </w:r>
      <w:r w:rsidRPr="00A83C94">
        <w:rPr>
          <w:rFonts w:eastAsia="Calibri"/>
          <w:b w:val="0"/>
          <w:szCs w:val="22"/>
          <w:lang w:val="hy-AM" w:eastAsia="en-US"/>
        </w:rPr>
        <w:t>նախատեսվում է իրականացնել Թվայնացման ռազմավարության ևս 5 միջոցառումներ, որոնց նպատակն է՝ Էլեկտրոնային ծառայությունների օգտագործելիության մակարդակի բարձրացումը և պետական թվային ծառայությունների օգտվելու գործընթացի առավել արդյունավետ կազմակերպումը: Էլեկտրոնային ստորագրության անխափան աշխատանք և քաղաքացիների շրջանում օգտագործելիության աճ: Պետական և մասնավոր հատվածի պայմանագրերի կեղծման բացառում:</w:t>
      </w:r>
    </w:p>
    <w:p w14:paraId="6C58B730" w14:textId="77777777" w:rsidR="0023176E" w:rsidRPr="00A83C94" w:rsidRDefault="0023176E" w:rsidP="0023176E">
      <w:pPr>
        <w:suppressAutoHyphens/>
        <w:spacing w:before="0" w:line="276" w:lineRule="auto"/>
        <w:ind w:firstLine="360"/>
        <w:rPr>
          <w:rFonts w:eastAsia="Calibri"/>
          <w:b w:val="0"/>
          <w:szCs w:val="22"/>
          <w:lang w:val="hy-AM" w:eastAsia="en-US"/>
        </w:rPr>
      </w:pPr>
      <w:r w:rsidRPr="00A83C94">
        <w:rPr>
          <w:rFonts w:eastAsia="Calibri"/>
          <w:b w:val="0"/>
          <w:szCs w:val="22"/>
          <w:lang w:val="hy-AM" w:eastAsia="en-US"/>
        </w:rPr>
        <w:t>2022 թվականից նախատեսվում է Համաշխարհային բանկի աջակցությամբ իրականացվող առևտրի և ենթակառուց</w:t>
      </w:r>
      <w:r w:rsidRPr="00A83C94">
        <w:rPr>
          <w:rFonts w:eastAsia="Calibri"/>
          <w:b w:val="0"/>
          <w:szCs w:val="22"/>
          <w:lang w:val="hy-AM" w:eastAsia="en-US"/>
        </w:rPr>
        <w:softHyphen/>
        <w:t xml:space="preserve">վածքների զարգացման վարկային ծրագրի համակարգումն իրականացնել ՀՀ բարձր տեխնոլոգիական արդյունաբերության նախարարության կողմից, որի նպատակն է հզորացնել արտահանման խթանման, ներդրումների ներգրավման և ձեռնակություններին տրամադրվող որակի կառավարման ծառայությունների կարողությունները: </w:t>
      </w:r>
    </w:p>
    <w:p w14:paraId="2278AAD8" w14:textId="77777777" w:rsidR="0023176E" w:rsidRPr="00A83C94" w:rsidRDefault="0023176E" w:rsidP="0023176E">
      <w:pPr>
        <w:suppressAutoHyphens/>
        <w:spacing w:before="0" w:line="276" w:lineRule="auto"/>
        <w:ind w:firstLine="450"/>
        <w:rPr>
          <w:b w:val="0"/>
          <w:color w:val="000000"/>
          <w:szCs w:val="22"/>
          <w:lang w:val="hy-AM" w:eastAsia="en-US"/>
        </w:rPr>
      </w:pPr>
      <w:r w:rsidRPr="00A83C94">
        <w:rPr>
          <w:color w:val="000000"/>
          <w:szCs w:val="22"/>
          <w:lang w:val="hy-AM" w:eastAsia="en-US"/>
        </w:rPr>
        <w:t xml:space="preserve">Պաշտպանության բնագավառում գիտական և գիտատեխնիկական նպատակային հետազոտություններ </w:t>
      </w:r>
      <w:r w:rsidRPr="00A83C94">
        <w:rPr>
          <w:rFonts w:eastAsia="Calibri"/>
          <w:b w:val="0"/>
          <w:szCs w:val="22"/>
          <w:lang w:val="hy-AM"/>
        </w:rPr>
        <w:t xml:space="preserve">ծրագրի գծով </w:t>
      </w:r>
      <w:r w:rsidRPr="00A83C94">
        <w:rPr>
          <w:rFonts w:eastAsia="Calibri"/>
          <w:b w:val="0"/>
          <w:szCs w:val="22"/>
          <w:lang w:val="hy-AM" w:eastAsia="en-US"/>
        </w:rPr>
        <w:t>202</w:t>
      </w:r>
      <w:r w:rsidRPr="00A83C94">
        <w:rPr>
          <w:b w:val="0"/>
          <w:szCs w:val="22"/>
          <w:lang w:val="hy-AM" w:eastAsia="en-US"/>
        </w:rPr>
        <w:t>2</w:t>
      </w:r>
      <w:r w:rsidRPr="00A83C94">
        <w:rPr>
          <w:rFonts w:eastAsia="Calibri"/>
          <w:b w:val="0"/>
          <w:szCs w:val="22"/>
          <w:lang w:val="hy-AM" w:eastAsia="en-US"/>
        </w:rPr>
        <w:t xml:space="preserve">թ նախատեսվել է </w:t>
      </w:r>
      <w:r w:rsidRPr="00A83C94">
        <w:rPr>
          <w:b w:val="0"/>
          <w:color w:val="000000"/>
          <w:szCs w:val="22"/>
          <w:lang w:val="hy-AM" w:eastAsia="en-US"/>
        </w:rPr>
        <w:t>5,233.9 մլն դրամ:</w:t>
      </w:r>
    </w:p>
    <w:p w14:paraId="0A3EE46F" w14:textId="77777777" w:rsidR="0023176E" w:rsidRPr="00A83C94" w:rsidRDefault="0023176E" w:rsidP="0023176E">
      <w:pPr>
        <w:suppressAutoHyphens/>
        <w:spacing w:before="0" w:line="276" w:lineRule="auto"/>
        <w:ind w:firstLine="450"/>
        <w:rPr>
          <w:b w:val="0"/>
          <w:color w:val="000000"/>
          <w:szCs w:val="22"/>
          <w:lang w:val="hy-AM" w:eastAsia="en-US"/>
        </w:rPr>
      </w:pPr>
      <w:r w:rsidRPr="00A83C94">
        <w:rPr>
          <w:b w:val="0"/>
          <w:color w:val="000000"/>
          <w:szCs w:val="22"/>
          <w:lang w:val="hy-AM" w:eastAsia="en-US"/>
        </w:rPr>
        <w:t>Ծրագրի նպատակն է նպաստել ՀՀ պաշտպանության և անվտանգության համակարգերի զարգացմանը, մասնավորապես իրականացնել գիտահետազոտական և փորձակոնստրուկտորական աշխատանքների իրականացում պաշտպանության համակարգի ապահովման համար:</w:t>
      </w:r>
    </w:p>
    <w:p w14:paraId="29CE2023" w14:textId="77777777" w:rsidR="0023176E" w:rsidRPr="00A83C94" w:rsidRDefault="0023176E" w:rsidP="0023176E">
      <w:pPr>
        <w:suppressAutoHyphens/>
        <w:spacing w:before="0" w:line="276" w:lineRule="auto"/>
        <w:rPr>
          <w:b w:val="0"/>
          <w:color w:val="000000"/>
          <w:szCs w:val="22"/>
          <w:lang w:val="hy-AM" w:eastAsia="en-US"/>
        </w:rPr>
      </w:pPr>
      <w:r w:rsidRPr="00A83C94">
        <w:rPr>
          <w:rFonts w:eastAsia="Calibri" w:cs="Sylfaen"/>
          <w:szCs w:val="22"/>
          <w:lang w:val="hy-AM" w:eastAsia="en-US"/>
        </w:rPr>
        <w:t xml:space="preserve">Հեռահաղորդակցության ապահովում </w:t>
      </w:r>
      <w:r w:rsidRPr="00A83C94">
        <w:rPr>
          <w:rFonts w:eastAsia="Calibri"/>
          <w:b w:val="0"/>
          <w:szCs w:val="22"/>
          <w:lang w:val="hy-AM"/>
        </w:rPr>
        <w:t xml:space="preserve">ծրագրի գծով </w:t>
      </w:r>
      <w:r w:rsidRPr="00A83C94">
        <w:rPr>
          <w:rFonts w:eastAsia="Calibri"/>
          <w:b w:val="0"/>
          <w:szCs w:val="22"/>
          <w:lang w:val="hy-AM" w:eastAsia="en-US"/>
        </w:rPr>
        <w:t>202</w:t>
      </w:r>
      <w:r w:rsidRPr="00A83C94">
        <w:rPr>
          <w:b w:val="0"/>
          <w:szCs w:val="22"/>
          <w:lang w:val="hy-AM" w:eastAsia="en-US"/>
        </w:rPr>
        <w:t>2</w:t>
      </w:r>
      <w:r w:rsidRPr="00A83C94">
        <w:rPr>
          <w:rFonts w:eastAsia="Calibri"/>
          <w:b w:val="0"/>
          <w:szCs w:val="22"/>
          <w:lang w:val="hy-AM" w:eastAsia="en-US"/>
        </w:rPr>
        <w:t xml:space="preserve">թ նախատեսվել է </w:t>
      </w:r>
      <w:r w:rsidRPr="00A83C94">
        <w:rPr>
          <w:rFonts w:eastAsia="Calibri" w:cs="Sylfaen"/>
          <w:b w:val="0"/>
          <w:szCs w:val="22"/>
          <w:lang w:val="hy-AM" w:eastAsia="en-US"/>
        </w:rPr>
        <w:t>2,465.3 մլն դրամ</w:t>
      </w:r>
      <w:r w:rsidRPr="00A83C94">
        <w:rPr>
          <w:b w:val="0"/>
          <w:color w:val="000000"/>
          <w:szCs w:val="22"/>
          <w:lang w:val="hy-AM" w:eastAsia="en-US"/>
        </w:rPr>
        <w:t>:</w:t>
      </w:r>
    </w:p>
    <w:p w14:paraId="63B39FD3" w14:textId="77777777" w:rsidR="0023176E" w:rsidRPr="00A83C94" w:rsidRDefault="0023176E" w:rsidP="0023176E">
      <w:pPr>
        <w:spacing w:before="0" w:line="276" w:lineRule="auto"/>
        <w:ind w:firstLine="448"/>
        <w:contextualSpacing w:val="0"/>
        <w:rPr>
          <w:rFonts w:eastAsia="Calibri" w:cs="Sylfaen"/>
          <w:b w:val="0"/>
          <w:szCs w:val="22"/>
          <w:lang w:val="hy-AM" w:eastAsia="en-US"/>
        </w:rPr>
      </w:pPr>
      <w:r w:rsidRPr="00A83C94">
        <w:rPr>
          <w:rFonts w:eastAsia="Calibri" w:cs="Sylfaen"/>
          <w:b w:val="0"/>
          <w:szCs w:val="22"/>
          <w:lang w:val="hy-AM" w:eastAsia="en-US"/>
        </w:rPr>
        <w:t>Ծրագրի նպատակն է ապահովել Հայաստանի Հանրապե</w:t>
      </w:r>
      <w:r w:rsidRPr="00A83C94">
        <w:rPr>
          <w:rFonts w:eastAsia="Calibri" w:cs="Sylfaen"/>
          <w:b w:val="0"/>
          <w:szCs w:val="22"/>
          <w:lang w:val="hy-AM" w:eastAsia="en-US"/>
        </w:rPr>
        <w:softHyphen/>
        <w:t>տու</w:t>
      </w:r>
      <w:r w:rsidRPr="00A83C94">
        <w:rPr>
          <w:rFonts w:eastAsia="Calibri" w:cs="Sylfaen"/>
          <w:b w:val="0"/>
          <w:szCs w:val="22"/>
          <w:lang w:val="hy-AM" w:eastAsia="en-US"/>
        </w:rPr>
        <w:softHyphen/>
        <w:t>թյունում հեռահաղորդակցության և կապի ծառայությունների որակի կանոնակարգումն ու բարելավումը:</w:t>
      </w:r>
    </w:p>
    <w:p w14:paraId="7D075BEF" w14:textId="77777777" w:rsidR="0023176E" w:rsidRPr="00A83C94" w:rsidRDefault="0023176E" w:rsidP="0023176E">
      <w:pPr>
        <w:spacing w:before="0" w:line="276" w:lineRule="auto"/>
        <w:ind w:firstLine="448"/>
        <w:contextualSpacing w:val="0"/>
        <w:rPr>
          <w:rFonts w:eastAsia="Calibri" w:cs="Sylfaen"/>
          <w:b w:val="0"/>
          <w:szCs w:val="22"/>
          <w:lang w:val="hy-AM" w:eastAsia="en-US"/>
        </w:rPr>
      </w:pPr>
      <w:r w:rsidRPr="00A83C94">
        <w:rPr>
          <w:rFonts w:eastAsia="Calibri" w:cs="Sylfaen"/>
          <w:b w:val="0"/>
          <w:szCs w:val="22"/>
          <w:lang w:val="hy-AM" w:eastAsia="en-US"/>
        </w:rPr>
        <w:t xml:space="preserve">Ծրագրի շրջանակներում նախատեսվում է </w:t>
      </w:r>
      <w:r w:rsidRPr="00A83C94">
        <w:rPr>
          <w:rFonts w:eastAsia="Calibri"/>
          <w:b w:val="0"/>
          <w:szCs w:val="22"/>
          <w:lang w:val="hy-AM" w:eastAsia="en-US"/>
        </w:rPr>
        <w:t xml:space="preserve">ռադիոհաճախականային տիրույթի 92 տոկոս մաքրության ապահովում, </w:t>
      </w:r>
      <w:r w:rsidRPr="00A83C94">
        <w:rPr>
          <w:rFonts w:eastAsia="Calibri" w:cs="Sylfaen"/>
          <w:b w:val="0"/>
          <w:szCs w:val="22"/>
          <w:lang w:val="hy-AM" w:eastAsia="en-US"/>
        </w:rPr>
        <w:t>հեռահաղորդակ</w:t>
      </w:r>
      <w:r w:rsidRPr="00A83C94">
        <w:rPr>
          <w:rFonts w:eastAsia="Calibri" w:cs="Sylfaen"/>
          <w:b w:val="0"/>
          <w:szCs w:val="22"/>
          <w:lang w:val="hy-AM" w:eastAsia="en-US"/>
        </w:rPr>
        <w:softHyphen/>
        <w:t xml:space="preserve">ցության և կապի ծառայությունների որակի կանոնակարգում ու բարելավում, ռադիոեթերի մոնիթորինգի և ազդանշանների տեխնիկական պարամետրերի չափումների անցկացում, Հանրապետական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ռադիոմոնիտորինգի համակարգի ներդրում։ </w:t>
      </w:r>
    </w:p>
    <w:p w14:paraId="1E5ECA73" w14:textId="77777777" w:rsidR="0023176E" w:rsidRPr="00A83C94" w:rsidRDefault="0023176E" w:rsidP="0023176E">
      <w:pPr>
        <w:spacing w:before="0" w:line="276" w:lineRule="auto"/>
        <w:ind w:firstLine="720"/>
        <w:rPr>
          <w:rFonts w:eastAsia="Calibri"/>
          <w:b w:val="0"/>
          <w:color w:val="00000A"/>
          <w:szCs w:val="22"/>
          <w:lang w:val="hy-AM" w:eastAsia="en-US"/>
        </w:rPr>
      </w:pPr>
      <w:r w:rsidRPr="00A83C94">
        <w:rPr>
          <w:rFonts w:eastAsia="Calibri"/>
          <w:b w:val="0"/>
          <w:szCs w:val="22"/>
          <w:lang w:val="hy-AM" w:eastAsia="en-US"/>
        </w:rPr>
        <w:t xml:space="preserve">Միաժամանակ </w:t>
      </w:r>
      <w:r w:rsidRPr="00A83C94">
        <w:rPr>
          <w:b w:val="0"/>
          <w:bCs/>
          <w:iCs/>
          <w:lang w:val="fr-FR"/>
        </w:rPr>
        <w:t xml:space="preserve">Եվրոմիության աջակցության </w:t>
      </w:r>
      <w:r w:rsidRPr="00A83C94">
        <w:rPr>
          <w:b w:val="0"/>
          <w:bCs/>
          <w:iCs/>
          <w:lang w:val="hy-AM"/>
        </w:rPr>
        <w:t>դրամաշնորհային</w:t>
      </w:r>
      <w:r w:rsidRPr="00A83C94">
        <w:rPr>
          <w:b w:val="0"/>
          <w:bCs/>
          <w:iCs/>
          <w:lang w:val="fr-FR"/>
        </w:rPr>
        <w:t xml:space="preserve"> ծրագրի շրջանակներում </w:t>
      </w:r>
      <w:r w:rsidRPr="00A83C94">
        <w:rPr>
          <w:rFonts w:eastAsia="Calibri"/>
          <w:b w:val="0"/>
          <w:szCs w:val="22"/>
          <w:lang w:val="hy-AM" w:eastAsia="en-US"/>
        </w:rPr>
        <w:t xml:space="preserve">նախատեսվում է իրականացնել </w:t>
      </w:r>
      <w:r w:rsidRPr="00A83C94">
        <w:rPr>
          <w:rFonts w:eastAsia="Calibri"/>
          <w:b w:val="0"/>
          <w:color w:val="00000A"/>
          <w:szCs w:val="22"/>
          <w:lang w:val="hy-AM" w:eastAsia="en-US"/>
        </w:rPr>
        <w:t xml:space="preserve">Հայաստանի ներքին և արտաքին լայնաշերտ (օպտիկամանրաթելային) ցանցի (օպտիկամանրաթելային կապուղիներ, կապի հանգույցներ, փոխանակման կետեր, տվյալների կենրոններ, արտաքին ցանց՝ Բուլղարիա-Վրաստան Անդրծովյան, Վրաստան-Հայաստան վերգետնյա) կառուցում։ </w:t>
      </w:r>
    </w:p>
    <w:p w14:paraId="2A79536F" w14:textId="77777777" w:rsidR="007C51C0" w:rsidRPr="00A83C94" w:rsidRDefault="007C51C0" w:rsidP="007C65A5">
      <w:pPr>
        <w:suppressAutoHyphens/>
        <w:spacing w:before="0" w:line="276" w:lineRule="auto"/>
        <w:ind w:left="2160" w:firstLine="0"/>
        <w:rPr>
          <w:rFonts w:eastAsia="Calibri"/>
          <w:b w:val="0"/>
          <w:szCs w:val="22"/>
          <w:lang w:val="hy-AM" w:eastAsia="en-US"/>
        </w:rPr>
      </w:pPr>
    </w:p>
    <w:p w14:paraId="74A52908" w14:textId="11EFFD3B" w:rsidR="003C0C2C" w:rsidRPr="00A83C94" w:rsidRDefault="00885B84" w:rsidP="00832373">
      <w:pPr>
        <w:keepNext/>
        <w:spacing w:before="0" w:line="276" w:lineRule="auto"/>
        <w:ind w:firstLine="0"/>
        <w:contextualSpacing w:val="0"/>
        <w:jc w:val="center"/>
        <w:outlineLvl w:val="2"/>
        <w:rPr>
          <w:rFonts w:cs="Arial"/>
          <w:sz w:val="24"/>
          <w:lang w:val="hy-AM" w:eastAsia="en-US"/>
        </w:rPr>
      </w:pPr>
      <w:bookmarkStart w:id="279" w:name="_Toc83996374"/>
      <w:r w:rsidRPr="00A83C94">
        <w:rPr>
          <w:rFonts w:cs="Arial"/>
          <w:sz w:val="24"/>
          <w:lang w:val="hy-AM" w:eastAsia="en-US"/>
        </w:rPr>
        <w:t>ՀՀ շրջակա միջավայրի նախարարություն</w:t>
      </w:r>
      <w:bookmarkEnd w:id="279"/>
    </w:p>
    <w:p w14:paraId="462A4B34" w14:textId="5F47A0AB" w:rsidR="009C0AA0" w:rsidRPr="00A83C94" w:rsidRDefault="009C0AA0" w:rsidP="009C0AA0">
      <w:pPr>
        <w:tabs>
          <w:tab w:val="left" w:pos="851"/>
        </w:tabs>
        <w:spacing w:line="276" w:lineRule="auto"/>
        <w:ind w:firstLine="720"/>
        <w:rPr>
          <w:b w:val="0"/>
          <w:lang w:val="hy-AM"/>
        </w:rPr>
      </w:pPr>
      <w:r w:rsidRPr="00A83C94">
        <w:rPr>
          <w:b w:val="0"/>
          <w:lang w:val="hy-AM"/>
        </w:rPr>
        <w:t xml:space="preserve">ՀՀ շրջակա միջավայրի նախարարության գծով </w:t>
      </w:r>
      <w:r w:rsidR="00640ECA" w:rsidRPr="00A83C94">
        <w:rPr>
          <w:b w:val="0"/>
          <w:lang w:val="hy-AM"/>
        </w:rPr>
        <w:t>Ն</w:t>
      </w:r>
      <w:r w:rsidRPr="00A83C94">
        <w:rPr>
          <w:b w:val="0"/>
          <w:lang w:val="hy-AM"/>
        </w:rPr>
        <w:t>ա</w:t>
      </w:r>
      <w:r w:rsidRPr="00A83C94">
        <w:rPr>
          <w:b w:val="0"/>
          <w:lang w:val="hy-AM"/>
        </w:rPr>
        <w:softHyphen/>
        <w:t xml:space="preserve">խագծով նախատեսվում է </w:t>
      </w:r>
      <w:r w:rsidR="00B92394" w:rsidRPr="00A83C94">
        <w:rPr>
          <w:b w:val="0"/>
          <w:lang w:val="hy-AM"/>
        </w:rPr>
        <w:t xml:space="preserve">հատկացնել </w:t>
      </w:r>
      <w:r w:rsidR="00B92394" w:rsidRPr="00A83C94">
        <w:rPr>
          <w:rFonts w:cs="Sylfaen"/>
          <w:b w:val="0"/>
          <w:lang w:val="af-ZA"/>
        </w:rPr>
        <w:t>6</w:t>
      </w:r>
      <w:r w:rsidRPr="00A83C94">
        <w:rPr>
          <w:rFonts w:cs="Sylfaen"/>
          <w:b w:val="0"/>
          <w:lang w:val="af-ZA"/>
        </w:rPr>
        <w:t>,</w:t>
      </w:r>
      <w:r w:rsidR="00B92394" w:rsidRPr="00A83C94">
        <w:rPr>
          <w:rFonts w:cs="Sylfaen"/>
          <w:b w:val="0"/>
          <w:lang w:val="af-ZA"/>
        </w:rPr>
        <w:t>771.7</w:t>
      </w:r>
      <w:r w:rsidRPr="00A83C94">
        <w:rPr>
          <w:rFonts w:cs="Sylfaen"/>
          <w:b w:val="0"/>
          <w:lang w:val="af-ZA"/>
        </w:rPr>
        <w:t xml:space="preserve"> մլն դրամ</w:t>
      </w:r>
      <w:r w:rsidR="00B92394" w:rsidRPr="00A83C94">
        <w:rPr>
          <w:rFonts w:cs="Sylfaen"/>
          <w:b w:val="0"/>
          <w:lang w:val="af-ZA"/>
        </w:rPr>
        <w:t xml:space="preserve"> </w:t>
      </w:r>
      <w:r w:rsidR="00B92394" w:rsidRPr="00A83C94">
        <w:rPr>
          <w:b w:val="0"/>
          <w:color w:val="000000"/>
          <w:szCs w:val="22"/>
          <w:lang w:val="hy-AM" w:eastAsia="en-US"/>
        </w:rPr>
        <w:t>(ներառյալ կառավարման ապարատի պահպանման ծախսերը)</w:t>
      </w:r>
      <w:r w:rsidRPr="00A83C94">
        <w:rPr>
          <w:b w:val="0"/>
          <w:lang w:val="hy-AM"/>
        </w:rPr>
        <w:t xml:space="preserve">, որի շրջանակներում նախատեսվում է իրականացնել հետևյալ ծրագրերը. </w:t>
      </w:r>
    </w:p>
    <w:p w14:paraId="5F93D425" w14:textId="05FB57CE" w:rsidR="009C0AA0" w:rsidRPr="00A83C94" w:rsidRDefault="009C0AA0" w:rsidP="009C0AA0">
      <w:pPr>
        <w:tabs>
          <w:tab w:val="left" w:pos="851"/>
        </w:tabs>
        <w:autoSpaceDE w:val="0"/>
        <w:autoSpaceDN w:val="0"/>
        <w:adjustRightInd w:val="0"/>
        <w:spacing w:line="276" w:lineRule="auto"/>
        <w:ind w:firstLine="720"/>
        <w:rPr>
          <w:rFonts w:cs="Sylfaen"/>
          <w:b w:val="0"/>
          <w:lang w:val="fr-FR"/>
        </w:rPr>
      </w:pPr>
      <w:r w:rsidRPr="00A83C94">
        <w:rPr>
          <w:rFonts w:cs="IRTEK Courier"/>
          <w:lang w:val="hy-AM"/>
        </w:rPr>
        <w:t xml:space="preserve">Շրջակա միջավայրի վրա ազդեցության գնահատում և մոնիթորինգ </w:t>
      </w:r>
      <w:r w:rsidRPr="00A83C94">
        <w:rPr>
          <w:rFonts w:cs="IRTEK Courier"/>
          <w:b w:val="0"/>
          <w:lang w:val="hy-AM"/>
        </w:rPr>
        <w:t>ծ</w:t>
      </w:r>
      <w:r w:rsidRPr="00A83C94">
        <w:rPr>
          <w:rFonts w:cs="IRTEK Courier"/>
          <w:b w:val="0"/>
          <w:iCs/>
          <w:lang w:val="hy-AM"/>
        </w:rPr>
        <w:t xml:space="preserve">րագրի գծով </w:t>
      </w:r>
      <w:r w:rsidRPr="00A83C94">
        <w:rPr>
          <w:rFonts w:cs="Sylfaen"/>
          <w:b w:val="0"/>
          <w:lang w:val="fr-FR"/>
        </w:rPr>
        <w:t>2022 թվականին նախատեսվել է 1,687.0 մլն դրամ</w:t>
      </w:r>
      <w:r w:rsidR="00B92394" w:rsidRPr="00A83C94">
        <w:rPr>
          <w:rFonts w:cs="Sylfaen"/>
          <w:b w:val="0"/>
          <w:lang w:val="fr-FR"/>
        </w:rPr>
        <w:t>(ներառյալ կառավարման ապարատի պահպանման ծախսերը)</w:t>
      </w:r>
      <w:r w:rsidRPr="00A83C94">
        <w:rPr>
          <w:rFonts w:cs="Sylfaen"/>
          <w:b w:val="0"/>
          <w:lang w:val="fr-FR"/>
        </w:rPr>
        <w:t>:</w:t>
      </w:r>
    </w:p>
    <w:p w14:paraId="453E6981" w14:textId="77777777" w:rsidR="009C0AA0" w:rsidRPr="00A83C94" w:rsidRDefault="009C0AA0" w:rsidP="009C0AA0">
      <w:pPr>
        <w:tabs>
          <w:tab w:val="left" w:pos="851"/>
        </w:tabs>
        <w:autoSpaceDE w:val="0"/>
        <w:autoSpaceDN w:val="0"/>
        <w:adjustRightInd w:val="0"/>
        <w:spacing w:line="276" w:lineRule="auto"/>
        <w:ind w:firstLine="720"/>
        <w:rPr>
          <w:b w:val="0"/>
          <w:lang w:val="fr-FR"/>
        </w:rPr>
      </w:pPr>
      <w:r w:rsidRPr="00A83C94">
        <w:rPr>
          <w:rFonts w:cs="Sylfaen"/>
          <w:b w:val="0"/>
          <w:lang w:val="fr-FR"/>
        </w:rPr>
        <w:t>Ծրագրի</w:t>
      </w:r>
      <w:r w:rsidRPr="00A83C94">
        <w:rPr>
          <w:rFonts w:cs="IRTEK Courier"/>
          <w:b w:val="0"/>
          <w:iCs/>
          <w:lang w:val="hy-AM"/>
        </w:rPr>
        <w:t xml:space="preserve"> նպատակն է</w:t>
      </w:r>
      <w:r w:rsidRPr="00A83C94">
        <w:rPr>
          <w:rFonts w:cs="IRTEK Courier"/>
          <w:b w:val="0"/>
          <w:lang w:val="hy-AM"/>
        </w:rPr>
        <w:t xml:space="preserve"> </w:t>
      </w:r>
      <w:r w:rsidRPr="00A83C94">
        <w:rPr>
          <w:rFonts w:cs="IRTEK Courier"/>
          <w:b w:val="0"/>
          <w:iCs/>
          <w:lang w:val="hy-AM"/>
        </w:rPr>
        <w:t xml:space="preserve">նպաստել շրջակա միջավայրի և բնական ռեսուրսների (բացառությամբ օգտակար հանածոների) պահպանությանը՝ </w:t>
      </w:r>
      <w:r w:rsidRPr="00A83C94">
        <w:rPr>
          <w:rFonts w:cs="IRTEK Courier"/>
          <w:b w:val="0"/>
          <w:iCs/>
        </w:rPr>
        <w:t>վերջինիս</w:t>
      </w:r>
      <w:r w:rsidRPr="00A83C94">
        <w:rPr>
          <w:rFonts w:cs="IRTEK Courier"/>
          <w:b w:val="0"/>
          <w:iCs/>
          <w:lang w:val="hy-AM"/>
        </w:rPr>
        <w:t xml:space="preserve"> վերաբերյալ տեղեկատվության հրապարակմամբ:</w:t>
      </w:r>
      <w:r w:rsidRPr="00A83C94">
        <w:rPr>
          <w:rFonts w:cs="IRTEK Courier"/>
          <w:b w:val="0"/>
          <w:iCs/>
          <w:lang w:val="fr-FR"/>
        </w:rPr>
        <w:t xml:space="preserve">  </w:t>
      </w:r>
      <w:r w:rsidRPr="00A83C94">
        <w:rPr>
          <w:b w:val="0"/>
        </w:rPr>
        <w:t>Ծրագրի</w:t>
      </w:r>
      <w:r w:rsidRPr="00A83C94">
        <w:rPr>
          <w:b w:val="0"/>
          <w:lang w:val="fr-FR"/>
        </w:rPr>
        <w:t xml:space="preserve"> </w:t>
      </w:r>
      <w:r w:rsidRPr="00A83C94">
        <w:rPr>
          <w:b w:val="0"/>
          <w:lang w:val="hy-AM"/>
        </w:rPr>
        <w:t xml:space="preserve">շրջանակներում </w:t>
      </w:r>
      <w:r w:rsidRPr="00A83C94">
        <w:rPr>
          <w:b w:val="0"/>
        </w:rPr>
        <w:t>նախատեսվում</w:t>
      </w:r>
      <w:r w:rsidRPr="00A83C94">
        <w:rPr>
          <w:b w:val="0"/>
          <w:lang w:val="fr-FR"/>
        </w:rPr>
        <w:t xml:space="preserve"> </w:t>
      </w:r>
      <w:r w:rsidRPr="00A83C94">
        <w:rPr>
          <w:b w:val="0"/>
        </w:rPr>
        <w:t>է</w:t>
      </w:r>
      <w:r w:rsidRPr="00A83C94">
        <w:rPr>
          <w:b w:val="0"/>
          <w:lang w:val="fr-FR"/>
        </w:rPr>
        <w:t xml:space="preserve"> </w:t>
      </w:r>
      <w:r w:rsidRPr="00A83C94">
        <w:rPr>
          <w:b w:val="0"/>
        </w:rPr>
        <w:t>իրականացնել</w:t>
      </w:r>
      <w:r w:rsidRPr="00A83C94">
        <w:rPr>
          <w:b w:val="0"/>
          <w:lang w:val="fr-FR"/>
        </w:rPr>
        <w:t xml:space="preserve"> </w:t>
      </w:r>
      <w:r w:rsidRPr="00A83C94">
        <w:rPr>
          <w:b w:val="0"/>
        </w:rPr>
        <w:t>շ</w:t>
      </w:r>
      <w:r w:rsidRPr="00A83C94">
        <w:rPr>
          <w:rFonts w:cs="IRTEK Courier"/>
          <w:b w:val="0"/>
          <w:lang w:val="hy-AM"/>
        </w:rPr>
        <w:t>րջակա միջավայրի վրա ազդեցության գնահատ</w:t>
      </w:r>
      <w:r w:rsidRPr="00A83C94">
        <w:rPr>
          <w:rFonts w:cs="IRTEK Courier"/>
          <w:b w:val="0"/>
        </w:rPr>
        <w:t>ման</w:t>
      </w:r>
      <w:r w:rsidRPr="00A83C94">
        <w:rPr>
          <w:rFonts w:cs="IRTEK Courier"/>
          <w:b w:val="0"/>
          <w:lang w:val="fr-FR"/>
        </w:rPr>
        <w:t xml:space="preserve"> </w:t>
      </w:r>
      <w:r w:rsidRPr="00A83C94">
        <w:rPr>
          <w:rFonts w:cs="IRTEK Courier"/>
          <w:b w:val="0"/>
        </w:rPr>
        <w:t>նպատակով</w:t>
      </w:r>
      <w:r w:rsidRPr="00A83C94">
        <w:rPr>
          <w:rFonts w:cs="IRTEK Courier"/>
          <w:b w:val="0"/>
          <w:lang w:val="fr-FR"/>
        </w:rPr>
        <w:t xml:space="preserve"> 238 </w:t>
      </w:r>
      <w:r w:rsidRPr="00A83C94">
        <w:rPr>
          <w:rFonts w:cs="IRTEK Courier"/>
          <w:b w:val="0"/>
        </w:rPr>
        <w:t>հայտերի</w:t>
      </w:r>
      <w:r w:rsidRPr="00A83C94">
        <w:rPr>
          <w:rFonts w:cs="IRTEK Courier"/>
          <w:b w:val="0"/>
          <w:lang w:val="fr-FR"/>
        </w:rPr>
        <w:t xml:space="preserve"> </w:t>
      </w:r>
      <w:r w:rsidRPr="00A83C94">
        <w:rPr>
          <w:rFonts w:cs="IRTEK Courier"/>
          <w:b w:val="0"/>
        </w:rPr>
        <w:t>գնահատման</w:t>
      </w:r>
      <w:r w:rsidRPr="00A83C94">
        <w:rPr>
          <w:rFonts w:cs="IRTEK Courier"/>
          <w:b w:val="0"/>
          <w:lang w:val="fr-FR"/>
        </w:rPr>
        <w:t>,</w:t>
      </w:r>
      <w:r w:rsidRPr="00A83C94">
        <w:rPr>
          <w:b w:val="0"/>
          <w:lang w:val="hy-AM"/>
        </w:rPr>
        <w:t xml:space="preserve"> փորձաքննության </w:t>
      </w:r>
      <w:r w:rsidRPr="00A83C94">
        <w:rPr>
          <w:rFonts w:cs="IRTEK Courier"/>
          <w:b w:val="0"/>
        </w:rPr>
        <w:t>և</w:t>
      </w:r>
      <w:r w:rsidRPr="00A83C94">
        <w:rPr>
          <w:rFonts w:cs="IRTEK Courier"/>
          <w:b w:val="0"/>
          <w:lang w:val="fr-FR"/>
        </w:rPr>
        <w:t xml:space="preserve"> </w:t>
      </w:r>
      <w:r w:rsidRPr="00A83C94">
        <w:rPr>
          <w:rFonts w:cs="IRTEK Courier"/>
          <w:b w:val="0"/>
        </w:rPr>
        <w:t>եզրակացությունների</w:t>
      </w:r>
      <w:r w:rsidRPr="00A83C94">
        <w:rPr>
          <w:rFonts w:cs="IRTEK Courier"/>
          <w:b w:val="0"/>
          <w:lang w:val="fr-FR"/>
        </w:rPr>
        <w:t xml:space="preserve"> </w:t>
      </w:r>
      <w:r w:rsidRPr="00A83C94">
        <w:rPr>
          <w:rFonts w:cs="IRTEK Courier"/>
          <w:b w:val="0"/>
        </w:rPr>
        <w:t>տրամադրման</w:t>
      </w:r>
      <w:r w:rsidRPr="00A83C94">
        <w:rPr>
          <w:b w:val="0"/>
          <w:lang w:val="fr-FR"/>
        </w:rPr>
        <w:t>,</w:t>
      </w:r>
      <w:r w:rsidRPr="00A83C94">
        <w:rPr>
          <w:rFonts w:cs="IRTEK Courier"/>
          <w:b w:val="0"/>
          <w:lang w:val="fr-FR"/>
        </w:rPr>
        <w:t xml:space="preserve"> 145 </w:t>
      </w:r>
      <w:r w:rsidRPr="00A83C94">
        <w:rPr>
          <w:rFonts w:cs="IRTEK Courier"/>
          <w:b w:val="0"/>
        </w:rPr>
        <w:t>հայտերի</w:t>
      </w:r>
      <w:r w:rsidRPr="00A83C94">
        <w:rPr>
          <w:rFonts w:cs="IRTEK Courier"/>
          <w:b w:val="0"/>
          <w:lang w:val="fr-FR"/>
        </w:rPr>
        <w:t xml:space="preserve"> </w:t>
      </w:r>
      <w:r w:rsidRPr="00A83C94">
        <w:rPr>
          <w:rFonts w:cs="IRTEK Courier"/>
          <w:b w:val="0"/>
        </w:rPr>
        <w:t>տեխնիկական</w:t>
      </w:r>
      <w:r w:rsidRPr="00A83C94">
        <w:rPr>
          <w:rFonts w:cs="IRTEK Courier"/>
          <w:b w:val="0"/>
          <w:lang w:val="fr-FR"/>
        </w:rPr>
        <w:t xml:space="preserve"> </w:t>
      </w:r>
      <w:r w:rsidRPr="00A83C94">
        <w:rPr>
          <w:rFonts w:cs="IRTEK Courier"/>
          <w:b w:val="0"/>
        </w:rPr>
        <w:t>առաջադրանքների</w:t>
      </w:r>
      <w:r w:rsidRPr="00A83C94">
        <w:rPr>
          <w:rFonts w:cs="IRTEK Courier"/>
          <w:b w:val="0"/>
          <w:lang w:val="fr-FR"/>
        </w:rPr>
        <w:t xml:space="preserve"> </w:t>
      </w:r>
      <w:r w:rsidRPr="00A83C94">
        <w:rPr>
          <w:rFonts w:cs="IRTEK Courier"/>
          <w:b w:val="0"/>
        </w:rPr>
        <w:t>կազմման</w:t>
      </w:r>
      <w:r w:rsidRPr="00A83C94">
        <w:rPr>
          <w:rFonts w:cs="IRTEK Courier"/>
          <w:b w:val="0"/>
          <w:lang w:val="fr-FR"/>
        </w:rPr>
        <w:t xml:space="preserve"> </w:t>
      </w:r>
      <w:r w:rsidRPr="00A83C94">
        <w:rPr>
          <w:rFonts w:cs="IRTEK Courier"/>
          <w:b w:val="0"/>
        </w:rPr>
        <w:t>աշխատանքներ</w:t>
      </w:r>
      <w:r w:rsidRPr="00A83C94">
        <w:rPr>
          <w:rFonts w:cs="IRTEK Courier"/>
          <w:b w:val="0"/>
          <w:lang w:val="fr-FR"/>
        </w:rPr>
        <w:t xml:space="preserve">, </w:t>
      </w:r>
      <w:r w:rsidRPr="00A83C94">
        <w:rPr>
          <w:b w:val="0"/>
          <w:lang w:val="hy-AM"/>
        </w:rPr>
        <w:t>հիդրոօդերևու</w:t>
      </w:r>
      <w:r w:rsidRPr="00A83C94">
        <w:rPr>
          <w:b w:val="0"/>
          <w:lang w:val="hy-AM"/>
        </w:rPr>
        <w:softHyphen/>
        <w:t>թաբանական աշխատանքներ` մթնոլորտի և ջրոլորտի ուսումնա</w:t>
      </w:r>
      <w:r w:rsidRPr="00A83C94">
        <w:rPr>
          <w:b w:val="0"/>
          <w:lang w:val="hy-AM"/>
        </w:rPr>
        <w:softHyphen/>
        <w:t>սիրու</w:t>
      </w:r>
      <w:r w:rsidRPr="00A83C94">
        <w:rPr>
          <w:b w:val="0"/>
          <w:lang w:val="hy-AM"/>
        </w:rPr>
        <w:softHyphen/>
        <w:t>թյունների ձևով`</w:t>
      </w:r>
      <w:r w:rsidRPr="00A83C94">
        <w:rPr>
          <w:b w:val="0"/>
          <w:lang w:val="fr-FR"/>
        </w:rPr>
        <w:t xml:space="preserve"> </w:t>
      </w:r>
      <w:r w:rsidRPr="00A83C94">
        <w:rPr>
          <w:rFonts w:cs="IRTEK Courier"/>
          <w:b w:val="0"/>
        </w:rPr>
        <w:t>շուրջ</w:t>
      </w:r>
      <w:r w:rsidRPr="00A83C94">
        <w:rPr>
          <w:rFonts w:cs="IRTEK Courier"/>
          <w:b w:val="0"/>
          <w:lang w:val="fr-FR"/>
        </w:rPr>
        <w:t xml:space="preserve"> 212,006 </w:t>
      </w:r>
      <w:r w:rsidRPr="00A83C94">
        <w:rPr>
          <w:rFonts w:cs="IRTEK Courier"/>
          <w:b w:val="0"/>
        </w:rPr>
        <w:t>հիդրոօդերևութաբանական</w:t>
      </w:r>
      <w:r w:rsidRPr="00A83C94">
        <w:rPr>
          <w:rFonts w:cs="IRTEK Courier"/>
          <w:b w:val="0"/>
          <w:lang w:val="fr-FR"/>
        </w:rPr>
        <w:t xml:space="preserve"> </w:t>
      </w:r>
      <w:r w:rsidRPr="00A83C94">
        <w:rPr>
          <w:rFonts w:cs="IRTEK Courier"/>
          <w:b w:val="0"/>
        </w:rPr>
        <w:t>և</w:t>
      </w:r>
      <w:r w:rsidRPr="00A83C94">
        <w:rPr>
          <w:rFonts w:cs="IRTEK Courier"/>
          <w:b w:val="0"/>
          <w:lang w:val="fr-FR"/>
        </w:rPr>
        <w:t xml:space="preserve"> 15,700 </w:t>
      </w:r>
      <w:r w:rsidRPr="00A83C94">
        <w:rPr>
          <w:rFonts w:cs="IRTEK Courier"/>
          <w:b w:val="0"/>
        </w:rPr>
        <w:t>օզոնոմետրիական</w:t>
      </w:r>
      <w:r w:rsidRPr="00A83C94">
        <w:rPr>
          <w:rFonts w:cs="IRTEK Courier"/>
          <w:b w:val="0"/>
          <w:lang w:val="fr-FR"/>
        </w:rPr>
        <w:t xml:space="preserve">, </w:t>
      </w:r>
      <w:r w:rsidRPr="00A83C94">
        <w:rPr>
          <w:rFonts w:cs="IRTEK Courier"/>
          <w:b w:val="0"/>
        </w:rPr>
        <w:t>ռադիոլոգիական</w:t>
      </w:r>
      <w:r w:rsidRPr="00A83C94">
        <w:rPr>
          <w:rFonts w:cs="IRTEK Courier"/>
          <w:b w:val="0"/>
          <w:lang w:val="fr-FR"/>
        </w:rPr>
        <w:t xml:space="preserve"> </w:t>
      </w:r>
      <w:r w:rsidRPr="00A83C94">
        <w:rPr>
          <w:rFonts w:cs="IRTEK Courier"/>
          <w:b w:val="0"/>
        </w:rPr>
        <w:t>դիտարկումների</w:t>
      </w:r>
      <w:r w:rsidRPr="00A83C94">
        <w:rPr>
          <w:rFonts w:cs="IRTEK Courier"/>
          <w:b w:val="0"/>
          <w:lang w:val="fr-FR"/>
        </w:rPr>
        <w:t xml:space="preserve"> </w:t>
      </w:r>
      <w:r w:rsidRPr="00A83C94">
        <w:rPr>
          <w:rFonts w:cs="IRTEK Courier"/>
          <w:b w:val="0"/>
        </w:rPr>
        <w:t>իրականացում</w:t>
      </w:r>
      <w:r w:rsidRPr="00A83C94">
        <w:rPr>
          <w:rFonts w:cs="IRTEK Courier"/>
          <w:b w:val="0"/>
          <w:lang w:val="fr-FR"/>
        </w:rPr>
        <w:t xml:space="preserve">, </w:t>
      </w:r>
      <w:r w:rsidRPr="00A83C94">
        <w:rPr>
          <w:b w:val="0"/>
          <w:lang w:val="hy-AM"/>
        </w:rPr>
        <w:t>փաստացի և սպաս</w:t>
      </w:r>
      <w:r w:rsidRPr="00A83C94">
        <w:rPr>
          <w:b w:val="0"/>
          <w:lang w:val="hy-AM"/>
        </w:rPr>
        <w:softHyphen/>
        <w:t>վող փոփոխությունների, ինչպես նաև դրանց հնարավոր հետևանքների մասին անհրա</w:t>
      </w:r>
      <w:r w:rsidRPr="00A83C94">
        <w:rPr>
          <w:b w:val="0"/>
          <w:lang w:val="hy-AM"/>
        </w:rPr>
        <w:softHyphen/>
        <w:t>ժեշտ տեղե</w:t>
      </w:r>
      <w:r w:rsidRPr="00A83C94">
        <w:rPr>
          <w:b w:val="0"/>
          <w:lang w:val="hy-AM"/>
        </w:rPr>
        <w:softHyphen/>
        <w:t>կատվության ապահովում և մթնոլորտային երևույթների կառավարում</w:t>
      </w:r>
      <w:r w:rsidRPr="00A83C94">
        <w:rPr>
          <w:b w:val="0"/>
          <w:lang w:val="fr-FR"/>
        </w:rPr>
        <w:t>:</w:t>
      </w:r>
    </w:p>
    <w:p w14:paraId="06626072" w14:textId="77777777" w:rsidR="009C0AA0" w:rsidRPr="00A83C94" w:rsidRDefault="009C0AA0" w:rsidP="009C0AA0">
      <w:pPr>
        <w:tabs>
          <w:tab w:val="left" w:pos="851"/>
        </w:tabs>
        <w:autoSpaceDE w:val="0"/>
        <w:autoSpaceDN w:val="0"/>
        <w:adjustRightInd w:val="0"/>
        <w:spacing w:line="276" w:lineRule="auto"/>
        <w:ind w:firstLine="720"/>
        <w:rPr>
          <w:rFonts w:cs="Sylfaen"/>
          <w:b w:val="0"/>
          <w:lang w:val="fr-FR"/>
        </w:rPr>
      </w:pPr>
      <w:r w:rsidRPr="00A83C94">
        <w:rPr>
          <w:rFonts w:cs="IRTEK Courier"/>
          <w:lang w:val="hy-AM"/>
        </w:rPr>
        <w:t>Բնապահպանական ծրագրերի իրականացում համայնքներում</w:t>
      </w:r>
      <w:r w:rsidRPr="00A83C94">
        <w:rPr>
          <w:rFonts w:cs="IRTEK Courier"/>
          <w:b w:val="0"/>
          <w:lang w:val="hy-AM"/>
        </w:rPr>
        <w:t xml:space="preserve"> ծրագրի </w:t>
      </w:r>
      <w:r w:rsidRPr="00A83C94">
        <w:rPr>
          <w:rFonts w:cs="IRTEK Courier"/>
          <w:b w:val="0"/>
          <w:iCs/>
        </w:rPr>
        <w:t>գծով</w:t>
      </w:r>
      <w:r w:rsidRPr="00A83C94">
        <w:rPr>
          <w:rFonts w:cs="IRTEK Courier"/>
          <w:b w:val="0"/>
          <w:iCs/>
          <w:lang w:val="fr-FR"/>
        </w:rPr>
        <w:t xml:space="preserve"> </w:t>
      </w:r>
      <w:r w:rsidRPr="00A83C94">
        <w:rPr>
          <w:rFonts w:cs="Sylfaen"/>
          <w:b w:val="0"/>
          <w:lang w:val="fr-FR"/>
        </w:rPr>
        <w:t>2022 թվականին նախատեսվել է 108.2 մլն դրամ</w:t>
      </w:r>
      <w:r w:rsidRPr="00A83C94">
        <w:rPr>
          <w:rFonts w:cs="Calibri"/>
          <w:b w:val="0"/>
          <w:lang w:val="fr-FR"/>
        </w:rPr>
        <w:t>:</w:t>
      </w:r>
    </w:p>
    <w:p w14:paraId="071A9C15" w14:textId="77777777" w:rsidR="009C0AA0" w:rsidRPr="00A83C94" w:rsidRDefault="009C0AA0" w:rsidP="009C0AA0">
      <w:pPr>
        <w:tabs>
          <w:tab w:val="left" w:pos="851"/>
        </w:tabs>
        <w:autoSpaceDE w:val="0"/>
        <w:autoSpaceDN w:val="0"/>
        <w:adjustRightInd w:val="0"/>
        <w:spacing w:line="276" w:lineRule="auto"/>
        <w:ind w:firstLine="720"/>
        <w:rPr>
          <w:rFonts w:cs="Sylfaen"/>
          <w:b w:val="0"/>
          <w:lang w:val="hy-AM"/>
        </w:rPr>
      </w:pPr>
      <w:r w:rsidRPr="00A83C94">
        <w:rPr>
          <w:rFonts w:cs="Sylfaen"/>
          <w:b w:val="0"/>
          <w:lang w:val="fr-FR"/>
        </w:rPr>
        <w:t>Ծրագրի նպատակն է մեղմել հանքարդյունաբերության ոլորտում տնտեսական գործունեության հետևանքով շրջակա միջավայրին և բնակչության առողջությանը պատճառված վնասները</w:t>
      </w:r>
      <w:r w:rsidRPr="00A83C94">
        <w:rPr>
          <w:rFonts w:ascii="Calibri" w:hAnsi="Calibri" w:cs="Calibri"/>
          <w:b w:val="0"/>
          <w:lang w:val="fr-FR"/>
        </w:rPr>
        <w:t> </w:t>
      </w:r>
      <w:r w:rsidRPr="00A83C94">
        <w:rPr>
          <w:rFonts w:cs="Sylfaen"/>
          <w:b w:val="0"/>
          <w:lang w:val="fr-FR"/>
        </w:rPr>
        <w:t>: Ն</w:t>
      </w:r>
      <w:r w:rsidRPr="00A83C94">
        <w:rPr>
          <w:rFonts w:cs="Sylfaen"/>
          <w:b w:val="0"/>
        </w:rPr>
        <w:t>ախատեսվում</w:t>
      </w:r>
      <w:r w:rsidRPr="00A83C94">
        <w:rPr>
          <w:rFonts w:cs="Sylfaen"/>
          <w:b w:val="0"/>
          <w:lang w:val="fr-FR"/>
        </w:rPr>
        <w:t xml:space="preserve"> </w:t>
      </w:r>
      <w:r w:rsidRPr="00A83C94">
        <w:rPr>
          <w:rFonts w:cs="Sylfaen"/>
          <w:b w:val="0"/>
        </w:rPr>
        <w:t>է</w:t>
      </w:r>
      <w:r w:rsidRPr="00A83C94">
        <w:rPr>
          <w:rFonts w:cs="Sylfaen"/>
          <w:b w:val="0"/>
          <w:lang w:val="fr-FR"/>
        </w:rPr>
        <w:t xml:space="preserve"> </w:t>
      </w:r>
      <w:r w:rsidRPr="00A83C94">
        <w:rPr>
          <w:rFonts w:cs="Sylfaen"/>
          <w:b w:val="0"/>
          <w:lang w:val="hy-AM"/>
        </w:rPr>
        <w:t>«Ընկերությունների կողմից վճարվող բնապահպանական հարկի նպատակային օգտագործման մասին» ՀՀ օրենքի համաձայն ՀՀ թվով 7 համայնքների տրամադրե</w:t>
      </w:r>
      <w:r w:rsidRPr="00A83C94">
        <w:rPr>
          <w:rFonts w:cs="Sylfaen"/>
          <w:b w:val="0"/>
        </w:rPr>
        <w:t>լ</w:t>
      </w:r>
      <w:r w:rsidRPr="00A83C94">
        <w:rPr>
          <w:rFonts w:cs="Sylfaen"/>
          <w:b w:val="0"/>
          <w:lang w:val="hy-AM"/>
        </w:rPr>
        <w:t xml:space="preserve"> սուբվենցիաներ</w:t>
      </w:r>
      <w:r w:rsidRPr="00A83C94">
        <w:rPr>
          <w:rFonts w:cs="Sylfaen"/>
          <w:b w:val="0"/>
        </w:rPr>
        <w:t>՝</w:t>
      </w:r>
      <w:r w:rsidRPr="00A83C94">
        <w:rPr>
          <w:rFonts w:cs="Sylfaen"/>
          <w:b w:val="0"/>
          <w:lang w:val="hy-AM"/>
        </w:rPr>
        <w:t xml:space="preserve"> բնապահպանական ծրագրերի իրականացման համար:</w:t>
      </w:r>
    </w:p>
    <w:p w14:paraId="22E27A9E" w14:textId="77777777" w:rsidR="009C0AA0" w:rsidRPr="00A83C94" w:rsidRDefault="009C0AA0" w:rsidP="009C0AA0">
      <w:pPr>
        <w:spacing w:line="276" w:lineRule="auto"/>
        <w:rPr>
          <w:rFonts w:cs="Sylfaen"/>
          <w:b w:val="0"/>
          <w:lang w:val="hy-AM"/>
        </w:rPr>
      </w:pPr>
      <w:r w:rsidRPr="00A83C94">
        <w:rPr>
          <w:rFonts w:cs="Sylfaen"/>
          <w:lang w:val="hy-AM"/>
        </w:rPr>
        <w:t>Բնական պաշարների և բնության հատուկ պահպանվող տարածքների կառավարում և պահպանում</w:t>
      </w:r>
      <w:r w:rsidRPr="00A83C94">
        <w:rPr>
          <w:rFonts w:cs="Sylfaen"/>
          <w:b w:val="0"/>
          <w:lang w:val="hy-AM"/>
        </w:rPr>
        <w:t xml:space="preserve"> ծրագրի գծով 2022 թվականին նախատեսվել է 1,292,2</w:t>
      </w:r>
      <w:r w:rsidRPr="00A83C94">
        <w:rPr>
          <w:rFonts w:cs="Sylfaen"/>
          <w:b w:val="0"/>
          <w:lang w:val="af-ZA"/>
        </w:rPr>
        <w:t xml:space="preserve"> </w:t>
      </w:r>
      <w:r w:rsidRPr="00A83C94">
        <w:rPr>
          <w:rFonts w:cs="Sylfaen"/>
          <w:b w:val="0"/>
          <w:lang w:val="hy-AM"/>
        </w:rPr>
        <w:t>մլն</w:t>
      </w:r>
      <w:r w:rsidRPr="00A83C94">
        <w:rPr>
          <w:rFonts w:cs="Sylfaen"/>
          <w:b w:val="0"/>
          <w:lang w:val="af-ZA"/>
        </w:rPr>
        <w:t xml:space="preserve"> </w:t>
      </w:r>
      <w:r w:rsidRPr="00A83C94">
        <w:rPr>
          <w:rFonts w:cs="Sylfaen"/>
          <w:b w:val="0"/>
          <w:lang w:val="hy-AM"/>
        </w:rPr>
        <w:t>դրամ:</w:t>
      </w:r>
    </w:p>
    <w:p w14:paraId="6586C096" w14:textId="77777777" w:rsidR="009C0AA0" w:rsidRPr="00A83C94" w:rsidRDefault="009C0AA0" w:rsidP="009C0AA0">
      <w:pPr>
        <w:spacing w:line="276" w:lineRule="auto"/>
        <w:rPr>
          <w:rFonts w:cs="Sylfaen"/>
          <w:b w:val="0"/>
          <w:lang w:val="hy-AM"/>
        </w:rPr>
      </w:pPr>
      <w:r w:rsidRPr="00A83C94">
        <w:rPr>
          <w:rFonts w:cs="Sylfaen"/>
          <w:b w:val="0"/>
          <w:lang w:val="hy-AM"/>
        </w:rPr>
        <w:t>Ծրագրի նպատակն է ապահովել բնական պաշարների և կենսաբազմազանության արդյունավետ կառավարումն ու պահպանությունը՝ ակնկալելով ապահովել բնական պաշարների և կենսաբազմազանության վերարտադրության աճը: Ծրագրի շրջանակներում նախատեսվում է մաքրել</w:t>
      </w:r>
      <w:r w:rsidRPr="00A83C94">
        <w:rPr>
          <w:rFonts w:cs="Sylfaen"/>
          <w:b w:val="0"/>
          <w:lang w:val="af-ZA"/>
        </w:rPr>
        <w:t xml:space="preserve"> </w:t>
      </w:r>
      <w:r w:rsidRPr="00A83C94">
        <w:rPr>
          <w:rFonts w:cs="Sylfaen"/>
          <w:b w:val="0"/>
          <w:lang w:val="hy-AM"/>
        </w:rPr>
        <w:t>Սևանա</w:t>
      </w:r>
      <w:r w:rsidRPr="00A83C94">
        <w:rPr>
          <w:rFonts w:cs="Sylfaen"/>
          <w:b w:val="0"/>
          <w:lang w:val="af-ZA"/>
        </w:rPr>
        <w:t xml:space="preserve"> </w:t>
      </w:r>
      <w:r w:rsidRPr="00A83C94">
        <w:rPr>
          <w:rFonts w:cs="Sylfaen"/>
          <w:b w:val="0"/>
          <w:lang w:val="hy-AM"/>
        </w:rPr>
        <w:t>լճի</w:t>
      </w:r>
      <w:r w:rsidRPr="00A83C94">
        <w:rPr>
          <w:rFonts w:cs="Sylfaen"/>
          <w:b w:val="0"/>
          <w:lang w:val="af-ZA"/>
        </w:rPr>
        <w:t xml:space="preserve"> </w:t>
      </w:r>
      <w:r w:rsidRPr="00A83C94">
        <w:rPr>
          <w:rFonts w:cs="Sylfaen"/>
          <w:b w:val="0"/>
          <w:lang w:val="hy-AM"/>
        </w:rPr>
        <w:t>շրջակայքի</w:t>
      </w:r>
      <w:r w:rsidRPr="00A83C94">
        <w:rPr>
          <w:rFonts w:cs="Sylfaen"/>
          <w:b w:val="0"/>
          <w:lang w:val="af-ZA"/>
        </w:rPr>
        <w:t xml:space="preserve"> </w:t>
      </w:r>
      <w:r w:rsidRPr="00A83C94">
        <w:rPr>
          <w:rFonts w:cs="Sylfaen"/>
          <w:b w:val="0"/>
          <w:lang w:val="hy-AM"/>
        </w:rPr>
        <w:t>244</w:t>
      </w:r>
      <w:r w:rsidRPr="00A83C94">
        <w:rPr>
          <w:rFonts w:cs="Sylfaen"/>
          <w:b w:val="0"/>
          <w:lang w:val="af-ZA"/>
        </w:rPr>
        <w:t xml:space="preserve"> </w:t>
      </w:r>
      <w:r w:rsidRPr="00A83C94">
        <w:rPr>
          <w:rFonts w:cs="Sylfaen"/>
          <w:b w:val="0"/>
          <w:lang w:val="hy-AM"/>
        </w:rPr>
        <w:t>հա</w:t>
      </w:r>
      <w:r w:rsidRPr="00A83C94">
        <w:rPr>
          <w:rFonts w:cs="Sylfaen"/>
          <w:b w:val="0"/>
          <w:lang w:val="af-ZA"/>
        </w:rPr>
        <w:t xml:space="preserve"> </w:t>
      </w:r>
      <w:r w:rsidRPr="00A83C94">
        <w:rPr>
          <w:rFonts w:cs="Sylfaen"/>
          <w:b w:val="0"/>
          <w:lang w:val="hy-AM"/>
        </w:rPr>
        <w:t>ջրածածկ</w:t>
      </w:r>
      <w:r w:rsidRPr="00A83C94">
        <w:rPr>
          <w:rFonts w:cs="Sylfaen"/>
          <w:b w:val="0"/>
          <w:lang w:val="af-ZA"/>
        </w:rPr>
        <w:t xml:space="preserve"> </w:t>
      </w:r>
      <w:r w:rsidRPr="00A83C94">
        <w:rPr>
          <w:rFonts w:cs="Sylfaen"/>
          <w:b w:val="0"/>
          <w:lang w:val="hy-AM"/>
        </w:rPr>
        <w:t xml:space="preserve">անտառտնկարկներ, </w:t>
      </w:r>
      <w:r w:rsidRPr="00A83C94">
        <w:rPr>
          <w:b w:val="0"/>
          <w:lang w:val="hy-AM"/>
        </w:rPr>
        <w:t xml:space="preserve">իրականացնել Uևանա լճի ջրահավաք ավազանի կենդանական ռեuուրuների (ձկան և խեցգետնի) պաշարների հաշվառման, </w:t>
      </w:r>
      <w:r w:rsidRPr="00A83C94">
        <w:rPr>
          <w:rFonts w:cs="IRTEK Courier"/>
          <w:b w:val="0"/>
          <w:lang w:val="pt-BR"/>
        </w:rPr>
        <w:t>«Սևան»,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328.1 հազ. հա տարածքների պահպանման, Սևանա լճի տարածքում գտնվող 3 հանրային լողափերի սպասարկման և պահպանման աշխատանքներ:</w:t>
      </w:r>
    </w:p>
    <w:p w14:paraId="7D971560" w14:textId="77777777" w:rsidR="009C0AA0" w:rsidRPr="00A83C94" w:rsidRDefault="009C0AA0" w:rsidP="009C0AA0">
      <w:pPr>
        <w:spacing w:line="276" w:lineRule="auto"/>
        <w:rPr>
          <w:rFonts w:cs="Sylfaen"/>
          <w:b w:val="0"/>
          <w:lang w:val="hy-AM"/>
        </w:rPr>
      </w:pPr>
      <w:r w:rsidRPr="00A83C94">
        <w:rPr>
          <w:rFonts w:cs="Sylfaen"/>
          <w:lang w:val="hy-AM"/>
        </w:rPr>
        <w:t>Անտառների կառավարում</w:t>
      </w:r>
      <w:r w:rsidRPr="00A83C94">
        <w:rPr>
          <w:rFonts w:cs="Sylfaen"/>
          <w:b w:val="0"/>
          <w:lang w:val="hy-AM"/>
        </w:rPr>
        <w:t xml:space="preserve"> ծրագրի գծով 2022 թվականին նախատեսվել է 1,980.7 մլն դրամ: </w:t>
      </w:r>
    </w:p>
    <w:p w14:paraId="281C10BE" w14:textId="77777777" w:rsidR="009C0AA0" w:rsidRPr="00A83C94" w:rsidRDefault="009C0AA0" w:rsidP="009C0AA0">
      <w:pPr>
        <w:spacing w:line="276" w:lineRule="auto"/>
        <w:rPr>
          <w:rFonts w:cs="Sylfaen"/>
          <w:b w:val="0"/>
          <w:lang w:val="hy-AM"/>
        </w:rPr>
      </w:pPr>
      <w:r w:rsidRPr="00A83C94">
        <w:rPr>
          <w:rFonts w:cs="Sylfaen"/>
          <w:b w:val="0"/>
          <w:lang w:val="hy-AM"/>
        </w:rPr>
        <w:t>Ծրագրի նպատակն է ապահովել անտառային տարածքների կայուն կառավարումը՝ նպաստելով կայուն կառավարվող անտառային տարածքների աճին: Ծրագրի շրջանակներում նախատեսվում է իրականացնել «</w:t>
      </w:r>
      <w:r w:rsidRPr="00A83C94">
        <w:rPr>
          <w:b w:val="0"/>
          <w:lang w:val="hy-AM"/>
        </w:rPr>
        <w:t>Հայանտառ</w:t>
      </w:r>
      <w:r w:rsidRPr="00A83C94">
        <w:rPr>
          <w:b w:val="0"/>
          <w:lang w:val="af-ZA"/>
        </w:rPr>
        <w:t xml:space="preserve">» </w:t>
      </w:r>
      <w:r w:rsidRPr="00A83C94">
        <w:rPr>
          <w:b w:val="0"/>
          <w:lang w:val="hy-AM"/>
        </w:rPr>
        <w:t>ՊՈԱԿ</w:t>
      </w:r>
      <w:r w:rsidRPr="00A83C94">
        <w:rPr>
          <w:b w:val="0"/>
          <w:lang w:val="af-ZA"/>
        </w:rPr>
        <w:t>-</w:t>
      </w:r>
      <w:r w:rsidRPr="00A83C94">
        <w:rPr>
          <w:b w:val="0"/>
          <w:lang w:val="hy-AM"/>
        </w:rPr>
        <w:t>ի</w:t>
      </w:r>
      <w:r w:rsidRPr="00A83C94">
        <w:rPr>
          <w:b w:val="0"/>
          <w:lang w:val="af-ZA"/>
        </w:rPr>
        <w:t xml:space="preserve"> </w:t>
      </w:r>
      <w:r w:rsidRPr="00A83C94">
        <w:rPr>
          <w:b w:val="0"/>
          <w:lang w:val="hy-AM"/>
        </w:rPr>
        <w:t>իրավասության</w:t>
      </w:r>
      <w:r w:rsidRPr="00A83C94">
        <w:rPr>
          <w:b w:val="0"/>
          <w:lang w:val="af-ZA"/>
        </w:rPr>
        <w:t xml:space="preserve"> </w:t>
      </w:r>
      <w:r w:rsidRPr="00A83C94">
        <w:rPr>
          <w:b w:val="0"/>
          <w:lang w:val="hy-AM"/>
        </w:rPr>
        <w:t>ներքո</w:t>
      </w:r>
      <w:r w:rsidRPr="00A83C94">
        <w:rPr>
          <w:b w:val="0"/>
          <w:lang w:val="af-ZA"/>
        </w:rPr>
        <w:t xml:space="preserve"> </w:t>
      </w:r>
      <w:r w:rsidRPr="00A83C94">
        <w:rPr>
          <w:b w:val="0"/>
          <w:lang w:val="hy-AM"/>
        </w:rPr>
        <w:t>գտնվող</w:t>
      </w:r>
      <w:r w:rsidRPr="00A83C94">
        <w:rPr>
          <w:b w:val="0"/>
          <w:lang w:val="af-ZA"/>
        </w:rPr>
        <w:t xml:space="preserve"> </w:t>
      </w:r>
      <w:r w:rsidRPr="00A83C94">
        <w:rPr>
          <w:b w:val="0"/>
          <w:lang w:val="hy-AM"/>
        </w:rPr>
        <w:t>անտառային</w:t>
      </w:r>
      <w:r w:rsidRPr="00A83C94">
        <w:rPr>
          <w:b w:val="0"/>
          <w:lang w:val="af-ZA"/>
        </w:rPr>
        <w:t xml:space="preserve"> 342,400 </w:t>
      </w:r>
      <w:r w:rsidRPr="00A83C94">
        <w:rPr>
          <w:b w:val="0"/>
          <w:lang w:val="hy-AM"/>
        </w:rPr>
        <w:t>հա</w:t>
      </w:r>
      <w:r w:rsidRPr="00A83C94">
        <w:rPr>
          <w:b w:val="0"/>
          <w:lang w:val="af-ZA"/>
        </w:rPr>
        <w:t xml:space="preserve"> </w:t>
      </w:r>
      <w:r w:rsidRPr="00A83C94">
        <w:rPr>
          <w:b w:val="0"/>
          <w:lang w:val="hy-AM"/>
        </w:rPr>
        <w:t>տարածքների</w:t>
      </w:r>
      <w:r w:rsidRPr="00A83C94">
        <w:rPr>
          <w:b w:val="0"/>
          <w:lang w:val="af-ZA"/>
        </w:rPr>
        <w:t xml:space="preserve"> </w:t>
      </w:r>
      <w:r w:rsidRPr="00A83C94">
        <w:rPr>
          <w:b w:val="0"/>
          <w:lang w:val="hy-AM"/>
        </w:rPr>
        <w:t xml:space="preserve">պահպանում, </w:t>
      </w:r>
      <w:r w:rsidRPr="00A83C94">
        <w:rPr>
          <w:b w:val="0"/>
          <w:lang w:val="af-ZA"/>
        </w:rPr>
        <w:t>«</w:t>
      </w:r>
      <w:r w:rsidRPr="00A83C94">
        <w:rPr>
          <w:b w:val="0"/>
          <w:lang w:val="hy-AM"/>
        </w:rPr>
        <w:t>Հայանտառ</w:t>
      </w:r>
      <w:r w:rsidRPr="00A83C94">
        <w:rPr>
          <w:b w:val="0"/>
          <w:lang w:val="af-ZA"/>
        </w:rPr>
        <w:t xml:space="preserve">» </w:t>
      </w:r>
      <w:r w:rsidRPr="00A83C94">
        <w:rPr>
          <w:b w:val="0"/>
          <w:lang w:val="hy-AM"/>
        </w:rPr>
        <w:t>ՊՈԱԿ</w:t>
      </w:r>
      <w:r w:rsidRPr="00A83C94">
        <w:rPr>
          <w:b w:val="0"/>
          <w:lang w:val="af-ZA"/>
        </w:rPr>
        <w:t>-</w:t>
      </w:r>
      <w:r w:rsidRPr="00A83C94">
        <w:rPr>
          <w:b w:val="0"/>
          <w:lang w:val="hy-AM"/>
        </w:rPr>
        <w:t>ի</w:t>
      </w:r>
      <w:r w:rsidRPr="00A83C94">
        <w:rPr>
          <w:b w:val="0"/>
          <w:lang w:val="af-ZA"/>
        </w:rPr>
        <w:t xml:space="preserve"> </w:t>
      </w:r>
      <w:r w:rsidRPr="00A83C94">
        <w:rPr>
          <w:b w:val="0"/>
          <w:lang w:val="hy-AM"/>
        </w:rPr>
        <w:t>մասնաճյուղերի</w:t>
      </w:r>
      <w:r w:rsidRPr="00A83C94">
        <w:rPr>
          <w:b w:val="0"/>
          <w:lang w:val="af-ZA"/>
        </w:rPr>
        <w:t xml:space="preserve"> </w:t>
      </w:r>
      <w:r w:rsidRPr="00A83C94">
        <w:rPr>
          <w:b w:val="0"/>
          <w:lang w:val="hy-AM"/>
        </w:rPr>
        <w:t>անտառածածկ</w:t>
      </w:r>
      <w:r w:rsidRPr="00A83C94">
        <w:rPr>
          <w:b w:val="0"/>
          <w:lang w:val="af-ZA"/>
        </w:rPr>
        <w:t xml:space="preserve"> 4440 </w:t>
      </w:r>
      <w:r w:rsidRPr="00A83C94">
        <w:rPr>
          <w:b w:val="0"/>
          <w:lang w:val="hy-AM"/>
        </w:rPr>
        <w:t>հա</w:t>
      </w:r>
      <w:r w:rsidRPr="00A83C94">
        <w:rPr>
          <w:b w:val="0"/>
          <w:lang w:val="af-ZA"/>
        </w:rPr>
        <w:t xml:space="preserve"> </w:t>
      </w:r>
      <w:r w:rsidRPr="00A83C94">
        <w:rPr>
          <w:b w:val="0"/>
          <w:lang w:val="hy-AM"/>
        </w:rPr>
        <w:t>տարածքում վնասատուների</w:t>
      </w:r>
      <w:r w:rsidRPr="00A83C94">
        <w:rPr>
          <w:b w:val="0"/>
          <w:lang w:val="af-ZA"/>
        </w:rPr>
        <w:t xml:space="preserve"> </w:t>
      </w:r>
      <w:r w:rsidRPr="00A83C94">
        <w:rPr>
          <w:b w:val="0"/>
          <w:lang w:val="hy-AM"/>
        </w:rPr>
        <w:t>դեմ ավիացիոն</w:t>
      </w:r>
      <w:r w:rsidRPr="00A83C94">
        <w:rPr>
          <w:b w:val="0"/>
          <w:lang w:val="af-ZA"/>
        </w:rPr>
        <w:t xml:space="preserve"> </w:t>
      </w:r>
      <w:r w:rsidRPr="00A83C94">
        <w:rPr>
          <w:b w:val="0"/>
          <w:lang w:val="hy-AM"/>
        </w:rPr>
        <w:t>պայքարի միջոցառումներ, 52.4 հազ. հա-ի մասով</w:t>
      </w:r>
      <w:r w:rsidRPr="00A83C94">
        <w:rPr>
          <w:rFonts w:cs="IRTEK Courier"/>
          <w:b w:val="0"/>
          <w:lang w:val="pt-BR"/>
        </w:rPr>
        <w:t xml:space="preserve"> թվով 4 հատ անտառկառավարման պլանների կազմման, 130 հա տարածքում անտառվերականգնման և անտառապատման աշխատանքներ:</w:t>
      </w:r>
    </w:p>
    <w:p w14:paraId="57BB0F15" w14:textId="77777777" w:rsidR="009C0AA0" w:rsidRPr="00A83C94" w:rsidRDefault="009C0AA0" w:rsidP="009C0AA0">
      <w:pPr>
        <w:spacing w:line="276" w:lineRule="auto"/>
        <w:rPr>
          <w:rFonts w:cs="Sylfaen"/>
          <w:b w:val="0"/>
          <w:lang w:val="hy-AM"/>
        </w:rPr>
      </w:pPr>
      <w:r w:rsidRPr="00A83C94">
        <w:rPr>
          <w:lang w:val="ro-RO"/>
        </w:rPr>
        <w:t>Բնապահպանական նմուշների պահպանություն և ցուցադրություն</w:t>
      </w:r>
      <w:r w:rsidRPr="00A83C94">
        <w:rPr>
          <w:b w:val="0"/>
          <w:lang w:val="ro-RO"/>
        </w:rPr>
        <w:t xml:space="preserve"> </w:t>
      </w:r>
      <w:r w:rsidRPr="00A83C94">
        <w:rPr>
          <w:rFonts w:cs="IRTEK Courier"/>
          <w:b w:val="0"/>
          <w:lang w:val="hy-AM"/>
        </w:rPr>
        <w:t>ծրագրի</w:t>
      </w:r>
      <w:r w:rsidRPr="00A83C94">
        <w:rPr>
          <w:rFonts w:cs="IRTEK Courier"/>
          <w:b w:val="0"/>
          <w:iCs/>
          <w:lang w:val="hy-AM"/>
        </w:rPr>
        <w:t xml:space="preserve"> </w:t>
      </w:r>
      <w:r w:rsidRPr="00A83C94">
        <w:rPr>
          <w:rFonts w:cs="Sylfaen"/>
          <w:b w:val="0"/>
          <w:lang w:val="hy-AM"/>
        </w:rPr>
        <w:t>գծով 2022 թվականին նախատեսվել է 344.9</w:t>
      </w:r>
      <w:r w:rsidRPr="00A83C94">
        <w:rPr>
          <w:rFonts w:cs="Sylfaen"/>
          <w:b w:val="0"/>
          <w:lang w:val="af-ZA"/>
        </w:rPr>
        <w:t xml:space="preserve"> </w:t>
      </w:r>
      <w:r w:rsidRPr="00A83C94">
        <w:rPr>
          <w:rFonts w:cs="Sylfaen"/>
          <w:b w:val="0"/>
          <w:lang w:val="hy-AM"/>
        </w:rPr>
        <w:t>մլն</w:t>
      </w:r>
      <w:r w:rsidRPr="00A83C94">
        <w:rPr>
          <w:rFonts w:cs="Sylfaen"/>
          <w:b w:val="0"/>
          <w:lang w:val="af-ZA"/>
        </w:rPr>
        <w:t xml:space="preserve"> </w:t>
      </w:r>
      <w:r w:rsidRPr="00A83C94">
        <w:rPr>
          <w:rFonts w:cs="Sylfaen"/>
          <w:b w:val="0"/>
          <w:lang w:val="hy-AM"/>
        </w:rPr>
        <w:t xml:space="preserve">դրամ: </w:t>
      </w:r>
    </w:p>
    <w:p w14:paraId="3E3E6C19" w14:textId="77777777" w:rsidR="009C0AA0" w:rsidRPr="00A83C94" w:rsidRDefault="009C0AA0" w:rsidP="009C0AA0">
      <w:pPr>
        <w:spacing w:line="276" w:lineRule="auto"/>
        <w:rPr>
          <w:rFonts w:eastAsia="GHEAGrapalat"/>
          <w:b w:val="0"/>
          <w:lang w:val="hy-AM"/>
        </w:rPr>
      </w:pPr>
      <w:r w:rsidRPr="00A83C94">
        <w:rPr>
          <w:rFonts w:cs="Sylfaen"/>
          <w:b w:val="0"/>
          <w:lang w:val="hy-AM"/>
        </w:rPr>
        <w:t>Ծրագրի</w:t>
      </w:r>
      <w:r w:rsidRPr="00A83C94">
        <w:rPr>
          <w:b w:val="0"/>
          <w:lang w:val="ro-RO"/>
        </w:rPr>
        <w:t xml:space="preserve"> նպատակն է </w:t>
      </w:r>
      <w:r w:rsidRPr="00A83C94">
        <w:rPr>
          <w:rFonts w:cs="Sylfaen"/>
          <w:b w:val="0"/>
          <w:lang w:val="hy-AM"/>
        </w:rPr>
        <w:t>մշտական և ժամանակավոր ցուցահանդեսների միջոցով հավաքածուները ներկայացնել հանրությանը և իրականացնել բնապահպանական քարոզչություն՝</w:t>
      </w:r>
      <w:r w:rsidRPr="00A83C94">
        <w:rPr>
          <w:b w:val="0"/>
          <w:lang w:val="ro-RO"/>
        </w:rPr>
        <w:t xml:space="preserve"> նպաստելով բնապահպանական աշխարհայացքի ձևավորմանը, բնակչության էկոլոգիական</w:t>
      </w:r>
      <w:r w:rsidRPr="00A83C94">
        <w:rPr>
          <w:rFonts w:cs="Sylfaen"/>
          <w:b w:val="0"/>
          <w:lang w:val="hy-AM"/>
        </w:rPr>
        <w:t xml:space="preserve"> դաստիարակությանը: Ծրագրի շրջանակներում նախատեսվում է իրականացնել </w:t>
      </w:r>
      <w:r w:rsidRPr="00A83C94">
        <w:rPr>
          <w:b w:val="0"/>
          <w:lang w:val="af-ZA"/>
        </w:rPr>
        <w:t>«</w:t>
      </w:r>
      <w:r w:rsidRPr="00A83C94">
        <w:rPr>
          <w:b w:val="0"/>
          <w:lang w:val="hy-AM"/>
        </w:rPr>
        <w:t>Հայաստանի բնության պետական թանգարան</w:t>
      </w:r>
      <w:r w:rsidRPr="00A83C94">
        <w:rPr>
          <w:b w:val="0"/>
          <w:lang w:val="af-ZA"/>
        </w:rPr>
        <w:t xml:space="preserve">» </w:t>
      </w:r>
      <w:r w:rsidRPr="00A83C94">
        <w:rPr>
          <w:b w:val="0"/>
          <w:lang w:val="hy-AM"/>
        </w:rPr>
        <w:t>ՊՈԱԿ</w:t>
      </w:r>
      <w:r w:rsidRPr="00A83C94">
        <w:rPr>
          <w:b w:val="0"/>
          <w:lang w:val="af-ZA"/>
        </w:rPr>
        <w:t>-</w:t>
      </w:r>
      <w:r w:rsidRPr="00A83C94">
        <w:rPr>
          <w:b w:val="0"/>
          <w:lang w:val="hy-AM"/>
        </w:rPr>
        <w:t>ի</w:t>
      </w:r>
      <w:r w:rsidRPr="00A83C94">
        <w:rPr>
          <w:b w:val="0"/>
          <w:lang w:val="af-ZA"/>
        </w:rPr>
        <w:t xml:space="preserve"> </w:t>
      </w:r>
      <w:r w:rsidRPr="00A83C94">
        <w:rPr>
          <w:b w:val="0"/>
          <w:lang w:val="hy-AM"/>
        </w:rPr>
        <w:t>իրավասության</w:t>
      </w:r>
      <w:r w:rsidRPr="00A83C94">
        <w:rPr>
          <w:b w:val="0"/>
          <w:lang w:val="af-ZA"/>
        </w:rPr>
        <w:t xml:space="preserve"> </w:t>
      </w:r>
      <w:r w:rsidRPr="00A83C94">
        <w:rPr>
          <w:b w:val="0"/>
          <w:lang w:val="hy-AM"/>
        </w:rPr>
        <w:t>ներքո</w:t>
      </w:r>
      <w:r w:rsidRPr="00A83C94">
        <w:rPr>
          <w:b w:val="0"/>
          <w:lang w:val="af-ZA"/>
        </w:rPr>
        <w:t xml:space="preserve"> </w:t>
      </w:r>
      <w:r w:rsidRPr="00A83C94">
        <w:rPr>
          <w:b w:val="0"/>
          <w:lang w:val="hy-AM"/>
        </w:rPr>
        <w:t>գտնվող</w:t>
      </w:r>
      <w:r w:rsidRPr="00A83C94">
        <w:rPr>
          <w:b w:val="0"/>
          <w:lang w:val="af-ZA"/>
        </w:rPr>
        <w:t xml:space="preserve"> Հայաստանին բնորոշ 6730 բնության օբյեկտների թանգարանային ցուցանմուշների պահպանության և ցուցադրության միջոցառումներ, </w:t>
      </w:r>
      <w:r w:rsidRPr="00A83C94">
        <w:rPr>
          <w:rFonts w:eastAsia="GHEAGrapalat"/>
          <w:b w:val="0"/>
          <w:lang w:val="hy-AM"/>
        </w:rPr>
        <w:t>«Երևանի կենդանաբանական այգի» ՀՈԱԿ-ի միջոցով 159 տեսակի 772 գլուխ կենդանիների ցուցադրություննների միջոցառումներ:</w:t>
      </w:r>
    </w:p>
    <w:p w14:paraId="1C940D7C" w14:textId="77777777" w:rsidR="00F81F14" w:rsidRPr="00A83C94" w:rsidRDefault="00F81F14" w:rsidP="007C65A5">
      <w:pPr>
        <w:autoSpaceDE w:val="0"/>
        <w:autoSpaceDN w:val="0"/>
        <w:adjustRightInd w:val="0"/>
        <w:spacing w:before="0" w:line="276" w:lineRule="auto"/>
        <w:ind w:firstLine="720"/>
        <w:rPr>
          <w:b w:val="0"/>
          <w:szCs w:val="22"/>
          <w:lang w:val="hy-AM"/>
        </w:rPr>
      </w:pPr>
    </w:p>
    <w:p w14:paraId="04BA9822" w14:textId="77777777" w:rsidR="00AE497C" w:rsidRPr="00A83C94" w:rsidRDefault="00AE497C" w:rsidP="00832373">
      <w:pPr>
        <w:keepNext/>
        <w:spacing w:before="0" w:line="276" w:lineRule="auto"/>
        <w:ind w:firstLine="0"/>
        <w:contextualSpacing w:val="0"/>
        <w:jc w:val="center"/>
        <w:outlineLvl w:val="2"/>
        <w:rPr>
          <w:sz w:val="24"/>
          <w:lang w:val="hy-AM"/>
        </w:rPr>
      </w:pPr>
      <w:bookmarkStart w:id="280" w:name="_Toc530663277"/>
      <w:bookmarkStart w:id="281" w:name="_Toc57655480"/>
      <w:bookmarkStart w:id="282" w:name="_Toc83996375"/>
      <w:r w:rsidRPr="00A83C94">
        <w:rPr>
          <w:rFonts w:cs="Arial"/>
          <w:sz w:val="24"/>
          <w:lang w:val="hy-AM" w:eastAsia="en-US"/>
        </w:rPr>
        <w:t>ՀՀ էկոնոմիկայի նախա</w:t>
      </w:r>
      <w:r w:rsidRPr="00A83C94">
        <w:rPr>
          <w:rFonts w:cs="Arial"/>
          <w:sz w:val="24"/>
          <w:lang w:val="hy-AM" w:eastAsia="en-US"/>
        </w:rPr>
        <w:softHyphen/>
        <w:t>րարու</w:t>
      </w:r>
      <w:r w:rsidRPr="00A83C94">
        <w:rPr>
          <w:rFonts w:cs="Arial"/>
          <w:sz w:val="24"/>
          <w:lang w:val="hy-AM" w:eastAsia="en-US"/>
        </w:rPr>
        <w:softHyphen/>
        <w:t>թյուն</w:t>
      </w:r>
      <w:bookmarkEnd w:id="280"/>
      <w:bookmarkEnd w:id="281"/>
      <w:bookmarkEnd w:id="282"/>
    </w:p>
    <w:p w14:paraId="729C03BE" w14:textId="5D185356" w:rsidR="00574F8B" w:rsidRPr="00A83C94" w:rsidRDefault="00574F8B" w:rsidP="00574F8B">
      <w:pPr>
        <w:spacing w:before="0" w:line="276" w:lineRule="auto"/>
        <w:rPr>
          <w:b w:val="0"/>
          <w:lang w:val="hy-AM"/>
        </w:rPr>
      </w:pPr>
      <w:r w:rsidRPr="00A83C94">
        <w:rPr>
          <w:b w:val="0"/>
          <w:lang w:val="hy-AM"/>
        </w:rPr>
        <w:t>ՀՀ էկոնոմիկայի նախա</w:t>
      </w:r>
      <w:r w:rsidRPr="00A83C94">
        <w:rPr>
          <w:b w:val="0"/>
          <w:lang w:val="hy-AM"/>
        </w:rPr>
        <w:softHyphen/>
        <w:t>րարու</w:t>
      </w:r>
      <w:r w:rsidRPr="00A83C94">
        <w:rPr>
          <w:b w:val="0"/>
          <w:lang w:val="hy-AM"/>
        </w:rPr>
        <w:softHyphen/>
        <w:t xml:space="preserve">թյան գծով Նախագծով նախատեսվում է հատկացնել </w:t>
      </w:r>
      <w:r w:rsidR="00B92394" w:rsidRPr="00A83C94">
        <w:rPr>
          <w:b w:val="0"/>
          <w:lang w:val="hy-AM"/>
        </w:rPr>
        <w:t>41</w:t>
      </w:r>
      <w:r w:rsidRPr="00A83C94">
        <w:rPr>
          <w:b w:val="0"/>
          <w:lang w:val="hy-AM"/>
        </w:rPr>
        <w:t>,</w:t>
      </w:r>
      <w:r w:rsidR="00B92394" w:rsidRPr="00A83C94">
        <w:rPr>
          <w:b w:val="0"/>
          <w:lang w:val="hy-AM"/>
        </w:rPr>
        <w:t>009</w:t>
      </w:r>
      <w:r w:rsidRPr="00A83C94">
        <w:rPr>
          <w:b w:val="0"/>
          <w:lang w:val="hy-AM"/>
        </w:rPr>
        <w:t>.</w:t>
      </w:r>
      <w:r w:rsidR="00B92394" w:rsidRPr="00A83C94">
        <w:rPr>
          <w:b w:val="0"/>
          <w:lang w:val="hy-AM"/>
        </w:rPr>
        <w:t>0</w:t>
      </w:r>
      <w:r w:rsidRPr="00A83C94">
        <w:rPr>
          <w:b w:val="0"/>
          <w:lang w:val="hy-AM"/>
        </w:rPr>
        <w:t xml:space="preserve"> մլն դրամ</w:t>
      </w:r>
      <w:r w:rsidR="00B92394" w:rsidRPr="00A83C94">
        <w:rPr>
          <w:b w:val="0"/>
          <w:lang w:val="hy-AM"/>
        </w:rPr>
        <w:t xml:space="preserve"> </w:t>
      </w:r>
      <w:r w:rsidR="00B92394" w:rsidRPr="00A83C94">
        <w:rPr>
          <w:b w:val="0"/>
          <w:color w:val="000000"/>
          <w:szCs w:val="22"/>
          <w:lang w:val="hy-AM" w:eastAsia="en-US"/>
        </w:rPr>
        <w:t>(ներառյալ կառավարման ապարատի պահպանման ծախսերը)</w:t>
      </w:r>
      <w:r w:rsidRPr="00A83C94">
        <w:rPr>
          <w:b w:val="0"/>
          <w:lang w:val="hy-AM"/>
        </w:rPr>
        <w:t>: Հատկացվելիք միջոցներն ուղղվելու են հետևյալ ծրագրերի իրականացմանը.</w:t>
      </w:r>
    </w:p>
    <w:p w14:paraId="66487A58" w14:textId="77777777" w:rsidR="00574F8B" w:rsidRPr="00A83C94" w:rsidRDefault="00574F8B" w:rsidP="00574F8B">
      <w:pPr>
        <w:pStyle w:val="ListParagraph"/>
        <w:spacing w:before="0" w:line="276" w:lineRule="auto"/>
        <w:ind w:left="0"/>
        <w:rPr>
          <w:b w:val="0"/>
          <w:lang w:val="hy-AM"/>
        </w:rPr>
      </w:pPr>
      <w:r w:rsidRPr="00A83C94">
        <w:rPr>
          <w:lang w:val="hy-AM"/>
        </w:rPr>
        <w:t xml:space="preserve">Ստանդարտների մշակում և հավատարմագրման համակարգի զարգացում </w:t>
      </w:r>
      <w:r w:rsidRPr="00A83C94">
        <w:rPr>
          <w:b w:val="0"/>
          <w:lang w:val="hy-AM"/>
        </w:rPr>
        <w:t>ծրագրի գծով 2022 թվականին նախատեսվել է հատկացնել 1,030.8 մլն դրամ:</w:t>
      </w:r>
    </w:p>
    <w:p w14:paraId="058A7896" w14:textId="77777777" w:rsidR="00574F8B" w:rsidRPr="00A83C94" w:rsidRDefault="00574F8B" w:rsidP="00574F8B">
      <w:pPr>
        <w:spacing w:before="0" w:line="276" w:lineRule="auto"/>
        <w:rPr>
          <w:b w:val="0"/>
          <w:lang w:val="hy-AM"/>
        </w:rPr>
      </w:pPr>
      <w:r w:rsidRPr="00A83C94">
        <w:rPr>
          <w:b w:val="0"/>
          <w:lang w:val="hy-AM"/>
        </w:rPr>
        <w:t>Ծրագրի նպատակն է աջակցել հայրենական արտադրանքի արտանահման ծավալների ավելացմանը, հայրենական արտադրողներին հնարավորություն տալ ապահովել տեխնիկական կանոնակարգերով սահմանված պահանջները, արտադրել միջազգային շուկայում մրցունակ արտադրանք: Ինչպես նաև համապատասխանության գնահատման մարմինների հավատարմագրումը, հավատարմագրված համապատասխանության գնահատման մարմինների կողմից մատուցվող ծառայությունների նկատմամբ սպառողների վստահության բարձրացումը, ՀՀ և ԵԱՏՄ տեխնիկական կանոնակարգերի համաձայն տրված համապատասխանության սերտիֆիկատների և գրանցված համապատասխանության հայտարարագրերի, հավատարմագրված  համապատասխանության գնահատման մարմինների ռեեստրների ձևավորումը, վարումը և արդիականացումը:</w:t>
      </w:r>
    </w:p>
    <w:p w14:paraId="2C40B436" w14:textId="77777777" w:rsidR="00574F8B" w:rsidRPr="00A83C94" w:rsidRDefault="00574F8B" w:rsidP="00574F8B">
      <w:pPr>
        <w:spacing w:before="0" w:line="276" w:lineRule="auto"/>
        <w:rPr>
          <w:b w:val="0"/>
          <w:lang w:val="hy-AM"/>
        </w:rPr>
      </w:pPr>
      <w:r w:rsidRPr="00A83C94">
        <w:rPr>
          <w:b w:val="0"/>
          <w:lang w:val="hy-AM"/>
        </w:rPr>
        <w:t xml:space="preserve">Ծրագրի շրջանակներում նախատեսվում է արտադրանքի  և ծառայությունների գծով մշակել 30 ազգային ստանդարտներ, հավատարմագրված համապատասխանության գնահատման մարմինների ազգային, արտադրանքի սերտիֆիկացման մարմինների, լաբորատորիաների ԵԱՏՄ, համապատասխանության սերտիֆիկատների, հայտարարագրերի ՀՀ և ԵԱՏՄ միասնական ռեեստրների և հավատարմագրման փորձագետների, գնահատողների, տեխնիկական փորձագետների ռեեստրների վարում՝ 5 հատ: </w:t>
      </w:r>
    </w:p>
    <w:p w14:paraId="494E4B6A" w14:textId="77777777" w:rsidR="00574F8B" w:rsidRPr="00A83C94" w:rsidRDefault="00574F8B" w:rsidP="00574F8B">
      <w:pPr>
        <w:spacing w:before="0" w:line="276" w:lineRule="auto"/>
        <w:rPr>
          <w:b w:val="0"/>
          <w:lang w:val="hy-AM"/>
        </w:rPr>
      </w:pPr>
      <w:r w:rsidRPr="00A83C94">
        <w:rPr>
          <w:b w:val="0"/>
          <w:lang w:val="hy-AM"/>
        </w:rPr>
        <w:t>ԵՄ աջակցությամբ իրականացվող որակի ենթակառուցվածքի համակարգի արդիականացում դրամաշնորհային ծրագիրի նպատակն է ՍՉԱՄ ՓԲԸ-ում տրամաչափարկման կարողությունների հիմնում, փորձարկման կարողությունների  ընդլայնում՝ նոր լաբորատոր սարքավորումների ձեռքբերում, լաբորատորիաների վերազինում և ստեղծում:</w:t>
      </w:r>
    </w:p>
    <w:p w14:paraId="5BB00C81" w14:textId="77777777" w:rsidR="00574F8B" w:rsidRPr="00A83C94" w:rsidRDefault="00574F8B" w:rsidP="00574F8B">
      <w:pPr>
        <w:pStyle w:val="ListParagraph"/>
        <w:spacing w:before="0" w:line="276" w:lineRule="auto"/>
        <w:ind w:left="0"/>
        <w:rPr>
          <w:b w:val="0"/>
          <w:lang w:val="hy-AM"/>
        </w:rPr>
      </w:pPr>
      <w:r w:rsidRPr="00A83C94">
        <w:rPr>
          <w:lang w:val="hy-AM"/>
        </w:rPr>
        <w:t xml:space="preserve">Աջակցություն փոքր և միջին ձեռնարկատիրությանը </w:t>
      </w:r>
      <w:r w:rsidRPr="00A83C94">
        <w:rPr>
          <w:b w:val="0"/>
          <w:lang w:val="hy-AM"/>
        </w:rPr>
        <w:t>ծրագրի գծով 2022 թվականին նախատեսվել է հատկացնել 160.1 մլն դրամ:</w:t>
      </w:r>
    </w:p>
    <w:p w14:paraId="0BDC9964" w14:textId="77777777" w:rsidR="00574F8B" w:rsidRPr="00A83C94" w:rsidRDefault="00574F8B" w:rsidP="00574F8B">
      <w:pPr>
        <w:spacing w:before="0" w:line="276" w:lineRule="auto"/>
        <w:rPr>
          <w:b w:val="0"/>
          <w:lang w:val="hy-AM"/>
        </w:rPr>
      </w:pPr>
      <w:r w:rsidRPr="00A83C94">
        <w:rPr>
          <w:b w:val="0"/>
          <w:lang w:val="hy-AM"/>
        </w:rPr>
        <w:t>Ծրագրի նպատակն է</w:t>
      </w:r>
    </w:p>
    <w:p w14:paraId="28F553B7" w14:textId="77777777" w:rsidR="00574F8B" w:rsidRPr="00A83C94" w:rsidRDefault="00574F8B" w:rsidP="00574F8B">
      <w:pPr>
        <w:pStyle w:val="ListParagraph"/>
        <w:numPr>
          <w:ilvl w:val="0"/>
          <w:numId w:val="61"/>
        </w:numPr>
        <w:spacing w:before="0" w:line="276" w:lineRule="auto"/>
        <w:ind w:left="0" w:firstLine="567"/>
        <w:rPr>
          <w:b w:val="0"/>
          <w:lang w:val="hy-AM"/>
        </w:rPr>
      </w:pPr>
      <w:r w:rsidRPr="00A83C94">
        <w:rPr>
          <w:b w:val="0"/>
          <w:lang w:val="hy-AM"/>
        </w:rPr>
        <w:t>գործարար միջավայրի բարելավմանը զուգընթաց գործող և սկսնակ ՓՄՁ սուբյեկտների ձեռներեցությամբ զբաղվելու, ինչպես նաև նրանց ֆինանսական և ներդրումային հնարավորությունների ընդլայնում` նախապատվություն տալով Հայաստանի Հանրապե</w:t>
      </w:r>
      <w:r w:rsidRPr="00A83C94">
        <w:rPr>
          <w:b w:val="0"/>
          <w:lang w:val="hy-AM"/>
        </w:rPr>
        <w:softHyphen/>
        <w:t>տու</w:t>
      </w:r>
      <w:r w:rsidRPr="00A83C94">
        <w:rPr>
          <w:b w:val="0"/>
          <w:lang w:val="hy-AM"/>
        </w:rPr>
        <w:softHyphen/>
        <w:t>թյան մարզերին, ՓՄՁ սուբյեկտներին պետական աջակցության առկա գործիքների (ֆինանսական, տեղեկատվական, խորհրդատվական, ուսուցողական և այլն) կիրառման շարունակականության և արդիականացման ապահովում:</w:t>
      </w:r>
    </w:p>
    <w:p w14:paraId="66996AC5" w14:textId="77777777" w:rsidR="00574F8B" w:rsidRPr="00A83C94" w:rsidRDefault="00574F8B" w:rsidP="00574F8B">
      <w:pPr>
        <w:spacing w:before="0" w:line="276" w:lineRule="auto"/>
        <w:rPr>
          <w:b w:val="0"/>
          <w:lang w:val="hy-AM"/>
        </w:rPr>
      </w:pPr>
      <w:r w:rsidRPr="00A83C94">
        <w:rPr>
          <w:b w:val="0"/>
          <w:lang w:val="hy-AM"/>
        </w:rPr>
        <w:t>Ծրագրի շրջանակներում նախատեսվում է գործող և սկսնակ ՓՄՁ-ի սուբյեկտներին 200 գործարար ուսուցողական, 8000 տեղեկատվական և խորհրդատվական, 30 ֆինանսական և ներդրումային աջակցության տրամադրում:</w:t>
      </w:r>
    </w:p>
    <w:p w14:paraId="26A1F8DC" w14:textId="77777777" w:rsidR="00574F8B" w:rsidRPr="00A83C94" w:rsidRDefault="00574F8B" w:rsidP="00574F8B">
      <w:pPr>
        <w:pStyle w:val="ListParagraph"/>
        <w:spacing w:before="0" w:line="276" w:lineRule="auto"/>
        <w:ind w:left="0"/>
        <w:rPr>
          <w:b w:val="0"/>
          <w:lang w:val="hy-AM"/>
        </w:rPr>
      </w:pPr>
      <w:r w:rsidRPr="00A83C94">
        <w:rPr>
          <w:lang w:val="hy-AM"/>
        </w:rPr>
        <w:t xml:space="preserve">Ներդրումների և արտահանման խթանման </w:t>
      </w:r>
      <w:r w:rsidRPr="00A83C94">
        <w:rPr>
          <w:b w:val="0"/>
          <w:lang w:val="hy-AM"/>
        </w:rPr>
        <w:t>ծրագրի գծով 2022 թվականին նախատեսվել է հատկացնել 660. մլն դրամ:</w:t>
      </w:r>
    </w:p>
    <w:p w14:paraId="2ED4DBFA" w14:textId="77777777" w:rsidR="00574F8B" w:rsidRPr="00A83C94" w:rsidRDefault="00574F8B" w:rsidP="00574F8B">
      <w:pPr>
        <w:spacing w:before="0" w:line="276" w:lineRule="auto"/>
        <w:rPr>
          <w:b w:val="0"/>
          <w:lang w:val="hy-AM"/>
        </w:rPr>
      </w:pPr>
      <w:r w:rsidRPr="00A83C94">
        <w:rPr>
          <w:b w:val="0"/>
          <w:lang w:val="hy-AM"/>
        </w:rPr>
        <w:t xml:space="preserve">Ծրագրի հիմնական նպատակն է ՀՀ կառավարության կողմից հաստատված ՀՀ արտահանմանն ուղղված արդյունաբերական քաղաքականության ռազմավարությամբ սահմանված երկարաժամկետ հեռանկարում նպաստել տնտեսական աճի նոր շարժիչ ոլորտների ձևավորումը,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Աջակցել ներդրողների սպասարկմանը, օտարերկրյա ներդրողների ներգրավմանը և հետներդրումային սպասարկամանը:  </w:t>
      </w:r>
    </w:p>
    <w:p w14:paraId="3707C74F" w14:textId="77777777" w:rsidR="00574F8B" w:rsidRPr="00A83C94" w:rsidRDefault="00574F8B" w:rsidP="00574F8B">
      <w:pPr>
        <w:spacing w:before="0" w:line="276" w:lineRule="auto"/>
        <w:rPr>
          <w:b w:val="0"/>
          <w:lang w:val="hy-AM"/>
        </w:rPr>
      </w:pPr>
      <w:r w:rsidRPr="00A83C94">
        <w:rPr>
          <w:b w:val="0"/>
          <w:lang w:val="hy-AM"/>
        </w:rPr>
        <w:t>Ծրագրի շրջանակներում նախատեսվում է արտադրական գործունեության 6 վարկավորման սուբսիդավորում, արտերկրում հայկական արտադրանքի վերաբերյալ գովազդի և հասարակական կարծիքի ձևավորման (PR) 6 միջոցառումների կազմակերպում և իրականացում, միջազգային 7 ցուցահանդեսներին մասնակցության ապահովում, ուսուցման դասընթացի կազմակերպում, գործարար 5 համաժողովների (ֆորումների), ինչպես նաև այլ համանման միջոցառումների մասնակցություն և (կամ) կազմակերպում, գործարար 60 կապերի հաստատում, 50 ներդրումային ծրագրերի ուղեկցում, ՀՀ-ում գործող օտարերկրյա ներդրողների 100 հետներդրումային շարունակական սպասարկում, ներդրումների ներգրավման ու գործարար կապերի հաստատման նպատակով ՀՀ-ում և արտերկրում 5 միջոցառումների կազմակերպում, ներդրողների, գործարարների համար նախատեսված ՀՀ գործարար և ներդրումային դաշտը ներկայացնող, ինչպես նաև ոլորտային 4 ուղեցույցների և շնորհանդեսների նախապատրաստում, ՀՀ ներդրումային միջավայրի, գործարար և արտահանման հնարավորությունների մասին 4 տեսահոլովակների նախապատրաստում, արտաքին 2 գովազդային վահանակների տեղադրում:</w:t>
      </w:r>
    </w:p>
    <w:p w14:paraId="4075F219" w14:textId="77777777" w:rsidR="00574F8B" w:rsidRPr="00A83C94" w:rsidRDefault="00574F8B" w:rsidP="00574F8B">
      <w:pPr>
        <w:spacing w:before="0" w:line="276" w:lineRule="auto"/>
        <w:rPr>
          <w:b w:val="0"/>
          <w:lang w:val="hy-AM"/>
        </w:rPr>
      </w:pPr>
      <w:r w:rsidRPr="00A83C94">
        <w:rPr>
          <w:bCs/>
          <w:lang w:val="hy-AM"/>
        </w:rPr>
        <w:t xml:space="preserve">Գյուղատնտեսության խթանման </w:t>
      </w:r>
      <w:r w:rsidRPr="00A83C94">
        <w:rPr>
          <w:b w:val="0"/>
          <w:bCs/>
          <w:lang w:val="hy-AM"/>
        </w:rPr>
        <w:t>ծրագրի գծով 2022 թվականին նախատեսվել է</w:t>
      </w:r>
      <w:r w:rsidRPr="00A83C94">
        <w:rPr>
          <w:b w:val="0"/>
          <w:lang w:val="hy-AM"/>
        </w:rPr>
        <w:t xml:space="preserve"> հատկացնել </w:t>
      </w:r>
      <w:r w:rsidRPr="00A83C94">
        <w:rPr>
          <w:b w:val="0"/>
          <w:bCs/>
          <w:lang w:val="hy-AM"/>
        </w:rPr>
        <w:t>12,828.7 մլն</w:t>
      </w:r>
      <w:r w:rsidRPr="00A83C94">
        <w:rPr>
          <w:b w:val="0"/>
          <w:lang w:val="hy-AM"/>
        </w:rPr>
        <w:t xml:space="preserve"> դրամ: </w:t>
      </w:r>
    </w:p>
    <w:p w14:paraId="07D57F1A" w14:textId="77777777" w:rsidR="00574F8B" w:rsidRPr="00A83C94" w:rsidRDefault="00574F8B" w:rsidP="00574F8B">
      <w:pPr>
        <w:spacing w:before="0" w:line="276" w:lineRule="auto"/>
        <w:rPr>
          <w:b w:val="0"/>
          <w:lang w:val="hy-AM"/>
        </w:rPr>
      </w:pPr>
      <w:r w:rsidRPr="00A83C94">
        <w:rPr>
          <w:b w:val="0"/>
          <w:lang w:val="hy-AM"/>
        </w:rPr>
        <w:t xml:space="preserve">Ծրագրի նպատակն է գյուղատնտեսական մթերքի և դրանց վերամշակումից ստացվող սննդամթերքի ծավալների ավելացումը: Ծրագրի շրջանակներում նախատեսվում է </w:t>
      </w:r>
      <w:r w:rsidRPr="000B7FF5">
        <w:rPr>
          <w:b w:val="0"/>
          <w:lang w:val="hy-AM"/>
        </w:rPr>
        <w:t xml:space="preserve">սուբսիդավորել 66704 տնտեսավարող սուբյեկտի՝ 2022թ. տրամադրվելիք և նախորդ տարիներին տրամադրված գյուղատնտեսական վարկերը, 174 տնտեսավարող սուբյեկտի՝ 2022թ. տրամադրվելիք և նախորդ տարիներին տրամադրված գյուղատնտեսական հումքի մթերումների (գնումների) նպատակով վարկերը, </w:t>
      </w:r>
      <w:r w:rsidRPr="000B7FF5">
        <w:rPr>
          <w:b w:val="0"/>
          <w:bCs/>
          <w:lang w:val="hy-AM"/>
        </w:rPr>
        <w:t>սուբսիդավորել 6250</w:t>
      </w:r>
      <w:r w:rsidRPr="00A83C94">
        <w:rPr>
          <w:b w:val="0"/>
          <w:bCs/>
          <w:lang w:val="hy-AM"/>
        </w:rPr>
        <w:t xml:space="preserve"> հա հողատարածքի ապահովագրավճարները, </w:t>
      </w:r>
      <w:r w:rsidRPr="00A83C94">
        <w:rPr>
          <w:b w:val="0"/>
          <w:lang w:val="hy-AM"/>
        </w:rPr>
        <w:t xml:space="preserve">միջազգային բարձր վարկանիշ ունեցող ամսագրերում և տպագիր մամուլում հայկական գինեգործության վերաբերյալ </w:t>
      </w:r>
      <w:r w:rsidRPr="000B7FF5">
        <w:rPr>
          <w:b w:val="0"/>
          <w:lang w:val="hy-AM"/>
        </w:rPr>
        <w:t xml:space="preserve">տպագրել 7 հոդված, </w:t>
      </w:r>
      <w:r w:rsidRPr="00A83C94">
        <w:rPr>
          <w:b w:val="0"/>
          <w:lang w:val="hy-AM"/>
        </w:rPr>
        <w:t xml:space="preserve">իրականացնել հայկական գինեգործության հանրահռչակմանը, հայկական գինիների առաջմղմանն ու արտահանմանն </w:t>
      </w:r>
      <w:r w:rsidRPr="000B7FF5">
        <w:rPr>
          <w:b w:val="0"/>
          <w:lang w:val="hy-AM"/>
        </w:rPr>
        <w:t>ուղղված 12 միջոցառում</w:t>
      </w:r>
      <w:r w:rsidRPr="00A83C94">
        <w:rPr>
          <w:b w:val="0"/>
          <w:lang w:val="hy-AM"/>
        </w:rPr>
        <w:t xml:space="preserve"> և այլն: </w:t>
      </w:r>
    </w:p>
    <w:p w14:paraId="2479D001" w14:textId="77777777" w:rsidR="00574F8B" w:rsidRPr="00A83C94" w:rsidRDefault="00574F8B" w:rsidP="00574F8B">
      <w:pPr>
        <w:spacing w:before="0" w:line="276" w:lineRule="auto"/>
        <w:rPr>
          <w:b w:val="0"/>
          <w:lang w:val="hy-AM"/>
        </w:rPr>
      </w:pPr>
      <w:r w:rsidRPr="00A83C94">
        <w:rPr>
          <w:lang w:val="hy-AM"/>
        </w:rPr>
        <w:t xml:space="preserve">Բուսաբուծության խթանում և բույսերի պաշտպանություն </w:t>
      </w:r>
      <w:r w:rsidRPr="00A83C94">
        <w:rPr>
          <w:b w:val="0"/>
          <w:lang w:val="hy-AM"/>
        </w:rPr>
        <w:t xml:space="preserve">ծրագրի գծով 2022 թվականին նախատեսվել է հատկացնել 144.3 մլն դրամ: </w:t>
      </w:r>
    </w:p>
    <w:p w14:paraId="702D7BBF" w14:textId="66CF62D9" w:rsidR="00574F8B" w:rsidRPr="000B7FF5" w:rsidRDefault="00574F8B" w:rsidP="00574F8B">
      <w:pPr>
        <w:spacing w:before="0" w:line="276" w:lineRule="auto"/>
        <w:rPr>
          <w:b w:val="0"/>
          <w:lang w:val="hy-AM"/>
        </w:rPr>
      </w:pPr>
      <w:r w:rsidRPr="00A83C94">
        <w:rPr>
          <w:b w:val="0"/>
          <w:lang w:val="hy-AM"/>
        </w:rPr>
        <w:t xml:space="preserve">Ծրագրի </w:t>
      </w:r>
      <w:r w:rsidRPr="000B7FF5">
        <w:rPr>
          <w:b w:val="0"/>
          <w:lang w:val="hy-AM"/>
        </w:rPr>
        <w:t xml:space="preserve">նպատակն է հողագործությունից ստացվող արդյունքի բարելավումը: Ծրագրի շրջանակներում նախատեսվում է վնասակար օրգանիզմների հայտնաբերման նպատակով հետազոտել </w:t>
      </w:r>
      <w:r w:rsidR="000B7FF5" w:rsidRPr="000B7FF5">
        <w:rPr>
          <w:b w:val="0"/>
          <w:lang w:val="hy-AM"/>
        </w:rPr>
        <w:t>220</w:t>
      </w:r>
      <w:r w:rsidRPr="000B7FF5">
        <w:rPr>
          <w:b w:val="0"/>
          <w:lang w:val="hy-AM"/>
        </w:rPr>
        <w:t xml:space="preserve">000 հեկտար տարածք, </w:t>
      </w:r>
      <w:r w:rsidR="000B7FF5" w:rsidRPr="000B7FF5">
        <w:rPr>
          <w:b w:val="0"/>
          <w:lang w:val="hy-AM"/>
        </w:rPr>
        <w:t>85</w:t>
      </w:r>
      <w:r w:rsidRPr="000B7FF5">
        <w:rPr>
          <w:b w:val="0"/>
          <w:lang w:val="hy-AM"/>
        </w:rPr>
        <w:t xml:space="preserve"> համայնքի տրամադրել գյուղատնտեսական նշանակության հողերի կազմված ագրոքիմիական քարտեզներ, գյուղատնտեսական մշակաբույսերի առավել վնասակար օրգանիզմների դեմ իրականացնել պայքար </w:t>
      </w:r>
      <w:r w:rsidR="000B7FF5" w:rsidRPr="000B7FF5">
        <w:rPr>
          <w:b w:val="0"/>
          <w:lang w:val="hy-AM"/>
        </w:rPr>
        <w:t>44300</w:t>
      </w:r>
      <w:r w:rsidRPr="000B7FF5">
        <w:rPr>
          <w:b w:val="0"/>
          <w:lang w:val="hy-AM"/>
        </w:rPr>
        <w:t xml:space="preserve"> հեկտար տարածքում, իրականացնել բույսերի սերմերի որակի լաբորատոր հետազոտություններ և փաստաթղթավորում՝ 12 հազար տոննա, բույսերի սորտերի ստուգիչ ցանքերի և դաշտային հետազոտությունների պետական սորտափորձարկումներ՝ 100 հատ և գյուղատնտեսական մշակաբույսերի ու բույսերի պաշտպանության միջոցների 5500 լաբորատոր փորձաքննություններ:  </w:t>
      </w:r>
    </w:p>
    <w:p w14:paraId="1BF12FDF" w14:textId="77777777" w:rsidR="00574F8B" w:rsidRPr="00A83C94" w:rsidRDefault="00574F8B" w:rsidP="00574F8B">
      <w:pPr>
        <w:spacing w:before="0" w:line="276" w:lineRule="auto"/>
        <w:rPr>
          <w:b w:val="0"/>
          <w:lang w:val="hy-AM"/>
        </w:rPr>
      </w:pPr>
      <w:r w:rsidRPr="00A83C94">
        <w:rPr>
          <w:lang w:val="hy-AM"/>
        </w:rPr>
        <w:t>Անասնաբուժական ծառայություններ ծրագրի</w:t>
      </w:r>
      <w:r w:rsidRPr="00A83C94">
        <w:rPr>
          <w:b w:val="0"/>
          <w:lang w:val="hy-AM"/>
        </w:rPr>
        <w:t xml:space="preserve"> գծով 2022 թվականին նախատեսվել է հատկացնել 2,692 մլն դրամ: </w:t>
      </w:r>
    </w:p>
    <w:p w14:paraId="0EC63DA1" w14:textId="45447EFD" w:rsidR="00574F8B" w:rsidRPr="00A83C94" w:rsidRDefault="00574F8B" w:rsidP="00574F8B">
      <w:pPr>
        <w:spacing w:before="0" w:line="276" w:lineRule="auto"/>
        <w:rPr>
          <w:b w:val="0"/>
          <w:lang w:val="hy-AM"/>
        </w:rPr>
      </w:pPr>
      <w:r w:rsidRPr="000B7FF5">
        <w:rPr>
          <w:b w:val="0"/>
          <w:lang w:val="hy-AM"/>
        </w:rPr>
        <w:t>Ծրագրի նպատակն է անասնահամաճարակային կայուն ֆոնի ապահովումը: Ծրագրի շրջանակներում նախատեսվում է իրականացնել 1,0</w:t>
      </w:r>
      <w:r w:rsidR="000B7FF5" w:rsidRPr="000B7FF5">
        <w:rPr>
          <w:b w:val="0"/>
          <w:lang w:val="hy-AM"/>
        </w:rPr>
        <w:t>17</w:t>
      </w:r>
      <w:r w:rsidRPr="000B7FF5">
        <w:rPr>
          <w:b w:val="0"/>
          <w:lang w:val="hy-AM"/>
        </w:rPr>
        <w:t>,</w:t>
      </w:r>
      <w:r w:rsidR="000B7FF5" w:rsidRPr="000B7FF5">
        <w:rPr>
          <w:b w:val="0"/>
          <w:lang w:val="hy-AM"/>
        </w:rPr>
        <w:t>809</w:t>
      </w:r>
      <w:r w:rsidRPr="000B7FF5">
        <w:rPr>
          <w:b w:val="0"/>
          <w:lang w:val="hy-AM"/>
        </w:rPr>
        <w:t xml:space="preserve"> հատ ախտորոշիչ միջոցառումներ, 4,</w:t>
      </w:r>
      <w:r w:rsidR="000B7FF5">
        <w:rPr>
          <w:b w:val="0"/>
          <w:lang w:val="hy-AM"/>
        </w:rPr>
        <w:t>395</w:t>
      </w:r>
      <w:r w:rsidRPr="000B7FF5">
        <w:rPr>
          <w:b w:val="0"/>
          <w:lang w:val="hy-AM"/>
        </w:rPr>
        <w:t>,</w:t>
      </w:r>
      <w:r w:rsidR="000B7FF5" w:rsidRPr="000B7FF5">
        <w:rPr>
          <w:b w:val="0"/>
          <w:lang w:val="hy-AM"/>
        </w:rPr>
        <w:t>255</w:t>
      </w:r>
      <w:r w:rsidRPr="000B7FF5">
        <w:rPr>
          <w:b w:val="0"/>
          <w:lang w:val="hy-AM"/>
        </w:rPr>
        <w:t xml:space="preserve"> հատ կանխարգելիչ (պատվաստումներ) միջոցառումներ, 1,051,923 հատ գյուղատնտեսական կենդանիների հիվանդությունների լաբորատոր</w:t>
      </w:r>
      <w:r w:rsidRPr="00A83C94">
        <w:rPr>
          <w:b w:val="0"/>
          <w:lang w:val="hy-AM"/>
        </w:rPr>
        <w:t xml:space="preserve"> ախտորոշման և կենդանական ծագում ունեցող հումքի և նյութի լաբորատոր փորձաքննություններ, 800,000 խոշոր եղջերավոր կենդանու համարակալում, իսկ խոշոր և մանր եղջերավոր կենդանիների շճաբանական հետազոտության ենթակա նմուշների քանակը </w:t>
      </w:r>
      <w:r w:rsidRPr="000B7FF5">
        <w:rPr>
          <w:b w:val="0"/>
          <w:lang w:val="hy-AM"/>
        </w:rPr>
        <w:t>կկազմի 4400 հատ</w:t>
      </w:r>
      <w:r w:rsidRPr="00A83C94">
        <w:rPr>
          <w:b w:val="0"/>
          <w:lang w:val="hy-AM"/>
        </w:rPr>
        <w:t xml:space="preserve">: </w:t>
      </w:r>
    </w:p>
    <w:p w14:paraId="66370521" w14:textId="77777777" w:rsidR="00574F8B" w:rsidRPr="00A83C94" w:rsidRDefault="00574F8B" w:rsidP="00574F8B">
      <w:pPr>
        <w:spacing w:before="0" w:line="276" w:lineRule="auto"/>
        <w:rPr>
          <w:b w:val="0"/>
          <w:lang w:val="hy-AM"/>
        </w:rPr>
      </w:pPr>
      <w:r w:rsidRPr="00A83C94">
        <w:rPr>
          <w:lang w:val="hy-AM"/>
        </w:rPr>
        <w:t xml:space="preserve">Գյուղատնտեսության արդիականացման </w:t>
      </w:r>
      <w:r w:rsidRPr="00A83C94">
        <w:rPr>
          <w:b w:val="0"/>
          <w:lang w:val="hy-AM"/>
        </w:rPr>
        <w:t xml:space="preserve">ծրագրի գծով 2022 թվականին նախատեսվել է հատկացնել 4,593,5 մլն դրամ: </w:t>
      </w:r>
    </w:p>
    <w:p w14:paraId="67CCB34E" w14:textId="77777777" w:rsidR="00574F8B" w:rsidRPr="000B7FF5" w:rsidRDefault="00574F8B" w:rsidP="00574F8B">
      <w:pPr>
        <w:spacing w:before="0" w:line="276" w:lineRule="auto"/>
        <w:rPr>
          <w:b w:val="0"/>
          <w:lang w:val="hy-AM"/>
        </w:rPr>
      </w:pPr>
      <w:r w:rsidRPr="000B7FF5">
        <w:rPr>
          <w:b w:val="0"/>
          <w:lang w:val="hy-AM"/>
        </w:rPr>
        <w:t>Ծրագրի նպատակն է գյուղատնտեսական տեխնիկական համակարգերի արդիականացումը, ինտենսիվ այգիների ներդրման և տոհմաբուծույթան մեջ նոր ցեղատեսակների բուծման գծով աջակցությունը: Ծրագրի շրջանակներում նախատեսվում է սուբսիդավորել՝</w:t>
      </w:r>
    </w:p>
    <w:p w14:paraId="33079BE4" w14:textId="77777777" w:rsidR="00574F8B" w:rsidRPr="000B7FF5" w:rsidRDefault="00574F8B" w:rsidP="00574F8B">
      <w:pPr>
        <w:spacing w:before="0" w:line="276" w:lineRule="auto"/>
        <w:rPr>
          <w:b w:val="0"/>
          <w:lang w:val="hy-AM"/>
        </w:rPr>
      </w:pPr>
      <w:r w:rsidRPr="000B7FF5">
        <w:rPr>
          <w:b w:val="0"/>
          <w:lang w:val="hy-AM"/>
        </w:rPr>
        <w:t xml:space="preserve">- նախորդ տարիներին հիմնված՝ 986.7 հեկտար նոր ինտենսիվ պտղատու այգիների համար տրամադրված վարկերը, </w:t>
      </w:r>
    </w:p>
    <w:p w14:paraId="45F44A87" w14:textId="77777777" w:rsidR="00574F8B" w:rsidRPr="000B7FF5" w:rsidRDefault="00574F8B" w:rsidP="00574F8B">
      <w:pPr>
        <w:spacing w:before="0" w:line="276" w:lineRule="auto"/>
        <w:rPr>
          <w:b w:val="0"/>
          <w:lang w:val="hy-AM"/>
        </w:rPr>
      </w:pPr>
      <w:r w:rsidRPr="000B7FF5">
        <w:rPr>
          <w:b w:val="0"/>
          <w:lang w:val="hy-AM"/>
        </w:rPr>
        <w:t xml:space="preserve">- 1308 տնտեսավարող սուբյեկտի՝ 2022 թվականին տրամադրվելիք և նախորդ տարիներին տրամադրված՝ գյուղատնտեսական տեխնիկա ձեռքբերելու նպատակով վարկերը, </w:t>
      </w:r>
    </w:p>
    <w:p w14:paraId="47DBE892" w14:textId="77777777" w:rsidR="00574F8B" w:rsidRPr="000B7FF5" w:rsidRDefault="00574F8B" w:rsidP="00574F8B">
      <w:pPr>
        <w:spacing w:before="0" w:line="276" w:lineRule="auto"/>
        <w:rPr>
          <w:b w:val="0"/>
          <w:lang w:val="hy-AM"/>
        </w:rPr>
      </w:pPr>
      <w:r w:rsidRPr="000B7FF5">
        <w:rPr>
          <w:b w:val="0"/>
          <w:lang w:val="hy-AM"/>
        </w:rPr>
        <w:t xml:space="preserve">- 281 տնտեսավարող սուբյեկտի՝ 2022 թվականին տրամադրվելիք և նախորդ տարիներին տրամադրված ագրոպարենային ոլորտի սարքավորումներ ձեռքբերելու նպատակով վարկերը, </w:t>
      </w:r>
    </w:p>
    <w:p w14:paraId="5A760679" w14:textId="356EB386" w:rsidR="00574F8B" w:rsidRPr="000B7FF5" w:rsidRDefault="00574F8B" w:rsidP="00574F8B">
      <w:pPr>
        <w:spacing w:before="0" w:line="276" w:lineRule="auto"/>
        <w:rPr>
          <w:b w:val="0"/>
          <w:lang w:val="hy-AM"/>
        </w:rPr>
      </w:pPr>
      <w:r w:rsidRPr="000B7FF5">
        <w:rPr>
          <w:b w:val="0"/>
          <w:lang w:val="hy-AM"/>
        </w:rPr>
        <w:t xml:space="preserve">- </w:t>
      </w:r>
      <w:r w:rsidR="000B7FF5" w:rsidRPr="000B7FF5">
        <w:rPr>
          <w:b w:val="0"/>
          <w:lang w:val="hy-AM"/>
        </w:rPr>
        <w:t>734</w:t>
      </w:r>
      <w:r w:rsidRPr="000B7FF5">
        <w:rPr>
          <w:b w:val="0"/>
          <w:lang w:val="hy-AM"/>
        </w:rPr>
        <w:t xml:space="preserve">.2 հեկտար տարածքում ոռոգման արդիական համակարգ ներդնելու նպատակով նախորդ տարիներին տրամադրված վարկերը, </w:t>
      </w:r>
    </w:p>
    <w:p w14:paraId="7CE33D33" w14:textId="77777777" w:rsidR="00574F8B" w:rsidRPr="000B7FF5" w:rsidRDefault="00574F8B" w:rsidP="00574F8B">
      <w:pPr>
        <w:spacing w:before="0" w:line="276" w:lineRule="auto"/>
        <w:rPr>
          <w:b w:val="0"/>
          <w:lang w:val="hy-AM"/>
        </w:rPr>
      </w:pPr>
      <w:r w:rsidRPr="000B7FF5">
        <w:rPr>
          <w:b w:val="0"/>
          <w:lang w:val="hy-AM"/>
        </w:rPr>
        <w:t xml:space="preserve">- նախորդ տարիներին 102.2 հեկտար տարածքում տեղակայված կարկտապաշտպան ցանցային համակարգերի համար տրամադրված վարկերը, </w:t>
      </w:r>
    </w:p>
    <w:p w14:paraId="34AFC749" w14:textId="1A6D3AE0" w:rsidR="00574F8B" w:rsidRPr="000B7FF5" w:rsidRDefault="00574F8B" w:rsidP="00574F8B">
      <w:pPr>
        <w:spacing w:before="0" w:line="276" w:lineRule="auto"/>
        <w:rPr>
          <w:b w:val="0"/>
          <w:lang w:val="hy-AM"/>
        </w:rPr>
      </w:pPr>
      <w:r w:rsidRPr="000B7FF5">
        <w:rPr>
          <w:b w:val="0"/>
          <w:lang w:val="hy-AM"/>
        </w:rPr>
        <w:t>- 1</w:t>
      </w:r>
      <w:r w:rsidR="000B7FF5" w:rsidRPr="000B7FF5">
        <w:rPr>
          <w:b w:val="0"/>
          <w:lang w:val="hy-AM"/>
        </w:rPr>
        <w:t>16</w:t>
      </w:r>
      <w:r w:rsidRPr="000B7FF5">
        <w:rPr>
          <w:b w:val="0"/>
          <w:lang w:val="hy-AM"/>
        </w:rPr>
        <w:t xml:space="preserve">5 գլուխ խոշոր եղջերավոր տոհմային կենդանիների </w:t>
      </w:r>
      <w:r w:rsidR="000B7FF5" w:rsidRPr="000B7FF5">
        <w:rPr>
          <w:b w:val="0"/>
          <w:lang w:val="hy-AM"/>
        </w:rPr>
        <w:t xml:space="preserve">ձեռքբերման համար նախորդ տարիներին տրամադրված վարկերը </w:t>
      </w:r>
      <w:r w:rsidRPr="000B7FF5">
        <w:rPr>
          <w:b w:val="0"/>
          <w:lang w:val="hy-AM"/>
        </w:rPr>
        <w:t xml:space="preserve">և </w:t>
      </w:r>
      <w:r w:rsidR="000B7FF5" w:rsidRPr="000B7FF5">
        <w:rPr>
          <w:b w:val="0"/>
          <w:lang w:val="hy-AM"/>
        </w:rPr>
        <w:t>167</w:t>
      </w:r>
      <w:r w:rsidRPr="000B7FF5">
        <w:rPr>
          <w:b w:val="0"/>
          <w:lang w:val="hy-AM"/>
        </w:rPr>
        <w:t xml:space="preserve">1 մանր եղջերավոր տոհմային կենդանիների ձեռքբերման համար 2022 թվականին տրամադրվելիք և նախորդ տարիներին տրամադրված վարկերը: </w:t>
      </w:r>
    </w:p>
    <w:p w14:paraId="567D1BCD" w14:textId="7F9C8B27" w:rsidR="00574F8B" w:rsidRPr="000B7FF5" w:rsidRDefault="00574F8B" w:rsidP="00574F8B">
      <w:pPr>
        <w:spacing w:before="0" w:line="276" w:lineRule="auto"/>
        <w:rPr>
          <w:b w:val="0"/>
          <w:lang w:val="hy-AM"/>
        </w:rPr>
      </w:pPr>
      <w:r w:rsidRPr="000B7FF5">
        <w:rPr>
          <w:b w:val="0"/>
          <w:lang w:val="hy-AM"/>
        </w:rPr>
        <w:t xml:space="preserve">Ծրագրի շրջանակներում նախատեսվում է նաև մասնակի փոխհատուցել նախորդ տարիներից կառուցվող կամ վերակառուցվող 25 անասնաշենքի գծով կատարված ծախսերը, 30 հատ ջերմատների կառուցման համար կատարված ծախսերը, 190 գլուխ մանր եղջերավոր տոհմային կենդանիների ձեռքբերման համար կատարված ծախսերը, </w:t>
      </w:r>
      <w:r w:rsidR="000B7FF5" w:rsidRPr="000B7FF5">
        <w:rPr>
          <w:b w:val="0"/>
          <w:lang w:val="hy-AM"/>
        </w:rPr>
        <w:t>35</w:t>
      </w:r>
      <w:r w:rsidRPr="000B7FF5">
        <w:rPr>
          <w:b w:val="0"/>
          <w:lang w:val="hy-AM"/>
        </w:rPr>
        <w:t xml:space="preserve"> հեկտար ոռոգման արդիական համակարգերի ներդրման և </w:t>
      </w:r>
      <w:r w:rsidR="000B7FF5" w:rsidRPr="000B7FF5">
        <w:rPr>
          <w:b w:val="0"/>
          <w:lang w:val="hy-AM"/>
        </w:rPr>
        <w:t>30</w:t>
      </w:r>
      <w:r w:rsidRPr="000B7FF5">
        <w:rPr>
          <w:b w:val="0"/>
          <w:lang w:val="hy-AM"/>
        </w:rPr>
        <w:t xml:space="preserve"> հեկտար ինտենսիվ պտղատու այգիների հիմնման համար կատարված ծախսերը: </w:t>
      </w:r>
    </w:p>
    <w:p w14:paraId="18A070F9" w14:textId="77777777" w:rsidR="00574F8B" w:rsidRPr="00A83C94" w:rsidRDefault="00574F8B" w:rsidP="00574F8B">
      <w:pPr>
        <w:spacing w:before="0" w:line="276" w:lineRule="auto"/>
        <w:rPr>
          <w:b w:val="0"/>
          <w:lang w:val="hy-AM"/>
        </w:rPr>
      </w:pPr>
      <w:r w:rsidRPr="000B7FF5">
        <w:rPr>
          <w:b w:val="0"/>
          <w:lang w:val="hy-AM"/>
        </w:rPr>
        <w:t>Ծրագրի շրջանակներում ԵՄ աջակցությամբ նախատեսվում է ձեռք բերել գինեգործական և խաղողագործական արտադրանքի իզոտոպային</w:t>
      </w:r>
      <w:r w:rsidRPr="00A83C94">
        <w:rPr>
          <w:b w:val="0"/>
          <w:lang w:val="hy-AM"/>
        </w:rPr>
        <w:t xml:space="preserve"> բաղադրության փորձաքննության համար անհրաժեշտ մագնիսական ռեզոնատոր «SNIF-NMR» լաբորատոր սարքավորում, ինչպես նաև ստեղծել լոգիստիկ կենտրոն:</w:t>
      </w:r>
    </w:p>
    <w:p w14:paraId="5E1AD0B4" w14:textId="77777777" w:rsidR="00574F8B" w:rsidRPr="00A83C94" w:rsidRDefault="00574F8B" w:rsidP="00574F8B">
      <w:pPr>
        <w:spacing w:before="0" w:line="276" w:lineRule="auto"/>
        <w:rPr>
          <w:b w:val="0"/>
          <w:lang w:val="hy-AM"/>
        </w:rPr>
      </w:pPr>
      <w:r w:rsidRPr="00A83C94">
        <w:rPr>
          <w:lang w:val="hy-AM"/>
        </w:rPr>
        <w:t xml:space="preserve">Սննդամթերքի լաբորատոր փորձաքննություններ </w:t>
      </w:r>
      <w:r w:rsidRPr="00A83C94">
        <w:rPr>
          <w:b w:val="0"/>
          <w:lang w:val="hy-AM"/>
        </w:rPr>
        <w:t>ծրագրի գծով 2022 թվականին նախատեսվել է հատկացնել 70.5 մլն դրամ:</w:t>
      </w:r>
    </w:p>
    <w:p w14:paraId="45C577D6" w14:textId="77777777" w:rsidR="00574F8B" w:rsidRPr="000B7FF5" w:rsidRDefault="00574F8B" w:rsidP="00574F8B">
      <w:pPr>
        <w:spacing w:before="0" w:line="276" w:lineRule="auto"/>
        <w:rPr>
          <w:b w:val="0"/>
          <w:lang w:val="hy-AM"/>
        </w:rPr>
      </w:pPr>
      <w:r w:rsidRPr="00A83C94">
        <w:rPr>
          <w:b w:val="0"/>
          <w:lang w:val="hy-AM"/>
        </w:rPr>
        <w:t xml:space="preserve">Ծրագրի նպատակն է սննդի </w:t>
      </w:r>
      <w:r w:rsidRPr="000B7FF5">
        <w:rPr>
          <w:b w:val="0"/>
          <w:lang w:val="hy-AM"/>
        </w:rPr>
        <w:t xml:space="preserve">անվտանգության և որակի ապահովումը: Ծրագրի շրջանակներում նախատեսվում է իրականացնել սննդամթերքի 255 լաբորատոր փորձաքննություններ, մեղրի մեջ մնացորդային նյութերի լաբորատոր հսկողության նպատակով 863 հետազոտություններ և ձկան մեջ մնացորդային նյութերի լաբորատոր հսկողության նպատակով 792 հետազոտություններ: </w:t>
      </w:r>
    </w:p>
    <w:p w14:paraId="43931C8A" w14:textId="77777777" w:rsidR="00574F8B" w:rsidRPr="00A83C94" w:rsidRDefault="00574F8B" w:rsidP="00574F8B">
      <w:pPr>
        <w:spacing w:before="0" w:line="276" w:lineRule="auto"/>
        <w:ind w:firstLine="562"/>
        <w:rPr>
          <w:b w:val="0"/>
          <w:lang w:val="hy-AM"/>
        </w:rPr>
      </w:pPr>
      <w:r w:rsidRPr="00A83C94">
        <w:rPr>
          <w:bCs/>
          <w:lang w:val="hy-AM"/>
        </w:rPr>
        <w:t xml:space="preserve">Գյուղական ենթակառուցվածքների վերականգնում և զարգացում </w:t>
      </w:r>
      <w:r w:rsidRPr="00A83C94">
        <w:rPr>
          <w:b w:val="0"/>
          <w:lang w:val="hy-AM"/>
        </w:rPr>
        <w:t>ծրագրի գծով 2022 թվականին նախատեսվել է հատկացնել 2,289.6 մլն դրամ:</w:t>
      </w:r>
    </w:p>
    <w:p w14:paraId="7DBAC521" w14:textId="77777777" w:rsidR="00574F8B" w:rsidRPr="00A83C94" w:rsidRDefault="00574F8B" w:rsidP="00574F8B">
      <w:pPr>
        <w:spacing w:before="0" w:line="276" w:lineRule="auto"/>
        <w:ind w:firstLine="562"/>
        <w:rPr>
          <w:b w:val="0"/>
          <w:lang w:val="hy-AM"/>
        </w:rPr>
      </w:pPr>
      <w:r w:rsidRPr="00A83C94">
        <w:rPr>
          <w:b w:val="0"/>
          <w:lang w:val="hy-AM"/>
        </w:rPr>
        <w:t>Ծրագրի նպատակն է բարձրացնել գյուղատնտեսության ոլորտի  արդյունավետությունը: Ծրագրի շրջանակներում նախատեսվում է մշակել ՀՀ էկոնոմիկային նախարարության գործընթացներում ներառված փաստերի վրա հիմնված քաղաքականության ընթացակարգերը, բարելավել արոտավայրերի և անասնապահական համակարգերի կառավարման արդյունավետությունը, ձեռք բերել 30 գյուղտեխնիկա, կառուցել 7 կմ ջրագիծ, 9 խմոց, 13 փարախներ, 2 անասանբուժական կենտրոններ, 12000 հա ջրարբիացնող արոտավայրեր, ինչպես նաև նախատեսվում է ՀՀ Արմավիրի և Արարատի մարզերում ներդնել ժամանակակից ոռոգման համակարգեր:</w:t>
      </w:r>
    </w:p>
    <w:p w14:paraId="01296B84" w14:textId="77777777" w:rsidR="00574F8B" w:rsidRPr="00A83C94" w:rsidRDefault="00574F8B" w:rsidP="00574F8B">
      <w:pPr>
        <w:spacing w:before="0" w:line="276" w:lineRule="auto"/>
        <w:rPr>
          <w:b w:val="0"/>
          <w:lang w:val="hy-AM"/>
        </w:rPr>
      </w:pPr>
      <w:r w:rsidRPr="00A83C94">
        <w:rPr>
          <w:lang w:val="hy-AM"/>
        </w:rPr>
        <w:t xml:space="preserve">Ենթակառուցվածքների և գյուղական ֆինասավորման աջակցություն </w:t>
      </w:r>
      <w:r w:rsidRPr="00A83C94">
        <w:rPr>
          <w:b w:val="0"/>
          <w:lang w:val="hy-AM"/>
        </w:rPr>
        <w:t>ծրագրի գծով 2022 թվականաին նախատեսվել է հատկացնել 1,019.4 մլն դրամ:</w:t>
      </w:r>
    </w:p>
    <w:p w14:paraId="2D0E696A" w14:textId="77777777" w:rsidR="00574F8B" w:rsidRPr="00A83C94" w:rsidRDefault="00574F8B" w:rsidP="00574F8B">
      <w:pPr>
        <w:spacing w:before="0" w:line="276" w:lineRule="auto"/>
        <w:rPr>
          <w:rFonts w:cs="Sylfaen"/>
          <w:b w:val="0"/>
          <w:bCs/>
          <w:lang w:val="fr-FR"/>
        </w:rPr>
      </w:pPr>
      <w:r w:rsidRPr="00A83C94">
        <w:rPr>
          <w:b w:val="0"/>
          <w:lang w:val="hy-AM"/>
        </w:rPr>
        <w:t xml:space="preserve">Ծրագրի նպատակն է բարելավել գյուղական ազգաբնակչության տնտեսական ու սոցիալական կարգավիճակը և ստեղծել զբաղվածության </w:t>
      </w:r>
      <w:r w:rsidRPr="00A83C94">
        <w:rPr>
          <w:rFonts w:cs="Arial"/>
          <w:b w:val="0"/>
          <w:lang w:val="hy-AM"/>
        </w:rPr>
        <w:t>ապահովման կայուն</w:t>
      </w:r>
      <w:r w:rsidRPr="00A83C94">
        <w:rPr>
          <w:b w:val="0"/>
          <w:lang w:val="hy-AM"/>
        </w:rPr>
        <w:t xml:space="preserve"> </w:t>
      </w:r>
      <w:r w:rsidRPr="00A83C94">
        <w:rPr>
          <w:rFonts w:cs="Arial"/>
          <w:b w:val="0"/>
          <w:lang w:val="hy-AM"/>
        </w:rPr>
        <w:t>մեխանիզմներ՝ զարգացնելով արտադրական համակարգերը և կապը</w:t>
      </w:r>
      <w:r w:rsidRPr="00A83C94">
        <w:rPr>
          <w:b w:val="0"/>
          <w:lang w:val="hy-AM"/>
        </w:rPr>
        <w:t xml:space="preserve"> </w:t>
      </w:r>
      <w:r w:rsidRPr="00A83C94">
        <w:rPr>
          <w:rFonts w:cs="Arial"/>
          <w:b w:val="0"/>
          <w:lang w:val="hy-AM"/>
        </w:rPr>
        <w:t>ապրանքային մշակաբույսերի արտադրության արժեշղթային օղակների հետ</w:t>
      </w:r>
      <w:r w:rsidRPr="00A83C94">
        <w:rPr>
          <w:b w:val="0"/>
          <w:lang w:val="hy-AM"/>
        </w:rPr>
        <w:t xml:space="preserve">: Ծրագրի շրջանակներում </w:t>
      </w:r>
      <w:r w:rsidRPr="00A83C94">
        <w:rPr>
          <w:rFonts w:cs="Sylfaen"/>
          <w:b w:val="0"/>
          <w:bCs/>
          <w:lang w:val="fr-FR"/>
        </w:rPr>
        <w:t>նախատեսվում է աջակցություն ցուցաբերել 80 գյուղացիական տնտեսվարողների, Գեղարքունիքի մարզի Վարդենիկ և Շիրակի մարզի Հոռոմ համայնքներում կառուցել սառնարանային տնտեսություններ, 4 համայնքներում իրականացնել ներդրումներ կայուն գյուղատնտեսական համակարգերում և տեխնոլոգիաներում, իրականացնել համայնքային հողերի էրոզիայի կանխարգելում:</w:t>
      </w:r>
    </w:p>
    <w:p w14:paraId="1CEEE5C5" w14:textId="77777777" w:rsidR="00574F8B" w:rsidRPr="00A83C94" w:rsidRDefault="00574F8B" w:rsidP="00574F8B">
      <w:pPr>
        <w:spacing w:before="0" w:line="276" w:lineRule="auto"/>
        <w:rPr>
          <w:b w:val="0"/>
          <w:lang w:val="hy-AM"/>
        </w:rPr>
      </w:pPr>
      <w:r w:rsidRPr="00A83C94">
        <w:rPr>
          <w:lang w:val="hy-AM"/>
        </w:rPr>
        <w:t xml:space="preserve">Զբոսաշրջության զարգացման </w:t>
      </w:r>
      <w:r w:rsidRPr="00A83C94">
        <w:rPr>
          <w:b w:val="0"/>
          <w:lang w:val="hy-AM"/>
        </w:rPr>
        <w:t>ծրագրի գծով 2022 թվականին նախատեսվել է հատկացնել 5,979.2 մլն դրամ:</w:t>
      </w:r>
    </w:p>
    <w:p w14:paraId="13F188E1" w14:textId="77777777" w:rsidR="00574F8B" w:rsidRPr="00A83C94" w:rsidRDefault="00574F8B" w:rsidP="00574F8B">
      <w:pPr>
        <w:spacing w:before="0" w:line="276" w:lineRule="auto"/>
        <w:rPr>
          <w:b w:val="0"/>
          <w:lang w:val="hy-AM"/>
        </w:rPr>
      </w:pPr>
      <w:r w:rsidRPr="00A83C94">
        <w:rPr>
          <w:b w:val="0"/>
          <w:lang w:val="hy-AM"/>
        </w:rPr>
        <w:t>Ծրագրի նպատակն է նպաստել ապահովել Հայաստան զբոսաշրջային այցելությունների դինամիկ աճին, Հայաստանի  կայուն և համաչափ տարածքային տնտեսական զարգացմանը, պատմամշակութային և բնության ժառանգության պահպանությանը, զարգացմանը և պատշաճ ներկայացմանն ու խթանմանը։</w:t>
      </w:r>
    </w:p>
    <w:p w14:paraId="341CD474" w14:textId="77777777" w:rsidR="00574F8B" w:rsidRPr="00A83C94" w:rsidRDefault="00574F8B" w:rsidP="00574F8B">
      <w:pPr>
        <w:spacing w:before="0" w:line="276" w:lineRule="auto"/>
        <w:rPr>
          <w:b w:val="0"/>
          <w:lang w:val="hy-AM"/>
        </w:rPr>
      </w:pPr>
      <w:r w:rsidRPr="00A83C94">
        <w:rPr>
          <w:b w:val="0"/>
          <w:lang w:val="hy-AM"/>
        </w:rPr>
        <w:t xml:space="preserve"> Ծրագրի շրջանակներում նախատեսվում է նաև զբոսաշրջային վայրերի բարելավված մուտքային 12 կմ ճանապարհահատվածի կառուցման, 3 զբոսայգիների բարելավման և փողոցային լուսավորության թվով 800 սյուների ու լամպերի փոխարինման աշխատանքներ:   Զբոսաշրջության աջակցության հետ կապված գործողությունների միջոցով  կստեղծվեն 1800  ժամանակավոր և մշտական  աշխատատեղեր, միջազգային 3 ցուցահանդեսների մասնակցություն, միջազգային 12 ճանաչողական այցերի կազմակերպում, պետական աջակցություն ՀՀ մարզերում 15 փառատոների  կազմակերպմանը, աջակցություն զբոսաշրջային տեղեկատվական 10 կենտրոնների գործունեությանը, 2 միջազգային միջոցառման կազմակերպում:</w:t>
      </w:r>
    </w:p>
    <w:p w14:paraId="510F2485" w14:textId="77777777" w:rsidR="00574F8B" w:rsidRPr="00A83C94" w:rsidRDefault="00574F8B" w:rsidP="00574F8B">
      <w:pPr>
        <w:spacing w:before="0" w:line="276" w:lineRule="auto"/>
        <w:ind w:firstLine="562"/>
        <w:rPr>
          <w:b w:val="0"/>
          <w:lang w:val="hy-AM"/>
        </w:rPr>
      </w:pPr>
      <w:r w:rsidRPr="00A83C94">
        <w:rPr>
          <w:lang w:val="hy-AM"/>
        </w:rPr>
        <w:t xml:space="preserve">Կորոնավիրուսի (COVID-19) տնտեսական հետևանքների չեզոքացման հետևանքով տրամադրված վարկերի տոկոսադրույքների սուբսիդավորման </w:t>
      </w:r>
      <w:r w:rsidRPr="00A83C94">
        <w:rPr>
          <w:b w:val="0"/>
          <w:lang w:val="hy-AM"/>
        </w:rPr>
        <w:t>ծրագրի գծով 2022 թվականին նախատեսվել է հատկացնել 7,000.0 մլն դրամ:</w:t>
      </w:r>
    </w:p>
    <w:p w14:paraId="4CF8D141" w14:textId="77777777" w:rsidR="00574F8B" w:rsidRPr="00A83C94" w:rsidRDefault="00574F8B" w:rsidP="00574F8B">
      <w:pPr>
        <w:spacing w:before="0" w:line="276" w:lineRule="auto"/>
        <w:rPr>
          <w:b w:val="0"/>
          <w:lang w:val="af-ZA"/>
        </w:rPr>
      </w:pPr>
      <w:r w:rsidRPr="00A83C94">
        <w:rPr>
          <w:b w:val="0"/>
          <w:lang w:val="hy-AM"/>
        </w:rPr>
        <w:t xml:space="preserve">Ծրագրի նպատակն է </w:t>
      </w:r>
      <w:r w:rsidRPr="00A83C94">
        <w:rPr>
          <w:b w:val="0"/>
          <w:lang w:val="af-ZA"/>
        </w:rPr>
        <w:t xml:space="preserve">արտոնյալ պայմաններով վարկերի տրամադրում՝ միտված վարկառուների ներկա իրավիճակով պայմանավորված խնդիրների և ժամանակավոր դժվարությունների լուծմանը: Օժանդակությունը իրականացվում է միջոցառման շրջանակում տրամադրված </w:t>
      </w:r>
      <w:r w:rsidRPr="00A83C94">
        <w:rPr>
          <w:b w:val="0"/>
          <w:lang w:val="hy-AM"/>
        </w:rPr>
        <w:t xml:space="preserve">1500 </w:t>
      </w:r>
      <w:r w:rsidRPr="00A83C94">
        <w:rPr>
          <w:b w:val="0"/>
          <w:lang w:val="af-ZA"/>
        </w:rPr>
        <w:t xml:space="preserve">արտոնյալ վարկերի տոկոսագումարների սուբսիդավորման ձևով։ </w:t>
      </w:r>
    </w:p>
    <w:p w14:paraId="68F87D1E" w14:textId="77777777" w:rsidR="00F54D73" w:rsidRPr="00A83C94" w:rsidRDefault="00F54D73" w:rsidP="00574F8B">
      <w:pPr>
        <w:spacing w:before="0" w:line="276" w:lineRule="auto"/>
        <w:rPr>
          <w:b w:val="0"/>
          <w:lang w:val="af-ZA"/>
        </w:rPr>
      </w:pPr>
    </w:p>
    <w:p w14:paraId="701D9C33" w14:textId="2AE0364C" w:rsidR="00F82D13" w:rsidRPr="00A83C94" w:rsidRDefault="00F82D13" w:rsidP="00F82D13">
      <w:pPr>
        <w:keepNext/>
        <w:spacing w:before="0" w:line="276" w:lineRule="auto"/>
        <w:ind w:firstLine="0"/>
        <w:contextualSpacing w:val="0"/>
        <w:jc w:val="center"/>
        <w:outlineLvl w:val="2"/>
        <w:rPr>
          <w:sz w:val="24"/>
          <w:lang w:val="hy-AM"/>
        </w:rPr>
      </w:pPr>
      <w:bookmarkStart w:id="283" w:name="_Toc83996376"/>
      <w:r w:rsidRPr="00A83C94">
        <w:rPr>
          <w:rFonts w:cs="Arial"/>
          <w:sz w:val="24"/>
          <w:lang w:val="hy-AM" w:eastAsia="en-US"/>
        </w:rPr>
        <w:t xml:space="preserve">ՀՀ </w:t>
      </w:r>
      <w:r w:rsidRPr="00A83C94">
        <w:rPr>
          <w:rFonts w:cs="Arial"/>
          <w:sz w:val="24"/>
          <w:lang w:eastAsia="en-US"/>
        </w:rPr>
        <w:t>ֆինանսների</w:t>
      </w:r>
      <w:r w:rsidRPr="00A83C94">
        <w:rPr>
          <w:rFonts w:cs="Arial"/>
          <w:sz w:val="24"/>
          <w:lang w:val="hy-AM" w:eastAsia="en-US"/>
        </w:rPr>
        <w:t xml:space="preserve"> նախա</w:t>
      </w:r>
      <w:r w:rsidRPr="00A83C94">
        <w:rPr>
          <w:rFonts w:cs="Arial"/>
          <w:sz w:val="24"/>
          <w:lang w:val="hy-AM" w:eastAsia="en-US"/>
        </w:rPr>
        <w:softHyphen/>
        <w:t>րարու</w:t>
      </w:r>
      <w:r w:rsidRPr="00A83C94">
        <w:rPr>
          <w:rFonts w:cs="Arial"/>
          <w:sz w:val="24"/>
          <w:lang w:val="hy-AM" w:eastAsia="en-US"/>
        </w:rPr>
        <w:softHyphen/>
        <w:t>թյուն</w:t>
      </w:r>
      <w:bookmarkEnd w:id="283"/>
    </w:p>
    <w:p w14:paraId="3AFE3E39" w14:textId="13204464" w:rsidR="00F82D13" w:rsidRPr="00A83C94" w:rsidRDefault="00100580" w:rsidP="00F82D13">
      <w:pPr>
        <w:spacing w:before="0" w:line="276" w:lineRule="auto"/>
        <w:rPr>
          <w:b w:val="0"/>
          <w:lang w:val="hy-AM"/>
        </w:rPr>
      </w:pPr>
      <w:r w:rsidRPr="00A83C94">
        <w:rPr>
          <w:b w:val="0"/>
          <w:color w:val="000000"/>
          <w:szCs w:val="22"/>
          <w:lang w:val="hy-AM" w:eastAsia="en-US"/>
        </w:rPr>
        <w:t>ՀՀ ֆինանսերի</w:t>
      </w:r>
      <w:r w:rsidR="00F82D13" w:rsidRPr="00A83C94">
        <w:rPr>
          <w:b w:val="0"/>
          <w:color w:val="000000"/>
          <w:szCs w:val="22"/>
          <w:lang w:val="hy-AM" w:eastAsia="en-US"/>
        </w:rPr>
        <w:t xml:space="preserve"> նախա</w:t>
      </w:r>
      <w:r w:rsidR="00F82D13" w:rsidRPr="00A83C94">
        <w:rPr>
          <w:b w:val="0"/>
          <w:color w:val="000000"/>
          <w:szCs w:val="22"/>
          <w:lang w:val="hy-AM" w:eastAsia="en-US"/>
        </w:rPr>
        <w:softHyphen/>
        <w:t>րարու</w:t>
      </w:r>
      <w:r w:rsidR="00F82D13" w:rsidRPr="00A83C94">
        <w:rPr>
          <w:b w:val="0"/>
          <w:color w:val="000000"/>
          <w:szCs w:val="22"/>
          <w:lang w:val="hy-AM" w:eastAsia="en-US"/>
        </w:rPr>
        <w:softHyphen/>
        <w:t xml:space="preserve">թյան գծով Նախագծով նախատեսվում է հատկացնել </w:t>
      </w:r>
      <w:r w:rsidR="00E622DF" w:rsidRPr="00A83C94">
        <w:rPr>
          <w:b w:val="0"/>
          <w:color w:val="000000"/>
          <w:szCs w:val="22"/>
          <w:lang w:val="hy-AM" w:eastAsia="en-US"/>
        </w:rPr>
        <w:t>218</w:t>
      </w:r>
      <w:r w:rsidR="00F82D13" w:rsidRPr="00A83C94">
        <w:rPr>
          <w:b w:val="0"/>
          <w:color w:val="000000"/>
          <w:szCs w:val="22"/>
          <w:lang w:val="hy-AM" w:eastAsia="en-US"/>
        </w:rPr>
        <w:t>,</w:t>
      </w:r>
      <w:r w:rsidR="00E622DF" w:rsidRPr="00A83C94">
        <w:rPr>
          <w:b w:val="0"/>
          <w:color w:val="000000"/>
          <w:szCs w:val="22"/>
          <w:lang w:val="hy-AM" w:eastAsia="en-US"/>
        </w:rPr>
        <w:t>6</w:t>
      </w:r>
      <w:r w:rsidR="0052299C" w:rsidRPr="0052299C">
        <w:rPr>
          <w:b w:val="0"/>
          <w:color w:val="000000"/>
          <w:szCs w:val="22"/>
          <w:lang w:val="hy-AM" w:eastAsia="en-US"/>
        </w:rPr>
        <w:t>96</w:t>
      </w:r>
      <w:r w:rsidR="00F82D13" w:rsidRPr="00A83C94">
        <w:rPr>
          <w:b w:val="0"/>
          <w:color w:val="000000"/>
          <w:szCs w:val="22"/>
          <w:lang w:val="hy-AM" w:eastAsia="en-US"/>
        </w:rPr>
        <w:t>.</w:t>
      </w:r>
      <w:r w:rsidR="0052299C" w:rsidRPr="0052299C">
        <w:rPr>
          <w:b w:val="0"/>
          <w:color w:val="000000"/>
          <w:szCs w:val="22"/>
          <w:lang w:val="hy-AM" w:eastAsia="en-US"/>
        </w:rPr>
        <w:t>2</w:t>
      </w:r>
      <w:r w:rsidR="00F82D13" w:rsidRPr="00A83C94">
        <w:rPr>
          <w:b w:val="0"/>
          <w:color w:val="000000"/>
          <w:szCs w:val="22"/>
          <w:lang w:val="hy-AM" w:eastAsia="en-US"/>
        </w:rPr>
        <w:t xml:space="preserve"> մլն դրամ (ներառյալ կառավարման ապարատի պահպանման ծախսերը): Հատկացվելիք միջոցներն</w:t>
      </w:r>
      <w:r w:rsidR="00F82D13" w:rsidRPr="00A83C94">
        <w:rPr>
          <w:b w:val="0"/>
          <w:lang w:val="hy-AM"/>
        </w:rPr>
        <w:t xml:space="preserve"> ուղղվելու են հետևյալ ծրագրերի իրականացմանը.</w:t>
      </w:r>
    </w:p>
    <w:p w14:paraId="51621514" w14:textId="0D2F6877" w:rsidR="00E622DF" w:rsidRPr="00A83C94" w:rsidRDefault="00E622DF" w:rsidP="005C7E87">
      <w:pPr>
        <w:pStyle w:val="ListParagraph"/>
        <w:spacing w:before="0" w:line="276" w:lineRule="auto"/>
        <w:ind w:left="0"/>
        <w:rPr>
          <w:b w:val="0"/>
          <w:lang w:val="hy-AM"/>
        </w:rPr>
      </w:pPr>
      <w:r w:rsidRPr="00A83C94">
        <w:rPr>
          <w:lang w:val="hy-AM"/>
        </w:rPr>
        <w:t>Պետական պարտքի կառավարում</w:t>
      </w:r>
      <w:r w:rsidRPr="00A83C94">
        <w:rPr>
          <w:b w:val="0"/>
          <w:lang w:val="hy-AM"/>
        </w:rPr>
        <w:t xml:space="preserve"> ծրագրի գծով 2022 թվականին նախատեսվել է հատկացնել 214,694.5 մլն դրամ: Ծրագրի նպատակն է Կառավարության ֆինանսական կարիքների բավարարման մշտական հնարավորության ապահովումը` երկարաժամկետ հատվածում նվազեցնելով պարտքի սպասարկման մեծությունը: Ծրագրի շրջանակներում նախատեսվում է </w:t>
      </w:r>
      <w:r w:rsidR="005C7E87" w:rsidRPr="00A83C94">
        <w:rPr>
          <w:b w:val="0"/>
          <w:lang w:val="hy-AM"/>
        </w:rPr>
        <w:t>արտարժութային պետական պարտատոմսերի թողարկում, ՀՀ պետական պարտքի կառավարման գործընթացի հրապարակայնության ապահովում, պարտքի կառավարմանն առնչվող տեղեկատվական համակարգերի և ծրագրերի սպասարկում և կառավարության պարտքի և մուրհակների սպասարկում:</w:t>
      </w:r>
    </w:p>
    <w:p w14:paraId="3F0BE5D2" w14:textId="72C95AE0" w:rsidR="00640ECA" w:rsidRPr="00A83C94" w:rsidRDefault="00640ECA" w:rsidP="0059116C">
      <w:pPr>
        <w:pStyle w:val="ListParagraph"/>
        <w:spacing w:before="0" w:line="276" w:lineRule="auto"/>
        <w:ind w:left="0"/>
        <w:rPr>
          <w:b w:val="0"/>
          <w:lang w:val="hy-AM"/>
        </w:rPr>
      </w:pPr>
      <w:r w:rsidRPr="00A83C94">
        <w:rPr>
          <w:lang w:val="hy-AM"/>
        </w:rPr>
        <w:t>Հանրային հատվածի ֆինանսական ոլորտի մասնագետների վերապատրաստում</w:t>
      </w:r>
      <w:r w:rsidRPr="00A83C94">
        <w:rPr>
          <w:b w:val="0"/>
          <w:lang w:val="hy-AM"/>
        </w:rPr>
        <w:t xml:space="preserve">  ծրագրի գծով նախատեսվել է հատկացնել </w:t>
      </w:r>
      <w:r w:rsidR="005C7E87" w:rsidRPr="00A83C94">
        <w:rPr>
          <w:b w:val="0"/>
          <w:lang w:val="hy-AM"/>
        </w:rPr>
        <w:t xml:space="preserve">22.1 </w:t>
      </w:r>
      <w:r w:rsidRPr="00A83C94">
        <w:rPr>
          <w:b w:val="0"/>
          <w:lang w:val="hy-AM"/>
        </w:rPr>
        <w:t xml:space="preserve">մլն դրամ: Ծրագրի նպատակն է հանրային հատվածի ֆինանսական ոլորտի մասնագետների աշխատանքի արդյունավետության բարելավումը, հանրային ֆինանսների կառավարման նոր գիտելիքների և փորձի յուրացումը: Ծրագրի շրջանակներում նախատեսվում է </w:t>
      </w:r>
      <w:r w:rsidR="003725C2" w:rsidRPr="00A83C94">
        <w:rPr>
          <w:b w:val="0"/>
          <w:lang w:val="hy-AM"/>
        </w:rPr>
        <w:t>իրականացնել հետևյալ միջոցառումը:</w:t>
      </w:r>
    </w:p>
    <w:p w14:paraId="34C54500" w14:textId="47E72282" w:rsidR="0059116C" w:rsidRPr="00A83C94" w:rsidRDefault="005C7E87" w:rsidP="0059116C">
      <w:pPr>
        <w:spacing w:before="0" w:line="276" w:lineRule="auto"/>
        <w:ind w:firstLine="576"/>
        <w:rPr>
          <w:rFonts w:cs="Sylfaen"/>
          <w:sz w:val="24"/>
          <w:lang w:val="hy-AM"/>
        </w:rPr>
      </w:pPr>
      <w:r w:rsidRPr="00A83C94">
        <w:rPr>
          <w:lang w:val="hy-AM"/>
        </w:rPr>
        <w:t>Հանրային ֆինանսների կառավարման բնագավառում պետական քաղաքականության մշակում, ծրագրերի համակարգում և մոնիտորինգ</w:t>
      </w:r>
      <w:r w:rsidRPr="00A83C94">
        <w:rPr>
          <w:b w:val="0"/>
          <w:lang w:val="hy-AM"/>
        </w:rPr>
        <w:t xml:space="preserve"> ծրագրի գծով 2022 թվականին նախատեսվել է հատկացնել 3,</w:t>
      </w:r>
      <w:r w:rsidR="0052299C" w:rsidRPr="00225E3A">
        <w:rPr>
          <w:b w:val="0"/>
          <w:lang w:val="hy-AM"/>
        </w:rPr>
        <w:t>852</w:t>
      </w:r>
      <w:r w:rsidRPr="00A83C94">
        <w:rPr>
          <w:b w:val="0"/>
          <w:lang w:val="hy-AM"/>
        </w:rPr>
        <w:t>.</w:t>
      </w:r>
      <w:r w:rsidR="0052299C" w:rsidRPr="00225E3A">
        <w:rPr>
          <w:b w:val="0"/>
          <w:lang w:val="hy-AM"/>
        </w:rPr>
        <w:t>6</w:t>
      </w:r>
      <w:r w:rsidRPr="00A83C94">
        <w:rPr>
          <w:b w:val="0"/>
          <w:lang w:val="hy-AM"/>
        </w:rPr>
        <w:t xml:space="preserve"> մլն դրամ: Ծրագրի նպատակն է հանրային ֆինանսների կառավարման բնագավառում պետական քաղաքականության մշակումը և դրա կատարման համակարգումը, պետական ծրագրերի պլանավորումը, մշակումը, մոնիտորինգի (վերահսկման) ծառայությունների իրականացումը:</w:t>
      </w:r>
      <w:r w:rsidR="0059116C" w:rsidRPr="00A83C94">
        <w:rPr>
          <w:b w:val="0"/>
          <w:lang w:val="hy-AM"/>
        </w:rPr>
        <w:t xml:space="preserve"> Ծրագրի շրջանակներում նախատեսվում է նաև ֆինանսական կառավարման համակարգի վճարահաշվարկային ծառայությունների մատուցում, ՀՀ համապատասխան վարկանիշի միջազգային հարթակում ապահովման նպատակով՝ ՀՀ սուվերեն վարկանիշի ստացում,  ՀՀ ֆինանսների նախարարության և ՌԴ ֆինանսների նախարարության միջև` Ռուսաստանի Դաշնության կողմից Հայաստանի Հանրապետությանն անհատույց ֆինանսական օգնության դրամաշնորհային ծրագրի շրջանակներում Կառավարության ֆինանսական կառավարման տեղեկատվական համակարգերի ներդրում:</w:t>
      </w:r>
    </w:p>
    <w:p w14:paraId="3FB02A1A" w14:textId="08C97CCC" w:rsidR="003725C2" w:rsidRPr="00A83C94" w:rsidRDefault="003725C2" w:rsidP="003725C2">
      <w:pPr>
        <w:pStyle w:val="ListParagraph"/>
        <w:spacing w:before="0" w:line="276" w:lineRule="auto"/>
        <w:ind w:left="0"/>
        <w:rPr>
          <w:b w:val="0"/>
          <w:lang w:val="hy-AM"/>
        </w:rPr>
      </w:pPr>
      <w:r w:rsidRPr="00A83C94">
        <w:rPr>
          <w:lang w:val="hy-AM"/>
        </w:rPr>
        <w:t>Գնումների գործընթացի կարգավորում և համակարգում</w:t>
      </w:r>
      <w:r w:rsidRPr="00A83C94">
        <w:rPr>
          <w:b w:val="0"/>
          <w:lang w:val="hy-AM"/>
        </w:rPr>
        <w:t xml:space="preserve"> ծրագրի գծով նախատեսվել է հատկացնել </w:t>
      </w:r>
      <w:r w:rsidR="005C7E87" w:rsidRPr="00A83C94">
        <w:rPr>
          <w:b w:val="0"/>
          <w:lang w:val="hy-AM"/>
        </w:rPr>
        <w:t>127</w:t>
      </w:r>
      <w:r w:rsidRPr="00A83C94">
        <w:rPr>
          <w:b w:val="0"/>
          <w:lang w:val="hy-AM"/>
        </w:rPr>
        <w:t>.</w:t>
      </w:r>
      <w:r w:rsidR="005C7E87" w:rsidRPr="00A83C94">
        <w:rPr>
          <w:b w:val="0"/>
          <w:lang w:val="hy-AM"/>
        </w:rPr>
        <w:t>1</w:t>
      </w:r>
      <w:r w:rsidRPr="00A83C94">
        <w:rPr>
          <w:b w:val="0"/>
          <w:lang w:val="hy-AM"/>
        </w:rPr>
        <w:t xml:space="preserve"> մլն դրամ: Ծրագրի նպատակն է հանրային միջոցների ծախսման արդյունավետության բարձրացումը և կոռուպցիոն ռիսկերի նվազեցումը: </w:t>
      </w:r>
      <w:r w:rsidR="005C7E87" w:rsidRPr="00A83C94">
        <w:rPr>
          <w:b w:val="0"/>
          <w:lang w:val="hy-AM"/>
        </w:rPr>
        <w:t xml:space="preserve">Ծրագրի շրջանակներում նախատեսվում է պետական գնումների գործընթացի թափանցիկության՝ հրապարակայնության և մրցակցության աստիճանի բարձրացում՝ </w:t>
      </w:r>
      <w:r w:rsidR="00DD3367" w:rsidRPr="00A83C94">
        <w:rPr>
          <w:b w:val="0"/>
          <w:lang w:val="hy-AM"/>
        </w:rPr>
        <w:t>է</w:t>
      </w:r>
      <w:r w:rsidR="005C7E87" w:rsidRPr="00A83C94">
        <w:rPr>
          <w:b w:val="0"/>
          <w:lang w:val="hy-AM"/>
        </w:rPr>
        <w:t>լեկտրոնային գնումների համակարգի տեխնիկական սպասարկ</w:t>
      </w:r>
      <w:r w:rsidR="00373658" w:rsidRPr="00A83C94">
        <w:rPr>
          <w:b w:val="0"/>
          <w:lang w:val="hy-AM"/>
        </w:rPr>
        <w:t>ում</w:t>
      </w:r>
      <w:r w:rsidR="005C7E87" w:rsidRPr="00A83C94">
        <w:rPr>
          <w:b w:val="0"/>
          <w:lang w:val="hy-AM"/>
        </w:rPr>
        <w:t xml:space="preserve"> և գնումների պլանավոր</w:t>
      </w:r>
      <w:r w:rsidR="00373658" w:rsidRPr="00A83C94">
        <w:rPr>
          <w:b w:val="0"/>
          <w:lang w:val="hy-AM"/>
        </w:rPr>
        <w:t>ում</w:t>
      </w:r>
      <w:r w:rsidR="005C7E87" w:rsidRPr="00A83C94">
        <w:rPr>
          <w:b w:val="0"/>
          <w:lang w:val="hy-AM"/>
        </w:rPr>
        <w:t>, պայմանագրերի կառավարման ու գնումների հաշվետվողականության էլեկտրոնային համակարգի սպասարկ</w:t>
      </w:r>
      <w:r w:rsidR="00373658" w:rsidRPr="00A83C94">
        <w:rPr>
          <w:b w:val="0"/>
          <w:lang w:val="hy-AM"/>
        </w:rPr>
        <w:t>ում, LSFinance (ԳԳՕ) և CLIENT-TREASURY համակարգի անխափան գործունեության ապահովում</w:t>
      </w:r>
      <w:r w:rsidR="00DD3367" w:rsidRPr="00A83C94">
        <w:rPr>
          <w:b w:val="0"/>
          <w:lang w:val="hy-AM"/>
        </w:rPr>
        <w:t>:</w:t>
      </w:r>
    </w:p>
    <w:p w14:paraId="599AA53F" w14:textId="77777777" w:rsidR="003725C2" w:rsidRPr="00A83C94" w:rsidRDefault="003725C2" w:rsidP="00640ECA">
      <w:pPr>
        <w:pStyle w:val="ListParagraph"/>
        <w:spacing w:before="0" w:line="276" w:lineRule="auto"/>
        <w:ind w:left="0"/>
        <w:rPr>
          <w:b w:val="0"/>
          <w:lang w:val="hy-AM"/>
        </w:rPr>
      </w:pPr>
    </w:p>
    <w:p w14:paraId="0DF44F8F" w14:textId="16C63AE4" w:rsidR="00060470" w:rsidRPr="00A83C94" w:rsidRDefault="004D4C68" w:rsidP="00832373">
      <w:pPr>
        <w:keepNext/>
        <w:spacing w:before="0" w:line="276" w:lineRule="auto"/>
        <w:ind w:firstLine="0"/>
        <w:contextualSpacing w:val="0"/>
        <w:jc w:val="center"/>
        <w:outlineLvl w:val="2"/>
        <w:rPr>
          <w:rFonts w:cs="Arial"/>
          <w:sz w:val="24"/>
          <w:lang w:val="hy-AM" w:eastAsia="en-US"/>
        </w:rPr>
      </w:pPr>
      <w:bookmarkStart w:id="284" w:name="_Toc83996377"/>
      <w:r w:rsidRPr="00A83C94">
        <w:rPr>
          <w:rFonts w:cs="Arial"/>
          <w:sz w:val="24"/>
          <w:lang w:val="hy-AM" w:eastAsia="en-US"/>
        </w:rPr>
        <w:t xml:space="preserve">ՀՀ արտակարգ իրավիճակների </w:t>
      </w:r>
      <w:r w:rsidR="008C00B8" w:rsidRPr="00A83C94">
        <w:rPr>
          <w:rFonts w:cs="Arial"/>
          <w:sz w:val="24"/>
          <w:lang w:val="hy-AM" w:eastAsia="en-US"/>
        </w:rPr>
        <w:t>նախարարությու</w:t>
      </w:r>
      <w:r w:rsidRPr="00A83C94">
        <w:rPr>
          <w:rFonts w:cs="Arial"/>
          <w:sz w:val="24"/>
          <w:lang w:val="hy-AM" w:eastAsia="en-US"/>
        </w:rPr>
        <w:t>ն</w:t>
      </w:r>
      <w:bookmarkEnd w:id="284"/>
    </w:p>
    <w:p w14:paraId="4B8D21C8" w14:textId="77777777" w:rsidR="00CE72A5" w:rsidRPr="00A83C94" w:rsidRDefault="000E65CF"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ab/>
      </w:r>
      <w:r w:rsidR="00CE72A5" w:rsidRPr="00A83C94">
        <w:rPr>
          <w:b w:val="0"/>
          <w:szCs w:val="22"/>
          <w:lang w:val="fr-FR" w:eastAsia="en-US"/>
        </w:rPr>
        <w:t>Հայաստանի Հանրապետության ազգային անվտանգության ապահովման կարևորագույն ոլորտներից մեկը՝ արտակարգ իրավիճակների համակարգը, իրականացնում է հանրապետությունում քաղաքացիական պաշտպանության և արտակարգ իրավիճակներում բնակչության պաշտպանության բնագավառներում միաuնական պետական քաղաքականության մշակման, բնական, արհեստական և տեխնածին աղետներ առաջացնող երևույթների ուսումնասիրության, կանխարգելման, հակազդման, հետևանքների վերացման, բնակչության վաղաժամ իրազեկման և ուսուցման գործառույթները:</w:t>
      </w:r>
    </w:p>
    <w:p w14:paraId="78285FBE" w14:textId="77777777" w:rsidR="00CE72A5" w:rsidRPr="00A83C94" w:rsidRDefault="00CE72A5"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Ոլորտի հիմնական թիրախներն են՝ արտակարգ իրավիճակների բնագավառի պետական քաղաքականության մշակում՝ ծրագրերի համակարգում, արտակարգ իրավիճակների արդյունավետ արձագանքում, արտակարգ իրավիճակների կանխում, հնարավոր հետևանքների նվազեցում և վերացում, քաղաքացիական պաշտպանություն, բնակչության և տնտեսության օբյեկտների (տարածքների) պաշտպանություն, փրկարարական, վթարային փրկարարական, անհետաձգելի վթարավերականգնողական, հրդեհաշիջման և այլ աշխատանքների իրականացում, սեյսմիկ ռիսկերի գնահատում և նվազեցում, արտադրական վտանգավոր օբյեկտների շահագործմամբ պայմանավորված տեխնածին վթարների և դրանց հետևանքով հասարակությանը և տնտեսությանը պատճառվող վնասների ռիսկերի նվազեցում, ճգնաժամային կառավարման կարողությունների զարգացում, արտակարգ իրավիճակներում ռազմավարական նշանակության պաշարներով ապահովում և այլն, որոնք ներառված են աղետների ռիսկի կառավարման ազգային ռազմավարության իրականացման գործողությունների ծրագրում:</w:t>
      </w:r>
    </w:p>
    <w:p w14:paraId="21E3EF3E" w14:textId="04FE7EF2" w:rsidR="00B92394" w:rsidRPr="00A83C94" w:rsidRDefault="00B92394" w:rsidP="002E424C">
      <w:pPr>
        <w:autoSpaceDE w:val="0"/>
        <w:autoSpaceDN w:val="0"/>
        <w:adjustRightInd w:val="0"/>
        <w:spacing w:before="0" w:line="276" w:lineRule="auto"/>
        <w:ind w:firstLine="720"/>
        <w:contextualSpacing w:val="0"/>
        <w:rPr>
          <w:b w:val="0"/>
          <w:szCs w:val="22"/>
          <w:lang w:val="fr-FR" w:eastAsia="en-US"/>
        </w:rPr>
      </w:pPr>
      <w:r w:rsidRPr="00A83C94">
        <w:rPr>
          <w:b w:val="0"/>
          <w:lang w:val="hy-AM"/>
        </w:rPr>
        <w:t>ՀՀ արտակարգ իրավիճակների նախարարության գծով նա</w:t>
      </w:r>
      <w:r w:rsidRPr="00A83C94">
        <w:rPr>
          <w:b w:val="0"/>
          <w:lang w:val="hy-AM"/>
        </w:rPr>
        <w:softHyphen/>
        <w:t>խագծով նախատեսվում է</w:t>
      </w:r>
      <w:r w:rsidRPr="00A83C94">
        <w:rPr>
          <w:b w:val="0"/>
          <w:lang w:val="fr-FR"/>
        </w:rPr>
        <w:t xml:space="preserve"> </w:t>
      </w:r>
      <w:r w:rsidRPr="00A83C94">
        <w:rPr>
          <w:b w:val="0"/>
          <w:lang w:val="en-US"/>
        </w:rPr>
        <w:t>հատկացնել</w:t>
      </w:r>
      <w:r w:rsidRPr="00A83C94">
        <w:rPr>
          <w:b w:val="0"/>
          <w:lang w:val="hy-AM"/>
        </w:rPr>
        <w:t xml:space="preserve"> </w:t>
      </w:r>
      <w:r w:rsidR="00583D27">
        <w:rPr>
          <w:b w:val="0"/>
          <w:lang w:val="fr-FR"/>
        </w:rPr>
        <w:t>13</w:t>
      </w:r>
      <w:r w:rsidRPr="00A83C94">
        <w:rPr>
          <w:rFonts w:cs="Sylfaen"/>
          <w:b w:val="0"/>
          <w:lang w:val="af-ZA"/>
        </w:rPr>
        <w:t>,</w:t>
      </w:r>
      <w:r w:rsidR="00583D27">
        <w:rPr>
          <w:rFonts w:cs="Sylfaen"/>
          <w:b w:val="0"/>
          <w:lang w:val="af-ZA"/>
        </w:rPr>
        <w:t>975</w:t>
      </w:r>
      <w:r w:rsidRPr="00A83C94">
        <w:rPr>
          <w:rFonts w:cs="Sylfaen"/>
          <w:b w:val="0"/>
          <w:lang w:val="af-ZA"/>
        </w:rPr>
        <w:t>.</w:t>
      </w:r>
      <w:r w:rsidR="00583D27">
        <w:rPr>
          <w:rFonts w:cs="Sylfaen"/>
          <w:b w:val="0"/>
          <w:lang w:val="af-ZA"/>
        </w:rPr>
        <w:t>8</w:t>
      </w:r>
      <w:r w:rsidRPr="00A83C94">
        <w:rPr>
          <w:rFonts w:cs="Sylfaen"/>
          <w:b w:val="0"/>
          <w:lang w:val="af-ZA"/>
        </w:rPr>
        <w:t xml:space="preserve"> մլն դրամ </w:t>
      </w:r>
      <w:r w:rsidRPr="00A83C94">
        <w:rPr>
          <w:b w:val="0"/>
          <w:color w:val="000000"/>
          <w:szCs w:val="22"/>
          <w:lang w:val="hy-AM" w:eastAsia="en-US"/>
        </w:rPr>
        <w:t>(ներառյալ կառավարման ապարատի պահպանման ծախսերը)</w:t>
      </w:r>
      <w:r w:rsidRPr="00A83C94">
        <w:rPr>
          <w:b w:val="0"/>
          <w:color w:val="000000"/>
          <w:szCs w:val="22"/>
          <w:lang w:val="fr-FR" w:eastAsia="en-US"/>
        </w:rPr>
        <w:t>:</w:t>
      </w:r>
    </w:p>
    <w:p w14:paraId="28BE33F3" w14:textId="77777777" w:rsidR="00CE72A5" w:rsidRPr="00A83C94" w:rsidRDefault="00CE72A5"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Ոլորտային քաղաքականության թիրախների (վերջնական արդյունքների) ապահովման նպատակով ՀՀ արտակարգ իրավիճակների նախարարության կողմից իրականցվող հիմնական ծրագրերն են.</w:t>
      </w:r>
    </w:p>
    <w:p w14:paraId="2936BEEE" w14:textId="6A0C4D71" w:rsidR="002E424C" w:rsidRPr="00A83C94" w:rsidRDefault="002E424C" w:rsidP="002E424C">
      <w:pPr>
        <w:autoSpaceDE w:val="0"/>
        <w:autoSpaceDN w:val="0"/>
        <w:adjustRightInd w:val="0"/>
        <w:spacing w:before="0" w:line="276" w:lineRule="auto"/>
        <w:ind w:firstLine="720"/>
        <w:contextualSpacing w:val="0"/>
        <w:rPr>
          <w:b w:val="0"/>
          <w:szCs w:val="22"/>
          <w:lang w:val="fr-FR" w:eastAsia="en-US"/>
        </w:rPr>
      </w:pPr>
      <w:r w:rsidRPr="00A83C94">
        <w:rPr>
          <w:szCs w:val="22"/>
          <w:lang w:val="fr-FR" w:eastAsia="en-US"/>
        </w:rPr>
        <w:t>Փրկարարական ծառայություններ</w:t>
      </w:r>
      <w:r w:rsidRPr="00A83C94">
        <w:rPr>
          <w:b w:val="0"/>
          <w:szCs w:val="22"/>
          <w:lang w:val="fr-FR" w:eastAsia="en-US"/>
        </w:rPr>
        <w:t xml:space="preserve"> ծրագրի նպատակն է արտակարգ իրավիճակների հնարավոր դեպքերի կանխումը, դրանց ժամանակին արձագանքումը, հետևանքների նվազեցումը և բնակչության պաշտպանությունը, Փրկարար ծառայությունում փրկարարական համակարգի կատարելագործումը և զարգացումը՝ աստիճանաբար համապատասխանեցնելով ժամանակակից ընդունված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բարձրացումը և տեխնիկական հագեցվածության ապահովումը,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բարձրացումը, սահմանամերձ բնակավայրերում փրկարարական և արագ արձագանքման այլ ուժերի ստեղծումը և զարգացումը, ՀՀ-ում և տարածաշրջանում՝ հնարավոր աղետների դեպքում մարդասիրական օգնության  ցուցաբերումը, ճգնաժամային կառավարման ազգային կենտրոնում մարդուն հրատապ օգնության համապետական համակարգի 911 դիսպետչերական ծառայության զարգացումը` ծառայության մատուցումը հնարավորինս մոտեցնելով միջազգային չափանիշներին:</w:t>
      </w:r>
    </w:p>
    <w:p w14:paraId="344785F5" w14:textId="77777777" w:rsidR="002E424C" w:rsidRPr="00A83C94" w:rsidRDefault="002E424C"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ab/>
        <w:t xml:space="preserve">2022թ. նախատեսվում է ծրագրին հատկացնել 11,608,6 մլն. դրամ կամ 110.7 մլն դրամով (0.9%) պակաս 2021 թվականի հաստատված բյուջեի նկատմամաբ: </w:t>
      </w:r>
    </w:p>
    <w:p w14:paraId="03B986CA" w14:textId="77777777" w:rsidR="00B96733" w:rsidRPr="00A83C94" w:rsidRDefault="00B96733" w:rsidP="00B96733">
      <w:pPr>
        <w:spacing w:before="40" w:after="120" w:line="276" w:lineRule="auto"/>
        <w:ind w:left="1" w:firstLine="707"/>
        <w:rPr>
          <w:rFonts w:eastAsia="GHEA Grapalat" w:cs="GHEA Grapalat"/>
          <w:b w:val="0"/>
          <w:bCs/>
          <w:lang w:val="fr-FR"/>
        </w:rPr>
      </w:pPr>
      <w:r w:rsidRPr="00A83C94">
        <w:rPr>
          <w:rFonts w:eastAsia="GHEA Grapalat" w:cs="GHEA Grapalat"/>
          <w:bCs/>
          <w:lang w:val="hy-AM"/>
        </w:rPr>
        <w:t>Սեյսմիկ պաշտպանություն</w:t>
      </w:r>
      <w:r w:rsidRPr="00A83C94">
        <w:rPr>
          <w:rFonts w:eastAsia="GHEA Grapalat" w:cs="GHEA Grapalat"/>
          <w:b w:val="0"/>
          <w:bCs/>
          <w:lang w:val="hy-AM"/>
        </w:rPr>
        <w:t xml:space="preserve"> </w:t>
      </w:r>
      <w:r w:rsidRPr="00A83C94">
        <w:rPr>
          <w:rFonts w:eastAsia="GHEA Grapalat" w:cs="GHEA Grapalat"/>
          <w:b w:val="0"/>
          <w:bCs/>
        </w:rPr>
        <w:t>ծրագրի</w:t>
      </w:r>
      <w:r w:rsidRPr="00A83C94">
        <w:rPr>
          <w:rFonts w:eastAsia="GHEA Grapalat" w:cs="GHEA Grapalat"/>
          <w:b w:val="0"/>
          <w:bCs/>
          <w:lang w:val="fr-FR"/>
        </w:rPr>
        <w:t xml:space="preserve"> </w:t>
      </w:r>
      <w:r w:rsidRPr="00A83C94">
        <w:rPr>
          <w:rFonts w:eastAsia="GHEA Grapalat" w:cs="GHEA Grapalat"/>
          <w:b w:val="0"/>
          <w:bCs/>
        </w:rPr>
        <w:t>գծով</w:t>
      </w:r>
      <w:r w:rsidRPr="00A83C94">
        <w:rPr>
          <w:rFonts w:eastAsia="GHEA Grapalat" w:cs="GHEA Grapalat"/>
          <w:b w:val="0"/>
          <w:bCs/>
          <w:lang w:val="fr-FR"/>
        </w:rPr>
        <w:t xml:space="preserve"> </w:t>
      </w:r>
      <w:r w:rsidRPr="00A83C94">
        <w:rPr>
          <w:rFonts w:eastAsia="GHEA Grapalat" w:cs="GHEA Grapalat"/>
          <w:b w:val="0"/>
          <w:bCs/>
          <w:iCs/>
          <w:lang w:val="hy-AM"/>
        </w:rPr>
        <w:t>2022 թվականին նախատեսվել է</w:t>
      </w:r>
      <w:r w:rsidRPr="00A83C94">
        <w:rPr>
          <w:rFonts w:eastAsia="GHEA Grapalat" w:cs="GHEA Grapalat"/>
          <w:b w:val="0"/>
          <w:bCs/>
          <w:iCs/>
          <w:lang w:val="fr-FR"/>
        </w:rPr>
        <w:t xml:space="preserve"> </w:t>
      </w:r>
      <w:r w:rsidRPr="00A83C94">
        <w:rPr>
          <w:rFonts w:eastAsia="GHEA Grapalat" w:cs="GHEA Grapalat"/>
          <w:b w:val="0"/>
          <w:bCs/>
          <w:iCs/>
          <w:lang w:val="af-ZA"/>
        </w:rPr>
        <w:t xml:space="preserve">752.9 </w:t>
      </w:r>
      <w:r w:rsidRPr="00A83C94">
        <w:rPr>
          <w:rFonts w:eastAsia="GHEA Grapalat" w:cs="GHEA Grapalat"/>
          <w:b w:val="0"/>
          <w:bCs/>
          <w:iCs/>
        </w:rPr>
        <w:t>մլն</w:t>
      </w:r>
      <w:r w:rsidRPr="00A83C94">
        <w:rPr>
          <w:rFonts w:eastAsia="GHEA Grapalat" w:cs="GHEA Grapalat"/>
          <w:b w:val="0"/>
          <w:bCs/>
          <w:iCs/>
          <w:lang w:val="af-ZA"/>
        </w:rPr>
        <w:t xml:space="preserve"> </w:t>
      </w:r>
      <w:r w:rsidRPr="00A83C94">
        <w:rPr>
          <w:rFonts w:eastAsia="GHEA Grapalat" w:cs="GHEA Grapalat"/>
          <w:b w:val="0"/>
          <w:bCs/>
          <w:iCs/>
          <w:lang w:val="hy-AM"/>
        </w:rPr>
        <w:t>դրամ</w:t>
      </w:r>
      <w:r w:rsidRPr="00A83C94">
        <w:rPr>
          <w:rFonts w:eastAsia="GHEA Grapalat" w:cs="GHEA Grapalat"/>
          <w:b w:val="0"/>
          <w:bCs/>
          <w:iCs/>
          <w:lang w:val="fr-FR"/>
        </w:rPr>
        <w:t xml:space="preserve">: </w:t>
      </w:r>
      <w:r w:rsidRPr="00A83C94">
        <w:rPr>
          <w:rFonts w:eastAsia="GHEA Grapalat" w:cs="GHEA Grapalat"/>
          <w:b w:val="0"/>
          <w:bCs/>
          <w:lang w:val="hy-AM"/>
        </w:rPr>
        <w:t>Ծրագրի</w:t>
      </w:r>
      <w:r w:rsidRPr="00A83C94">
        <w:rPr>
          <w:rFonts w:eastAsia="GHEA Grapalat" w:cs="GHEA Grapalat"/>
          <w:b w:val="0"/>
          <w:bCs/>
          <w:lang w:val="fr-FR"/>
        </w:rPr>
        <w:t xml:space="preserve"> </w:t>
      </w:r>
      <w:r w:rsidRPr="00A83C94">
        <w:rPr>
          <w:rFonts w:eastAsia="GHEA Grapalat" w:cs="GHEA Grapalat"/>
          <w:b w:val="0"/>
          <w:bCs/>
          <w:lang w:val="hy-AM"/>
        </w:rPr>
        <w:t>նպատակն</w:t>
      </w:r>
      <w:r w:rsidRPr="00A83C94">
        <w:rPr>
          <w:rFonts w:eastAsia="GHEA Grapalat" w:cs="GHEA Grapalat"/>
          <w:b w:val="0"/>
          <w:bCs/>
          <w:lang w:val="fr-FR"/>
        </w:rPr>
        <w:t xml:space="preserve"> </w:t>
      </w:r>
      <w:r w:rsidRPr="00A83C94">
        <w:rPr>
          <w:rFonts w:eastAsia="GHEA Grapalat" w:cs="GHEA Grapalat"/>
          <w:b w:val="0"/>
          <w:bCs/>
          <w:lang w:val="hy-AM"/>
        </w:rPr>
        <w:t>է</w:t>
      </w:r>
      <w:r w:rsidRPr="00A83C94">
        <w:rPr>
          <w:rFonts w:eastAsia="GHEA Grapalat" w:cs="GHEA Grapalat"/>
          <w:b w:val="0"/>
          <w:bCs/>
          <w:lang w:val="fr-FR"/>
        </w:rPr>
        <w:t xml:space="preserve"> </w:t>
      </w:r>
      <w:r w:rsidRPr="00A83C94">
        <w:rPr>
          <w:rFonts w:eastAsia="GHEA Grapalat" w:cs="GHEA Grapalat"/>
          <w:b w:val="0"/>
          <w:bCs/>
          <w:lang w:val="hy-AM"/>
        </w:rPr>
        <w:t>Սեյսմիկ</w:t>
      </w:r>
      <w:r w:rsidRPr="00A83C94">
        <w:rPr>
          <w:rFonts w:eastAsia="GHEA Grapalat" w:cs="GHEA Grapalat"/>
          <w:b w:val="0"/>
          <w:bCs/>
          <w:lang w:val="fr-FR"/>
        </w:rPr>
        <w:t xml:space="preserve"> </w:t>
      </w:r>
      <w:r w:rsidRPr="00A83C94">
        <w:rPr>
          <w:rFonts w:eastAsia="GHEA Grapalat" w:cs="GHEA Grapalat"/>
          <w:b w:val="0"/>
          <w:bCs/>
          <w:lang w:val="hy-AM"/>
        </w:rPr>
        <w:t>ռիսկերի</w:t>
      </w:r>
      <w:r w:rsidRPr="00A83C94">
        <w:rPr>
          <w:rFonts w:eastAsia="GHEA Grapalat" w:cs="GHEA Grapalat"/>
          <w:b w:val="0"/>
          <w:bCs/>
          <w:lang w:val="fr-FR"/>
        </w:rPr>
        <w:t xml:space="preserve"> </w:t>
      </w:r>
      <w:r w:rsidRPr="00A83C94">
        <w:rPr>
          <w:rFonts w:eastAsia="GHEA Grapalat" w:cs="GHEA Grapalat"/>
          <w:b w:val="0"/>
          <w:bCs/>
          <w:lang w:val="hy-AM"/>
        </w:rPr>
        <w:t>գնահատումը</w:t>
      </w:r>
      <w:r w:rsidRPr="00A83C94">
        <w:rPr>
          <w:rFonts w:eastAsia="GHEA Grapalat" w:cs="GHEA Grapalat"/>
          <w:b w:val="0"/>
          <w:bCs/>
          <w:lang w:val="fr-FR"/>
        </w:rPr>
        <w:t xml:space="preserve"> </w:t>
      </w:r>
      <w:r w:rsidRPr="00A83C94">
        <w:rPr>
          <w:rFonts w:eastAsia="GHEA Grapalat" w:cs="GHEA Grapalat"/>
          <w:b w:val="0"/>
          <w:bCs/>
          <w:lang w:val="hy-AM"/>
        </w:rPr>
        <w:t>և</w:t>
      </w:r>
      <w:r w:rsidRPr="00A83C94">
        <w:rPr>
          <w:rFonts w:eastAsia="GHEA Grapalat" w:cs="GHEA Grapalat"/>
          <w:b w:val="0"/>
          <w:bCs/>
          <w:lang w:val="fr-FR"/>
        </w:rPr>
        <w:t xml:space="preserve"> </w:t>
      </w:r>
      <w:r w:rsidRPr="00A83C94">
        <w:rPr>
          <w:rFonts w:eastAsia="GHEA Grapalat" w:cs="GHEA Grapalat"/>
          <w:b w:val="0"/>
          <w:bCs/>
          <w:lang w:val="hy-AM"/>
        </w:rPr>
        <w:t>նվազեցումը</w:t>
      </w:r>
      <w:r w:rsidRPr="00A83C94">
        <w:rPr>
          <w:rFonts w:eastAsia="GHEA Grapalat" w:cs="GHEA Grapalat"/>
          <w:b w:val="0"/>
          <w:bCs/>
          <w:lang w:val="fr-FR"/>
        </w:rPr>
        <w:t xml:space="preserve">: </w:t>
      </w:r>
      <w:r w:rsidRPr="00A83C94">
        <w:rPr>
          <w:rFonts w:eastAsia="GHEA Grapalat" w:cs="GHEA Grapalat"/>
          <w:b w:val="0"/>
          <w:bCs/>
          <w:lang w:val="hy-AM"/>
        </w:rPr>
        <w:t>Ծրագրի շրջանակներում</w:t>
      </w:r>
      <w:r w:rsidRPr="00A83C94">
        <w:rPr>
          <w:rFonts w:eastAsia="GHEA Grapalat" w:cs="GHEA Grapalat"/>
          <w:b w:val="0"/>
          <w:bCs/>
          <w:lang w:val="fr-FR"/>
        </w:rPr>
        <w:t xml:space="preserve"> </w:t>
      </w:r>
      <w:r w:rsidRPr="00A83C94">
        <w:rPr>
          <w:rFonts w:eastAsia="GHEA Grapalat" w:cs="GHEA Grapalat"/>
          <w:b w:val="0"/>
          <w:bCs/>
          <w:lang w:val="hy-AM"/>
        </w:rPr>
        <w:t>նախատեսվում</w:t>
      </w:r>
      <w:r w:rsidRPr="00A83C94">
        <w:rPr>
          <w:rFonts w:eastAsia="GHEA Grapalat" w:cs="GHEA Grapalat"/>
          <w:b w:val="0"/>
          <w:bCs/>
          <w:lang w:val="fr-FR"/>
        </w:rPr>
        <w:t xml:space="preserve"> է երկրաֆիզիկական, երկրադինամիկական և այլ դաշտերի մոնիտորինգի, սեյսմիկ վտանգի, այդ թվում ընթացիկ սեյսմիկ վտանգի, գնահատման 510 հազար դիտարկումներ, ընդհանուր նշանակության 90 օբյեկտների վերաբերյալ տվյալների հավաքման, թվային բազաների ստեղծման և դրանց սեյսմիկ խոցելիության գնահատման աշխատանքներ: </w:t>
      </w:r>
    </w:p>
    <w:p w14:paraId="7E526E88" w14:textId="3D354B04" w:rsidR="00B96733" w:rsidRPr="00A83C94" w:rsidRDefault="00B96733" w:rsidP="00B96733">
      <w:pPr>
        <w:spacing w:before="40" w:after="120" w:line="276" w:lineRule="auto"/>
        <w:ind w:left="1" w:firstLine="707"/>
        <w:rPr>
          <w:b w:val="0"/>
          <w:lang w:val="fr-FR"/>
        </w:rPr>
      </w:pPr>
      <w:r w:rsidRPr="00A83C94">
        <w:rPr>
          <w:rFonts w:cs="GHEA Grapalat"/>
          <w:szCs w:val="22"/>
          <w:lang w:val="fr-FR" w:eastAsia="en-US"/>
        </w:rPr>
        <w:t>Տեխնիկական անվտանգության կանոնակարգում</w:t>
      </w:r>
      <w:r w:rsidRPr="00A83C94">
        <w:rPr>
          <w:b w:val="0"/>
          <w:bCs/>
          <w:iCs/>
          <w:lang w:val="hy-AM"/>
        </w:rPr>
        <w:t xml:space="preserve"> ծրագրի գծով 2022 թվականին նախատեսվել է 43.4 մլն դրամ</w:t>
      </w:r>
      <w:r w:rsidRPr="00A83C94">
        <w:rPr>
          <w:b w:val="0"/>
          <w:bCs/>
          <w:iCs/>
          <w:lang w:val="fr-FR"/>
        </w:rPr>
        <w:t xml:space="preserve">: </w:t>
      </w:r>
      <w:r w:rsidRPr="00A83C94">
        <w:rPr>
          <w:b w:val="0"/>
          <w:lang w:val="hy-AM"/>
        </w:rPr>
        <w:t>Ծրագրի</w:t>
      </w:r>
      <w:r w:rsidRPr="00A83C94">
        <w:rPr>
          <w:b w:val="0"/>
          <w:lang w:val="fr-FR"/>
        </w:rPr>
        <w:t xml:space="preserve"> նպատակն է Հայաստանի Հանրապետության տարածքում տեխնածին վթարների կանխարգելումը, դրանց հետևանքների վերացումը, նման վթարների հետևանքով հասարակությանը և տնտեսությանը հասցվող վնասների ռիսկի նվազեցումը, ինչպես նաև բնակչության և շրջակա միջավայրի պաշտպանությունը: </w:t>
      </w:r>
    </w:p>
    <w:p w14:paraId="28A76BA8" w14:textId="03964F33" w:rsidR="00CE72A5" w:rsidRPr="00A83C94" w:rsidRDefault="00CE72A5" w:rsidP="00B96733">
      <w:pPr>
        <w:autoSpaceDE w:val="0"/>
        <w:autoSpaceDN w:val="0"/>
        <w:adjustRightInd w:val="0"/>
        <w:spacing w:before="0" w:line="276" w:lineRule="auto"/>
        <w:ind w:firstLine="720"/>
        <w:contextualSpacing w:val="0"/>
        <w:rPr>
          <w:b w:val="0"/>
          <w:szCs w:val="22"/>
          <w:lang w:val="fr-FR" w:eastAsia="en-US"/>
        </w:rPr>
      </w:pPr>
      <w:r w:rsidRPr="00A83C94">
        <w:rPr>
          <w:rFonts w:cs="GHEA Grapalat"/>
          <w:szCs w:val="22"/>
          <w:lang w:val="fr-FR" w:eastAsia="en-US"/>
        </w:rPr>
        <w:t>Արտակարգ</w:t>
      </w:r>
      <w:r w:rsidRPr="00A83C94">
        <w:rPr>
          <w:szCs w:val="22"/>
          <w:lang w:val="fr-FR" w:eastAsia="en-US"/>
        </w:rPr>
        <w:t xml:space="preserve"> </w:t>
      </w:r>
      <w:r w:rsidRPr="00A83C94">
        <w:rPr>
          <w:rFonts w:cs="GHEA Grapalat"/>
          <w:szCs w:val="22"/>
          <w:lang w:val="fr-FR" w:eastAsia="en-US"/>
        </w:rPr>
        <w:t>իրավիճակների</w:t>
      </w:r>
      <w:r w:rsidRPr="00A83C94">
        <w:rPr>
          <w:szCs w:val="22"/>
          <w:lang w:val="fr-FR" w:eastAsia="en-US"/>
        </w:rPr>
        <w:t xml:space="preserve"> </w:t>
      </w:r>
      <w:r w:rsidRPr="00A83C94">
        <w:rPr>
          <w:rFonts w:cs="GHEA Grapalat"/>
          <w:szCs w:val="22"/>
          <w:lang w:val="fr-FR" w:eastAsia="en-US"/>
        </w:rPr>
        <w:t>արձագանքման</w:t>
      </w:r>
      <w:r w:rsidRPr="00A83C94">
        <w:rPr>
          <w:szCs w:val="22"/>
          <w:lang w:val="fr-FR" w:eastAsia="en-US"/>
        </w:rPr>
        <w:t xml:space="preserve"> </w:t>
      </w:r>
      <w:r w:rsidRPr="00A83C94">
        <w:rPr>
          <w:rFonts w:cs="GHEA Grapalat"/>
          <w:szCs w:val="22"/>
          <w:lang w:val="fr-FR" w:eastAsia="en-US"/>
        </w:rPr>
        <w:t>կարողությունների</w:t>
      </w:r>
      <w:r w:rsidRPr="00A83C94">
        <w:rPr>
          <w:szCs w:val="22"/>
          <w:lang w:val="fr-FR" w:eastAsia="en-US"/>
        </w:rPr>
        <w:t xml:space="preserve"> </w:t>
      </w:r>
      <w:r w:rsidR="008A1520" w:rsidRPr="00A83C94">
        <w:rPr>
          <w:rFonts w:cs="GHEA Grapalat"/>
          <w:szCs w:val="22"/>
          <w:lang w:val="fr-FR" w:eastAsia="en-US"/>
        </w:rPr>
        <w:t>զարգացում</w:t>
      </w:r>
      <w:r w:rsidR="002E424C" w:rsidRPr="00A83C94">
        <w:rPr>
          <w:rFonts w:cs="GHEA Grapalat"/>
          <w:szCs w:val="22"/>
          <w:lang w:val="hy-AM" w:eastAsia="en-US"/>
        </w:rPr>
        <w:t xml:space="preserve"> </w:t>
      </w:r>
      <w:r w:rsidR="008A1520" w:rsidRPr="00A83C94">
        <w:rPr>
          <w:b w:val="0"/>
          <w:szCs w:val="22"/>
          <w:lang w:val="fr-FR" w:eastAsia="en-US"/>
        </w:rPr>
        <w:t xml:space="preserve"> </w:t>
      </w:r>
      <w:r w:rsidR="002E424C" w:rsidRPr="00A83C94">
        <w:rPr>
          <w:b w:val="0"/>
          <w:szCs w:val="22"/>
          <w:lang w:val="fr-FR" w:eastAsia="en-US"/>
        </w:rPr>
        <w:t xml:space="preserve">ծրագրի նպատակն </w:t>
      </w:r>
      <w:r w:rsidRPr="00A83C94">
        <w:rPr>
          <w:rFonts w:cs="GHEA Grapalat"/>
          <w:b w:val="0"/>
          <w:szCs w:val="22"/>
          <w:lang w:val="fr-FR" w:eastAsia="en-US"/>
        </w:rPr>
        <w:t>է</w:t>
      </w:r>
      <w:r w:rsidRPr="00A83C94">
        <w:rPr>
          <w:b w:val="0"/>
          <w:szCs w:val="22"/>
          <w:lang w:val="fr-FR" w:eastAsia="en-US"/>
        </w:rPr>
        <w:t xml:space="preserve"> </w:t>
      </w:r>
      <w:r w:rsidRPr="00A83C94">
        <w:rPr>
          <w:rFonts w:cs="GHEA Grapalat"/>
          <w:b w:val="0"/>
          <w:szCs w:val="22"/>
          <w:lang w:val="fr-FR" w:eastAsia="en-US"/>
        </w:rPr>
        <w:t>արտակարգ</w:t>
      </w:r>
      <w:r w:rsidRPr="00A83C94">
        <w:rPr>
          <w:b w:val="0"/>
          <w:szCs w:val="22"/>
          <w:lang w:val="fr-FR" w:eastAsia="en-US"/>
        </w:rPr>
        <w:t xml:space="preserve"> </w:t>
      </w:r>
      <w:r w:rsidRPr="00A83C94">
        <w:rPr>
          <w:rFonts w:cs="GHEA Grapalat"/>
          <w:b w:val="0"/>
          <w:szCs w:val="22"/>
          <w:lang w:val="fr-FR" w:eastAsia="en-US"/>
        </w:rPr>
        <w:t>իրավիճակների</w:t>
      </w:r>
      <w:r w:rsidRPr="00A83C94">
        <w:rPr>
          <w:b w:val="0"/>
          <w:szCs w:val="22"/>
          <w:lang w:val="fr-FR" w:eastAsia="en-US"/>
        </w:rPr>
        <w:t xml:space="preserve"> </w:t>
      </w:r>
      <w:r w:rsidRPr="00A83C94">
        <w:rPr>
          <w:rFonts w:cs="GHEA Grapalat"/>
          <w:b w:val="0"/>
          <w:szCs w:val="22"/>
          <w:lang w:val="fr-FR" w:eastAsia="en-US"/>
        </w:rPr>
        <w:t>և</w:t>
      </w:r>
      <w:r w:rsidRPr="00A83C94">
        <w:rPr>
          <w:b w:val="0"/>
          <w:szCs w:val="22"/>
          <w:lang w:val="fr-FR" w:eastAsia="en-US"/>
        </w:rPr>
        <w:t xml:space="preserve"> </w:t>
      </w:r>
      <w:r w:rsidRPr="00A83C94">
        <w:rPr>
          <w:rFonts w:cs="GHEA Grapalat"/>
          <w:b w:val="0"/>
          <w:szCs w:val="22"/>
          <w:lang w:val="fr-FR" w:eastAsia="en-US"/>
        </w:rPr>
        <w:t>ճգնաժամային</w:t>
      </w:r>
      <w:r w:rsidRPr="00A83C94">
        <w:rPr>
          <w:b w:val="0"/>
          <w:szCs w:val="22"/>
          <w:lang w:val="fr-FR" w:eastAsia="en-US"/>
        </w:rPr>
        <w:t xml:space="preserve"> </w:t>
      </w:r>
      <w:r w:rsidRPr="00A83C94">
        <w:rPr>
          <w:rFonts w:cs="GHEA Grapalat"/>
          <w:b w:val="0"/>
          <w:szCs w:val="22"/>
          <w:lang w:val="fr-FR" w:eastAsia="en-US"/>
        </w:rPr>
        <w:t>կառավարման</w:t>
      </w:r>
      <w:r w:rsidRPr="00A83C94">
        <w:rPr>
          <w:b w:val="0"/>
          <w:szCs w:val="22"/>
          <w:lang w:val="fr-FR" w:eastAsia="en-US"/>
        </w:rPr>
        <w:t xml:space="preserve"> </w:t>
      </w:r>
      <w:r w:rsidRPr="00A83C94">
        <w:rPr>
          <w:rFonts w:cs="GHEA Grapalat"/>
          <w:b w:val="0"/>
          <w:szCs w:val="22"/>
          <w:lang w:val="fr-FR" w:eastAsia="en-US"/>
        </w:rPr>
        <w:t>կարողությունների</w:t>
      </w:r>
      <w:r w:rsidRPr="00A83C94">
        <w:rPr>
          <w:b w:val="0"/>
          <w:szCs w:val="22"/>
          <w:lang w:val="fr-FR" w:eastAsia="en-US"/>
        </w:rPr>
        <w:t xml:space="preserve"> </w:t>
      </w:r>
      <w:r w:rsidRPr="00A83C94">
        <w:rPr>
          <w:rFonts w:cs="GHEA Grapalat"/>
          <w:b w:val="0"/>
          <w:szCs w:val="22"/>
          <w:lang w:val="fr-FR" w:eastAsia="en-US"/>
        </w:rPr>
        <w:t>զարգացումը</w:t>
      </w:r>
      <w:r w:rsidRPr="00A83C94">
        <w:rPr>
          <w:b w:val="0"/>
          <w:szCs w:val="22"/>
          <w:lang w:val="fr-FR" w:eastAsia="en-US"/>
        </w:rPr>
        <w:t xml:space="preserve"> </w:t>
      </w:r>
      <w:r w:rsidRPr="00A83C94">
        <w:rPr>
          <w:rFonts w:cs="GHEA Grapalat"/>
          <w:b w:val="0"/>
          <w:szCs w:val="22"/>
          <w:lang w:val="fr-FR" w:eastAsia="en-US"/>
        </w:rPr>
        <w:t>պետական</w:t>
      </w:r>
      <w:r w:rsidRPr="00A83C94">
        <w:rPr>
          <w:b w:val="0"/>
          <w:szCs w:val="22"/>
          <w:lang w:val="fr-FR" w:eastAsia="en-US"/>
        </w:rPr>
        <w:t xml:space="preserve"> </w:t>
      </w:r>
      <w:r w:rsidRPr="00A83C94">
        <w:rPr>
          <w:rFonts w:cs="GHEA Grapalat"/>
          <w:b w:val="0"/>
          <w:szCs w:val="22"/>
          <w:lang w:val="fr-FR" w:eastAsia="en-US"/>
        </w:rPr>
        <w:t>կառավարման</w:t>
      </w:r>
      <w:r w:rsidRPr="00A83C94">
        <w:rPr>
          <w:b w:val="0"/>
          <w:szCs w:val="22"/>
          <w:lang w:val="fr-FR" w:eastAsia="en-US"/>
        </w:rPr>
        <w:t xml:space="preserve">, </w:t>
      </w:r>
      <w:r w:rsidRPr="00A83C94">
        <w:rPr>
          <w:rFonts w:cs="GHEA Grapalat"/>
          <w:b w:val="0"/>
          <w:szCs w:val="22"/>
          <w:lang w:val="fr-FR" w:eastAsia="en-US"/>
        </w:rPr>
        <w:t>տեղակա</w:t>
      </w:r>
      <w:r w:rsidRPr="00A83C94">
        <w:rPr>
          <w:b w:val="0"/>
          <w:szCs w:val="22"/>
          <w:lang w:val="fr-FR" w:eastAsia="en-US"/>
        </w:rPr>
        <w:t>ն ինքնակառավարման մարմինների և կազմակերպությունների ղեկավարների, մասնագետների համար ուսուցման կազմակերպումը: Ճգնաժամային կառավարման պետական ակադեմիայի հիմնական խնդիրն է զարգացնել ակադեմիայի հնարավորությունները` դարձնելով այն արտակարգ իրավիճակների և քաղաքացիական պաշտպանության մասնագետների պատրաստման ու վերապատրաստման կենտրոն: 2022թ. նախատեսվում է հատկացնել 114.8մլն դրամ: 2021թ հաստատված բյուջեն կազմել է 122.5 մլն. դրամ:</w:t>
      </w:r>
    </w:p>
    <w:p w14:paraId="4DAF80E6" w14:textId="72D4A0FE" w:rsidR="00420245" w:rsidRPr="00A83C94" w:rsidRDefault="00CE72A5" w:rsidP="002E424C">
      <w:pPr>
        <w:autoSpaceDE w:val="0"/>
        <w:autoSpaceDN w:val="0"/>
        <w:adjustRightInd w:val="0"/>
        <w:spacing w:before="0" w:line="276" w:lineRule="auto"/>
        <w:ind w:firstLine="720"/>
        <w:contextualSpacing w:val="0"/>
        <w:rPr>
          <w:b w:val="0"/>
          <w:szCs w:val="22"/>
          <w:lang w:val="fr-FR" w:eastAsia="en-US"/>
        </w:rPr>
      </w:pPr>
      <w:r w:rsidRPr="00A83C94">
        <w:rPr>
          <w:szCs w:val="22"/>
          <w:lang w:val="fr-FR" w:eastAsia="en-US"/>
        </w:rPr>
        <w:t>Ռազմավարական նշանակությ</w:t>
      </w:r>
      <w:r w:rsidR="008A1520" w:rsidRPr="00A83C94">
        <w:rPr>
          <w:szCs w:val="22"/>
          <w:lang w:val="fr-FR" w:eastAsia="en-US"/>
        </w:rPr>
        <w:t>ան պաշարների կառավարում</w:t>
      </w:r>
      <w:r w:rsidR="008A1520" w:rsidRPr="00A83C94">
        <w:rPr>
          <w:b w:val="0"/>
          <w:szCs w:val="22"/>
          <w:lang w:val="fr-FR" w:eastAsia="en-US"/>
        </w:rPr>
        <w:t xml:space="preserve"> </w:t>
      </w:r>
      <w:r w:rsidR="002E424C" w:rsidRPr="00A83C94">
        <w:rPr>
          <w:b w:val="0"/>
          <w:szCs w:val="22"/>
          <w:lang w:val="fr-FR" w:eastAsia="en-US"/>
        </w:rPr>
        <w:t xml:space="preserve">ծրագրի նպատակն </w:t>
      </w:r>
      <w:r w:rsidRPr="00A83C94">
        <w:rPr>
          <w:b w:val="0"/>
          <w:szCs w:val="22"/>
          <w:lang w:val="fr-FR" w:eastAsia="en-US"/>
        </w:rPr>
        <w:t>է արտակարգ իրավիճակներում ռազմավարական նշանակության պաշարներով ապահովումը: Վերջինիս արդյունավետ իրագործման նպատակով անհրաժեշտ է ներդնել կառավարման ճկուն մեխանիզմներ և ապահովել դրանց պարբերական կատարելագործումը՝ արդի մարտահրավերներին համահունչ: 2022թ. նախատեսվում է հատկացնել 29.9 մլն դրամ` ՀՀ 2021 թվականի հաստատված բյուջեից (31.9 մլն դրամ) 2.0 մլն դրամով պակաս:</w:t>
      </w:r>
    </w:p>
    <w:p w14:paraId="31A26D6A" w14:textId="77777777" w:rsidR="008A1520" w:rsidRPr="00A83C94" w:rsidRDefault="008A1520" w:rsidP="007C65A5">
      <w:pPr>
        <w:autoSpaceDE w:val="0"/>
        <w:autoSpaceDN w:val="0"/>
        <w:adjustRightInd w:val="0"/>
        <w:spacing w:before="0" w:line="276" w:lineRule="auto"/>
        <w:ind w:firstLine="0"/>
        <w:contextualSpacing w:val="0"/>
        <w:rPr>
          <w:b w:val="0"/>
          <w:szCs w:val="22"/>
          <w:lang w:val="fr-FR" w:eastAsia="en-US"/>
        </w:rPr>
      </w:pPr>
    </w:p>
    <w:p w14:paraId="60F0DD28" w14:textId="77777777" w:rsidR="009F4194" w:rsidRPr="00A83C94" w:rsidRDefault="009F4194" w:rsidP="00427D1F">
      <w:pPr>
        <w:keepNext/>
        <w:spacing w:before="0" w:line="276" w:lineRule="auto"/>
        <w:ind w:firstLine="0"/>
        <w:contextualSpacing w:val="0"/>
        <w:jc w:val="center"/>
        <w:outlineLvl w:val="2"/>
        <w:rPr>
          <w:rFonts w:cs="Arial"/>
          <w:sz w:val="24"/>
          <w:lang w:val="hy-AM" w:eastAsia="en-US"/>
        </w:rPr>
      </w:pPr>
      <w:bookmarkStart w:id="285" w:name="_Toc83996378"/>
      <w:r w:rsidRPr="00A83C94">
        <w:rPr>
          <w:rFonts w:cs="Arial"/>
          <w:sz w:val="24"/>
          <w:lang w:val="hy-AM" w:eastAsia="en-US"/>
        </w:rPr>
        <w:t>ՀՀ արդարադատության նախարարությ</w:t>
      </w:r>
      <w:r w:rsidR="00823D17" w:rsidRPr="00A83C94">
        <w:rPr>
          <w:rFonts w:cs="Arial"/>
          <w:sz w:val="24"/>
          <w:lang w:val="hy-AM" w:eastAsia="en-US"/>
        </w:rPr>
        <w:t>ուն</w:t>
      </w:r>
      <w:bookmarkEnd w:id="285"/>
    </w:p>
    <w:p w14:paraId="436AF860" w14:textId="69D7C173" w:rsidR="00DE0457" w:rsidRPr="00A83C94" w:rsidRDefault="00DE0457" w:rsidP="00DE0457">
      <w:pPr>
        <w:spacing w:before="480" w:line="276" w:lineRule="auto"/>
        <w:ind w:firstLine="426"/>
        <w:rPr>
          <w:rFonts w:cs="Sylfaen"/>
          <w:b w:val="0"/>
          <w:szCs w:val="22"/>
          <w:lang w:val="fr-FR"/>
        </w:rPr>
      </w:pPr>
      <w:r w:rsidRPr="00A83C94">
        <w:rPr>
          <w:rFonts w:cs="Sylfaen"/>
          <w:b w:val="0"/>
          <w:szCs w:val="22"/>
          <w:lang w:val="fr-FR"/>
        </w:rPr>
        <w:t xml:space="preserve">Հայաստանի Հանրապետության արդարադատության ոլորտի քաղաքականության իրականացման նպատակով 2022 թվականի պետական բյուջեի նախագծով  նախատեսվել է </w:t>
      </w:r>
      <w:r w:rsidR="00DA7C3D" w:rsidRPr="00A83C94">
        <w:rPr>
          <w:rFonts w:cs="Sylfaen"/>
          <w:b w:val="0"/>
          <w:szCs w:val="22"/>
          <w:lang w:val="fr-FR"/>
        </w:rPr>
        <w:t>23,288.3</w:t>
      </w:r>
      <w:r w:rsidRPr="00A83C94">
        <w:rPr>
          <w:rFonts w:cs="Sylfaen"/>
          <w:b w:val="0"/>
          <w:szCs w:val="22"/>
          <w:lang w:val="fr-FR"/>
        </w:rPr>
        <w:t xml:space="preserve"> մլ</w:t>
      </w:r>
      <w:r w:rsidR="00DA7C3D" w:rsidRPr="00A83C94">
        <w:rPr>
          <w:rFonts w:cs="Sylfaen"/>
          <w:b w:val="0"/>
          <w:szCs w:val="22"/>
          <w:lang w:val="fr-FR"/>
        </w:rPr>
        <w:t>ն</w:t>
      </w:r>
      <w:r w:rsidRPr="00A83C94">
        <w:rPr>
          <w:rFonts w:cs="Sylfaen"/>
          <w:b w:val="0"/>
          <w:szCs w:val="22"/>
          <w:lang w:val="fr-FR"/>
        </w:rPr>
        <w:t xml:space="preserve"> դրամ</w:t>
      </w:r>
      <w:r w:rsidR="00DA7C3D" w:rsidRPr="00A83C94">
        <w:rPr>
          <w:rFonts w:cs="Sylfaen"/>
          <w:b w:val="0"/>
          <w:szCs w:val="22"/>
          <w:lang w:val="fr-FR"/>
        </w:rPr>
        <w:t xml:space="preserve"> </w:t>
      </w:r>
      <w:r w:rsidR="00DA7C3D" w:rsidRPr="00A83C94">
        <w:rPr>
          <w:rFonts w:cs="Sylfaen"/>
          <w:b w:val="0"/>
          <w:color w:val="000000" w:themeColor="text1"/>
          <w:lang w:val="af-ZA"/>
        </w:rPr>
        <w:t>(</w:t>
      </w:r>
      <w:r w:rsidR="00DA7C3D" w:rsidRPr="00A83C94">
        <w:rPr>
          <w:rFonts w:cs="Sylfaen"/>
          <w:b w:val="0"/>
          <w:color w:val="000000" w:themeColor="text1"/>
          <w:lang w:val="hy-AM"/>
        </w:rPr>
        <w:t>ներառյալ կառավարման</w:t>
      </w:r>
      <w:r w:rsidR="00DA7C3D" w:rsidRPr="00A83C94">
        <w:rPr>
          <w:rFonts w:cs="Sylfaen"/>
          <w:b w:val="0"/>
          <w:color w:val="000000" w:themeColor="text1"/>
          <w:lang w:val="af-ZA"/>
        </w:rPr>
        <w:t xml:space="preserve"> </w:t>
      </w:r>
      <w:r w:rsidR="00DA7C3D" w:rsidRPr="00A83C94">
        <w:rPr>
          <w:rFonts w:cs="Sylfaen"/>
          <w:b w:val="0"/>
          <w:color w:val="000000" w:themeColor="text1"/>
          <w:lang w:val="hy-AM"/>
        </w:rPr>
        <w:t>ապարատի պահպանման ծախսերը</w:t>
      </w:r>
      <w:r w:rsidR="00DA7C3D" w:rsidRPr="00A83C94">
        <w:rPr>
          <w:rFonts w:cs="Sylfaen"/>
          <w:b w:val="0"/>
          <w:color w:val="000000" w:themeColor="text1"/>
          <w:lang w:val="af-ZA"/>
        </w:rPr>
        <w:t>)</w:t>
      </w:r>
      <w:r w:rsidRPr="00A83C94">
        <w:rPr>
          <w:rFonts w:cs="GHEA Grapalat"/>
          <w:b w:val="0"/>
          <w:szCs w:val="22"/>
          <w:lang w:val="fr-FR"/>
        </w:rPr>
        <w:t>։</w:t>
      </w:r>
    </w:p>
    <w:p w14:paraId="79C74FB1" w14:textId="2A550ACC" w:rsidR="00DE0457" w:rsidRPr="00A83C94" w:rsidRDefault="00DE0457" w:rsidP="00DE0457">
      <w:pPr>
        <w:spacing w:line="276" w:lineRule="auto"/>
        <w:ind w:firstLine="426"/>
        <w:rPr>
          <w:rFonts w:cs="Sylfaen"/>
          <w:b w:val="0"/>
          <w:szCs w:val="22"/>
          <w:lang w:val="hy-AM"/>
        </w:rPr>
      </w:pPr>
      <w:r w:rsidRPr="00A83C94">
        <w:rPr>
          <w:rFonts w:cs="Sylfaen"/>
          <w:b w:val="0"/>
          <w:szCs w:val="22"/>
          <w:lang w:val="fr-FR"/>
        </w:rPr>
        <w:t xml:space="preserve">2022 թվականի ընթացքում նախատեսվում է իրականացնել ՀՀ դատական և իրավական բարեփոխումների 2019-2023 թվականների ռազմավարությունից բխող 2021-2023 թվականների գործողությունների ծրագրով </w:t>
      </w:r>
      <w:r w:rsidRPr="00A83C94">
        <w:rPr>
          <w:rFonts w:cs="Sylfaen"/>
          <w:b w:val="0"/>
          <w:szCs w:val="22"/>
          <w:lang w:val="hy-AM"/>
        </w:rPr>
        <w:t xml:space="preserve">և </w:t>
      </w:r>
      <w:r w:rsidRPr="00A83C94">
        <w:rPr>
          <w:rFonts w:cs="Sylfaen"/>
          <w:b w:val="0"/>
          <w:szCs w:val="22"/>
          <w:lang w:val="fr-FR"/>
        </w:rPr>
        <w:t xml:space="preserve">Հայաստանի Հանրապետության հակակոռուպցիոն ռազմավարության և դրա իրականացման 2019-2022 թվականների սահմանված միջոցառումները: </w:t>
      </w:r>
      <w:r w:rsidRPr="00A83C94">
        <w:rPr>
          <w:rFonts w:cs="Sylfaen"/>
          <w:b w:val="0"/>
          <w:szCs w:val="22"/>
          <w:lang w:val="hy-AM"/>
        </w:rPr>
        <w:t>Մասնավորապես, նախատեսվում է ապահովել ռազմավարություններից բխող 340 իրավական ակտերի նախագծերի մշակում, 4800 պետական փորձագիտական եզրակացությունների, կարծիքների, դիրքորոշումների տրամադրում։ Արդյունքում 2022 թվականին նախատեսվում է իրականացնել դատաիրավական բարեփոխումներին ուղղված միջոցառումների շուրջ 20 և կոռուպցիայի դեմ պայքարի ռազմավարությունից բխող միջոցառումների 70 տոկոսը։</w:t>
      </w:r>
    </w:p>
    <w:p w14:paraId="6E492AD1" w14:textId="77777777" w:rsidR="00DE0457" w:rsidRPr="00A83C94" w:rsidRDefault="00DE0457" w:rsidP="00DE0457">
      <w:pPr>
        <w:spacing w:line="276" w:lineRule="auto"/>
        <w:ind w:firstLine="426"/>
        <w:rPr>
          <w:rFonts w:cs="Sylfaen"/>
          <w:b w:val="0"/>
          <w:szCs w:val="22"/>
          <w:lang w:val="fr-FR"/>
        </w:rPr>
      </w:pPr>
      <w:r w:rsidRPr="00A83C94">
        <w:rPr>
          <w:rFonts w:cs="Sylfaen"/>
          <w:b w:val="0"/>
          <w:szCs w:val="22"/>
          <w:lang w:val="fr-FR"/>
        </w:rPr>
        <w:t>Նախատեսվում է իրավաբանական անձանց պետական գրանցման գործընթացի արդյունավետության բարձրացմանն ուղղված շարունակական աշխատանքների իրականացում</w:t>
      </w:r>
      <w:r w:rsidRPr="00A83C94">
        <w:rPr>
          <w:rFonts w:cs="Sylfaen"/>
          <w:b w:val="0"/>
          <w:szCs w:val="22"/>
          <w:lang w:val="hy-AM"/>
        </w:rPr>
        <w:t xml:space="preserve"> և պետական ռեգիստրում գրանցման ենթակա 45000 սուբյեկտների  և նրանց առանձնացված ստորաբաժանումների պետական գրանցում և հաշվառում։ </w:t>
      </w:r>
    </w:p>
    <w:p w14:paraId="73E3EB73" w14:textId="6FD9545A" w:rsidR="00DE0457" w:rsidRPr="00A83C94" w:rsidRDefault="00DE0457" w:rsidP="00DE0457">
      <w:pPr>
        <w:spacing w:line="276" w:lineRule="auto"/>
        <w:ind w:firstLine="426"/>
        <w:rPr>
          <w:rFonts w:cs="Sylfaen"/>
          <w:b w:val="0"/>
          <w:szCs w:val="22"/>
          <w:lang w:val="fr-FR"/>
        </w:rPr>
      </w:pPr>
      <w:r w:rsidRPr="00A83C94">
        <w:rPr>
          <w:rFonts w:cs="Sylfaen"/>
          <w:b w:val="0"/>
          <w:szCs w:val="22"/>
          <w:lang w:val="fr-FR"/>
        </w:rPr>
        <w:t>Նախատեսվում է ապահովել անձնական տվյալների պաշտպանության ավելի բարձր մակարդակ, մասնավորապես՝ համապատասխանեցնել անձնական տվյալների 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w:t>
      </w:r>
      <w:r w:rsidRPr="00A83C94">
        <w:rPr>
          <w:rFonts w:cs="Sylfaen"/>
          <w:b w:val="0"/>
          <w:szCs w:val="22"/>
          <w:lang w:val="hy-AM"/>
        </w:rPr>
        <w:t>։ Ա</w:t>
      </w:r>
      <w:r w:rsidRPr="00A83C94">
        <w:rPr>
          <w:rFonts w:cs="Sylfaen"/>
          <w:b w:val="0"/>
          <w:szCs w:val="22"/>
          <w:lang w:val="fr-FR"/>
        </w:rPr>
        <w:t>նձնական տվյալների պաշտպանության</w:t>
      </w:r>
      <w:r w:rsidR="008A40E7" w:rsidRPr="00A83C94">
        <w:rPr>
          <w:rFonts w:cs="Sylfaen"/>
          <w:b w:val="0"/>
          <w:szCs w:val="22"/>
          <w:lang w:val="hy-AM"/>
        </w:rPr>
        <w:t xml:space="preserve"> </w:t>
      </w:r>
      <w:r w:rsidRPr="00A83C94">
        <w:rPr>
          <w:rFonts w:cs="Sylfaen"/>
          <w:b w:val="0"/>
          <w:szCs w:val="22"/>
          <w:lang w:val="hy-AM"/>
        </w:rPr>
        <w:t>նպատակով հ</w:t>
      </w:r>
      <w:r w:rsidRPr="00A83C94">
        <w:rPr>
          <w:rFonts w:cs="Sylfaen"/>
          <w:b w:val="0"/>
          <w:szCs w:val="22"/>
          <w:lang w:val="fr-FR"/>
        </w:rPr>
        <w:t>ասարակության իրազեկվածությ</w:t>
      </w:r>
      <w:r w:rsidRPr="00A83C94">
        <w:rPr>
          <w:rFonts w:cs="Sylfaen"/>
          <w:b w:val="0"/>
          <w:szCs w:val="22"/>
          <w:lang w:val="hy-AM"/>
        </w:rPr>
        <w:t>ա</w:t>
      </w:r>
      <w:r w:rsidRPr="00A83C94">
        <w:rPr>
          <w:rFonts w:cs="Sylfaen"/>
          <w:b w:val="0"/>
          <w:szCs w:val="22"/>
          <w:lang w:val="fr-FR"/>
        </w:rPr>
        <w:t>ն</w:t>
      </w:r>
      <w:r w:rsidRPr="00A83C94">
        <w:rPr>
          <w:rFonts w:cs="Sylfaen"/>
          <w:b w:val="0"/>
          <w:szCs w:val="22"/>
          <w:lang w:val="hy-AM"/>
        </w:rPr>
        <w:t xml:space="preserve"> նպատակով 2022 թվականին նախատեսվում է տրամադրել 220 խորհրդատվություն։</w:t>
      </w:r>
      <w:r w:rsidRPr="00A83C94">
        <w:rPr>
          <w:rFonts w:cs="Sylfaen"/>
          <w:b w:val="0"/>
          <w:szCs w:val="22"/>
          <w:lang w:val="fr-FR"/>
        </w:rPr>
        <w:tab/>
      </w:r>
    </w:p>
    <w:p w14:paraId="07FC74F6" w14:textId="2BD2CF8E" w:rsidR="00DE0457" w:rsidRPr="00A83C94" w:rsidRDefault="00DE0457" w:rsidP="00DE0457">
      <w:pPr>
        <w:spacing w:line="276" w:lineRule="auto"/>
        <w:ind w:firstLine="426"/>
        <w:rPr>
          <w:rFonts w:cs="Sylfaen"/>
          <w:b w:val="0"/>
          <w:szCs w:val="22"/>
          <w:lang w:val="fr-FR"/>
        </w:rPr>
      </w:pPr>
      <w:r w:rsidRPr="00A83C94">
        <w:rPr>
          <w:rFonts w:cs="Sylfaen"/>
          <w:szCs w:val="22"/>
          <w:lang w:val="fr-FR"/>
        </w:rPr>
        <w:t>Քաղաքացիական կացության ակտերի գրանցում</w:t>
      </w:r>
      <w:r w:rsidRPr="00A83C94">
        <w:rPr>
          <w:rFonts w:cs="Sylfaen"/>
          <w:b w:val="0"/>
          <w:szCs w:val="22"/>
          <w:lang w:val="fr-FR"/>
        </w:rPr>
        <w:t xml:space="preserve"> ծրագրի գծով 2022 թվականին նախատեսվում է շարունակել նվազեցնել ոլորտում առկա վարչարարությունը` </w:t>
      </w:r>
      <w:r w:rsidRPr="00A83C94">
        <w:rPr>
          <w:rFonts w:cs="Sylfaen"/>
          <w:b w:val="0"/>
          <w:szCs w:val="22"/>
          <w:lang w:val="hy-AM"/>
        </w:rPr>
        <w:t xml:space="preserve">ապահովելով շուրջ 117000 գրանցումներ, վկայակնների կրկնօրինակների, տեղեկանքների տրամադրում, մատուցվող ծառայությունների ավտոմատացման 100 տոկոս, մատուցվող ծառայությունների դիմաց ներկայացված բողոքների կրճատում՝ մինչև 5 տոկոս։ </w:t>
      </w:r>
      <w:r w:rsidRPr="00A83C94">
        <w:rPr>
          <w:rFonts w:cs="Sylfaen"/>
          <w:b w:val="0"/>
          <w:szCs w:val="22"/>
          <w:lang w:val="fr-FR"/>
        </w:rPr>
        <w:t>Մինչև 2023 թվականը նախատեսվում է հիմնադրել ևս 3 միասնական գրսենյակներ Վանաձոր, Արմավիր, Աբովյան քաղաքաներում՝ հիմք ընդունելով արդեն իսկ ձևավորված փորձը և գործող միասնական գրասենյակների կողմից մատուցվող ծառայությունների կապակցությամբ հավաքագրված դրական կարծիքները:</w:t>
      </w:r>
    </w:p>
    <w:p w14:paraId="7B1FBD88" w14:textId="5FFBCB85" w:rsidR="00DE0457" w:rsidRPr="00A83C94" w:rsidRDefault="00DE0457" w:rsidP="00DE0457">
      <w:pPr>
        <w:spacing w:line="276" w:lineRule="auto"/>
        <w:ind w:firstLine="426"/>
        <w:rPr>
          <w:rFonts w:cs="Sylfaen"/>
          <w:b w:val="0"/>
          <w:szCs w:val="22"/>
          <w:lang w:val="hy-AM"/>
        </w:rPr>
      </w:pPr>
      <w:r w:rsidRPr="00A83C94">
        <w:rPr>
          <w:rFonts w:cs="Sylfaen"/>
          <w:szCs w:val="22"/>
          <w:lang w:val="fr-FR"/>
        </w:rPr>
        <w:t>Դատական և հանրային պաշտպանություն</w:t>
      </w:r>
      <w:r w:rsidRPr="00A83C94">
        <w:rPr>
          <w:rFonts w:cs="Sylfaen"/>
          <w:i/>
          <w:szCs w:val="22"/>
          <w:lang w:val="fr-FR"/>
        </w:rPr>
        <w:t xml:space="preserve"> </w:t>
      </w:r>
      <w:r w:rsidRPr="00A83C94">
        <w:rPr>
          <w:rFonts w:cs="Sylfaen"/>
          <w:b w:val="0"/>
          <w:szCs w:val="22"/>
          <w:lang w:val="fr-FR"/>
        </w:rPr>
        <w:t xml:space="preserve">ծրագրի գծով միջոցներն, ինչպես և նախկինում, ուղղվելու են իրավունքի պաշտպանության հասանելիության և օբյեկտիվության ապահովմանը: Ծրագրի գծով 2022 թվականին </w:t>
      </w:r>
      <w:r w:rsidRPr="00B52402">
        <w:rPr>
          <w:rFonts w:cs="Sylfaen"/>
          <w:b w:val="0"/>
          <w:szCs w:val="22"/>
          <w:lang w:val="hy-AM"/>
        </w:rPr>
        <w:t xml:space="preserve">նախատեսվել է </w:t>
      </w:r>
      <w:r w:rsidR="00B52402" w:rsidRPr="00B52402">
        <w:rPr>
          <w:rFonts w:cs="Sylfaen"/>
          <w:b w:val="0"/>
          <w:szCs w:val="22"/>
          <w:lang w:val="hy-AM"/>
        </w:rPr>
        <w:t>1,028.9 մլն դրամ,</w:t>
      </w:r>
      <w:r w:rsidRPr="00B52402">
        <w:rPr>
          <w:rFonts w:cs="Sylfaen"/>
          <w:b w:val="0"/>
          <w:szCs w:val="22"/>
          <w:lang w:val="hy-AM"/>
        </w:rPr>
        <w:t xml:space="preserve"> ինչը գերազանցում է 2021 թվականի ծախսերին 356</w:t>
      </w:r>
      <w:r w:rsidR="00427D1F" w:rsidRPr="00B52402">
        <w:rPr>
          <w:rFonts w:cs="Sylfaen"/>
          <w:b w:val="0"/>
          <w:szCs w:val="22"/>
          <w:lang w:val="hy-AM"/>
        </w:rPr>
        <w:t>.</w:t>
      </w:r>
      <w:r w:rsidRPr="00B52402">
        <w:rPr>
          <w:rFonts w:cs="Sylfaen"/>
          <w:b w:val="0"/>
          <w:szCs w:val="22"/>
          <w:lang w:val="hy-AM"/>
        </w:rPr>
        <w:t xml:space="preserve">8 մլն դրամով։ Լրացուցիչ գումար է նախատեսվել  փորձաքննությունների ծառայությունների </w:t>
      </w:r>
      <w:r w:rsidRPr="00A83C94">
        <w:rPr>
          <w:rFonts w:cs="Sylfaen"/>
          <w:b w:val="0"/>
          <w:szCs w:val="22"/>
          <w:lang w:val="hy-AM"/>
        </w:rPr>
        <w:t>ձ</w:t>
      </w:r>
      <w:r w:rsidRPr="00B52402">
        <w:rPr>
          <w:rFonts w:cs="Sylfaen"/>
          <w:b w:val="0"/>
          <w:szCs w:val="22"/>
          <w:lang w:val="hy-AM"/>
        </w:rPr>
        <w:t>եռքբերման նպատակով</w:t>
      </w:r>
      <w:r w:rsidRPr="00A83C94">
        <w:rPr>
          <w:rFonts w:cs="Sylfaen"/>
          <w:b w:val="0"/>
          <w:szCs w:val="22"/>
          <w:lang w:val="hy-AM"/>
        </w:rPr>
        <w:t>, միաժամանակ ապահովելով առաջադրված հարցերի ընդհանուր քանակի մեջ փորձաքննությամբ լուծված հարցերի 90 տոկոս տեսակարար կշիռ և  նույն հարցի վերաբերյալ կրկնակի փորձաքննությունների կրճատում՝  մինչև 8 տոկոս</w:t>
      </w:r>
      <w:r w:rsidRPr="00A83C94">
        <w:rPr>
          <w:rFonts w:cs="Sylfaen"/>
          <w:b w:val="0"/>
          <w:szCs w:val="22"/>
          <w:lang w:val="fr-FR"/>
        </w:rPr>
        <w:t>։</w:t>
      </w:r>
    </w:p>
    <w:p w14:paraId="0BB70524" w14:textId="77777777" w:rsidR="00DE0457" w:rsidRPr="00A83C94" w:rsidRDefault="00DE0457" w:rsidP="00DE0457">
      <w:pPr>
        <w:spacing w:line="276" w:lineRule="auto"/>
        <w:ind w:firstLine="426"/>
        <w:rPr>
          <w:rFonts w:cs="Sylfaen"/>
          <w:b w:val="0"/>
          <w:szCs w:val="22"/>
          <w:lang w:val="hy-AM"/>
        </w:rPr>
      </w:pPr>
      <w:r w:rsidRPr="00A83C94">
        <w:rPr>
          <w:rFonts w:cs="Sylfaen"/>
          <w:b w:val="0"/>
          <w:szCs w:val="22"/>
          <w:lang w:val="hy-AM"/>
        </w:rPr>
        <w:t>Ծրագրի շրջանակներում նախատեսվում է ապահովել օրենսդրությամբ սահմանված դեպքերում քաղաքացիներին անվճար իրավաբանական ծառայությունների տրամադրումը վարույթ ընդունած 16854 գործերի գծով,</w:t>
      </w:r>
      <w:r w:rsidRPr="00A83C94">
        <w:rPr>
          <w:b w:val="0"/>
          <w:szCs w:val="22"/>
          <w:lang w:val="hy-AM"/>
        </w:rPr>
        <w:t xml:space="preserve"> </w:t>
      </w:r>
      <w:r w:rsidRPr="00A83C94">
        <w:rPr>
          <w:rFonts w:cs="Sylfaen"/>
          <w:b w:val="0"/>
          <w:szCs w:val="22"/>
          <w:lang w:val="hy-AM"/>
        </w:rPr>
        <w:t xml:space="preserve">hանրային պաշտպանների դեմ բողոքների քանակի հարաբերակցությունը վարած գործերի նկատմամբ սահմանելով 94 տոկոս: </w:t>
      </w:r>
    </w:p>
    <w:p w14:paraId="074CFDF0" w14:textId="547E4896" w:rsidR="00DE0457" w:rsidRPr="00A83C94" w:rsidRDefault="00DE0457" w:rsidP="00DE0457">
      <w:pPr>
        <w:spacing w:line="276" w:lineRule="auto"/>
        <w:ind w:firstLine="426"/>
        <w:rPr>
          <w:rFonts w:cs="Sylfaen"/>
          <w:b w:val="0"/>
          <w:szCs w:val="22"/>
          <w:lang w:val="hy-AM"/>
        </w:rPr>
      </w:pPr>
      <w:r w:rsidRPr="00A83C94">
        <w:rPr>
          <w:rFonts w:cs="Sylfaen"/>
          <w:szCs w:val="22"/>
          <w:lang w:val="fr-FR"/>
        </w:rPr>
        <w:t>Քրեակատարողական ծառայություններ</w:t>
      </w:r>
      <w:r w:rsidRPr="00A83C94">
        <w:rPr>
          <w:rFonts w:cs="Sylfaen"/>
          <w:b w:val="0"/>
          <w:szCs w:val="22"/>
          <w:lang w:val="fr-FR"/>
        </w:rPr>
        <w:t xml:space="preserve"> ծրագրի միջոցներ</w:t>
      </w:r>
      <w:r w:rsidRPr="00A83C94">
        <w:rPr>
          <w:rFonts w:cs="Sylfaen"/>
          <w:b w:val="0"/>
          <w:szCs w:val="22"/>
          <w:lang w:val="hy-AM"/>
        </w:rPr>
        <w:t>ը</w:t>
      </w:r>
      <w:r w:rsidRPr="00A83C94">
        <w:rPr>
          <w:rFonts w:cs="Sylfaen"/>
          <w:b w:val="0"/>
          <w:szCs w:val="22"/>
          <w:lang w:val="fr-FR"/>
        </w:rPr>
        <w:t xml:space="preserve"> 2022 թվականին նախատեսվում է ուղղել քրեակատարողական հիմնարկների օպտիմալացման և արդիականացման </w:t>
      </w:r>
      <w:r w:rsidRPr="00A83C94">
        <w:rPr>
          <w:rFonts w:cs="Sylfaen"/>
          <w:b w:val="0"/>
          <w:szCs w:val="22"/>
          <w:lang w:val="hy-AM"/>
        </w:rPr>
        <w:t>ռազմավարական պլանները կյանքի կոչելուն</w:t>
      </w:r>
      <w:r w:rsidRPr="00A83C94">
        <w:rPr>
          <w:rFonts w:cs="Sylfaen"/>
          <w:b w:val="0"/>
          <w:szCs w:val="22"/>
          <w:lang w:val="fr-FR"/>
        </w:rPr>
        <w:t xml:space="preserve">, </w:t>
      </w:r>
      <w:r w:rsidRPr="00A83C94">
        <w:rPr>
          <w:rFonts w:cs="Sylfaen"/>
          <w:b w:val="0"/>
          <w:szCs w:val="22"/>
          <w:lang w:val="hy-AM"/>
        </w:rPr>
        <w:t xml:space="preserve"> ազատությունից զրկված անձանց </w:t>
      </w:r>
      <w:r w:rsidRPr="00A83C94">
        <w:rPr>
          <w:rFonts w:cs="Sylfaen"/>
          <w:b w:val="0"/>
          <w:szCs w:val="22"/>
          <w:lang w:val="fr-FR"/>
        </w:rPr>
        <w:t xml:space="preserve">պահման պայմանների բարելավմանը, </w:t>
      </w:r>
      <w:r w:rsidRPr="00A83C94">
        <w:rPr>
          <w:rFonts w:cs="Sylfaen"/>
          <w:b w:val="0"/>
          <w:szCs w:val="22"/>
          <w:lang w:val="hy-AM"/>
        </w:rPr>
        <w:t xml:space="preserve">վերասոցիալականացման միջոցառումների իրականացմանը, </w:t>
      </w:r>
      <w:r w:rsidRPr="00A83C94">
        <w:rPr>
          <w:rFonts w:cs="Sylfaen"/>
          <w:b w:val="0"/>
          <w:szCs w:val="22"/>
          <w:lang w:val="fr-FR"/>
        </w:rPr>
        <w:t xml:space="preserve">տրամադրվող բժշկական օգնության և սպասարկման որակի բարձրացմանը, պրոբացիայի </w:t>
      </w:r>
      <w:r w:rsidRPr="00A83C94">
        <w:rPr>
          <w:rFonts w:cs="Sylfaen"/>
          <w:b w:val="0"/>
          <w:szCs w:val="22"/>
          <w:lang w:val="hy-AM"/>
        </w:rPr>
        <w:t>ինստիտուտի զարգացմանն ու արձանագրված ոլորտային</w:t>
      </w:r>
      <w:r w:rsidRPr="00A83C94">
        <w:rPr>
          <w:rFonts w:cs="Sylfaen"/>
          <w:b w:val="0"/>
          <w:szCs w:val="22"/>
          <w:lang w:val="fr-FR"/>
        </w:rPr>
        <w:t xml:space="preserve"> խնդիրների լուծմանը: Այս ծրագրի գծով  2022 թվականին նախատեսվել է  14,930.</w:t>
      </w:r>
      <w:r w:rsidR="002F1AF4">
        <w:rPr>
          <w:rFonts w:cs="Sylfaen"/>
          <w:b w:val="0"/>
          <w:szCs w:val="22"/>
          <w:lang w:val="fr-FR"/>
        </w:rPr>
        <w:t>9</w:t>
      </w:r>
      <w:r w:rsidRPr="00A83C94">
        <w:rPr>
          <w:rFonts w:cs="Sylfaen"/>
          <w:b w:val="0"/>
          <w:szCs w:val="22"/>
          <w:lang w:val="fr-FR"/>
        </w:rPr>
        <w:t xml:space="preserve"> մլն դրամ։  </w:t>
      </w:r>
    </w:p>
    <w:p w14:paraId="2FB69B15" w14:textId="77777777" w:rsidR="00DE0457" w:rsidRPr="00A83C94" w:rsidRDefault="00DE0457" w:rsidP="00DE0457">
      <w:pPr>
        <w:spacing w:line="276" w:lineRule="auto"/>
        <w:ind w:firstLine="426"/>
        <w:rPr>
          <w:rFonts w:cs="Sylfaen"/>
          <w:b w:val="0"/>
          <w:szCs w:val="22"/>
          <w:lang w:val="hy-AM"/>
        </w:rPr>
      </w:pPr>
      <w:r w:rsidRPr="00A83C94">
        <w:rPr>
          <w:rFonts w:cs="Sylfaen"/>
          <w:b w:val="0"/>
          <w:szCs w:val="22"/>
          <w:lang w:val="hy-AM"/>
        </w:rPr>
        <w:t xml:space="preserve">Ծրագրի շրջանակում նախատեսվում է դատապարտյալների 15 տոկոսին ապահովել աշխատանքով, աստիճանաբար ավելացնել ՔԿՀ-ում միջին մասնագիտական/տեխնիկական կրթություն ստացող, սոցիալական /սոցիալական վերականգնում և խորհրդատվություն/ աջակցություն ստացած դատապարտյալների և կալանավորվածների թիվը, ՔԿՀ-ում մշակութային կամ  մարզական միջոցառումներին մասնակցած դատապարտյալների  տեսակարար կշիռը ընդհանուր դատապարտյալների մեջ: </w:t>
      </w:r>
    </w:p>
    <w:p w14:paraId="0B6845A1" w14:textId="77777777"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2022 թվականին շարունակվելու են քրեակատարողական հիմնարկներում բժշկական օգնության և սպասարկման ոլորտի կատարելագործմանն ուղղված աշխատանքները: Ծրագրի շրջանակներում նախատեսվում է առաջնային և մասնագիտացված բնույթի մոտ 85000 բուժօգնություն ցույց տալ  դատապարտյալներին և կալանավորված անձանց՝</w:t>
      </w:r>
      <w:r w:rsidRPr="00A83C94">
        <w:rPr>
          <w:b w:val="0"/>
          <w:szCs w:val="22"/>
          <w:lang w:val="hy-AM"/>
        </w:rPr>
        <w:t xml:space="preserve"> </w:t>
      </w:r>
      <w:r w:rsidRPr="00A83C94">
        <w:rPr>
          <w:rFonts w:cs="Sylfaen"/>
          <w:b w:val="0"/>
          <w:spacing w:val="4"/>
          <w:szCs w:val="22"/>
          <w:lang w:val="hy-AM"/>
        </w:rPr>
        <w:t>ապահովելով բուժօգնության կազմակերպման ձգձգումների բացառումը</w:t>
      </w:r>
    </w:p>
    <w:p w14:paraId="3A43F287" w14:textId="77777777"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Շարունակվելու է քրեակատարողական հիմնարկներում գտնվող,  իրավախախտում կատարած անձանց գեղագիտական դաստիարակության և կրթության ծրագրերի իրականացումը: Տարեկան հաստատված ծրագրերին մասնակցած և հավաստագրեր ստացած ունկնդիրների տեսակարար կշիռը մասնակիցների ընդհանուր թվաքանակի մեջ նախատեսվում է 80 տոկոս:</w:t>
      </w:r>
    </w:p>
    <w:p w14:paraId="5BBBF1FE" w14:textId="49683201"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 xml:space="preserve">2022 թվականին նախատեսվում է օպտիմալացնել քրեակատարողական հիմնարկները և դրա արդյունքներով տնտեսված միջոցներն արդյունավետ բաշխել և ուղղորդել համակարգային այլ կարիքների բավարարմանը: Շենքային պայմանների բարելավման նպատակով նախատեսվել է մոտ </w:t>
      </w:r>
      <w:r w:rsidR="002F1AF4" w:rsidRPr="002F1AF4">
        <w:rPr>
          <w:rFonts w:cs="Sylfaen"/>
          <w:b w:val="0"/>
          <w:spacing w:val="4"/>
          <w:szCs w:val="22"/>
          <w:lang w:val="hy-AM"/>
        </w:rPr>
        <w:t>1,852.9 մլն դրամ:</w:t>
      </w:r>
      <w:r w:rsidR="002F1AF4" w:rsidRPr="00A83C94">
        <w:rPr>
          <w:rFonts w:cs="Sylfaen"/>
          <w:b w:val="0"/>
          <w:spacing w:val="4"/>
          <w:szCs w:val="22"/>
          <w:lang w:val="hy-AM"/>
        </w:rPr>
        <w:t xml:space="preserve"> </w:t>
      </w:r>
      <w:r w:rsidRPr="00A83C94">
        <w:rPr>
          <w:rFonts w:cs="Sylfaen"/>
          <w:b w:val="0"/>
          <w:spacing w:val="4"/>
          <w:szCs w:val="22"/>
          <w:lang w:val="hy-AM"/>
        </w:rPr>
        <w:t xml:space="preserve">Հատկանշական է, որ նախատեսվում է  քրեակատարողական հիմնարկներում պահվող հաշմանդամություն ունեցող անձանց համար մատչելի պայմանների և համապատասխան հարմարանքների ապահովում, հաշմանդամություն ունեցող անձանց համար տեղեկատվության ստացման և հաղորդման հնարավորությունն ապահովող տեխնիկական և աշխատակարգային լուծումների ապահովում, ՀՀ արդարադատության նախարարության </w:t>
      </w:r>
      <w:r w:rsidRPr="00A83C94">
        <w:rPr>
          <w:rFonts w:cs="Sylfaen"/>
          <w:b w:val="0"/>
          <w:szCs w:val="22"/>
          <w:lang w:val="fr-FR"/>
        </w:rPr>
        <w:t>«</w:t>
      </w:r>
      <w:r w:rsidRPr="00A83C94">
        <w:rPr>
          <w:rFonts w:cs="Sylfaen"/>
          <w:b w:val="0"/>
          <w:spacing w:val="4"/>
          <w:szCs w:val="22"/>
          <w:lang w:val="hy-AM"/>
        </w:rPr>
        <w:t>Արմավիր» քրեակատարողական հիմնարկի օդափոխության և օդորակմանհամակարգերի ներդնում:</w:t>
      </w:r>
    </w:p>
    <w:p w14:paraId="543F8C04" w14:textId="77DAA876"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Կառավարությունը շարունակելու է վճռական մնալ վերականգնողական արդարադատության սկզբունքների արմատավորման հարցում: Այս համատեքստում հիմնական թիրախային ուղղությունները լինելու են զարգացնել Պրոբացիայի ծառայության կարողությունները և հզորացնել կադրային ներուժը: Այս նպատակով 2022 թվականին պրոբացիայի ծառայությանը 2021 թվականի համեմատ լրացուցիչ հատկացվել է 243</w:t>
      </w:r>
      <w:r w:rsidR="002F1AF4" w:rsidRPr="002F1AF4">
        <w:rPr>
          <w:rFonts w:cs="Sylfaen"/>
          <w:b w:val="0"/>
          <w:spacing w:val="4"/>
          <w:szCs w:val="22"/>
          <w:lang w:val="hy-AM"/>
        </w:rPr>
        <w:t>.1</w:t>
      </w:r>
      <w:r w:rsidRPr="00A83C94">
        <w:rPr>
          <w:rFonts w:cs="Sylfaen"/>
          <w:b w:val="0"/>
          <w:spacing w:val="4"/>
          <w:szCs w:val="22"/>
          <w:lang w:val="hy-AM"/>
        </w:rPr>
        <w:t xml:space="preserve"> մլն դրամ: Պրոբացիայի ծառայությունում հաշվառված    շահառուների համար նախատեսվում է իրականացնել 55 մշակութային միջոցառումներ, ավելացնել հոգեբանական օգնություն ստացող, հանրային աշխատանքներ պատժատեսակում ներգրավված շահառուների թիվը,  արդյունքում ապահովելով կրկնահանցագործություն կատարած շահառուների թվի կրճատում: </w:t>
      </w:r>
    </w:p>
    <w:p w14:paraId="24EB6121" w14:textId="77777777" w:rsidR="00DE0457" w:rsidRPr="00A83C94" w:rsidRDefault="00DE0457" w:rsidP="00DE0457">
      <w:pPr>
        <w:spacing w:line="276" w:lineRule="auto"/>
        <w:ind w:firstLine="426"/>
        <w:rPr>
          <w:rFonts w:cs="Sylfaen"/>
          <w:b w:val="0"/>
          <w:szCs w:val="22"/>
          <w:lang w:val="hy-AM"/>
        </w:rPr>
      </w:pPr>
      <w:r w:rsidRPr="00A83C94">
        <w:rPr>
          <w:rFonts w:cs="Sylfaen"/>
          <w:b w:val="0"/>
          <w:szCs w:val="22"/>
          <w:lang w:val="hy-AM"/>
        </w:rPr>
        <w:t>Ա</w:t>
      </w:r>
      <w:r w:rsidRPr="00A83C94">
        <w:rPr>
          <w:rFonts w:cs="Sylfaen"/>
          <w:b w:val="0"/>
          <w:szCs w:val="22"/>
          <w:lang w:val="fr-FR"/>
        </w:rPr>
        <w:t>զատությունից զրկելուն այլընտրանք հանդիսացող նոր պատժատեսակների և խափանման միջոցների արդյունավետ կիրառման նպատակով Պրոբացիայի ծառայությանը</w:t>
      </w:r>
      <w:r w:rsidRPr="00A83C94">
        <w:rPr>
          <w:rFonts w:cs="Sylfaen"/>
          <w:b w:val="0"/>
          <w:szCs w:val="22"/>
          <w:lang w:val="hy-AM"/>
        </w:rPr>
        <w:t xml:space="preserve"> 2022 թվականին նախատեսվում է վերա</w:t>
      </w:r>
      <w:r w:rsidRPr="00A83C94">
        <w:rPr>
          <w:rFonts w:cs="Sylfaen"/>
          <w:b w:val="0"/>
          <w:szCs w:val="22"/>
          <w:lang w:val="fr-FR"/>
        </w:rPr>
        <w:t xml:space="preserve">զինել էլեկտրոնային հսկողության համար անհրաժեշտ միջոցներով ու ենթակառուցվածքներով և, ըստ այդմ, ապահովել իրավակիրառ պրակտիկայում էլեկտրոնային հսկողության փաստացի </w:t>
      </w:r>
      <w:r w:rsidRPr="00A83C94">
        <w:rPr>
          <w:rFonts w:cs="Sylfaen"/>
          <w:b w:val="0"/>
          <w:szCs w:val="22"/>
          <w:lang w:val="hy-AM"/>
        </w:rPr>
        <w:t xml:space="preserve">և պատշաճ </w:t>
      </w:r>
      <w:r w:rsidRPr="00A83C94">
        <w:rPr>
          <w:rFonts w:cs="Sylfaen"/>
          <w:b w:val="0"/>
          <w:szCs w:val="22"/>
          <w:lang w:val="fr-FR"/>
        </w:rPr>
        <w:t>կիրառումը</w:t>
      </w:r>
      <w:r w:rsidRPr="00A83C94">
        <w:rPr>
          <w:rFonts w:cs="Sylfaen"/>
          <w:b w:val="0"/>
          <w:szCs w:val="22"/>
          <w:lang w:val="hy-AM"/>
        </w:rPr>
        <w:t xml:space="preserve">: Այս նպատակով  բյուջեից նախատեսվում է 110 մլն դրամ: </w:t>
      </w:r>
    </w:p>
    <w:p w14:paraId="74F9E323" w14:textId="755636B1" w:rsidR="00DE0457" w:rsidRPr="00A83C94" w:rsidRDefault="00DE0457" w:rsidP="00DE0457">
      <w:pPr>
        <w:spacing w:line="276" w:lineRule="auto"/>
        <w:ind w:firstLine="426"/>
        <w:rPr>
          <w:rFonts w:cs="Sylfaen"/>
          <w:b w:val="0"/>
          <w:szCs w:val="22"/>
          <w:lang w:val="hy-AM"/>
        </w:rPr>
      </w:pPr>
      <w:r w:rsidRPr="00A83C94">
        <w:rPr>
          <w:rFonts w:cs="Sylfaen"/>
          <w:szCs w:val="22"/>
          <w:lang w:val="fr-FR"/>
        </w:rPr>
        <w:tab/>
        <w:t>Իրավական իրազեկում և տեղեկատվության ապահովում</w:t>
      </w:r>
      <w:r w:rsidRPr="00A83C94">
        <w:rPr>
          <w:rFonts w:cs="Sylfaen"/>
          <w:b w:val="0"/>
          <w:i/>
          <w:szCs w:val="22"/>
          <w:lang w:val="hy-AM"/>
        </w:rPr>
        <w:t xml:space="preserve"> </w:t>
      </w:r>
      <w:r w:rsidRPr="00A83C94">
        <w:rPr>
          <w:rFonts w:cs="Sylfaen"/>
          <w:b w:val="0"/>
          <w:i/>
          <w:szCs w:val="22"/>
          <w:lang w:val="fr-FR"/>
        </w:rPr>
        <w:t xml:space="preserve">ծրագրի գծով </w:t>
      </w:r>
      <w:r w:rsidRPr="00A83C94">
        <w:rPr>
          <w:rFonts w:cs="Sylfaen"/>
          <w:b w:val="0"/>
          <w:szCs w:val="22"/>
          <w:lang w:val="fr-FR"/>
        </w:rPr>
        <w:t xml:space="preserve"> 2022 թվականին  նախատեսվել է  635</w:t>
      </w:r>
      <w:r w:rsidRPr="00A83C94">
        <w:rPr>
          <w:rFonts w:ascii="Cambria Math" w:hAnsi="Cambria Math" w:cs="Cambria Math"/>
          <w:b w:val="0"/>
          <w:szCs w:val="22"/>
          <w:lang w:val="fr-FR"/>
        </w:rPr>
        <w:t>․</w:t>
      </w:r>
      <w:r w:rsidRPr="00A83C94">
        <w:rPr>
          <w:rFonts w:cs="Sylfaen"/>
          <w:b w:val="0"/>
          <w:szCs w:val="22"/>
          <w:lang w:val="fr-FR"/>
        </w:rPr>
        <w:t xml:space="preserve">6 </w:t>
      </w:r>
      <w:r w:rsidRPr="00A83C94">
        <w:rPr>
          <w:rFonts w:cs="GHEA Grapalat"/>
          <w:b w:val="0"/>
          <w:szCs w:val="22"/>
          <w:lang w:val="fr-FR"/>
        </w:rPr>
        <w:t>մլն</w:t>
      </w:r>
      <w:r w:rsidRPr="00A83C94">
        <w:rPr>
          <w:rFonts w:cs="Sylfaen"/>
          <w:b w:val="0"/>
          <w:szCs w:val="22"/>
          <w:lang w:val="fr-FR"/>
        </w:rPr>
        <w:t xml:space="preserve"> </w:t>
      </w:r>
      <w:r w:rsidRPr="00A83C94">
        <w:rPr>
          <w:rFonts w:cs="GHEA Grapalat"/>
          <w:b w:val="0"/>
          <w:szCs w:val="22"/>
          <w:lang w:val="fr-FR"/>
        </w:rPr>
        <w:t>դրամ</w:t>
      </w:r>
      <w:r w:rsidRPr="00A83C94">
        <w:rPr>
          <w:rFonts w:cs="GHEA Grapalat"/>
          <w:b w:val="0"/>
          <w:szCs w:val="22"/>
          <w:lang w:val="hy-AM"/>
        </w:rPr>
        <w:t>:</w:t>
      </w:r>
      <w:r w:rsidRPr="00A83C94">
        <w:rPr>
          <w:rFonts w:cs="Sylfaen"/>
          <w:b w:val="0"/>
          <w:szCs w:val="22"/>
          <w:lang w:val="fr-FR"/>
        </w:rPr>
        <w:t xml:space="preserve"> Այս ծրագրի շրջանակներում նախատեսվում է ապահովել Հայաստանի իրավական տեղեկատվության համակարգ</w:t>
      </w:r>
      <w:r w:rsidRPr="00A83C94">
        <w:rPr>
          <w:rFonts w:cs="Sylfaen"/>
          <w:b w:val="0"/>
          <w:szCs w:val="22"/>
          <w:lang w:val="hy-AM"/>
        </w:rPr>
        <w:t>ում</w:t>
      </w:r>
      <w:r w:rsidRPr="00A83C94">
        <w:rPr>
          <w:rFonts w:cs="Sylfaen"/>
          <w:b w:val="0"/>
          <w:szCs w:val="22"/>
          <w:lang w:val="fr-FR"/>
        </w:rPr>
        <w:t>` «ԱՐԼԻՍ»</w:t>
      </w:r>
      <w:r w:rsidRPr="00A83C94">
        <w:rPr>
          <w:rFonts w:cs="Sylfaen"/>
          <w:b w:val="0"/>
          <w:szCs w:val="22"/>
          <w:lang w:val="hy-AM"/>
        </w:rPr>
        <w:t xml:space="preserve">  կայքում մոտ 78000 էլեկտրոնային էջերի հրատարակում,</w:t>
      </w:r>
      <w:r w:rsidRPr="00A83C94">
        <w:rPr>
          <w:rFonts w:cs="Sylfaen"/>
          <w:b w:val="0"/>
          <w:szCs w:val="22"/>
          <w:lang w:val="fr-FR"/>
        </w:rPr>
        <w:t xml:space="preserve"> տեղեկատվական համակարգի ամենշաբաթյա թարմացում</w:t>
      </w:r>
      <w:r w:rsidRPr="00A83C94">
        <w:rPr>
          <w:rFonts w:cs="Sylfaen"/>
          <w:b w:val="0"/>
          <w:szCs w:val="22"/>
          <w:lang w:val="hy-AM"/>
        </w:rPr>
        <w:t>,</w:t>
      </w:r>
      <w:r w:rsidRPr="00A83C94">
        <w:rPr>
          <w:rFonts w:cs="Sylfaen"/>
          <w:b w:val="0"/>
          <w:szCs w:val="22"/>
          <w:lang w:val="fr-FR"/>
        </w:rPr>
        <w:t xml:space="preserve"> իրավական ակտերի էլեկտրոնային ժողովածուի պարբերական համալրում</w:t>
      </w:r>
      <w:r w:rsidRPr="00A83C94">
        <w:rPr>
          <w:rFonts w:cs="Sylfaen"/>
          <w:b w:val="0"/>
          <w:szCs w:val="22"/>
          <w:lang w:val="hy-AM"/>
        </w:rPr>
        <w:t xml:space="preserve"> և </w:t>
      </w:r>
      <w:r w:rsidRPr="00A83C94">
        <w:rPr>
          <w:rFonts w:cs="Sylfaen"/>
          <w:b w:val="0"/>
          <w:szCs w:val="22"/>
          <w:lang w:val="fr-FR"/>
        </w:rPr>
        <w:t xml:space="preserve"> ՀՀ, ԵՏՄ, ԵՄ իրավական ակտերի, ՀՀ ազգային զեկույցների, ՀՀ պետական մարմինների կողմից միջազգային կառույցներ ներկայացվող և այդ կառույցների կողմից ՀՀ մարմիններ ներկայացվող փաստաթղթերի և հանձնարարվող այլ առանցքային փաստաթղթերի թարգմանությունների կատարումը:</w:t>
      </w:r>
      <w:r w:rsidRPr="00A83C94">
        <w:rPr>
          <w:rFonts w:cs="Sylfaen"/>
          <w:b w:val="0"/>
          <w:szCs w:val="22"/>
          <w:lang w:val="hy-AM"/>
        </w:rPr>
        <w:t xml:space="preserve"> Ծրագրի նպատակն է ապահովել մոտ 25 տոկոս հանրային իրազեկվածության բարձրացում:  </w:t>
      </w:r>
    </w:p>
    <w:p w14:paraId="318B9FBD" w14:textId="763D6D9C" w:rsidR="00DE0457" w:rsidRPr="00A83C94" w:rsidRDefault="004617A0" w:rsidP="00DE0457">
      <w:pPr>
        <w:spacing w:line="276" w:lineRule="auto"/>
        <w:ind w:firstLine="426"/>
        <w:rPr>
          <w:rFonts w:cs="Sylfaen"/>
          <w:b w:val="0"/>
          <w:szCs w:val="22"/>
          <w:lang w:val="hy-AM"/>
        </w:rPr>
      </w:pPr>
      <w:r w:rsidRPr="00A83C94">
        <w:rPr>
          <w:rFonts w:cs="Sylfaen"/>
          <w:i/>
          <w:szCs w:val="22"/>
          <w:lang w:val="hy-AM"/>
        </w:rPr>
        <w:t xml:space="preserve"> </w:t>
      </w:r>
      <w:r w:rsidR="00DE0457" w:rsidRPr="00A83C94">
        <w:rPr>
          <w:rFonts w:cs="Sylfaen"/>
          <w:szCs w:val="22"/>
          <w:lang w:val="hy-AM"/>
        </w:rPr>
        <w:t>Արդարադատության համակարգի աշխատակիցների վերապատրաստում և հատուկ ուսուցում</w:t>
      </w:r>
      <w:r w:rsidR="00DE0457" w:rsidRPr="00A83C94">
        <w:rPr>
          <w:rFonts w:cs="Sylfaen"/>
          <w:b w:val="0"/>
          <w:i/>
          <w:szCs w:val="22"/>
          <w:lang w:val="hy-AM"/>
        </w:rPr>
        <w:t xml:space="preserve"> </w:t>
      </w:r>
      <w:r w:rsidR="00DE0457" w:rsidRPr="00A83C94">
        <w:rPr>
          <w:rFonts w:cs="Sylfaen"/>
          <w:b w:val="0"/>
          <w:szCs w:val="22"/>
          <w:lang w:val="hy-AM"/>
        </w:rPr>
        <w:t>ծրագրի գծով  2022 թվականին  նախատեսվել է  479</w:t>
      </w:r>
      <w:r w:rsidR="00DE0457" w:rsidRPr="00A83C94">
        <w:rPr>
          <w:rFonts w:ascii="Cambria Math" w:hAnsi="Cambria Math" w:cs="Cambria Math"/>
          <w:b w:val="0"/>
          <w:szCs w:val="22"/>
          <w:lang w:val="hy-AM"/>
        </w:rPr>
        <w:t>․</w:t>
      </w:r>
      <w:r w:rsidR="00DE0457" w:rsidRPr="00A83C94">
        <w:rPr>
          <w:rFonts w:cs="Sylfaen"/>
          <w:b w:val="0"/>
          <w:szCs w:val="22"/>
          <w:lang w:val="hy-AM"/>
        </w:rPr>
        <w:t xml:space="preserve">6 </w:t>
      </w:r>
      <w:r w:rsidR="00DE0457" w:rsidRPr="00A83C94">
        <w:rPr>
          <w:rFonts w:cs="GHEA Grapalat"/>
          <w:b w:val="0"/>
          <w:szCs w:val="22"/>
          <w:lang w:val="hy-AM"/>
        </w:rPr>
        <w:t>մլն</w:t>
      </w:r>
      <w:r w:rsidR="00DE0457" w:rsidRPr="00A83C94">
        <w:rPr>
          <w:rFonts w:cs="Sylfaen"/>
          <w:b w:val="0"/>
          <w:szCs w:val="22"/>
          <w:lang w:val="hy-AM"/>
        </w:rPr>
        <w:t xml:space="preserve"> </w:t>
      </w:r>
      <w:r w:rsidR="00DE0457" w:rsidRPr="00A83C94">
        <w:rPr>
          <w:rFonts w:cs="GHEA Grapalat"/>
          <w:b w:val="0"/>
          <w:szCs w:val="22"/>
          <w:lang w:val="hy-AM"/>
        </w:rPr>
        <w:t>դրամ։</w:t>
      </w:r>
      <w:r w:rsidR="00DE0457" w:rsidRPr="00A83C94">
        <w:rPr>
          <w:rFonts w:cs="Sylfaen"/>
          <w:b w:val="0"/>
          <w:szCs w:val="22"/>
          <w:lang w:val="hy-AM"/>
        </w:rPr>
        <w:t xml:space="preserve"> </w:t>
      </w:r>
      <w:r w:rsidR="00DE0457" w:rsidRPr="00A83C94">
        <w:rPr>
          <w:rFonts w:cs="GHEA Grapalat"/>
          <w:b w:val="0"/>
          <w:szCs w:val="22"/>
          <w:lang w:val="hy-AM"/>
        </w:rPr>
        <w:t>Այս</w:t>
      </w:r>
      <w:r w:rsidR="00DE0457" w:rsidRPr="00A83C94">
        <w:rPr>
          <w:rFonts w:cs="Sylfaen"/>
          <w:b w:val="0"/>
          <w:szCs w:val="22"/>
          <w:lang w:val="hy-AM"/>
        </w:rPr>
        <w:t xml:space="preserve"> </w:t>
      </w:r>
      <w:r w:rsidR="00DE0457" w:rsidRPr="00A83C94">
        <w:rPr>
          <w:rFonts w:cs="GHEA Grapalat"/>
          <w:b w:val="0"/>
          <w:szCs w:val="22"/>
          <w:lang w:val="hy-AM"/>
        </w:rPr>
        <w:t>ծրագրով</w:t>
      </w:r>
      <w:r w:rsidR="00DE0457" w:rsidRPr="00A83C94">
        <w:rPr>
          <w:rFonts w:cs="Sylfaen"/>
          <w:b w:val="0"/>
          <w:szCs w:val="22"/>
          <w:lang w:val="hy-AM"/>
        </w:rPr>
        <w:t xml:space="preserve"> </w:t>
      </w:r>
      <w:r w:rsidR="00DE0457" w:rsidRPr="00A83C94">
        <w:rPr>
          <w:rFonts w:cs="GHEA Grapalat"/>
          <w:b w:val="0"/>
          <w:szCs w:val="22"/>
          <w:lang w:val="hy-AM"/>
        </w:rPr>
        <w:t>նախատեսվում</w:t>
      </w:r>
      <w:r w:rsidR="00DE0457" w:rsidRPr="00A83C94">
        <w:rPr>
          <w:rFonts w:cs="Sylfaen"/>
          <w:b w:val="0"/>
          <w:szCs w:val="22"/>
          <w:lang w:val="hy-AM"/>
        </w:rPr>
        <w:t xml:space="preserve"> </w:t>
      </w:r>
      <w:r w:rsidR="00DE0457" w:rsidRPr="00A83C94">
        <w:rPr>
          <w:rFonts w:cs="GHEA Grapalat"/>
          <w:b w:val="0"/>
          <w:szCs w:val="22"/>
          <w:lang w:val="hy-AM"/>
        </w:rPr>
        <w:t>է</w:t>
      </w:r>
      <w:r w:rsidR="00DE0457" w:rsidRPr="00A83C94">
        <w:rPr>
          <w:rFonts w:cs="Sylfaen"/>
          <w:b w:val="0"/>
          <w:szCs w:val="22"/>
          <w:lang w:val="hy-AM"/>
        </w:rPr>
        <w:t xml:space="preserve"> </w:t>
      </w:r>
      <w:r w:rsidR="00DE0457" w:rsidRPr="00A83C94">
        <w:rPr>
          <w:rFonts w:cs="GHEA Grapalat"/>
          <w:b w:val="0"/>
          <w:szCs w:val="22"/>
          <w:lang w:val="hy-AM"/>
        </w:rPr>
        <w:t>ապահովել</w:t>
      </w:r>
      <w:r w:rsidR="00DE0457" w:rsidRPr="00A83C94">
        <w:rPr>
          <w:rFonts w:cs="Sylfaen"/>
          <w:b w:val="0"/>
          <w:szCs w:val="22"/>
          <w:lang w:val="hy-AM"/>
        </w:rPr>
        <w:t xml:space="preserve"> 2250 հատուկ ծառայողների,  315 դատավորների, 176 դատախազների, 150 դատական կարգադրիչների վերապատրաստումն ու  հատուկ ուսուցումը, ապահովելով վերապատրաստման հավաստագիր ստացած ունկնդիրների 90 տոկոս տեսակար կշիռ: </w:t>
      </w:r>
    </w:p>
    <w:p w14:paraId="7BB756F4" w14:textId="77777777" w:rsidR="001A577F" w:rsidRPr="001A577F" w:rsidRDefault="001A577F" w:rsidP="001A577F">
      <w:pPr>
        <w:spacing w:line="276" w:lineRule="auto"/>
        <w:ind w:firstLine="426"/>
        <w:rPr>
          <w:rFonts w:cs="Sylfaen"/>
          <w:b w:val="0"/>
          <w:szCs w:val="22"/>
          <w:lang w:val="hy-AM"/>
        </w:rPr>
      </w:pPr>
      <w:r w:rsidRPr="001A577F">
        <w:rPr>
          <w:rFonts w:cs="Sylfaen"/>
          <w:szCs w:val="22"/>
          <w:lang w:val="hy-AM"/>
        </w:rPr>
        <w:t>Հարկադիր կատարման ծառայություններ</w:t>
      </w:r>
      <w:r w:rsidRPr="001A577F">
        <w:rPr>
          <w:rFonts w:cs="Sylfaen"/>
          <w:b w:val="0"/>
          <w:szCs w:val="22"/>
          <w:lang w:val="hy-AM"/>
        </w:rPr>
        <w:t xml:space="preserve"> ծրագրի գծով 2022 թվականին Դատաիրավական բարեփոխումների շրջանակում իրականացվելու է հարկադիր կատարման ոլորտի համընդհանուր բարեփոխումներ: 2022 թվականին նախատեսվում է ավարտել ընթացքի մեջ գտնվող կատարողական վարույթների 60 տոկոսը, բռնագանձման ենթակա գումարի նկատմամբ բռնագանձված գումարի և աճուրդով վերականգնված գումարի տեսակարար կշիռը նախատեսվել է յուրաքանչյուրը մոտ 11 տոկոս:  </w:t>
      </w:r>
    </w:p>
    <w:p w14:paraId="5DC8AB88" w14:textId="4FC2F519" w:rsidR="00DE0457" w:rsidRPr="00A83C94" w:rsidRDefault="008A40E7" w:rsidP="00DE0457">
      <w:pPr>
        <w:spacing w:line="276" w:lineRule="auto"/>
        <w:ind w:firstLine="426"/>
        <w:rPr>
          <w:b w:val="0"/>
          <w:szCs w:val="22"/>
          <w:lang w:val="hy-AM"/>
        </w:rPr>
      </w:pPr>
      <w:r w:rsidRPr="00A83C94">
        <w:rPr>
          <w:rFonts w:cs="Sylfaen"/>
          <w:i/>
          <w:szCs w:val="22"/>
          <w:lang w:val="hy-AM"/>
        </w:rPr>
        <w:t xml:space="preserve"> </w:t>
      </w:r>
      <w:r w:rsidR="00DE0457" w:rsidRPr="00A83C94">
        <w:rPr>
          <w:rFonts w:cs="Sylfaen"/>
          <w:spacing w:val="4"/>
          <w:szCs w:val="22"/>
          <w:lang w:val="it-IT" w:eastAsia="en-US" w:bidi="he-IL"/>
        </w:rPr>
        <w:t>Հակակոռուպցիոն քաղաքականության մշակում,</w:t>
      </w:r>
      <w:r w:rsidR="0071195B" w:rsidRPr="00A83C94">
        <w:rPr>
          <w:rFonts w:cs="Sylfaen"/>
          <w:spacing w:val="4"/>
          <w:szCs w:val="22"/>
          <w:lang w:val="it-IT" w:eastAsia="en-US" w:bidi="he-IL"/>
        </w:rPr>
        <w:t xml:space="preserve"> </w:t>
      </w:r>
      <w:r w:rsidR="00DE0457" w:rsidRPr="00A83C94">
        <w:rPr>
          <w:rFonts w:cs="Sylfaen"/>
          <w:spacing w:val="4"/>
          <w:szCs w:val="22"/>
          <w:lang w:val="it-IT" w:eastAsia="en-US" w:bidi="he-IL"/>
        </w:rPr>
        <w:t>ծրագրերի համակարգում և մոնիտորինգի իրականացում</w:t>
      </w:r>
      <w:r w:rsidR="00DE0457" w:rsidRPr="00A83C94">
        <w:rPr>
          <w:rFonts w:cs="Sylfaen"/>
          <w:b w:val="0"/>
          <w:spacing w:val="4"/>
          <w:szCs w:val="22"/>
          <w:lang w:val="hy-AM"/>
        </w:rPr>
        <w:t xml:space="preserve"> ծրագրի գծով միջոցներն ուղղվել են հակակոռուպցիոն ռազմավարության միջոցառումների իրականացմանը, մասնավորապես՝ </w:t>
      </w:r>
      <w:r w:rsidR="00DE0457" w:rsidRPr="00A83C94">
        <w:rPr>
          <w:b w:val="0"/>
          <w:szCs w:val="22"/>
          <w:lang w:val="hy-AM"/>
        </w:rPr>
        <w:t>Հակակոռուպցիոն կոմիտեի և դատարանների շենքերի կառուցմանը։ Այս նպատակով 2022 թվականին նախատեսվել է 1,500</w:t>
      </w:r>
      <w:r w:rsidR="00DE0457" w:rsidRPr="00A83C94">
        <w:rPr>
          <w:rFonts w:ascii="Cambria Math" w:hAnsi="Cambria Math" w:cs="Cambria Math"/>
          <w:b w:val="0"/>
          <w:szCs w:val="22"/>
          <w:lang w:val="hy-AM"/>
        </w:rPr>
        <w:t>․</w:t>
      </w:r>
      <w:r w:rsidR="00DE0457" w:rsidRPr="00A83C94">
        <w:rPr>
          <w:b w:val="0"/>
          <w:szCs w:val="22"/>
          <w:lang w:val="hy-AM"/>
        </w:rPr>
        <w:t xml:space="preserve">0 </w:t>
      </w:r>
      <w:r w:rsidR="00DE0457" w:rsidRPr="00A83C94">
        <w:rPr>
          <w:rFonts w:cs="GHEA Grapalat"/>
          <w:b w:val="0"/>
          <w:szCs w:val="22"/>
          <w:lang w:val="hy-AM"/>
        </w:rPr>
        <w:t>մլն</w:t>
      </w:r>
      <w:r w:rsidR="00DE0457" w:rsidRPr="00A83C94">
        <w:rPr>
          <w:b w:val="0"/>
          <w:szCs w:val="22"/>
          <w:lang w:val="hy-AM"/>
        </w:rPr>
        <w:t xml:space="preserve"> </w:t>
      </w:r>
      <w:r w:rsidR="00DE0457" w:rsidRPr="00A83C94">
        <w:rPr>
          <w:rFonts w:cs="GHEA Grapalat"/>
          <w:b w:val="0"/>
          <w:szCs w:val="22"/>
          <w:lang w:val="hy-AM"/>
        </w:rPr>
        <w:t>դրամ։</w:t>
      </w:r>
      <w:r w:rsidR="00DE0457" w:rsidRPr="00A83C94">
        <w:rPr>
          <w:b w:val="0"/>
          <w:szCs w:val="22"/>
          <w:lang w:val="hy-AM"/>
        </w:rPr>
        <w:t xml:space="preserve"> Ծրագրի շրջանակներում նախատեսվում է ապահով</w:t>
      </w:r>
      <w:r w:rsidR="0071195B" w:rsidRPr="00A83C94">
        <w:rPr>
          <w:b w:val="0"/>
          <w:szCs w:val="22"/>
          <w:lang w:val="hy-AM"/>
        </w:rPr>
        <w:t>ե</w:t>
      </w:r>
      <w:r w:rsidR="00DE0457" w:rsidRPr="00A83C94">
        <w:rPr>
          <w:b w:val="0"/>
          <w:szCs w:val="22"/>
          <w:lang w:val="hy-AM"/>
        </w:rPr>
        <w:t>լ նաև Հակակոռուպցիոն կոմիտեի բնականոն գործունեության ապահովումը և գործիքակազմի (ներառյալ մարդկային ռեսուրսների) կատարելագործումը:</w:t>
      </w:r>
    </w:p>
    <w:p w14:paraId="05419488" w14:textId="77777777" w:rsidR="008C694F" w:rsidRPr="00A83C94" w:rsidRDefault="008C694F" w:rsidP="00DE0457">
      <w:pPr>
        <w:spacing w:line="276" w:lineRule="auto"/>
        <w:ind w:firstLine="426"/>
        <w:rPr>
          <w:b w:val="0"/>
          <w:szCs w:val="22"/>
          <w:lang w:val="hy-AM"/>
        </w:rPr>
      </w:pPr>
    </w:p>
    <w:p w14:paraId="288C2A22" w14:textId="63D7436C" w:rsidR="008C694F" w:rsidRPr="00A83C94" w:rsidRDefault="008C694F" w:rsidP="008C694F">
      <w:pPr>
        <w:keepNext/>
        <w:spacing w:before="0" w:line="276" w:lineRule="auto"/>
        <w:ind w:firstLine="0"/>
        <w:contextualSpacing w:val="0"/>
        <w:jc w:val="center"/>
        <w:outlineLvl w:val="2"/>
        <w:rPr>
          <w:sz w:val="24"/>
          <w:lang w:val="hy-AM"/>
        </w:rPr>
      </w:pPr>
      <w:bookmarkStart w:id="286" w:name="_Toc83996379"/>
      <w:r w:rsidRPr="00A83C94">
        <w:rPr>
          <w:rFonts w:cs="Arial"/>
          <w:sz w:val="24"/>
          <w:lang w:val="hy-AM" w:eastAsia="en-US"/>
        </w:rPr>
        <w:t>ՀՀ արտաքին գործերի նախա</w:t>
      </w:r>
      <w:r w:rsidRPr="00A83C94">
        <w:rPr>
          <w:rFonts w:cs="Arial"/>
          <w:sz w:val="24"/>
          <w:lang w:val="hy-AM" w:eastAsia="en-US"/>
        </w:rPr>
        <w:softHyphen/>
        <w:t>րարու</w:t>
      </w:r>
      <w:r w:rsidRPr="00A83C94">
        <w:rPr>
          <w:rFonts w:cs="Arial"/>
          <w:sz w:val="24"/>
          <w:lang w:val="hy-AM" w:eastAsia="en-US"/>
        </w:rPr>
        <w:softHyphen/>
        <w:t>թյուն</w:t>
      </w:r>
      <w:bookmarkEnd w:id="286"/>
    </w:p>
    <w:p w14:paraId="7FDAA1E1" w14:textId="77777777" w:rsidR="00610E1E" w:rsidRPr="00AC141F" w:rsidRDefault="00610E1E" w:rsidP="00262201">
      <w:pPr>
        <w:spacing w:before="0" w:line="276" w:lineRule="auto"/>
        <w:rPr>
          <w:b w:val="0"/>
          <w:szCs w:val="22"/>
          <w:lang w:val="hy-AM"/>
        </w:rPr>
      </w:pPr>
      <w:r w:rsidRPr="00AC141F">
        <w:rPr>
          <w:rFonts w:cs="Sylfaen"/>
          <w:b w:val="0"/>
          <w:szCs w:val="22"/>
          <w:lang w:val="hy-AM"/>
        </w:rPr>
        <w:t>ՀՀ</w:t>
      </w:r>
      <w:r w:rsidRPr="00AC141F">
        <w:rPr>
          <w:b w:val="0"/>
          <w:szCs w:val="22"/>
          <w:lang w:val="hy-AM"/>
        </w:rPr>
        <w:t xml:space="preserve"> </w:t>
      </w:r>
      <w:r w:rsidRPr="00AC141F">
        <w:rPr>
          <w:rFonts w:cs="Sylfaen"/>
          <w:b w:val="0"/>
          <w:szCs w:val="22"/>
          <w:lang w:val="hy-AM"/>
        </w:rPr>
        <w:t>արտաքին</w:t>
      </w:r>
      <w:r w:rsidRPr="00AC141F">
        <w:rPr>
          <w:b w:val="0"/>
          <w:szCs w:val="22"/>
          <w:lang w:val="hy-AM"/>
        </w:rPr>
        <w:t xml:space="preserve"> </w:t>
      </w:r>
      <w:r w:rsidRPr="00AC141F">
        <w:rPr>
          <w:rFonts w:cs="Sylfaen"/>
          <w:b w:val="0"/>
          <w:szCs w:val="22"/>
          <w:lang w:val="hy-AM"/>
        </w:rPr>
        <w:t>գործերի</w:t>
      </w:r>
      <w:r w:rsidRPr="00AC141F">
        <w:rPr>
          <w:b w:val="0"/>
          <w:szCs w:val="22"/>
          <w:lang w:val="hy-AM"/>
        </w:rPr>
        <w:t xml:space="preserve"> </w:t>
      </w:r>
      <w:r w:rsidRPr="00AC141F">
        <w:rPr>
          <w:rFonts w:cs="Sylfaen"/>
          <w:b w:val="0"/>
          <w:szCs w:val="22"/>
          <w:lang w:val="hy-AM"/>
        </w:rPr>
        <w:t>նախարարությունը իրեն</w:t>
      </w:r>
      <w:r w:rsidRPr="00AC141F">
        <w:rPr>
          <w:b w:val="0"/>
          <w:szCs w:val="22"/>
          <w:lang w:val="hy-AM"/>
        </w:rPr>
        <w:t xml:space="preserve"> </w:t>
      </w:r>
      <w:r w:rsidRPr="00AC141F">
        <w:rPr>
          <w:rFonts w:cs="Sylfaen"/>
          <w:b w:val="0"/>
          <w:szCs w:val="22"/>
          <w:lang w:val="hy-AM"/>
        </w:rPr>
        <w:t>վերապահված</w:t>
      </w:r>
      <w:r w:rsidRPr="00AC141F">
        <w:rPr>
          <w:b w:val="0"/>
          <w:szCs w:val="22"/>
          <w:lang w:val="hy-AM"/>
        </w:rPr>
        <w:t xml:space="preserve"> </w:t>
      </w:r>
      <w:r w:rsidRPr="00AC141F">
        <w:rPr>
          <w:rFonts w:cs="Sylfaen"/>
          <w:b w:val="0"/>
          <w:szCs w:val="22"/>
          <w:lang w:val="hy-AM"/>
        </w:rPr>
        <w:t>լիազորությունների</w:t>
      </w:r>
      <w:r w:rsidRPr="00AC141F">
        <w:rPr>
          <w:b w:val="0"/>
          <w:szCs w:val="22"/>
          <w:lang w:val="hy-AM"/>
        </w:rPr>
        <w:t xml:space="preserve"> </w:t>
      </w:r>
      <w:r w:rsidRPr="00AC141F">
        <w:rPr>
          <w:rFonts w:cs="Sylfaen"/>
          <w:b w:val="0"/>
          <w:szCs w:val="22"/>
          <w:lang w:val="hy-AM"/>
        </w:rPr>
        <w:t xml:space="preserve">շրջանակներում </w:t>
      </w:r>
      <w:r w:rsidRPr="00AC141F">
        <w:rPr>
          <w:b w:val="0"/>
          <w:szCs w:val="22"/>
          <w:lang w:val="hy-AM"/>
        </w:rPr>
        <w:t>ՀՀ Կառավարության ծրագրի հիման վրա մշ</w:t>
      </w:r>
      <w:r w:rsidRPr="00AC141F">
        <w:rPr>
          <w:rFonts w:cs="Sylfaen"/>
          <w:b w:val="0"/>
          <w:szCs w:val="22"/>
          <w:lang w:val="hy-AM"/>
        </w:rPr>
        <w:t>ակում</w:t>
      </w:r>
      <w:r w:rsidRPr="00AC141F">
        <w:rPr>
          <w:b w:val="0"/>
          <w:szCs w:val="22"/>
          <w:lang w:val="hy-AM"/>
        </w:rPr>
        <w:t xml:space="preserve">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իրականացնում</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w:t>
      </w:r>
      <w:r w:rsidRPr="00AC141F">
        <w:rPr>
          <w:rFonts w:cs="Sylfaen"/>
          <w:b w:val="0"/>
          <w:szCs w:val="22"/>
          <w:lang w:val="hy-AM"/>
        </w:rPr>
        <w:t>Հայաստանի Հանրապետության</w:t>
      </w:r>
      <w:r w:rsidRPr="00AC141F">
        <w:rPr>
          <w:b w:val="0"/>
          <w:szCs w:val="22"/>
          <w:lang w:val="hy-AM"/>
        </w:rPr>
        <w:t xml:space="preserve"> </w:t>
      </w:r>
      <w:r w:rsidRPr="00AC141F">
        <w:rPr>
          <w:rFonts w:cs="Sylfaen"/>
          <w:b w:val="0"/>
          <w:szCs w:val="22"/>
          <w:lang w:val="hy-AM"/>
        </w:rPr>
        <w:t>արտաքին</w:t>
      </w:r>
      <w:r w:rsidRPr="00AC141F">
        <w:rPr>
          <w:b w:val="0"/>
          <w:szCs w:val="22"/>
          <w:lang w:val="hy-AM"/>
        </w:rPr>
        <w:t xml:space="preserve"> </w:t>
      </w:r>
      <w:r w:rsidRPr="00AC141F">
        <w:rPr>
          <w:rFonts w:cs="Sylfaen"/>
          <w:b w:val="0"/>
          <w:szCs w:val="22"/>
          <w:lang w:val="hy-AM"/>
        </w:rPr>
        <w:t>քաղաքականությունը,</w:t>
      </w:r>
      <w:r w:rsidRPr="00AC141F">
        <w:rPr>
          <w:b w:val="0"/>
          <w:szCs w:val="22"/>
          <w:lang w:val="hy-AM"/>
        </w:rPr>
        <w:t xml:space="preserve"> </w:t>
      </w:r>
      <w:r w:rsidRPr="00AC141F">
        <w:rPr>
          <w:rFonts w:cs="Sylfaen"/>
          <w:b w:val="0"/>
          <w:szCs w:val="22"/>
          <w:lang w:val="hy-AM"/>
        </w:rPr>
        <w:t>ինչպե</w:t>
      </w:r>
      <w:r w:rsidRPr="00AC141F">
        <w:rPr>
          <w:b w:val="0"/>
          <w:szCs w:val="22"/>
          <w:lang w:val="hy-AM"/>
        </w:rPr>
        <w:t xml:space="preserve">u </w:t>
      </w:r>
      <w:r w:rsidRPr="00AC141F">
        <w:rPr>
          <w:rFonts w:cs="Sylfaen"/>
          <w:b w:val="0"/>
          <w:szCs w:val="22"/>
          <w:lang w:val="hy-AM"/>
        </w:rPr>
        <w:t>նաև</w:t>
      </w:r>
      <w:r w:rsidRPr="00AC141F">
        <w:rPr>
          <w:b w:val="0"/>
          <w:szCs w:val="22"/>
          <w:lang w:val="hy-AM"/>
        </w:rPr>
        <w:t xml:space="preserve"> </w:t>
      </w:r>
      <w:r w:rsidRPr="00AC141F">
        <w:rPr>
          <w:rFonts w:cs="Sylfaen"/>
          <w:b w:val="0"/>
          <w:szCs w:val="22"/>
          <w:lang w:val="hy-AM"/>
        </w:rPr>
        <w:t>կազմակերպում</w:t>
      </w:r>
      <w:r w:rsidRPr="00AC141F">
        <w:rPr>
          <w:b w:val="0"/>
          <w:szCs w:val="22"/>
          <w:lang w:val="hy-AM"/>
        </w:rPr>
        <w:t xml:space="preserve">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ղեկավարում</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w:t>
      </w:r>
      <w:r w:rsidRPr="00AC141F">
        <w:rPr>
          <w:rFonts w:cs="Sylfaen"/>
          <w:b w:val="0"/>
          <w:szCs w:val="22"/>
          <w:lang w:val="hy-AM"/>
        </w:rPr>
        <w:t>դիվանագիտական</w:t>
      </w:r>
      <w:r w:rsidRPr="00AC141F">
        <w:rPr>
          <w:b w:val="0"/>
          <w:szCs w:val="22"/>
          <w:lang w:val="hy-AM"/>
        </w:rPr>
        <w:t xml:space="preserve"> </w:t>
      </w:r>
      <w:r w:rsidRPr="00AC141F">
        <w:rPr>
          <w:rFonts w:cs="Sylfaen"/>
          <w:b w:val="0"/>
          <w:szCs w:val="22"/>
          <w:lang w:val="hy-AM"/>
        </w:rPr>
        <w:t>ծառայությունն</w:t>
      </w:r>
      <w:r w:rsidRPr="00AC141F">
        <w:rPr>
          <w:b w:val="0"/>
          <w:szCs w:val="22"/>
          <w:lang w:val="hy-AM"/>
        </w:rPr>
        <w:t xml:space="preserve"> </w:t>
      </w:r>
      <w:r w:rsidRPr="00AC141F">
        <w:rPr>
          <w:rFonts w:cs="Sylfaen"/>
          <w:b w:val="0"/>
          <w:szCs w:val="22"/>
          <w:lang w:val="hy-AM"/>
        </w:rPr>
        <w:t>օտարերկրյա  պետություններում</w:t>
      </w:r>
      <w:r w:rsidRPr="00AC141F">
        <w:rPr>
          <w:b w:val="0"/>
          <w:szCs w:val="22"/>
          <w:lang w:val="hy-AM"/>
        </w:rPr>
        <w:t xml:space="preserve">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միջազգային</w:t>
      </w:r>
      <w:r w:rsidRPr="00AC141F">
        <w:rPr>
          <w:b w:val="0"/>
          <w:szCs w:val="22"/>
          <w:lang w:val="hy-AM"/>
        </w:rPr>
        <w:t xml:space="preserve"> </w:t>
      </w:r>
      <w:r w:rsidRPr="00AC141F">
        <w:rPr>
          <w:rFonts w:cs="Sylfaen"/>
          <w:b w:val="0"/>
          <w:szCs w:val="22"/>
          <w:lang w:val="hy-AM"/>
        </w:rPr>
        <w:t>կառույցներում</w:t>
      </w:r>
      <w:r w:rsidRPr="00AC141F">
        <w:rPr>
          <w:b w:val="0"/>
          <w:szCs w:val="22"/>
          <w:lang w:val="hy-AM"/>
        </w:rPr>
        <w:t xml:space="preserve">: </w:t>
      </w:r>
    </w:p>
    <w:p w14:paraId="018121EA" w14:textId="2A451916" w:rsidR="00610E1E" w:rsidRPr="00AC141F" w:rsidRDefault="00610E1E" w:rsidP="00262201">
      <w:pPr>
        <w:spacing w:before="0" w:line="276" w:lineRule="auto"/>
        <w:rPr>
          <w:b w:val="0"/>
          <w:szCs w:val="22"/>
          <w:lang w:val="hy-AM"/>
        </w:rPr>
      </w:pPr>
      <w:r w:rsidRPr="00AC141F">
        <w:rPr>
          <w:rFonts w:cs="Sylfaen"/>
          <w:b w:val="0"/>
          <w:szCs w:val="22"/>
          <w:lang w:val="hy-AM"/>
        </w:rPr>
        <w:t>Հայաստանի</w:t>
      </w:r>
      <w:r w:rsidRPr="00AC141F">
        <w:rPr>
          <w:b w:val="0"/>
          <w:szCs w:val="22"/>
          <w:lang w:val="hy-AM"/>
        </w:rPr>
        <w:t xml:space="preserve"> </w:t>
      </w:r>
      <w:r w:rsidRPr="00AC141F">
        <w:rPr>
          <w:rFonts w:cs="Sylfaen"/>
          <w:b w:val="0"/>
          <w:szCs w:val="22"/>
          <w:lang w:val="hy-AM"/>
        </w:rPr>
        <w:t>Հանրապետությունը</w:t>
      </w:r>
      <w:r w:rsidRPr="00AC141F">
        <w:rPr>
          <w:b w:val="0"/>
          <w:szCs w:val="22"/>
          <w:lang w:val="hy-AM"/>
        </w:rPr>
        <w:t xml:space="preserve"> </w:t>
      </w:r>
      <w:r w:rsidRPr="00AC141F">
        <w:rPr>
          <w:rFonts w:cs="Sylfaen"/>
          <w:b w:val="0"/>
          <w:szCs w:val="22"/>
          <w:lang w:val="hy-AM"/>
        </w:rPr>
        <w:t>դիվանագիտական</w:t>
      </w:r>
      <w:r w:rsidRPr="00AC141F">
        <w:rPr>
          <w:b w:val="0"/>
          <w:szCs w:val="22"/>
          <w:lang w:val="hy-AM"/>
        </w:rPr>
        <w:t xml:space="preserve"> </w:t>
      </w:r>
      <w:r w:rsidRPr="00AC141F">
        <w:rPr>
          <w:rFonts w:cs="Sylfaen"/>
          <w:b w:val="0"/>
          <w:szCs w:val="22"/>
          <w:lang w:val="hy-AM"/>
        </w:rPr>
        <w:t>հարաբերություններ</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w:t>
      </w:r>
      <w:r w:rsidRPr="00AC141F">
        <w:rPr>
          <w:rFonts w:cs="Sylfaen"/>
          <w:b w:val="0"/>
          <w:szCs w:val="22"/>
          <w:lang w:val="hy-AM"/>
        </w:rPr>
        <w:t>հաստատել աշխարհի</w:t>
      </w:r>
      <w:r w:rsidRPr="00AC141F">
        <w:rPr>
          <w:b w:val="0"/>
          <w:szCs w:val="22"/>
          <w:lang w:val="hy-AM"/>
        </w:rPr>
        <w:t xml:space="preserve"> 178 </w:t>
      </w:r>
      <w:r w:rsidRPr="00AC141F">
        <w:rPr>
          <w:rFonts w:cs="Sylfaen"/>
          <w:b w:val="0"/>
          <w:szCs w:val="22"/>
          <w:lang w:val="hy-AM"/>
        </w:rPr>
        <w:t>երկրի</w:t>
      </w:r>
      <w:r w:rsidRPr="00AC141F">
        <w:rPr>
          <w:b w:val="0"/>
          <w:szCs w:val="22"/>
          <w:lang w:val="hy-AM"/>
        </w:rPr>
        <w:t xml:space="preserve"> </w:t>
      </w:r>
      <w:r w:rsidRPr="00AC141F">
        <w:rPr>
          <w:rFonts w:cs="Sylfaen"/>
          <w:b w:val="0"/>
          <w:szCs w:val="22"/>
          <w:lang w:val="hy-AM"/>
        </w:rPr>
        <w:t>հետ</w:t>
      </w:r>
      <w:r w:rsidRPr="00AC141F">
        <w:rPr>
          <w:b w:val="0"/>
          <w:szCs w:val="22"/>
          <w:lang w:val="hy-AM"/>
        </w:rPr>
        <w:t xml:space="preserve">, </w:t>
      </w:r>
      <w:r w:rsidRPr="00AC141F">
        <w:rPr>
          <w:rFonts w:cs="Sylfaen"/>
          <w:b w:val="0"/>
          <w:szCs w:val="22"/>
          <w:lang w:val="hy-AM"/>
        </w:rPr>
        <w:t>անդամակցում</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106 </w:t>
      </w:r>
      <w:r w:rsidRPr="00AC141F">
        <w:rPr>
          <w:rFonts w:cs="Sylfaen"/>
          <w:b w:val="0"/>
          <w:szCs w:val="22"/>
          <w:lang w:val="hy-AM"/>
        </w:rPr>
        <w:t>միջազգային</w:t>
      </w:r>
      <w:r w:rsidRPr="00AC141F">
        <w:rPr>
          <w:b w:val="0"/>
          <w:szCs w:val="22"/>
          <w:lang w:val="hy-AM"/>
        </w:rPr>
        <w:t xml:space="preserve"> </w:t>
      </w:r>
      <w:r w:rsidRPr="00AC141F">
        <w:rPr>
          <w:rFonts w:cs="Sylfaen"/>
          <w:b w:val="0"/>
          <w:szCs w:val="22"/>
          <w:lang w:val="hy-AM"/>
        </w:rPr>
        <w:t>կազմակերպության</w:t>
      </w:r>
      <w:r w:rsidRPr="00AC141F">
        <w:rPr>
          <w:b w:val="0"/>
          <w:szCs w:val="22"/>
          <w:lang w:val="hy-AM"/>
        </w:rPr>
        <w:t xml:space="preserve">, այդ թվում՝ մասնագիտացված մարմինների, ծրագրերի, կոնվենցիաների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համաշխարհային</w:t>
      </w:r>
      <w:r w:rsidRPr="00AC141F">
        <w:rPr>
          <w:b w:val="0"/>
          <w:szCs w:val="22"/>
          <w:lang w:val="hy-AM"/>
        </w:rPr>
        <w:t xml:space="preserve"> </w:t>
      </w:r>
      <w:r w:rsidRPr="00AC141F">
        <w:rPr>
          <w:rFonts w:cs="Sylfaen"/>
          <w:b w:val="0"/>
          <w:szCs w:val="22"/>
          <w:lang w:val="hy-AM"/>
        </w:rPr>
        <w:t>հանրության կողմից ընկալվում է որպես</w:t>
      </w:r>
      <w:r w:rsidRPr="00AC141F">
        <w:rPr>
          <w:b w:val="0"/>
          <w:szCs w:val="22"/>
          <w:lang w:val="hy-AM"/>
        </w:rPr>
        <w:t xml:space="preserve"> </w:t>
      </w:r>
      <w:r w:rsidRPr="00AC141F">
        <w:rPr>
          <w:rFonts w:cs="Sylfaen"/>
          <w:b w:val="0"/>
          <w:szCs w:val="22"/>
          <w:lang w:val="hy-AM"/>
        </w:rPr>
        <w:t>կանխատեսելի</w:t>
      </w:r>
      <w:r w:rsidRPr="00AC141F">
        <w:rPr>
          <w:b w:val="0"/>
          <w:szCs w:val="22"/>
          <w:lang w:val="hy-AM"/>
        </w:rPr>
        <w:t xml:space="preserve"> </w:t>
      </w:r>
      <w:r w:rsidRPr="00AC141F">
        <w:rPr>
          <w:rFonts w:cs="Sylfaen"/>
          <w:b w:val="0"/>
          <w:szCs w:val="22"/>
          <w:lang w:val="hy-AM"/>
        </w:rPr>
        <w:t>ու</w:t>
      </w:r>
      <w:r w:rsidRPr="00AC141F">
        <w:rPr>
          <w:b w:val="0"/>
          <w:szCs w:val="22"/>
          <w:lang w:val="hy-AM"/>
        </w:rPr>
        <w:t xml:space="preserve"> </w:t>
      </w:r>
      <w:r w:rsidRPr="00AC141F">
        <w:rPr>
          <w:rFonts w:cs="Sylfaen"/>
          <w:b w:val="0"/>
          <w:szCs w:val="22"/>
          <w:lang w:val="hy-AM"/>
        </w:rPr>
        <w:t>հուսալի</w:t>
      </w:r>
      <w:r w:rsidRPr="00AC141F">
        <w:rPr>
          <w:b w:val="0"/>
          <w:szCs w:val="22"/>
          <w:lang w:val="hy-AM"/>
        </w:rPr>
        <w:t xml:space="preserve"> </w:t>
      </w:r>
      <w:r w:rsidRPr="00AC141F">
        <w:rPr>
          <w:rFonts w:cs="Sylfaen"/>
          <w:b w:val="0"/>
          <w:szCs w:val="22"/>
          <w:lang w:val="hy-AM"/>
        </w:rPr>
        <w:t>գործընկեր</w:t>
      </w:r>
      <w:r w:rsidRPr="00AC141F">
        <w:rPr>
          <w:b w:val="0"/>
          <w:szCs w:val="22"/>
          <w:lang w:val="hy-AM"/>
        </w:rPr>
        <w:t xml:space="preserve">: </w:t>
      </w:r>
      <w:r w:rsidRPr="00AC141F">
        <w:rPr>
          <w:rFonts w:cs="Arial Armenian"/>
          <w:b w:val="0"/>
          <w:szCs w:val="22"/>
          <w:lang w:val="hy-AM"/>
        </w:rPr>
        <w:t xml:space="preserve">Արտերկրում </w:t>
      </w:r>
      <w:r w:rsidR="00B771AD" w:rsidRPr="00AC141F">
        <w:rPr>
          <w:rFonts w:cs="Sylfaen"/>
          <w:b w:val="0"/>
          <w:szCs w:val="22"/>
          <w:lang w:val="hy-AM"/>
        </w:rPr>
        <w:t>Հայաստանի</w:t>
      </w:r>
      <w:r w:rsidR="00B771AD" w:rsidRPr="00AC141F">
        <w:rPr>
          <w:b w:val="0"/>
          <w:szCs w:val="22"/>
          <w:lang w:val="hy-AM"/>
        </w:rPr>
        <w:t xml:space="preserve"> </w:t>
      </w:r>
      <w:r w:rsidR="00B771AD" w:rsidRPr="00AC141F">
        <w:rPr>
          <w:rFonts w:cs="Sylfaen"/>
          <w:b w:val="0"/>
          <w:szCs w:val="22"/>
          <w:lang w:val="hy-AM"/>
        </w:rPr>
        <w:t>Հանրապետություն</w:t>
      </w:r>
      <w:r w:rsidR="00B771AD">
        <w:rPr>
          <w:rFonts w:cs="Sylfaen"/>
          <w:b w:val="0"/>
          <w:szCs w:val="22"/>
          <w:lang w:val="hy-AM"/>
        </w:rPr>
        <w:t>ն</w:t>
      </w:r>
      <w:r w:rsidR="00B771AD" w:rsidRPr="00AC141F">
        <w:rPr>
          <w:b w:val="0"/>
          <w:szCs w:val="22"/>
          <w:lang w:val="hy-AM"/>
        </w:rPr>
        <w:t xml:space="preserve"> </w:t>
      </w:r>
      <w:r w:rsidRPr="00AC141F">
        <w:rPr>
          <w:rFonts w:cs="Arial Armenian"/>
          <w:b w:val="0"/>
          <w:szCs w:val="22"/>
          <w:lang w:val="hy-AM"/>
        </w:rPr>
        <w:t xml:space="preserve">ունի 49 ռեզիդենտ դեսպան, ովքեր հավատարմագրված են շուրջ 80 երկրում։ ՀՀ մշտական ներկայացուցիչներ են նշանակված 11 միջազգային կազմակերպություններում, արտերկրում գործում է ՀՀ 10 գլխավոր հյուպատոսություն և 50 պատվավոր հյուպատոսի գրասենյակ: </w:t>
      </w:r>
    </w:p>
    <w:p w14:paraId="243930BF" w14:textId="1663BD43" w:rsidR="008C694F" w:rsidRPr="00A83C94" w:rsidRDefault="008C694F" w:rsidP="00262201">
      <w:pPr>
        <w:spacing w:before="0" w:line="276" w:lineRule="auto"/>
        <w:rPr>
          <w:b w:val="0"/>
          <w:lang w:val="hy-AM"/>
        </w:rPr>
      </w:pPr>
      <w:r w:rsidRPr="00A83C94">
        <w:rPr>
          <w:b w:val="0"/>
          <w:color w:val="000000"/>
          <w:szCs w:val="22"/>
          <w:lang w:val="hy-AM" w:eastAsia="en-US"/>
        </w:rPr>
        <w:t xml:space="preserve">ՀՀ </w:t>
      </w:r>
      <w:r w:rsidR="0042040A" w:rsidRPr="00A83C94">
        <w:rPr>
          <w:b w:val="0"/>
          <w:color w:val="000000"/>
          <w:szCs w:val="22"/>
          <w:lang w:val="hy-AM" w:eastAsia="en-US"/>
        </w:rPr>
        <w:t>արտաքին գործերի</w:t>
      </w:r>
      <w:r w:rsidRPr="00A83C94">
        <w:rPr>
          <w:b w:val="0"/>
          <w:color w:val="000000"/>
          <w:szCs w:val="22"/>
          <w:lang w:val="hy-AM" w:eastAsia="en-US"/>
        </w:rPr>
        <w:t xml:space="preserve"> նախա</w:t>
      </w:r>
      <w:r w:rsidRPr="00A83C94">
        <w:rPr>
          <w:b w:val="0"/>
          <w:color w:val="000000"/>
          <w:szCs w:val="22"/>
          <w:lang w:val="hy-AM" w:eastAsia="en-US"/>
        </w:rPr>
        <w:softHyphen/>
        <w:t>րարու</w:t>
      </w:r>
      <w:r w:rsidRPr="00A83C94">
        <w:rPr>
          <w:b w:val="0"/>
          <w:color w:val="000000"/>
          <w:szCs w:val="22"/>
          <w:lang w:val="hy-AM" w:eastAsia="en-US"/>
        </w:rPr>
        <w:softHyphen/>
        <w:t xml:space="preserve">թյան գծով Նախագծով նախատեսվում է հատկացնել </w:t>
      </w:r>
      <w:r w:rsidR="005A3169">
        <w:rPr>
          <w:b w:val="0"/>
          <w:color w:val="000000"/>
          <w:szCs w:val="22"/>
          <w:lang w:val="hy-AM" w:eastAsia="en-US"/>
        </w:rPr>
        <w:t>18</w:t>
      </w:r>
      <w:r w:rsidRPr="00A83C94">
        <w:rPr>
          <w:b w:val="0"/>
          <w:color w:val="000000"/>
          <w:szCs w:val="22"/>
          <w:lang w:val="hy-AM" w:eastAsia="en-US"/>
        </w:rPr>
        <w:t>,6</w:t>
      </w:r>
      <w:r w:rsidR="005A3169">
        <w:rPr>
          <w:b w:val="0"/>
          <w:color w:val="000000"/>
          <w:szCs w:val="22"/>
          <w:lang w:val="hy-AM" w:eastAsia="en-US"/>
        </w:rPr>
        <w:t>53</w:t>
      </w:r>
      <w:r w:rsidRPr="00A83C94">
        <w:rPr>
          <w:b w:val="0"/>
          <w:color w:val="000000"/>
          <w:szCs w:val="22"/>
          <w:lang w:val="hy-AM" w:eastAsia="en-US"/>
        </w:rPr>
        <w:t>.</w:t>
      </w:r>
      <w:r w:rsidR="005A3169">
        <w:rPr>
          <w:b w:val="0"/>
          <w:color w:val="000000"/>
          <w:szCs w:val="22"/>
          <w:lang w:val="hy-AM" w:eastAsia="en-US"/>
        </w:rPr>
        <w:t>1</w:t>
      </w:r>
      <w:r w:rsidRPr="00A83C94">
        <w:rPr>
          <w:b w:val="0"/>
          <w:color w:val="000000"/>
          <w:szCs w:val="22"/>
          <w:lang w:val="hy-AM" w:eastAsia="en-US"/>
        </w:rPr>
        <w:t xml:space="preserve"> մլն դրամ (ներառյալ կառավարման ապարատի պահպանման ծախսերը): Հատկացվելիք միջոցներն</w:t>
      </w:r>
      <w:r w:rsidRPr="00A83C94">
        <w:rPr>
          <w:b w:val="0"/>
          <w:lang w:val="hy-AM"/>
        </w:rPr>
        <w:t xml:space="preserve"> ուղղվելու են հետևյալ ծրագրերի իրականացմանը.</w:t>
      </w:r>
    </w:p>
    <w:p w14:paraId="62062D5F" w14:textId="34225ED1" w:rsidR="005A3169" w:rsidRDefault="005A3169" w:rsidP="00262201">
      <w:pPr>
        <w:spacing w:line="276" w:lineRule="auto"/>
        <w:rPr>
          <w:rFonts w:eastAsia="Calibri"/>
          <w:b w:val="0"/>
          <w:spacing w:val="-6"/>
          <w:szCs w:val="22"/>
          <w:lang w:val="hy-AM" w:eastAsia="en-US"/>
        </w:rPr>
      </w:pPr>
      <w:r w:rsidRPr="005A3169">
        <w:rPr>
          <w:rFonts w:eastAsia="Calibri" w:cs="GHEA Grapalat"/>
          <w:spacing w:val="-6"/>
          <w:lang w:val="hy-AM"/>
        </w:rPr>
        <w:t>Արտաքին</w:t>
      </w:r>
      <w:r w:rsidRPr="005A3169">
        <w:rPr>
          <w:rFonts w:eastAsia="Calibri"/>
          <w:spacing w:val="-6"/>
          <w:lang w:val="hy-AM"/>
        </w:rPr>
        <w:t xml:space="preserve"> </w:t>
      </w:r>
      <w:r w:rsidRPr="005A3169">
        <w:rPr>
          <w:rFonts w:eastAsia="Calibri" w:cs="GHEA Grapalat"/>
          <w:spacing w:val="-6"/>
          <w:lang w:val="hy-AM"/>
        </w:rPr>
        <w:t>գործերի</w:t>
      </w:r>
      <w:r w:rsidRPr="005A3169">
        <w:rPr>
          <w:rFonts w:eastAsia="Calibri"/>
          <w:spacing w:val="-6"/>
          <w:lang w:val="hy-AM"/>
        </w:rPr>
        <w:t xml:space="preserve"> </w:t>
      </w:r>
      <w:r w:rsidRPr="005A3169">
        <w:rPr>
          <w:rFonts w:eastAsia="Calibri" w:cs="GHEA Grapalat"/>
          <w:spacing w:val="-6"/>
          <w:lang w:val="hy-AM"/>
        </w:rPr>
        <w:t>ոլորտում</w:t>
      </w:r>
      <w:r w:rsidRPr="005A3169">
        <w:rPr>
          <w:rFonts w:eastAsia="Calibri"/>
          <w:spacing w:val="-6"/>
          <w:lang w:val="hy-AM"/>
        </w:rPr>
        <w:t xml:space="preserve"> </w:t>
      </w:r>
      <w:r w:rsidRPr="005A3169">
        <w:rPr>
          <w:rFonts w:eastAsia="Calibri" w:cs="GHEA Grapalat"/>
          <w:spacing w:val="-6"/>
          <w:lang w:val="hy-AM"/>
        </w:rPr>
        <w:t>Կառավարության</w:t>
      </w:r>
      <w:r w:rsidRPr="005A3169">
        <w:rPr>
          <w:rFonts w:eastAsia="Calibri"/>
          <w:spacing w:val="-6"/>
          <w:lang w:val="hy-AM"/>
        </w:rPr>
        <w:t xml:space="preserve"> </w:t>
      </w:r>
      <w:r w:rsidRPr="005A3169">
        <w:rPr>
          <w:rFonts w:eastAsia="Calibri" w:cs="GHEA Grapalat"/>
          <w:spacing w:val="-6"/>
          <w:lang w:val="hy-AM"/>
        </w:rPr>
        <w:t>քաղաքականության</w:t>
      </w:r>
      <w:r w:rsidRPr="005A3169">
        <w:rPr>
          <w:rFonts w:eastAsia="Calibri"/>
          <w:spacing w:val="-6"/>
          <w:lang w:val="hy-AM"/>
        </w:rPr>
        <w:t xml:space="preserve"> </w:t>
      </w:r>
      <w:r w:rsidRPr="005A3169">
        <w:rPr>
          <w:rFonts w:eastAsia="Calibri" w:cs="GHEA Grapalat"/>
          <w:spacing w:val="-6"/>
          <w:lang w:val="hy-AM"/>
        </w:rPr>
        <w:t>մշակում</w:t>
      </w:r>
      <w:r w:rsidRPr="005A3169">
        <w:rPr>
          <w:rFonts w:eastAsia="Calibri"/>
          <w:spacing w:val="-6"/>
          <w:lang w:val="hy-AM"/>
        </w:rPr>
        <w:t xml:space="preserve"> </w:t>
      </w:r>
      <w:r w:rsidRPr="005A3169">
        <w:rPr>
          <w:rFonts w:eastAsia="Calibri" w:cs="GHEA Grapalat"/>
          <w:spacing w:val="-6"/>
          <w:lang w:val="hy-AM"/>
        </w:rPr>
        <w:t>և</w:t>
      </w:r>
      <w:r w:rsidRPr="005A3169">
        <w:rPr>
          <w:rFonts w:eastAsia="Calibri"/>
          <w:spacing w:val="-6"/>
          <w:lang w:val="hy-AM"/>
        </w:rPr>
        <w:t xml:space="preserve"> </w:t>
      </w:r>
      <w:r w:rsidRPr="005A3169">
        <w:rPr>
          <w:rFonts w:eastAsia="Calibri" w:cs="GHEA Grapalat"/>
          <w:spacing w:val="-6"/>
          <w:lang w:val="hy-AM"/>
        </w:rPr>
        <w:t>իրականացում</w:t>
      </w:r>
      <w:r w:rsidRPr="005A3169">
        <w:rPr>
          <w:b w:val="0"/>
          <w:lang w:val="hy-AM"/>
        </w:rPr>
        <w:t xml:space="preserve"> </w:t>
      </w:r>
      <w:r w:rsidRPr="00A83C94">
        <w:rPr>
          <w:b w:val="0"/>
          <w:lang w:val="hy-AM"/>
        </w:rPr>
        <w:t xml:space="preserve">ծրագրի գծով 2022 թվականին նախատեսվել է հատկացնել </w:t>
      </w:r>
      <w:r>
        <w:rPr>
          <w:b w:val="0"/>
          <w:lang w:val="hy-AM"/>
        </w:rPr>
        <w:t>1</w:t>
      </w:r>
      <w:r w:rsidRPr="00A83C94">
        <w:rPr>
          <w:b w:val="0"/>
          <w:lang w:val="hy-AM"/>
        </w:rPr>
        <w:t>,</w:t>
      </w:r>
      <w:r>
        <w:rPr>
          <w:b w:val="0"/>
          <w:lang w:val="hy-AM"/>
        </w:rPr>
        <w:t>953</w:t>
      </w:r>
      <w:r w:rsidRPr="00A83C94">
        <w:rPr>
          <w:b w:val="0"/>
          <w:lang w:val="hy-AM"/>
        </w:rPr>
        <w:t>.</w:t>
      </w:r>
      <w:r>
        <w:rPr>
          <w:b w:val="0"/>
          <w:lang w:val="hy-AM"/>
        </w:rPr>
        <w:t>4</w:t>
      </w:r>
      <w:r w:rsidRPr="00A83C94">
        <w:rPr>
          <w:b w:val="0"/>
          <w:lang w:val="hy-AM"/>
        </w:rPr>
        <w:t xml:space="preserve"> մլն դրամ: </w:t>
      </w:r>
    </w:p>
    <w:p w14:paraId="22076E61" w14:textId="7C1E2411" w:rsidR="005A3169" w:rsidRDefault="005A3169" w:rsidP="00262201">
      <w:pPr>
        <w:spacing w:line="276" w:lineRule="auto"/>
        <w:rPr>
          <w:rFonts w:eastAsia="GHEA Grapalat" w:cs="GHEA Grapalat"/>
          <w:b w:val="0"/>
          <w:color w:val="1D2228"/>
          <w:lang w:val="hy-AM"/>
        </w:rPr>
      </w:pPr>
      <w:r w:rsidRPr="005A3169">
        <w:rPr>
          <w:rFonts w:eastAsia="GHEA Grapalat" w:cs="GHEA Grapalat"/>
          <w:b w:val="0"/>
          <w:color w:val="1D2228"/>
          <w:lang w:val="hy-AM"/>
        </w:rPr>
        <w:t xml:space="preserve">Ծրագրի նպատակն </w:t>
      </w:r>
      <w:r>
        <w:rPr>
          <w:rFonts w:eastAsia="GHEA Grapalat" w:cs="GHEA Grapalat"/>
          <w:b w:val="0"/>
          <w:color w:val="1D2228"/>
          <w:lang w:val="hy-AM"/>
        </w:rPr>
        <w:t>է</w:t>
      </w:r>
      <w:r w:rsidRPr="005A3169">
        <w:rPr>
          <w:rFonts w:eastAsia="GHEA Grapalat" w:cs="GHEA Grapalat"/>
          <w:b w:val="0"/>
          <w:color w:val="1D2228"/>
          <w:lang w:val="hy-AM"/>
        </w:rPr>
        <w:t xml:space="preserve"> ՀՀ ինքնիշխանության պաշտպանությունը, Հայաստանի և Արցախի անվտանգության ապահովումը, ՀՀ միջազգային հեղինակության բարձրացումը, ՀՀ կայուն զարգացմանն ուղղված միջազգային և տարածաշրջանային համագործակցության ապահովումը, ինչպես նաև միջազգային իրավունքի հիման վրա՝ բոլոր պետությունների հետ բարիդրացիական, փոխշահավետ հարաբերությունների հաստատումն ու զարգացումը, միջազգային հարաբերություններում Հայաստանի Հանրապետության շահերի և իրավունքների ներկայացումը: </w:t>
      </w:r>
    </w:p>
    <w:p w14:paraId="6BCCED0F" w14:textId="480D31E6" w:rsidR="00AC141F" w:rsidRPr="00AC141F" w:rsidRDefault="00AC141F" w:rsidP="00262201">
      <w:pPr>
        <w:spacing w:line="276" w:lineRule="auto"/>
        <w:rPr>
          <w:rFonts w:eastAsia="Calibri"/>
          <w:b w:val="0"/>
          <w:spacing w:val="-6"/>
          <w:szCs w:val="22"/>
          <w:lang w:val="hy-AM"/>
        </w:rPr>
      </w:pPr>
      <w:r w:rsidRPr="00AC141F">
        <w:rPr>
          <w:rFonts w:eastAsia="Calibri"/>
          <w:spacing w:val="-6"/>
          <w:szCs w:val="22"/>
          <w:lang w:val="hy-AM"/>
        </w:rPr>
        <w:t xml:space="preserve">Համագործակցություն </w:t>
      </w:r>
      <w:r w:rsidRPr="00AC141F">
        <w:rPr>
          <w:rFonts w:eastAsia="Calibri" w:cs="GHEA Grapalat"/>
          <w:spacing w:val="-6"/>
          <w:szCs w:val="22"/>
          <w:lang w:val="hy-AM"/>
        </w:rPr>
        <w:t>միջազգային</w:t>
      </w:r>
      <w:r w:rsidRPr="00AC141F">
        <w:rPr>
          <w:rFonts w:eastAsia="Calibri"/>
          <w:spacing w:val="-6"/>
          <w:szCs w:val="22"/>
          <w:lang w:val="hy-AM"/>
        </w:rPr>
        <w:t xml:space="preserve"> </w:t>
      </w:r>
      <w:r w:rsidRPr="00AC141F">
        <w:rPr>
          <w:rFonts w:eastAsia="Calibri" w:cs="GHEA Grapalat"/>
          <w:spacing w:val="-6"/>
          <w:szCs w:val="22"/>
          <w:lang w:val="hy-AM"/>
        </w:rPr>
        <w:t>կազմակերպությունների</w:t>
      </w:r>
      <w:r w:rsidRPr="00AC141F">
        <w:rPr>
          <w:rFonts w:eastAsia="Calibri"/>
          <w:spacing w:val="-6"/>
          <w:szCs w:val="22"/>
          <w:lang w:val="hy-AM"/>
        </w:rPr>
        <w:t xml:space="preserve"> </w:t>
      </w:r>
      <w:r w:rsidRPr="00AC141F">
        <w:rPr>
          <w:rFonts w:eastAsia="Calibri" w:cs="GHEA Grapalat"/>
          <w:spacing w:val="-6"/>
          <w:szCs w:val="22"/>
          <w:lang w:val="hy-AM"/>
        </w:rPr>
        <w:t>հետ</w:t>
      </w:r>
      <w:r w:rsidRPr="00AC141F">
        <w:rPr>
          <w:rFonts w:eastAsia="Calibri"/>
          <w:b w:val="0"/>
          <w:spacing w:val="-6"/>
          <w:szCs w:val="22"/>
          <w:lang w:val="hy-AM"/>
        </w:rPr>
        <w:t xml:space="preserve"> </w:t>
      </w:r>
      <w:r w:rsidRPr="00AC141F">
        <w:rPr>
          <w:rFonts w:eastAsia="Calibri" w:cs="GHEA Grapalat"/>
          <w:b w:val="0"/>
          <w:spacing w:val="-6"/>
          <w:szCs w:val="22"/>
          <w:lang w:val="hy-AM"/>
        </w:rPr>
        <w:t xml:space="preserve">ծրագրի </w:t>
      </w:r>
      <w:r w:rsidRPr="00A83C94">
        <w:rPr>
          <w:b w:val="0"/>
          <w:lang w:val="hy-AM"/>
        </w:rPr>
        <w:t xml:space="preserve">գծով նախատեսվել է հատկացնել </w:t>
      </w:r>
      <w:r>
        <w:rPr>
          <w:b w:val="0"/>
          <w:lang w:val="hy-AM"/>
        </w:rPr>
        <w:t>2</w:t>
      </w:r>
      <w:r w:rsidRPr="00A83C94">
        <w:rPr>
          <w:b w:val="0"/>
          <w:lang w:val="hy-AM"/>
        </w:rPr>
        <w:t>,</w:t>
      </w:r>
      <w:r>
        <w:rPr>
          <w:b w:val="0"/>
          <w:lang w:val="hy-AM"/>
        </w:rPr>
        <w:t>295</w:t>
      </w:r>
      <w:r w:rsidRPr="00A83C94">
        <w:rPr>
          <w:b w:val="0"/>
          <w:lang w:val="hy-AM"/>
        </w:rPr>
        <w:t>.</w:t>
      </w:r>
      <w:r>
        <w:rPr>
          <w:b w:val="0"/>
          <w:lang w:val="hy-AM"/>
        </w:rPr>
        <w:t>3</w:t>
      </w:r>
      <w:r w:rsidRPr="00A83C94">
        <w:rPr>
          <w:b w:val="0"/>
          <w:lang w:val="hy-AM"/>
        </w:rPr>
        <w:t xml:space="preserve"> մլն դրամ: </w:t>
      </w:r>
      <w:r w:rsidR="00610E1E">
        <w:rPr>
          <w:b w:val="0"/>
          <w:lang w:val="hy-AM"/>
        </w:rPr>
        <w:t xml:space="preserve">Ծրագրի </w:t>
      </w:r>
      <w:r w:rsidRPr="00AC141F">
        <w:rPr>
          <w:rFonts w:eastAsia="Calibri"/>
          <w:b w:val="0"/>
          <w:spacing w:val="-6"/>
          <w:szCs w:val="22"/>
          <w:lang w:val="hy-AM"/>
        </w:rPr>
        <w:t xml:space="preserve">նպատակն </w:t>
      </w:r>
      <w:r w:rsidR="00610E1E">
        <w:rPr>
          <w:rFonts w:eastAsia="Calibri"/>
          <w:b w:val="0"/>
          <w:spacing w:val="-6"/>
          <w:szCs w:val="22"/>
          <w:lang w:val="hy-AM"/>
        </w:rPr>
        <w:t>է</w:t>
      </w:r>
      <w:r w:rsidRPr="00AC141F">
        <w:rPr>
          <w:rFonts w:eastAsia="Calibri"/>
          <w:b w:val="0"/>
          <w:spacing w:val="-6"/>
          <w:szCs w:val="22"/>
          <w:lang w:val="hy-AM"/>
        </w:rPr>
        <w:t xml:space="preserve"> միջազգային համագործակցության բազմակողմ ձևաչափերում ՀՀ ակտիվ ներգրավվածության միջոցով ՀՀ արտաքին քաղաքականության գերակայությունների իրագործումը, ինչպես նաև միջազգային կազմակերպությունների հետ և դրանց շրջանակներում բնականոն փոխհարաբերությունների ու արդյունավետ համագործակցության ապահովումն ու ընդլայնումը:</w:t>
      </w:r>
    </w:p>
    <w:p w14:paraId="2FAF549B" w14:textId="3DB5AD77" w:rsidR="00AC141F" w:rsidRPr="00AC141F" w:rsidRDefault="00AC141F" w:rsidP="00262201">
      <w:pPr>
        <w:spacing w:line="276" w:lineRule="auto"/>
        <w:rPr>
          <w:rFonts w:eastAsia="Calibri"/>
          <w:b w:val="0"/>
          <w:spacing w:val="-6"/>
          <w:szCs w:val="22"/>
          <w:lang w:val="hy-AM"/>
        </w:rPr>
      </w:pPr>
      <w:r w:rsidRPr="00610E1E">
        <w:rPr>
          <w:rFonts w:eastAsia="Calibri" w:cs="GHEA Grapalat"/>
          <w:spacing w:val="-6"/>
          <w:szCs w:val="22"/>
          <w:lang w:val="hy-AM"/>
        </w:rPr>
        <w:t>Օտարերկրյա</w:t>
      </w:r>
      <w:r w:rsidRPr="00610E1E">
        <w:rPr>
          <w:rFonts w:eastAsia="Calibri"/>
          <w:spacing w:val="-6"/>
          <w:szCs w:val="22"/>
          <w:lang w:val="hy-AM"/>
        </w:rPr>
        <w:t xml:space="preserve"> </w:t>
      </w:r>
      <w:r w:rsidRPr="00610E1E">
        <w:rPr>
          <w:rFonts w:eastAsia="Calibri" w:cs="GHEA Grapalat"/>
          <w:spacing w:val="-6"/>
          <w:szCs w:val="22"/>
          <w:lang w:val="hy-AM"/>
        </w:rPr>
        <w:t>պետություններում</w:t>
      </w:r>
      <w:r w:rsidRPr="00610E1E">
        <w:rPr>
          <w:rFonts w:eastAsia="Calibri"/>
          <w:spacing w:val="-6"/>
          <w:szCs w:val="22"/>
          <w:lang w:val="hy-AM"/>
        </w:rPr>
        <w:t xml:space="preserve"> </w:t>
      </w:r>
      <w:r w:rsidRPr="00610E1E">
        <w:rPr>
          <w:rFonts w:eastAsia="Calibri" w:cs="GHEA Grapalat"/>
          <w:spacing w:val="-6"/>
          <w:szCs w:val="22"/>
          <w:lang w:val="hy-AM"/>
        </w:rPr>
        <w:t>ՀՀ</w:t>
      </w:r>
      <w:r w:rsidRPr="00610E1E">
        <w:rPr>
          <w:rFonts w:eastAsia="Calibri"/>
          <w:spacing w:val="-6"/>
          <w:szCs w:val="22"/>
          <w:lang w:val="hy-AM"/>
        </w:rPr>
        <w:t xml:space="preserve"> </w:t>
      </w:r>
      <w:r w:rsidRPr="00610E1E">
        <w:rPr>
          <w:rFonts w:eastAsia="Calibri" w:cs="GHEA Grapalat"/>
          <w:spacing w:val="-6"/>
          <w:szCs w:val="22"/>
          <w:lang w:val="hy-AM"/>
        </w:rPr>
        <w:t>դիվանագիտական</w:t>
      </w:r>
      <w:r w:rsidRPr="00610E1E">
        <w:rPr>
          <w:rFonts w:eastAsia="Calibri"/>
          <w:spacing w:val="-6"/>
          <w:szCs w:val="22"/>
          <w:lang w:val="hy-AM"/>
        </w:rPr>
        <w:t xml:space="preserve"> </w:t>
      </w:r>
      <w:r w:rsidRPr="00610E1E">
        <w:rPr>
          <w:rFonts w:eastAsia="Calibri" w:cs="GHEA Grapalat"/>
          <w:spacing w:val="-6"/>
          <w:szCs w:val="22"/>
          <w:lang w:val="hy-AM"/>
        </w:rPr>
        <w:t>ծառայության</w:t>
      </w:r>
      <w:r w:rsidRPr="00610E1E">
        <w:rPr>
          <w:rFonts w:eastAsia="Calibri"/>
          <w:spacing w:val="-6"/>
          <w:szCs w:val="22"/>
          <w:lang w:val="hy-AM"/>
        </w:rPr>
        <w:t xml:space="preserve"> </w:t>
      </w:r>
      <w:r w:rsidRPr="00610E1E">
        <w:rPr>
          <w:rFonts w:eastAsia="Calibri" w:cs="GHEA Grapalat"/>
          <w:spacing w:val="-6"/>
          <w:szCs w:val="22"/>
          <w:lang w:val="hy-AM"/>
        </w:rPr>
        <w:t>մարմինների</w:t>
      </w:r>
      <w:r w:rsidRPr="00610E1E">
        <w:rPr>
          <w:rFonts w:eastAsia="Calibri"/>
          <w:spacing w:val="-6"/>
          <w:szCs w:val="22"/>
          <w:lang w:val="hy-AM"/>
        </w:rPr>
        <w:t xml:space="preserve"> </w:t>
      </w:r>
      <w:r w:rsidRPr="00610E1E">
        <w:rPr>
          <w:rFonts w:eastAsia="Calibri" w:cs="GHEA Grapalat"/>
          <w:spacing w:val="-6"/>
          <w:szCs w:val="22"/>
          <w:lang w:val="hy-AM"/>
        </w:rPr>
        <w:t>գործունեության</w:t>
      </w:r>
      <w:r w:rsidRPr="00610E1E">
        <w:rPr>
          <w:rFonts w:eastAsia="Calibri"/>
          <w:spacing w:val="-6"/>
          <w:szCs w:val="22"/>
          <w:lang w:val="hy-AM"/>
        </w:rPr>
        <w:t xml:space="preserve"> </w:t>
      </w:r>
      <w:r w:rsidRPr="00610E1E">
        <w:rPr>
          <w:rFonts w:eastAsia="Calibri" w:cs="GHEA Grapalat"/>
          <w:spacing w:val="-6"/>
          <w:szCs w:val="22"/>
          <w:lang w:val="hy-AM"/>
        </w:rPr>
        <w:t>կազմակերպում</w:t>
      </w:r>
      <w:r w:rsidRPr="00610E1E">
        <w:rPr>
          <w:rFonts w:eastAsia="Calibri"/>
          <w:spacing w:val="-6"/>
          <w:szCs w:val="22"/>
          <w:lang w:val="hy-AM"/>
        </w:rPr>
        <w:t xml:space="preserve"> </w:t>
      </w:r>
      <w:r w:rsidRPr="00610E1E">
        <w:rPr>
          <w:rFonts w:eastAsia="Calibri" w:cs="GHEA Grapalat"/>
          <w:spacing w:val="-6"/>
          <w:szCs w:val="22"/>
          <w:lang w:val="hy-AM"/>
        </w:rPr>
        <w:t>և</w:t>
      </w:r>
      <w:r w:rsidRPr="00610E1E">
        <w:rPr>
          <w:rFonts w:eastAsia="Calibri"/>
          <w:spacing w:val="-6"/>
          <w:szCs w:val="22"/>
          <w:lang w:val="hy-AM"/>
        </w:rPr>
        <w:t xml:space="preserve"> </w:t>
      </w:r>
      <w:r w:rsidRPr="00610E1E">
        <w:rPr>
          <w:rFonts w:eastAsia="Calibri" w:cs="GHEA Grapalat"/>
          <w:spacing w:val="-6"/>
          <w:szCs w:val="22"/>
          <w:lang w:val="hy-AM"/>
        </w:rPr>
        <w:t xml:space="preserve">իրականացում </w:t>
      </w:r>
      <w:r w:rsidR="00610E1E" w:rsidRPr="00AC141F">
        <w:rPr>
          <w:rFonts w:eastAsia="Calibri" w:cs="GHEA Grapalat"/>
          <w:b w:val="0"/>
          <w:spacing w:val="-6"/>
          <w:szCs w:val="22"/>
          <w:lang w:val="hy-AM"/>
        </w:rPr>
        <w:t xml:space="preserve">ծրագրի </w:t>
      </w:r>
      <w:r w:rsidR="00610E1E" w:rsidRPr="00A83C94">
        <w:rPr>
          <w:b w:val="0"/>
          <w:lang w:val="hy-AM"/>
        </w:rPr>
        <w:t xml:space="preserve">գծով նախատեսվել է հատկացնել </w:t>
      </w:r>
      <w:r w:rsidR="00610E1E">
        <w:rPr>
          <w:b w:val="0"/>
          <w:lang w:val="hy-AM"/>
        </w:rPr>
        <w:t>13</w:t>
      </w:r>
      <w:r w:rsidR="00610E1E" w:rsidRPr="00A83C94">
        <w:rPr>
          <w:b w:val="0"/>
          <w:lang w:val="hy-AM"/>
        </w:rPr>
        <w:t>,</w:t>
      </w:r>
      <w:r w:rsidR="00610E1E">
        <w:rPr>
          <w:b w:val="0"/>
          <w:lang w:val="hy-AM"/>
        </w:rPr>
        <w:t>996</w:t>
      </w:r>
      <w:r w:rsidR="00610E1E" w:rsidRPr="00A83C94">
        <w:rPr>
          <w:b w:val="0"/>
          <w:lang w:val="hy-AM"/>
        </w:rPr>
        <w:t>.</w:t>
      </w:r>
      <w:r w:rsidR="00610E1E">
        <w:rPr>
          <w:b w:val="0"/>
          <w:lang w:val="hy-AM"/>
        </w:rPr>
        <w:t>3</w:t>
      </w:r>
      <w:r w:rsidR="00610E1E" w:rsidRPr="00A83C94">
        <w:rPr>
          <w:b w:val="0"/>
          <w:lang w:val="hy-AM"/>
        </w:rPr>
        <w:t xml:space="preserve"> մլն դրամ:</w:t>
      </w:r>
      <w:r w:rsidR="00610E1E" w:rsidRPr="00610E1E">
        <w:rPr>
          <w:b w:val="0"/>
          <w:lang w:val="hy-AM"/>
        </w:rPr>
        <w:t xml:space="preserve"> </w:t>
      </w:r>
      <w:r w:rsidR="00610E1E">
        <w:rPr>
          <w:b w:val="0"/>
          <w:lang w:val="hy-AM"/>
        </w:rPr>
        <w:t xml:space="preserve">Ծրագրի </w:t>
      </w:r>
      <w:r w:rsidR="00610E1E" w:rsidRPr="00AC141F">
        <w:rPr>
          <w:rFonts w:eastAsia="Calibri"/>
          <w:b w:val="0"/>
          <w:spacing w:val="-6"/>
          <w:szCs w:val="22"/>
          <w:lang w:val="hy-AM"/>
        </w:rPr>
        <w:t xml:space="preserve">նպատակն </w:t>
      </w:r>
      <w:r w:rsidR="00610E1E">
        <w:rPr>
          <w:rFonts w:eastAsia="Calibri"/>
          <w:b w:val="0"/>
          <w:spacing w:val="-6"/>
          <w:szCs w:val="22"/>
          <w:lang w:val="hy-AM"/>
        </w:rPr>
        <w:t>է</w:t>
      </w:r>
      <w:r w:rsidR="00610E1E" w:rsidRPr="00AC141F">
        <w:rPr>
          <w:rFonts w:eastAsia="Calibri"/>
          <w:b w:val="0"/>
          <w:spacing w:val="-6"/>
          <w:szCs w:val="22"/>
          <w:lang w:val="hy-AM"/>
        </w:rPr>
        <w:t xml:space="preserve"> </w:t>
      </w:r>
      <w:r w:rsidRPr="00AC141F">
        <w:rPr>
          <w:rFonts w:eastAsia="GHEA Grapalat" w:cs="GHEA Grapalat"/>
          <w:b w:val="0"/>
          <w:color w:val="1D2228"/>
          <w:szCs w:val="22"/>
          <w:lang w:val="hy-AM"/>
        </w:rPr>
        <w:t>ապահովել ՀՀ պաշտոնական ներկայությունն արտերկրում՝ նպաստելով ՀՀ ինքնիշխանության և շահերի պաշտպանությանը, Հայաստանի և Արցախի անվտանգության ապահովմանը, հակահայկական քարոզչության հակազդմանը, միջազգային և տարածաշրջանային գործընթացներին ՀՀ ներգրավվածության ավելացմանը, ՀՀ կայուն զարգացման և տնտեսական արդիականացման համար նպաստավոր պայմանների ձևավորմանը, արտերկրում ՀՀ քաղաքացիների և իրավաբանական անձանց շահերի պաշտպանությանը:</w:t>
      </w:r>
      <w:r w:rsidRPr="00AC141F">
        <w:rPr>
          <w:rFonts w:eastAsia="Calibri"/>
          <w:b w:val="0"/>
          <w:spacing w:val="-6"/>
          <w:szCs w:val="22"/>
          <w:lang w:val="hy-AM"/>
        </w:rPr>
        <w:t xml:space="preserve"> </w:t>
      </w:r>
    </w:p>
    <w:p w14:paraId="744D9765" w14:textId="6810578C" w:rsidR="00AC141F" w:rsidRPr="00AC141F" w:rsidRDefault="00AC141F" w:rsidP="00262201">
      <w:pPr>
        <w:spacing w:line="276" w:lineRule="auto"/>
        <w:rPr>
          <w:rFonts w:eastAsia="Calibri"/>
          <w:b w:val="0"/>
          <w:spacing w:val="-6"/>
          <w:szCs w:val="22"/>
          <w:lang w:val="hy-AM"/>
        </w:rPr>
      </w:pPr>
      <w:r w:rsidRPr="00610E1E">
        <w:rPr>
          <w:rFonts w:eastAsia="Calibri" w:cs="GHEA Grapalat"/>
          <w:spacing w:val="-6"/>
          <w:szCs w:val="22"/>
          <w:lang w:val="hy-AM"/>
        </w:rPr>
        <w:t>Միջազգային</w:t>
      </w:r>
      <w:r w:rsidRPr="00610E1E">
        <w:rPr>
          <w:rFonts w:eastAsia="Calibri"/>
          <w:spacing w:val="-6"/>
          <w:szCs w:val="22"/>
          <w:lang w:val="hy-AM"/>
        </w:rPr>
        <w:t xml:space="preserve"> </w:t>
      </w:r>
      <w:r w:rsidRPr="00610E1E">
        <w:rPr>
          <w:rFonts w:eastAsia="Calibri" w:cs="GHEA Grapalat"/>
          <w:spacing w:val="-6"/>
          <w:szCs w:val="22"/>
          <w:lang w:val="hy-AM"/>
        </w:rPr>
        <w:t>հարաբերությունների</w:t>
      </w:r>
      <w:r w:rsidRPr="00610E1E">
        <w:rPr>
          <w:rFonts w:eastAsia="Calibri"/>
          <w:spacing w:val="-6"/>
          <w:szCs w:val="22"/>
          <w:lang w:val="hy-AM"/>
        </w:rPr>
        <w:t xml:space="preserve"> </w:t>
      </w:r>
      <w:r w:rsidRPr="00610E1E">
        <w:rPr>
          <w:rFonts w:eastAsia="Calibri" w:cs="GHEA Grapalat"/>
          <w:spacing w:val="-6"/>
          <w:szCs w:val="22"/>
          <w:lang w:val="hy-AM"/>
        </w:rPr>
        <w:t>և</w:t>
      </w:r>
      <w:r w:rsidRPr="00610E1E">
        <w:rPr>
          <w:rFonts w:eastAsia="Calibri"/>
          <w:spacing w:val="-6"/>
          <w:szCs w:val="22"/>
          <w:lang w:val="hy-AM"/>
        </w:rPr>
        <w:t xml:space="preserve"> </w:t>
      </w:r>
      <w:r w:rsidRPr="00610E1E">
        <w:rPr>
          <w:rFonts w:eastAsia="Calibri" w:cs="GHEA Grapalat"/>
          <w:spacing w:val="-6"/>
          <w:szCs w:val="22"/>
          <w:lang w:val="hy-AM"/>
        </w:rPr>
        <w:t>դիվանագիտության</w:t>
      </w:r>
      <w:r w:rsidRPr="00610E1E">
        <w:rPr>
          <w:rFonts w:eastAsia="Calibri"/>
          <w:spacing w:val="-6"/>
          <w:szCs w:val="22"/>
          <w:lang w:val="hy-AM"/>
        </w:rPr>
        <w:t xml:space="preserve"> </w:t>
      </w:r>
      <w:r w:rsidRPr="00610E1E">
        <w:rPr>
          <w:rFonts w:eastAsia="Calibri" w:cs="GHEA Grapalat"/>
          <w:spacing w:val="-6"/>
          <w:szCs w:val="22"/>
          <w:lang w:val="hy-AM"/>
        </w:rPr>
        <w:t>ո</w:t>
      </w:r>
      <w:r w:rsidRPr="00610E1E">
        <w:rPr>
          <w:rFonts w:eastAsia="Calibri"/>
          <w:spacing w:val="-6"/>
          <w:szCs w:val="22"/>
          <w:lang w:val="hy-AM"/>
        </w:rPr>
        <w:t>լորտում մասնագետների պատրաստում և վերապատրաստում</w:t>
      </w:r>
      <w:r w:rsidRPr="00AC141F">
        <w:rPr>
          <w:rFonts w:eastAsia="Calibri"/>
          <w:b w:val="0"/>
          <w:spacing w:val="-6"/>
          <w:szCs w:val="22"/>
          <w:lang w:val="hy-AM"/>
        </w:rPr>
        <w:t xml:space="preserve"> </w:t>
      </w:r>
      <w:r w:rsidR="00610E1E" w:rsidRPr="00AC141F">
        <w:rPr>
          <w:rFonts w:eastAsia="Calibri" w:cs="GHEA Grapalat"/>
          <w:b w:val="0"/>
          <w:spacing w:val="-6"/>
          <w:szCs w:val="22"/>
          <w:lang w:val="hy-AM"/>
        </w:rPr>
        <w:t xml:space="preserve">ծրագրի </w:t>
      </w:r>
      <w:r w:rsidR="00610E1E" w:rsidRPr="00A83C94">
        <w:rPr>
          <w:b w:val="0"/>
          <w:lang w:val="hy-AM"/>
        </w:rPr>
        <w:t xml:space="preserve">գծով նախատեսվել է հատկացնել </w:t>
      </w:r>
      <w:r w:rsidR="00610E1E">
        <w:rPr>
          <w:b w:val="0"/>
          <w:lang w:val="hy-AM"/>
        </w:rPr>
        <w:t>224</w:t>
      </w:r>
      <w:r w:rsidR="00610E1E" w:rsidRPr="00A83C94">
        <w:rPr>
          <w:b w:val="0"/>
          <w:lang w:val="hy-AM"/>
        </w:rPr>
        <w:t>.</w:t>
      </w:r>
      <w:r w:rsidR="00610E1E">
        <w:rPr>
          <w:b w:val="0"/>
          <w:lang w:val="hy-AM"/>
        </w:rPr>
        <w:t>5</w:t>
      </w:r>
      <w:r w:rsidR="00610E1E" w:rsidRPr="00A83C94">
        <w:rPr>
          <w:b w:val="0"/>
          <w:lang w:val="hy-AM"/>
        </w:rPr>
        <w:t xml:space="preserve"> մլն դրամ:</w:t>
      </w:r>
      <w:r w:rsidR="00610E1E" w:rsidRPr="00610E1E">
        <w:rPr>
          <w:b w:val="0"/>
          <w:lang w:val="hy-AM"/>
        </w:rPr>
        <w:t xml:space="preserve"> </w:t>
      </w:r>
      <w:r w:rsidR="00610E1E">
        <w:rPr>
          <w:b w:val="0"/>
          <w:lang w:val="hy-AM"/>
        </w:rPr>
        <w:t xml:space="preserve">Ծրագրի </w:t>
      </w:r>
      <w:r w:rsidR="00610E1E" w:rsidRPr="00AC141F">
        <w:rPr>
          <w:rFonts w:eastAsia="Calibri"/>
          <w:b w:val="0"/>
          <w:spacing w:val="-6"/>
          <w:szCs w:val="22"/>
          <w:lang w:val="hy-AM"/>
        </w:rPr>
        <w:t xml:space="preserve">նպատակն </w:t>
      </w:r>
      <w:r w:rsidR="00610E1E">
        <w:rPr>
          <w:rFonts w:eastAsia="Calibri"/>
          <w:b w:val="0"/>
          <w:spacing w:val="-6"/>
          <w:szCs w:val="22"/>
          <w:lang w:val="hy-AM"/>
        </w:rPr>
        <w:t>է</w:t>
      </w:r>
      <w:r w:rsidR="00610E1E" w:rsidRPr="00AC141F">
        <w:rPr>
          <w:rFonts w:eastAsia="Calibri"/>
          <w:b w:val="0"/>
          <w:spacing w:val="-6"/>
          <w:szCs w:val="22"/>
          <w:lang w:val="hy-AM"/>
        </w:rPr>
        <w:t xml:space="preserve"> </w:t>
      </w:r>
      <w:r w:rsidRPr="00AC141F">
        <w:rPr>
          <w:rFonts w:eastAsia="GHEA Grapalat" w:cs="GHEA Grapalat"/>
          <w:b w:val="0"/>
          <w:color w:val="1D2228"/>
          <w:szCs w:val="22"/>
          <w:lang w:val="hy-AM"/>
        </w:rPr>
        <w:t xml:space="preserve">դիվանագիտական և պետական ծառայության արդյունավետության բարձրացումը, դիվանագիտական ծառայության համալրումը նոր և որակյալ մասնագետներով, պետական ծառայողների, այդ թվում` դիվանագիտական ծառայողների վերապատրաստումը: </w:t>
      </w:r>
    </w:p>
    <w:p w14:paraId="5FB5FCC5" w14:textId="4D241402" w:rsidR="00AC141F" w:rsidRPr="00AC141F" w:rsidRDefault="00AC141F" w:rsidP="00262201">
      <w:pPr>
        <w:spacing w:line="276" w:lineRule="auto"/>
        <w:rPr>
          <w:rFonts w:eastAsia="Calibri"/>
          <w:b w:val="0"/>
          <w:spacing w:val="-6"/>
          <w:szCs w:val="22"/>
          <w:lang w:val="hy-AM"/>
        </w:rPr>
      </w:pPr>
      <w:r w:rsidRPr="00610E1E">
        <w:rPr>
          <w:rFonts w:eastAsia="Calibri" w:cs="GHEA Grapalat"/>
          <w:spacing w:val="-6"/>
          <w:szCs w:val="22"/>
          <w:lang w:val="hy-AM"/>
        </w:rPr>
        <w:t>Հայաստանի</w:t>
      </w:r>
      <w:r w:rsidRPr="00610E1E">
        <w:rPr>
          <w:rFonts w:eastAsia="Calibri"/>
          <w:spacing w:val="-6"/>
          <w:szCs w:val="22"/>
          <w:lang w:val="hy-AM"/>
        </w:rPr>
        <w:t xml:space="preserve"> </w:t>
      </w:r>
      <w:r w:rsidRPr="00610E1E">
        <w:rPr>
          <w:rFonts w:eastAsia="Calibri" w:cs="GHEA Grapalat"/>
          <w:spacing w:val="-6"/>
          <w:szCs w:val="22"/>
          <w:lang w:val="hy-AM"/>
        </w:rPr>
        <w:t>Հանրապետությունում</w:t>
      </w:r>
      <w:r w:rsidRPr="00610E1E">
        <w:rPr>
          <w:rFonts w:eastAsia="Calibri"/>
          <w:spacing w:val="-6"/>
          <w:szCs w:val="22"/>
          <w:lang w:val="hy-AM"/>
        </w:rPr>
        <w:t xml:space="preserve"> </w:t>
      </w:r>
      <w:r w:rsidRPr="00610E1E">
        <w:rPr>
          <w:rFonts w:eastAsia="Calibri" w:cs="GHEA Grapalat"/>
          <w:spacing w:val="-6"/>
          <w:szCs w:val="22"/>
          <w:lang w:val="hy-AM"/>
        </w:rPr>
        <w:t>և</w:t>
      </w:r>
      <w:r w:rsidRPr="00610E1E">
        <w:rPr>
          <w:rFonts w:eastAsia="Calibri"/>
          <w:spacing w:val="-6"/>
          <w:szCs w:val="22"/>
          <w:lang w:val="hy-AM"/>
        </w:rPr>
        <w:t xml:space="preserve"> </w:t>
      </w:r>
      <w:r w:rsidRPr="00610E1E">
        <w:rPr>
          <w:rFonts w:eastAsia="Calibri" w:cs="GHEA Grapalat"/>
          <w:spacing w:val="-6"/>
          <w:szCs w:val="22"/>
          <w:lang w:val="hy-AM"/>
        </w:rPr>
        <w:t>օտարերկրյա</w:t>
      </w:r>
      <w:r w:rsidRPr="00610E1E">
        <w:rPr>
          <w:rFonts w:eastAsia="Calibri"/>
          <w:spacing w:val="-6"/>
          <w:szCs w:val="22"/>
          <w:lang w:val="hy-AM"/>
        </w:rPr>
        <w:t xml:space="preserve"> </w:t>
      </w:r>
      <w:r w:rsidRPr="00610E1E">
        <w:rPr>
          <w:rFonts w:eastAsia="Calibri" w:cs="GHEA Grapalat"/>
          <w:spacing w:val="-6"/>
          <w:szCs w:val="22"/>
          <w:lang w:val="hy-AM"/>
        </w:rPr>
        <w:t>պետություններում</w:t>
      </w:r>
      <w:r w:rsidRPr="00610E1E">
        <w:rPr>
          <w:rFonts w:eastAsia="Calibri"/>
          <w:spacing w:val="-6"/>
          <w:szCs w:val="22"/>
          <w:lang w:val="hy-AM"/>
        </w:rPr>
        <w:t xml:space="preserve"> </w:t>
      </w:r>
      <w:r w:rsidRPr="00610E1E">
        <w:rPr>
          <w:rFonts w:eastAsia="Calibri" w:cs="GHEA Grapalat"/>
          <w:spacing w:val="-6"/>
          <w:szCs w:val="22"/>
          <w:lang w:val="hy-AM"/>
        </w:rPr>
        <w:t>արարողակարգային</w:t>
      </w:r>
      <w:r w:rsidRPr="00610E1E">
        <w:rPr>
          <w:rFonts w:eastAsia="Calibri"/>
          <w:spacing w:val="-6"/>
          <w:szCs w:val="22"/>
          <w:lang w:val="hy-AM"/>
        </w:rPr>
        <w:t xml:space="preserve"> </w:t>
      </w:r>
      <w:r w:rsidRPr="00610E1E">
        <w:rPr>
          <w:rFonts w:eastAsia="Calibri" w:cs="GHEA Grapalat"/>
          <w:spacing w:val="-6"/>
          <w:szCs w:val="22"/>
          <w:lang w:val="hy-AM"/>
        </w:rPr>
        <w:t>միջոցառումների</w:t>
      </w:r>
      <w:r w:rsidRPr="00610E1E">
        <w:rPr>
          <w:rFonts w:eastAsia="Calibri"/>
          <w:spacing w:val="-6"/>
          <w:szCs w:val="22"/>
          <w:lang w:val="hy-AM"/>
        </w:rPr>
        <w:t xml:space="preserve"> </w:t>
      </w:r>
      <w:r w:rsidRPr="00610E1E">
        <w:rPr>
          <w:rFonts w:eastAsia="Calibri" w:cs="GHEA Grapalat"/>
          <w:spacing w:val="-6"/>
          <w:szCs w:val="22"/>
          <w:lang w:val="hy-AM"/>
        </w:rPr>
        <w:t>իրականացում</w:t>
      </w:r>
      <w:r w:rsidRPr="00AC141F">
        <w:rPr>
          <w:rFonts w:eastAsia="Calibri" w:cs="GHEA Grapalat"/>
          <w:b w:val="0"/>
          <w:spacing w:val="-6"/>
          <w:szCs w:val="22"/>
          <w:lang w:val="hy-AM"/>
        </w:rPr>
        <w:t xml:space="preserve"> </w:t>
      </w:r>
      <w:r w:rsidR="00610E1E" w:rsidRPr="00AC141F">
        <w:rPr>
          <w:rFonts w:eastAsia="Calibri" w:cs="GHEA Grapalat"/>
          <w:b w:val="0"/>
          <w:spacing w:val="-6"/>
          <w:szCs w:val="22"/>
          <w:lang w:val="hy-AM"/>
        </w:rPr>
        <w:t xml:space="preserve">ծրագրի </w:t>
      </w:r>
      <w:r w:rsidR="00610E1E" w:rsidRPr="00A83C94">
        <w:rPr>
          <w:b w:val="0"/>
          <w:lang w:val="hy-AM"/>
        </w:rPr>
        <w:t xml:space="preserve">գծով նախատեսվել է հատկացնել </w:t>
      </w:r>
      <w:r w:rsidR="00610E1E">
        <w:rPr>
          <w:b w:val="0"/>
          <w:lang w:val="hy-AM"/>
        </w:rPr>
        <w:t>183</w:t>
      </w:r>
      <w:r w:rsidR="00610E1E" w:rsidRPr="00A83C94">
        <w:rPr>
          <w:b w:val="0"/>
          <w:lang w:val="hy-AM"/>
        </w:rPr>
        <w:t>.</w:t>
      </w:r>
      <w:r w:rsidR="00610E1E">
        <w:rPr>
          <w:b w:val="0"/>
          <w:lang w:val="hy-AM"/>
        </w:rPr>
        <w:t>6</w:t>
      </w:r>
      <w:r w:rsidR="00610E1E" w:rsidRPr="00A83C94">
        <w:rPr>
          <w:b w:val="0"/>
          <w:lang w:val="hy-AM"/>
        </w:rPr>
        <w:t xml:space="preserve"> մլն դրամ:</w:t>
      </w:r>
      <w:r w:rsidR="00610E1E" w:rsidRPr="00610E1E">
        <w:rPr>
          <w:b w:val="0"/>
          <w:lang w:val="hy-AM"/>
        </w:rPr>
        <w:t xml:space="preserve"> </w:t>
      </w:r>
      <w:r w:rsidR="00610E1E">
        <w:rPr>
          <w:b w:val="0"/>
          <w:lang w:val="hy-AM"/>
        </w:rPr>
        <w:t xml:space="preserve">Ծրագրի </w:t>
      </w:r>
      <w:r w:rsidR="00610E1E" w:rsidRPr="00AC141F">
        <w:rPr>
          <w:rFonts w:eastAsia="Calibri"/>
          <w:b w:val="0"/>
          <w:spacing w:val="-6"/>
          <w:szCs w:val="22"/>
          <w:lang w:val="hy-AM"/>
        </w:rPr>
        <w:t xml:space="preserve">նպատակն </w:t>
      </w:r>
      <w:r w:rsidR="00610E1E">
        <w:rPr>
          <w:rFonts w:eastAsia="Calibri"/>
          <w:b w:val="0"/>
          <w:spacing w:val="-6"/>
          <w:szCs w:val="22"/>
          <w:lang w:val="hy-AM"/>
        </w:rPr>
        <w:t>է</w:t>
      </w:r>
      <w:r w:rsidR="00610E1E" w:rsidRPr="00AC141F">
        <w:rPr>
          <w:rFonts w:eastAsia="Calibri"/>
          <w:b w:val="0"/>
          <w:spacing w:val="-6"/>
          <w:szCs w:val="22"/>
          <w:lang w:val="hy-AM"/>
        </w:rPr>
        <w:t xml:space="preserve"> </w:t>
      </w:r>
      <w:r w:rsidRPr="00AC141F">
        <w:rPr>
          <w:rFonts w:eastAsia="Calibri"/>
          <w:b w:val="0"/>
          <w:spacing w:val="-6"/>
          <w:szCs w:val="22"/>
          <w:lang w:val="hy-AM"/>
        </w:rPr>
        <w:t>Հայաստանի Հանրապետությունում և ՀՀ միջազգային հարաբերություններում պետական արարողակարգային կանոնների միասնական կիրառումն ու ապահովումը, ինչպես նաև միջազգային արարողակարգային չափանիշներին համապատասխան միջոցառումների կազմակերպումն ու իրականացումը:</w:t>
      </w:r>
    </w:p>
    <w:p w14:paraId="61FB5B65" w14:textId="77777777" w:rsidR="008C694F" w:rsidRPr="00A83C94" w:rsidRDefault="008C694F" w:rsidP="008C694F">
      <w:pPr>
        <w:spacing w:line="276" w:lineRule="auto"/>
        <w:ind w:firstLine="426"/>
        <w:rPr>
          <w:b w:val="0"/>
          <w:szCs w:val="22"/>
          <w:lang w:val="hy-AM"/>
        </w:rPr>
      </w:pPr>
    </w:p>
    <w:p w14:paraId="5D2F0783" w14:textId="5AD3CF5B" w:rsidR="00787739" w:rsidRPr="00A83C94" w:rsidRDefault="00787739" w:rsidP="00427D1F">
      <w:pPr>
        <w:keepNext/>
        <w:spacing w:before="0" w:line="276" w:lineRule="auto"/>
        <w:ind w:firstLine="0"/>
        <w:contextualSpacing w:val="0"/>
        <w:jc w:val="center"/>
        <w:outlineLvl w:val="2"/>
        <w:rPr>
          <w:rFonts w:cs="Arial"/>
          <w:sz w:val="24"/>
          <w:lang w:val="af-ZA" w:eastAsia="en-US"/>
        </w:rPr>
      </w:pPr>
      <w:bookmarkStart w:id="287" w:name="_Toc83996380"/>
      <w:r w:rsidRPr="00A83C94">
        <w:rPr>
          <w:rFonts w:cs="Arial"/>
          <w:sz w:val="24"/>
          <w:lang w:val="hy-AM" w:eastAsia="en-US"/>
        </w:rPr>
        <w:t>ՀՀ պաշտպանության նախարարություն</w:t>
      </w:r>
      <w:bookmarkEnd w:id="287"/>
      <w:r w:rsidR="00AC3502" w:rsidRPr="00A83C94">
        <w:rPr>
          <w:rFonts w:cs="Arial"/>
          <w:sz w:val="24"/>
          <w:lang w:val="af-ZA" w:eastAsia="en-US"/>
        </w:rPr>
        <w:t xml:space="preserve"> </w:t>
      </w:r>
    </w:p>
    <w:p w14:paraId="5C2AA688" w14:textId="77777777" w:rsidR="00D22749" w:rsidRPr="00A83C94" w:rsidRDefault="00D22749" w:rsidP="00D22749">
      <w:pPr>
        <w:tabs>
          <w:tab w:val="left" w:pos="1080"/>
        </w:tabs>
        <w:spacing w:line="276" w:lineRule="auto"/>
        <w:ind w:firstLine="720"/>
        <w:rPr>
          <w:b w:val="0"/>
          <w:szCs w:val="22"/>
          <w:lang w:val="hy-AM"/>
        </w:rPr>
      </w:pPr>
      <w:r w:rsidRPr="00A83C94">
        <w:rPr>
          <w:b w:val="0"/>
          <w:szCs w:val="22"/>
          <w:lang w:val="hy-AM"/>
        </w:rPr>
        <w:t>2022 թվականին ՀՀ պաշտպանության նախարարության կողմից ծախսերը կիրականացվեն թվով հինգ ծրագրերով, որոնց գծով պետական բյուջեի նախագծով նախատեսվում է ընդամենը 345,420.</w:t>
      </w:r>
      <w:r w:rsidRPr="00A83C94">
        <w:rPr>
          <w:b w:val="0"/>
          <w:szCs w:val="22"/>
          <w:lang w:val="af-ZA"/>
        </w:rPr>
        <w:t>8</w:t>
      </w:r>
      <w:r w:rsidRPr="00A83C94">
        <w:rPr>
          <w:b w:val="0"/>
          <w:szCs w:val="22"/>
          <w:lang w:val="hy-AM"/>
        </w:rPr>
        <w:t xml:space="preserve"> մլն.դրամ, ընդ որում ընթացիկ ծախսերի գծով` 222,884.8 մլն.դրամ. կամ 64.5%-ը, իսկ ոչ ֆինանսական ակտիվների գծով` 122,535.9 մլն.դրամ կամ 35.5%-ը: Ծախսերի աճը </w:t>
      </w:r>
      <w:r w:rsidRPr="00A83C94">
        <w:rPr>
          <w:rFonts w:cs="Times Armenian"/>
          <w:b w:val="0"/>
          <w:szCs w:val="22"/>
          <w:lang w:val="hy-AM"/>
        </w:rPr>
        <w:t xml:space="preserve">ՀՀ 2021 թվականի պետական բյուջեով հաստատվածի նկատմամբ կկազմի 33,726.7 </w:t>
      </w:r>
      <w:r w:rsidRPr="00A83C94">
        <w:rPr>
          <w:b w:val="0"/>
          <w:szCs w:val="22"/>
          <w:lang w:val="hy-AM"/>
        </w:rPr>
        <w:t>մլն.դրամ</w:t>
      </w:r>
      <w:r w:rsidRPr="00A83C94">
        <w:rPr>
          <w:rFonts w:cs="Times Armenian"/>
          <w:b w:val="0"/>
          <w:szCs w:val="22"/>
          <w:lang w:val="hy-AM"/>
        </w:rPr>
        <w:t xml:space="preserve"> կամ 10.8%, որն ուղղվել է ոչ ֆինանսական ակտիվների գծով ծախսերի ֆինանսավորմանը:</w:t>
      </w:r>
    </w:p>
    <w:p w14:paraId="6B43A87D" w14:textId="2C93781C" w:rsidR="00D22749" w:rsidRPr="00A83C94" w:rsidRDefault="00D22749" w:rsidP="00D22749">
      <w:pPr>
        <w:tabs>
          <w:tab w:val="left" w:pos="1080"/>
        </w:tabs>
        <w:spacing w:line="276" w:lineRule="auto"/>
        <w:ind w:firstLine="720"/>
        <w:rPr>
          <w:rFonts w:cs="Sylfaen"/>
          <w:b w:val="0"/>
          <w:szCs w:val="22"/>
          <w:lang w:val="hy-AM"/>
        </w:rPr>
      </w:pPr>
      <w:r w:rsidRPr="00A83C94">
        <w:rPr>
          <w:spacing w:val="-4"/>
          <w:szCs w:val="22"/>
          <w:lang w:val="hy-AM"/>
        </w:rPr>
        <w:t>ՀՀ պաշտպանության ապահովում</w:t>
      </w:r>
      <w:r w:rsidRPr="00A83C94">
        <w:rPr>
          <w:b w:val="0"/>
          <w:spacing w:val="-4"/>
          <w:szCs w:val="22"/>
          <w:lang w:val="hy-AM"/>
        </w:rPr>
        <w:t xml:space="preserve"> ծրագիրը հ</w:t>
      </w:r>
      <w:r w:rsidRPr="00A83C94">
        <w:rPr>
          <w:b w:val="0"/>
          <w:szCs w:val="22"/>
          <w:lang w:val="hy-AM"/>
        </w:rPr>
        <w:t xml:space="preserve">անդիսանում է պաշտպանության նախարարության համակարգի գործունեությունն ապահովող հիմնական ծրագիրը, որի շրջանակներում  նախատեսված են </w:t>
      </w:r>
      <w:r w:rsidRPr="00A83C94">
        <w:rPr>
          <w:rFonts w:cs="Sylfaen"/>
          <w:b w:val="0"/>
          <w:szCs w:val="22"/>
          <w:lang w:val="hy-AM"/>
        </w:rPr>
        <w:t>ՀՀ զինված</w:t>
      </w:r>
      <w:r w:rsidRPr="00A83C94">
        <w:rPr>
          <w:rFonts w:cs="Times Armenian"/>
          <w:b w:val="0"/>
          <w:szCs w:val="22"/>
          <w:lang w:val="hy-AM"/>
        </w:rPr>
        <w:t xml:space="preserve"> </w:t>
      </w:r>
      <w:r w:rsidRPr="00A83C94">
        <w:rPr>
          <w:rFonts w:cs="Sylfaen"/>
          <w:b w:val="0"/>
          <w:szCs w:val="22"/>
          <w:lang w:val="hy-AM"/>
        </w:rPr>
        <w:t>ուժերի</w:t>
      </w:r>
      <w:r w:rsidRPr="00A83C94">
        <w:rPr>
          <w:rFonts w:cs="Times Armenian"/>
          <w:b w:val="0"/>
          <w:szCs w:val="22"/>
          <w:lang w:val="hy-AM"/>
        </w:rPr>
        <w:t xml:space="preserve"> </w:t>
      </w:r>
      <w:r w:rsidRPr="00A83C94">
        <w:rPr>
          <w:rFonts w:cs="Sylfaen"/>
          <w:b w:val="0"/>
          <w:szCs w:val="22"/>
          <w:lang w:val="hy-AM"/>
        </w:rPr>
        <w:t>պահպանման</w:t>
      </w:r>
      <w:r w:rsidRPr="00A83C94">
        <w:rPr>
          <w:rFonts w:cs="Times Armenian"/>
          <w:b w:val="0"/>
          <w:szCs w:val="22"/>
          <w:lang w:val="hy-AM"/>
        </w:rPr>
        <w:t>, ռ</w:t>
      </w:r>
      <w:r w:rsidRPr="00A83C94">
        <w:rPr>
          <w:rFonts w:cs="Sylfaen"/>
          <w:b w:val="0"/>
          <w:szCs w:val="22"/>
          <w:lang w:val="hy-AM"/>
        </w:rPr>
        <w:t>ազմական</w:t>
      </w:r>
      <w:r w:rsidRPr="00A83C94">
        <w:rPr>
          <w:rFonts w:cs="Times Armenian"/>
          <w:b w:val="0"/>
          <w:szCs w:val="22"/>
          <w:lang w:val="hy-AM"/>
        </w:rPr>
        <w:t xml:space="preserve">, </w:t>
      </w:r>
      <w:r w:rsidRPr="00A83C94">
        <w:rPr>
          <w:rFonts w:cs="Sylfaen"/>
          <w:b w:val="0"/>
          <w:szCs w:val="22"/>
          <w:lang w:val="hy-AM"/>
        </w:rPr>
        <w:t>մարտական</w:t>
      </w:r>
      <w:r w:rsidRPr="00A83C94">
        <w:rPr>
          <w:rFonts w:cs="Times Armenian"/>
          <w:b w:val="0"/>
          <w:szCs w:val="22"/>
          <w:lang w:val="hy-AM"/>
        </w:rPr>
        <w:t xml:space="preserve"> </w:t>
      </w:r>
      <w:r w:rsidRPr="00A83C94">
        <w:rPr>
          <w:rFonts w:cs="Sylfaen"/>
          <w:b w:val="0"/>
          <w:szCs w:val="22"/>
          <w:lang w:val="hy-AM"/>
        </w:rPr>
        <w:t>տեխնիկայի</w:t>
      </w:r>
      <w:r w:rsidRPr="00A83C94">
        <w:rPr>
          <w:rFonts w:cs="Times Armenian"/>
          <w:b w:val="0"/>
          <w:szCs w:val="22"/>
          <w:lang w:val="hy-AM"/>
        </w:rPr>
        <w:t xml:space="preserve">, </w:t>
      </w:r>
      <w:r w:rsidRPr="00A83C94">
        <w:rPr>
          <w:rFonts w:cs="Sylfaen"/>
          <w:b w:val="0"/>
          <w:szCs w:val="22"/>
          <w:lang w:val="hy-AM"/>
        </w:rPr>
        <w:t>տրանսպորտային</w:t>
      </w:r>
      <w:r w:rsidRPr="00A83C94">
        <w:rPr>
          <w:rFonts w:cs="Times Armenian"/>
          <w:b w:val="0"/>
          <w:szCs w:val="22"/>
          <w:lang w:val="hy-AM"/>
        </w:rPr>
        <w:t xml:space="preserve"> </w:t>
      </w:r>
      <w:r w:rsidRPr="00A83C94">
        <w:rPr>
          <w:rFonts w:cs="Sylfaen"/>
          <w:b w:val="0"/>
          <w:szCs w:val="22"/>
          <w:lang w:val="hy-AM"/>
        </w:rPr>
        <w:t>միջոցների</w:t>
      </w:r>
      <w:r w:rsidRPr="00A83C94">
        <w:rPr>
          <w:rFonts w:cs="Times Armenian"/>
          <w:b w:val="0"/>
          <w:szCs w:val="22"/>
          <w:lang w:val="hy-AM"/>
        </w:rPr>
        <w:t xml:space="preserve">, </w:t>
      </w:r>
      <w:r w:rsidRPr="00A83C94">
        <w:rPr>
          <w:rFonts w:cs="Sylfaen"/>
          <w:b w:val="0"/>
          <w:szCs w:val="22"/>
          <w:lang w:val="hy-AM"/>
        </w:rPr>
        <w:t>կապի</w:t>
      </w:r>
      <w:r w:rsidRPr="00A83C94">
        <w:rPr>
          <w:rFonts w:cs="Times Armenian"/>
          <w:b w:val="0"/>
          <w:szCs w:val="22"/>
          <w:lang w:val="hy-AM"/>
        </w:rPr>
        <w:t xml:space="preserve"> </w:t>
      </w:r>
      <w:r w:rsidRPr="00A83C94">
        <w:rPr>
          <w:rFonts w:cs="Sylfaen"/>
          <w:b w:val="0"/>
          <w:szCs w:val="22"/>
          <w:lang w:val="hy-AM"/>
        </w:rPr>
        <w:t>համակարգի</w:t>
      </w:r>
      <w:r w:rsidRPr="00A83C94">
        <w:rPr>
          <w:rFonts w:cs="Times Armenian"/>
          <w:b w:val="0"/>
          <w:szCs w:val="22"/>
          <w:lang w:val="hy-AM"/>
        </w:rPr>
        <w:t xml:space="preserve"> </w:t>
      </w:r>
      <w:r w:rsidRPr="00A83C94">
        <w:rPr>
          <w:rFonts w:cs="Sylfaen"/>
          <w:b w:val="0"/>
          <w:szCs w:val="22"/>
          <w:lang w:val="hy-AM"/>
        </w:rPr>
        <w:t>սարքավորումների</w:t>
      </w:r>
      <w:r w:rsidRPr="00A83C94">
        <w:rPr>
          <w:rFonts w:cs="Times Armenian"/>
          <w:b w:val="0"/>
          <w:szCs w:val="22"/>
          <w:lang w:val="hy-AM"/>
        </w:rPr>
        <w:t xml:space="preserve">, </w:t>
      </w:r>
      <w:r w:rsidRPr="00A83C94">
        <w:rPr>
          <w:rFonts w:cs="Sylfaen"/>
          <w:b w:val="0"/>
          <w:szCs w:val="22"/>
          <w:lang w:val="hy-AM"/>
        </w:rPr>
        <w:t>զորանոցային</w:t>
      </w:r>
      <w:r w:rsidRPr="00A83C94">
        <w:rPr>
          <w:rFonts w:cs="Times Armenian"/>
          <w:b w:val="0"/>
          <w:szCs w:val="22"/>
          <w:lang w:val="hy-AM"/>
        </w:rPr>
        <w:t xml:space="preserve"> </w:t>
      </w:r>
      <w:r w:rsidRPr="00A83C94">
        <w:rPr>
          <w:rFonts w:cs="Sylfaen"/>
          <w:b w:val="0"/>
          <w:szCs w:val="22"/>
          <w:lang w:val="hy-AM"/>
        </w:rPr>
        <w:t>և</w:t>
      </w:r>
      <w:r w:rsidRPr="00A83C94">
        <w:rPr>
          <w:rFonts w:cs="Times Armenian"/>
          <w:b w:val="0"/>
          <w:szCs w:val="22"/>
          <w:lang w:val="hy-AM"/>
        </w:rPr>
        <w:t xml:space="preserve"> </w:t>
      </w:r>
      <w:r w:rsidRPr="00A83C94">
        <w:rPr>
          <w:rFonts w:cs="Sylfaen"/>
          <w:b w:val="0"/>
          <w:szCs w:val="22"/>
          <w:lang w:val="hy-AM"/>
        </w:rPr>
        <w:t>տեխնիկական</w:t>
      </w:r>
      <w:r w:rsidRPr="00A83C94">
        <w:rPr>
          <w:rFonts w:cs="Times Armenian"/>
          <w:b w:val="0"/>
          <w:szCs w:val="22"/>
          <w:lang w:val="hy-AM"/>
        </w:rPr>
        <w:t xml:space="preserve"> գ</w:t>
      </w:r>
      <w:r w:rsidRPr="00A83C94">
        <w:rPr>
          <w:rFonts w:cs="Sylfaen"/>
          <w:b w:val="0"/>
          <w:szCs w:val="22"/>
          <w:lang w:val="hy-AM"/>
        </w:rPr>
        <w:t>ույքի</w:t>
      </w:r>
      <w:r w:rsidRPr="00A83C94">
        <w:rPr>
          <w:rFonts w:cs="Times Armenian"/>
          <w:b w:val="0"/>
          <w:szCs w:val="22"/>
          <w:lang w:val="hy-AM"/>
        </w:rPr>
        <w:t xml:space="preserve">, </w:t>
      </w:r>
      <w:r w:rsidRPr="00A83C94">
        <w:rPr>
          <w:rFonts w:cs="Sylfaen"/>
          <w:b w:val="0"/>
          <w:szCs w:val="22"/>
          <w:lang w:val="hy-AM"/>
        </w:rPr>
        <w:t>պարենի</w:t>
      </w:r>
      <w:r w:rsidRPr="00A83C94">
        <w:rPr>
          <w:rFonts w:cs="Times Armenian"/>
          <w:b w:val="0"/>
          <w:szCs w:val="22"/>
          <w:lang w:val="hy-AM"/>
        </w:rPr>
        <w:t xml:space="preserve">, </w:t>
      </w:r>
      <w:r w:rsidRPr="00A83C94">
        <w:rPr>
          <w:rFonts w:cs="Sylfaen"/>
          <w:b w:val="0"/>
          <w:szCs w:val="22"/>
          <w:lang w:val="hy-AM"/>
        </w:rPr>
        <w:t>հանդերձանքի</w:t>
      </w:r>
      <w:r w:rsidRPr="00A83C94">
        <w:rPr>
          <w:rFonts w:cs="Times Armenian"/>
          <w:b w:val="0"/>
          <w:szCs w:val="22"/>
          <w:lang w:val="hy-AM"/>
        </w:rPr>
        <w:t xml:space="preserve">, </w:t>
      </w:r>
      <w:r w:rsidRPr="00A83C94">
        <w:rPr>
          <w:rFonts w:cs="Sylfaen"/>
          <w:b w:val="0"/>
          <w:szCs w:val="22"/>
          <w:lang w:val="hy-AM"/>
        </w:rPr>
        <w:t>վառելիքա</w:t>
      </w:r>
      <w:r w:rsidRPr="00A83C94">
        <w:rPr>
          <w:rFonts w:cs="Times Armenian"/>
          <w:b w:val="0"/>
          <w:szCs w:val="22"/>
          <w:lang w:val="hy-AM"/>
        </w:rPr>
        <w:t>-</w:t>
      </w:r>
      <w:r w:rsidRPr="00A83C94">
        <w:rPr>
          <w:rFonts w:cs="Sylfaen"/>
          <w:b w:val="0"/>
          <w:szCs w:val="22"/>
          <w:lang w:val="hy-AM"/>
        </w:rPr>
        <w:t>քսուքային</w:t>
      </w:r>
      <w:r w:rsidRPr="00A83C94">
        <w:rPr>
          <w:rFonts w:cs="Times Armenian"/>
          <w:b w:val="0"/>
          <w:szCs w:val="22"/>
          <w:lang w:val="hy-AM"/>
        </w:rPr>
        <w:t xml:space="preserve"> </w:t>
      </w:r>
      <w:r w:rsidRPr="00A83C94">
        <w:rPr>
          <w:rFonts w:cs="Sylfaen"/>
          <w:b w:val="0"/>
          <w:szCs w:val="22"/>
          <w:lang w:val="hy-AM"/>
        </w:rPr>
        <w:t>նյութերի</w:t>
      </w:r>
      <w:r w:rsidRPr="00A83C94">
        <w:rPr>
          <w:rFonts w:cs="Times Armenian"/>
          <w:b w:val="0"/>
          <w:szCs w:val="22"/>
          <w:lang w:val="hy-AM"/>
        </w:rPr>
        <w:t xml:space="preserve"> </w:t>
      </w:r>
      <w:r w:rsidRPr="00A83C94">
        <w:rPr>
          <w:rFonts w:cs="Sylfaen"/>
          <w:b w:val="0"/>
          <w:szCs w:val="22"/>
          <w:lang w:val="hy-AM"/>
        </w:rPr>
        <w:t>սահմանված</w:t>
      </w:r>
      <w:r w:rsidRPr="00A83C94">
        <w:rPr>
          <w:rFonts w:cs="Times Armenian"/>
          <w:b w:val="0"/>
          <w:szCs w:val="22"/>
          <w:lang w:val="hy-AM"/>
        </w:rPr>
        <w:t xml:space="preserve"> </w:t>
      </w:r>
      <w:r w:rsidRPr="00A83C94">
        <w:rPr>
          <w:rFonts w:cs="Sylfaen"/>
          <w:b w:val="0"/>
          <w:szCs w:val="22"/>
          <w:lang w:val="hy-AM"/>
        </w:rPr>
        <w:t>պաշարների</w:t>
      </w:r>
      <w:r w:rsidRPr="00A83C94">
        <w:rPr>
          <w:rFonts w:cs="Times Armenian"/>
          <w:b w:val="0"/>
          <w:szCs w:val="22"/>
          <w:lang w:val="hy-AM"/>
        </w:rPr>
        <w:t xml:space="preserve"> </w:t>
      </w:r>
      <w:r w:rsidRPr="00A83C94">
        <w:rPr>
          <w:rFonts w:cs="Sylfaen"/>
          <w:b w:val="0"/>
          <w:szCs w:val="22"/>
          <w:lang w:val="hy-AM"/>
        </w:rPr>
        <w:t>մակարդակի</w:t>
      </w:r>
      <w:r w:rsidRPr="00A83C94">
        <w:rPr>
          <w:rFonts w:cs="Times Armenian"/>
          <w:b w:val="0"/>
          <w:szCs w:val="22"/>
          <w:lang w:val="hy-AM"/>
        </w:rPr>
        <w:t xml:space="preserve">, </w:t>
      </w:r>
      <w:r w:rsidRPr="00A83C94">
        <w:rPr>
          <w:rFonts w:cs="Sylfaen"/>
          <w:b w:val="0"/>
          <w:szCs w:val="22"/>
          <w:lang w:val="hy-AM"/>
        </w:rPr>
        <w:t>զենքի</w:t>
      </w:r>
      <w:r w:rsidRPr="00A83C94">
        <w:rPr>
          <w:rFonts w:cs="Times Armenian"/>
          <w:b w:val="0"/>
          <w:szCs w:val="22"/>
          <w:lang w:val="hy-AM"/>
        </w:rPr>
        <w:t xml:space="preserve"> </w:t>
      </w:r>
      <w:r w:rsidRPr="00A83C94">
        <w:rPr>
          <w:rFonts w:cs="Sylfaen"/>
          <w:b w:val="0"/>
          <w:szCs w:val="22"/>
          <w:lang w:val="hy-AM"/>
        </w:rPr>
        <w:t>և</w:t>
      </w:r>
      <w:r w:rsidRPr="00A83C94">
        <w:rPr>
          <w:rFonts w:cs="Times Armenian"/>
          <w:b w:val="0"/>
          <w:szCs w:val="22"/>
          <w:lang w:val="hy-AM"/>
        </w:rPr>
        <w:t xml:space="preserve"> </w:t>
      </w:r>
      <w:r w:rsidRPr="00A83C94">
        <w:rPr>
          <w:rFonts w:cs="Sylfaen"/>
          <w:b w:val="0"/>
          <w:szCs w:val="22"/>
          <w:lang w:val="hy-AM"/>
        </w:rPr>
        <w:t>զինամթերքի</w:t>
      </w:r>
      <w:r w:rsidRPr="00A83C94">
        <w:rPr>
          <w:rFonts w:cs="Times Armenian"/>
          <w:b w:val="0"/>
          <w:szCs w:val="22"/>
          <w:lang w:val="hy-AM"/>
        </w:rPr>
        <w:t xml:space="preserve"> </w:t>
      </w:r>
      <w:r w:rsidRPr="00A83C94">
        <w:rPr>
          <w:rFonts w:cs="Sylfaen"/>
          <w:b w:val="0"/>
          <w:szCs w:val="22"/>
          <w:lang w:val="hy-AM"/>
        </w:rPr>
        <w:t>հնարավոր</w:t>
      </w:r>
      <w:r w:rsidRPr="00A83C94">
        <w:rPr>
          <w:rFonts w:cs="Times Armenian"/>
          <w:b w:val="0"/>
          <w:szCs w:val="22"/>
          <w:lang w:val="hy-AM"/>
        </w:rPr>
        <w:t xml:space="preserve"> </w:t>
      </w:r>
      <w:r w:rsidRPr="00A83C94">
        <w:rPr>
          <w:rFonts w:cs="Sylfaen"/>
          <w:b w:val="0"/>
          <w:szCs w:val="22"/>
          <w:lang w:val="hy-AM"/>
        </w:rPr>
        <w:t>ներհանրապետական</w:t>
      </w:r>
      <w:r w:rsidRPr="00A83C94">
        <w:rPr>
          <w:rFonts w:cs="Times Armenian"/>
          <w:b w:val="0"/>
          <w:szCs w:val="22"/>
          <w:lang w:val="hy-AM"/>
        </w:rPr>
        <w:t xml:space="preserve"> գ</w:t>
      </w:r>
      <w:r w:rsidRPr="00A83C94">
        <w:rPr>
          <w:rFonts w:cs="Sylfaen"/>
          <w:b w:val="0"/>
          <w:szCs w:val="22"/>
          <w:lang w:val="hy-AM"/>
        </w:rPr>
        <w:t>նումների</w:t>
      </w:r>
      <w:r w:rsidRPr="00A83C94">
        <w:rPr>
          <w:rFonts w:cs="Times Armenian"/>
          <w:b w:val="0"/>
          <w:szCs w:val="22"/>
          <w:lang w:val="hy-AM"/>
        </w:rPr>
        <w:t xml:space="preserve">, </w:t>
      </w:r>
      <w:r w:rsidRPr="00A83C94">
        <w:rPr>
          <w:rFonts w:cs="Sylfaen"/>
          <w:b w:val="0"/>
          <w:szCs w:val="22"/>
          <w:lang w:val="hy-AM"/>
        </w:rPr>
        <w:t>բանակի</w:t>
      </w:r>
      <w:r w:rsidRPr="00A83C94">
        <w:rPr>
          <w:rFonts w:cs="Times Armenian"/>
          <w:b w:val="0"/>
          <w:szCs w:val="22"/>
          <w:lang w:val="hy-AM"/>
        </w:rPr>
        <w:t xml:space="preserve"> </w:t>
      </w:r>
      <w:r w:rsidRPr="00A83C94">
        <w:rPr>
          <w:rFonts w:cs="Sylfaen"/>
          <w:b w:val="0"/>
          <w:szCs w:val="22"/>
          <w:lang w:val="hy-AM"/>
        </w:rPr>
        <w:t>մարտունակության</w:t>
      </w:r>
      <w:r w:rsidRPr="00A83C94">
        <w:rPr>
          <w:rFonts w:cs="Times Armenian"/>
          <w:b w:val="0"/>
          <w:szCs w:val="22"/>
          <w:lang w:val="hy-AM"/>
        </w:rPr>
        <w:t xml:space="preserve"> </w:t>
      </w:r>
      <w:r w:rsidRPr="00A83C94">
        <w:rPr>
          <w:rFonts w:cs="Sylfaen"/>
          <w:b w:val="0"/>
          <w:szCs w:val="22"/>
          <w:lang w:val="hy-AM"/>
        </w:rPr>
        <w:t>և</w:t>
      </w:r>
      <w:r w:rsidRPr="00A83C94">
        <w:rPr>
          <w:rFonts w:cs="Times Armenian"/>
          <w:b w:val="0"/>
          <w:szCs w:val="22"/>
          <w:lang w:val="hy-AM"/>
        </w:rPr>
        <w:t xml:space="preserve"> </w:t>
      </w:r>
      <w:r w:rsidRPr="00A83C94">
        <w:rPr>
          <w:rFonts w:cs="Sylfaen"/>
          <w:b w:val="0"/>
          <w:szCs w:val="22"/>
          <w:lang w:val="hy-AM"/>
        </w:rPr>
        <w:t>կենսապահովման</w:t>
      </w:r>
      <w:r w:rsidRPr="00A83C94">
        <w:rPr>
          <w:rFonts w:cs="Times Armenian"/>
          <w:b w:val="0"/>
          <w:szCs w:val="22"/>
          <w:lang w:val="hy-AM"/>
        </w:rPr>
        <w:t xml:space="preserve"> </w:t>
      </w:r>
      <w:r w:rsidRPr="00A83C94">
        <w:rPr>
          <w:rFonts w:cs="Sylfaen"/>
          <w:b w:val="0"/>
          <w:szCs w:val="22"/>
          <w:lang w:val="hy-AM"/>
        </w:rPr>
        <w:t>պահանջների</w:t>
      </w:r>
      <w:r w:rsidRPr="00A83C94">
        <w:rPr>
          <w:rFonts w:cs="Times Armenian"/>
          <w:b w:val="0"/>
          <w:szCs w:val="22"/>
          <w:lang w:val="hy-AM"/>
        </w:rPr>
        <w:t xml:space="preserve"> </w:t>
      </w:r>
      <w:r w:rsidRPr="00A83C94">
        <w:rPr>
          <w:rFonts w:cs="Sylfaen"/>
          <w:b w:val="0"/>
          <w:szCs w:val="22"/>
          <w:lang w:val="hy-AM"/>
        </w:rPr>
        <w:t>բավարարման ծախսերը:</w:t>
      </w:r>
    </w:p>
    <w:p w14:paraId="1DA3B1A2" w14:textId="77777777" w:rsidR="00D22749" w:rsidRPr="00A83C94" w:rsidRDefault="00D22749" w:rsidP="00D22749">
      <w:pPr>
        <w:tabs>
          <w:tab w:val="left" w:pos="1080"/>
        </w:tabs>
        <w:spacing w:line="276" w:lineRule="auto"/>
        <w:ind w:firstLine="720"/>
        <w:rPr>
          <w:rFonts w:cs="Sylfaen"/>
          <w:b w:val="0"/>
          <w:szCs w:val="22"/>
          <w:lang w:val="hy-AM"/>
        </w:rPr>
      </w:pPr>
      <w:r w:rsidRPr="00A83C94">
        <w:rPr>
          <w:rFonts w:cs="Times Armenian"/>
          <w:b w:val="0"/>
          <w:szCs w:val="22"/>
          <w:lang w:val="hy-AM"/>
        </w:rPr>
        <w:t xml:space="preserve">Ծրագրի գծով ՀՀ 2022 թվականի պետական բյուջեի նախագծով նախատեսվել է 340,569.3 </w:t>
      </w:r>
      <w:r w:rsidRPr="00A83C94">
        <w:rPr>
          <w:b w:val="0"/>
          <w:szCs w:val="22"/>
          <w:lang w:val="hy-AM"/>
        </w:rPr>
        <w:t>մլն.դրամ</w:t>
      </w:r>
      <w:r w:rsidRPr="00A83C94">
        <w:rPr>
          <w:rFonts w:cs="Times Armenian"/>
          <w:b w:val="0"/>
          <w:szCs w:val="22"/>
          <w:lang w:val="hy-AM"/>
        </w:rPr>
        <w:t xml:space="preserve">` ՀՀ 2021 թվականի պետական բյուջեով հաստատված գումարից 34,087.8 </w:t>
      </w:r>
      <w:r w:rsidRPr="00A83C94">
        <w:rPr>
          <w:b w:val="0"/>
          <w:szCs w:val="22"/>
          <w:lang w:val="hy-AM"/>
        </w:rPr>
        <w:t>մլն.</w:t>
      </w:r>
      <w:r w:rsidRPr="00A83C94">
        <w:rPr>
          <w:rFonts w:cs="Times Armenian"/>
          <w:b w:val="0"/>
          <w:szCs w:val="22"/>
          <w:lang w:val="hy-AM"/>
        </w:rPr>
        <w:t>դրամով կամ 11.1%-ով ավել, ընդ որում.</w:t>
      </w:r>
    </w:p>
    <w:p w14:paraId="2BE24ED2" w14:textId="03F025EF" w:rsidR="00D22749" w:rsidRPr="00A83C94" w:rsidRDefault="00D22749" w:rsidP="00D22749">
      <w:pPr>
        <w:tabs>
          <w:tab w:val="left" w:pos="1080"/>
        </w:tabs>
        <w:spacing w:line="276" w:lineRule="auto"/>
        <w:ind w:firstLine="720"/>
        <w:rPr>
          <w:b w:val="0"/>
          <w:szCs w:val="22"/>
          <w:lang w:val="fr-FR"/>
        </w:rPr>
      </w:pPr>
      <w:r w:rsidRPr="00A83C94">
        <w:rPr>
          <w:b w:val="0"/>
          <w:spacing w:val="-4"/>
          <w:szCs w:val="22"/>
          <w:lang w:val="fr-FR"/>
        </w:rPr>
        <w:t xml:space="preserve"> </w:t>
      </w:r>
      <w:r w:rsidRPr="00A83C94">
        <w:rPr>
          <w:spacing w:val="-4"/>
          <w:szCs w:val="22"/>
          <w:lang w:val="hy-AM"/>
        </w:rPr>
        <w:t>Ռազմաբժշկական սպասարկում և առողջապահական ծառայություններ</w:t>
      </w:r>
      <w:r w:rsidRPr="00A83C94">
        <w:rPr>
          <w:b w:val="0"/>
          <w:spacing w:val="-4"/>
          <w:szCs w:val="22"/>
          <w:lang w:val="hy-AM"/>
        </w:rPr>
        <w:t xml:space="preserve"> ծրագրի</w:t>
      </w:r>
      <w:r w:rsidRPr="00A83C94">
        <w:rPr>
          <w:b w:val="0"/>
          <w:spacing w:val="-4"/>
          <w:szCs w:val="22"/>
          <w:lang w:val="fr-FR"/>
        </w:rPr>
        <w:t xml:space="preserve"> </w:t>
      </w:r>
      <w:r w:rsidRPr="00A83C94">
        <w:rPr>
          <w:b w:val="0"/>
          <w:spacing w:val="-4"/>
          <w:szCs w:val="22"/>
          <w:lang w:val="hy-AM"/>
        </w:rPr>
        <w:t xml:space="preserve">գծով </w:t>
      </w:r>
      <w:r w:rsidRPr="00A83C94">
        <w:rPr>
          <w:rFonts w:cs="Times Armenian"/>
          <w:b w:val="0"/>
          <w:szCs w:val="22"/>
          <w:lang w:val="hy-AM"/>
        </w:rPr>
        <w:t xml:space="preserve">ՀՀ 2022 թվականի պետական բյուջեի նախագծով նախատեսվել է </w:t>
      </w:r>
      <w:r w:rsidRPr="00A83C94">
        <w:rPr>
          <w:rFonts w:cs="Times Armenian"/>
          <w:b w:val="0"/>
          <w:szCs w:val="22"/>
          <w:lang w:val="fr-FR"/>
        </w:rPr>
        <w:t>2,635</w:t>
      </w:r>
      <w:r w:rsidRPr="00A83C94">
        <w:rPr>
          <w:rFonts w:cs="Times Armenian"/>
          <w:b w:val="0"/>
          <w:szCs w:val="22"/>
          <w:lang w:val="hy-AM"/>
        </w:rPr>
        <w:t xml:space="preserve">.4 </w:t>
      </w:r>
      <w:r w:rsidRPr="00A83C94">
        <w:rPr>
          <w:b w:val="0"/>
          <w:szCs w:val="22"/>
          <w:lang w:val="hy-AM"/>
        </w:rPr>
        <w:t>մլն.դրամ</w:t>
      </w:r>
      <w:r w:rsidRPr="00A83C94">
        <w:rPr>
          <w:rFonts w:cs="Times Armenian"/>
          <w:b w:val="0"/>
          <w:szCs w:val="22"/>
          <w:lang w:val="hy-AM"/>
        </w:rPr>
        <w:t xml:space="preserve">` ՀՀ 2021 թվականի պետական բյուջեով հաստատված գումարից </w:t>
      </w:r>
      <w:r w:rsidRPr="00A83C94">
        <w:rPr>
          <w:rFonts w:cs="Times Armenian"/>
          <w:b w:val="0"/>
          <w:szCs w:val="22"/>
          <w:lang w:val="fr-FR"/>
        </w:rPr>
        <w:t>199</w:t>
      </w:r>
      <w:r w:rsidRPr="00A83C94">
        <w:rPr>
          <w:rFonts w:cs="Times Armenian"/>
          <w:b w:val="0"/>
          <w:szCs w:val="22"/>
          <w:lang w:val="hy-AM"/>
        </w:rPr>
        <w:t xml:space="preserve">.8 </w:t>
      </w:r>
      <w:r w:rsidRPr="00A83C94">
        <w:rPr>
          <w:b w:val="0"/>
          <w:szCs w:val="22"/>
          <w:lang w:val="hy-AM"/>
        </w:rPr>
        <w:t>մլն.</w:t>
      </w:r>
      <w:r w:rsidRPr="00A83C94">
        <w:rPr>
          <w:rFonts w:cs="Times Armenian"/>
          <w:b w:val="0"/>
          <w:szCs w:val="22"/>
          <w:lang w:val="hy-AM"/>
        </w:rPr>
        <w:t>դրամով պակաս,</w:t>
      </w:r>
      <w:r w:rsidRPr="00A83C94">
        <w:rPr>
          <w:rFonts w:cs="Times Armenian"/>
          <w:b w:val="0"/>
          <w:szCs w:val="22"/>
          <w:lang w:val="fr-FR"/>
        </w:rPr>
        <w:t xml:space="preserve"> </w:t>
      </w:r>
      <w:r w:rsidRPr="00A83C94">
        <w:rPr>
          <w:rFonts w:cs="Times Armenian"/>
          <w:b w:val="0"/>
          <w:szCs w:val="22"/>
          <w:lang w:val="hy-AM"/>
        </w:rPr>
        <w:t>որի</w:t>
      </w:r>
      <w:r w:rsidRPr="00A83C94">
        <w:rPr>
          <w:rFonts w:cs="Times Armenian"/>
          <w:b w:val="0"/>
          <w:szCs w:val="22"/>
          <w:lang w:val="fr-FR"/>
        </w:rPr>
        <w:t xml:space="preserve"> </w:t>
      </w:r>
      <w:r w:rsidRPr="00A83C94">
        <w:rPr>
          <w:rFonts w:cs="Times Armenian"/>
          <w:b w:val="0"/>
          <w:szCs w:val="22"/>
          <w:lang w:val="hy-AM"/>
        </w:rPr>
        <w:t>շրջանակներում</w:t>
      </w:r>
      <w:r w:rsidRPr="00A83C94">
        <w:rPr>
          <w:rFonts w:cs="Times Armenian"/>
          <w:b w:val="0"/>
          <w:szCs w:val="22"/>
          <w:lang w:val="fr-FR"/>
        </w:rPr>
        <w:t xml:space="preserve"> </w:t>
      </w:r>
      <w:r w:rsidRPr="00A83C94">
        <w:rPr>
          <w:b w:val="0"/>
          <w:szCs w:val="22"/>
          <w:lang w:val="fr-FR"/>
        </w:rPr>
        <w:t xml:space="preserve">թվով 12 ռազմաբժշկական հաստատություններում (որից 2 կենտրոնական հոսպիտալներ, 6 կայազորային հոսպիտալներ և 3 առանձին բժշկական ջոկատներ, 1 կենտրոնական պոլիկլինիկա), 2 մասնագիտացված,  60 գնդային, 31 առանձին գումարտակային և գնդերի շուրջ 75 գումարտակային բուժկետերում կազմակերպվում է զինծառայողների և նրանց ընտանիքների անդամների առաջնային և մասնագիտացված բուժօգության ծառայությունները, նախատեսվում է 300 զինծառայողների վերականգնողական բուժումը կազմակերպել այդ ոլորտում մասնագիտացած հաստատությունում՝ ապահովելով բուժման նվազագույնը 30 օրյա կուրս, զինված ուժերում համաճարակային անվտանգությունը ապահովելու և վարակիչ հիվանդությունների ներթափանցումը կանխելու նպատակով պարբերական հետազոտությունների են ենթարկվելու խմելու և կենցաղի համար օգտագործվող ջուրը, մատակարարվող սննդամթերը, սնունդը և պատրաստի սննդատեսակները, նախատեսվում է ընթացիկ սպասարկան ենթարկել 12 շարժական ֆլյուորոգրաֆիկ սարքավորումներ, 15 արհեստական շնչառության սարքերը և 15 ընդհանուր անզգայացման սարքերը, 5 թվային ռենտգեն սարքավորումները, զինվորական հոսպիտալի համակարգչային տոմոգրաֆը, 5 լաբորատոր սարքեր, 2 ցածր ջերմաստիճանային պլազմային ախտահանիչ սարք: </w:t>
      </w:r>
    </w:p>
    <w:p w14:paraId="23F6A642" w14:textId="77777777" w:rsidR="00D22749" w:rsidRPr="00A83C94" w:rsidRDefault="00D22749" w:rsidP="00D22749">
      <w:pPr>
        <w:tabs>
          <w:tab w:val="left" w:pos="1080"/>
        </w:tabs>
        <w:spacing w:line="276" w:lineRule="auto"/>
        <w:ind w:firstLine="720"/>
        <w:rPr>
          <w:b w:val="0"/>
          <w:szCs w:val="22"/>
          <w:lang w:val="fr-FR"/>
        </w:rPr>
      </w:pPr>
      <w:r w:rsidRPr="00A83C94">
        <w:rPr>
          <w:b w:val="0"/>
          <w:szCs w:val="22"/>
          <w:lang w:val="fr-FR"/>
        </w:rPr>
        <w:t>«Հոսպիտալների և բուժկետերի բժշկական սարքավորումներով համալրում» միջոցառման շրջանակներում 1</w:t>
      </w:r>
      <w:r w:rsidRPr="00A83C94">
        <w:rPr>
          <w:b w:val="0"/>
          <w:szCs w:val="22"/>
          <w:lang w:val="hy-AM"/>
        </w:rPr>
        <w:t>,</w:t>
      </w:r>
      <w:r w:rsidRPr="00A83C94">
        <w:rPr>
          <w:b w:val="0"/>
          <w:szCs w:val="22"/>
          <w:lang w:val="fr-FR"/>
        </w:rPr>
        <w:t xml:space="preserve">129.8 </w:t>
      </w:r>
      <w:r w:rsidRPr="00A83C94">
        <w:rPr>
          <w:b w:val="0"/>
          <w:szCs w:val="22"/>
          <w:lang w:val="hy-AM"/>
        </w:rPr>
        <w:t>մլն.դրամ</w:t>
      </w:r>
      <w:r w:rsidRPr="00A83C94">
        <w:rPr>
          <w:b w:val="0"/>
          <w:szCs w:val="22"/>
          <w:lang w:val="fr-FR"/>
        </w:rPr>
        <w:t xml:space="preserve"> միջոցները կուղղվեն կենտրոնական և կայազորային զինվորական հոսպիտալները ՄՌՏ սարքի, նարկոզի, արհեստական շնչառության, ԷԷԳ, նյարդավիրաբուժության համար նախատեսված բարձր արագությամբ էլեկտրական ուժային ունիվերսալ արդիական բժշկական սարքավորումներով համալրման`</w:t>
      </w:r>
      <w:r w:rsidRPr="00A83C94">
        <w:rPr>
          <w:b w:val="0"/>
          <w:spacing w:val="-4"/>
          <w:szCs w:val="22"/>
          <w:lang w:val="hy-AM"/>
        </w:rPr>
        <w:t xml:space="preserve"> ՀՀ 2021 թվականի պետական բյուջեով հաստատված գումարի չափով</w:t>
      </w:r>
      <w:r w:rsidRPr="00A83C94">
        <w:rPr>
          <w:b w:val="0"/>
          <w:szCs w:val="22"/>
          <w:lang w:val="fr-FR"/>
        </w:rPr>
        <w:t>:</w:t>
      </w:r>
    </w:p>
    <w:p w14:paraId="4854EEE5" w14:textId="7258442A" w:rsidR="00D22749" w:rsidRPr="00A83C94" w:rsidRDefault="00D22749" w:rsidP="00D22749">
      <w:pPr>
        <w:tabs>
          <w:tab w:val="left" w:pos="1080"/>
        </w:tabs>
        <w:spacing w:line="276" w:lineRule="auto"/>
        <w:ind w:firstLine="720"/>
        <w:rPr>
          <w:b w:val="0"/>
          <w:szCs w:val="22"/>
          <w:lang w:val="fr-FR"/>
        </w:rPr>
      </w:pPr>
      <w:r w:rsidRPr="00A83C94">
        <w:rPr>
          <w:spacing w:val="-4"/>
          <w:szCs w:val="22"/>
          <w:lang w:val="hy-AM"/>
        </w:rPr>
        <w:t>Ռազմական ուսուցում և վերապատրաստում</w:t>
      </w:r>
      <w:r w:rsidRPr="00A83C94">
        <w:rPr>
          <w:b w:val="0"/>
          <w:spacing w:val="-4"/>
          <w:szCs w:val="22"/>
          <w:lang w:val="hy-AM"/>
        </w:rPr>
        <w:t xml:space="preserve"> </w:t>
      </w:r>
      <w:r w:rsidRPr="00A83C94">
        <w:rPr>
          <w:b w:val="0"/>
          <w:spacing w:val="-4"/>
          <w:szCs w:val="22"/>
        </w:rPr>
        <w:t>ծրագրի</w:t>
      </w:r>
      <w:r w:rsidRPr="00A83C94">
        <w:rPr>
          <w:b w:val="0"/>
          <w:spacing w:val="-4"/>
          <w:szCs w:val="22"/>
          <w:lang w:val="fr-FR"/>
        </w:rPr>
        <w:t xml:space="preserve"> </w:t>
      </w:r>
      <w:r w:rsidRPr="00A83C94">
        <w:rPr>
          <w:b w:val="0"/>
          <w:spacing w:val="-4"/>
          <w:szCs w:val="22"/>
        </w:rPr>
        <w:t>շրջանակներում</w:t>
      </w:r>
      <w:r w:rsidRPr="00A83C94">
        <w:rPr>
          <w:b w:val="0"/>
          <w:spacing w:val="-4"/>
          <w:szCs w:val="22"/>
          <w:lang w:val="fr-FR"/>
        </w:rPr>
        <w:t xml:space="preserve"> </w:t>
      </w:r>
      <w:r w:rsidRPr="00A83C94">
        <w:rPr>
          <w:b w:val="0"/>
          <w:spacing w:val="-4"/>
          <w:szCs w:val="22"/>
          <w:lang w:val="hy-AM"/>
        </w:rPr>
        <w:t xml:space="preserve">նախատեսվող 1,029.1 </w:t>
      </w:r>
      <w:r w:rsidRPr="00A83C94">
        <w:rPr>
          <w:b w:val="0"/>
          <w:szCs w:val="22"/>
          <w:lang w:val="hy-AM"/>
        </w:rPr>
        <w:t>մլն.դրամ</w:t>
      </w:r>
      <w:r w:rsidRPr="00A83C94">
        <w:rPr>
          <w:b w:val="0"/>
          <w:spacing w:val="-4"/>
          <w:szCs w:val="22"/>
          <w:lang w:val="hy-AM"/>
        </w:rPr>
        <w:t xml:space="preserve"> հատկացումների պայման</w:t>
      </w:r>
      <w:r w:rsidRPr="00A83C94">
        <w:rPr>
          <w:b w:val="0"/>
          <w:spacing w:val="-4"/>
          <w:szCs w:val="22"/>
          <w:lang w:val="hy-AM"/>
        </w:rPr>
        <w:softHyphen/>
        <w:t>նե</w:t>
      </w:r>
      <w:r w:rsidRPr="00A83C94">
        <w:rPr>
          <w:b w:val="0"/>
          <w:spacing w:val="-4"/>
          <w:szCs w:val="22"/>
          <w:lang w:val="hy-AM"/>
        </w:rPr>
        <w:softHyphen/>
        <w:t>րում ՀՀ զինված ուժերը համապատասխան մասնագետներով ապահովելու նպատակով ՌԴ և այլ օտարերկրյա պետություններում ռազմական ակադեմիական կրթություն ստացողների տարեկան միջին թվաքանակները կկազմեն 342 մարդ, որից կուրսանտներ` 205  (ՌԴ-185, այլ երկրներ-20), սպա-ունկնդիրներ` 115 (ՌԴ-95, այլ երկրներ-20) և Վ.Սարգսյանի անվան  ռազմական համալսարանի հրամանատարաշտաբային ֆակուլտետում կարճաժամկետ դասընթացներում ներգրավվածներ` 22 մարդ:</w:t>
      </w:r>
    </w:p>
    <w:p w14:paraId="7D5D9484" w14:textId="5F32A2DF" w:rsidR="00D22749" w:rsidRPr="00A83C94" w:rsidRDefault="00D22749" w:rsidP="00D22749">
      <w:pPr>
        <w:tabs>
          <w:tab w:val="left" w:pos="1080"/>
        </w:tabs>
        <w:spacing w:line="276" w:lineRule="auto"/>
        <w:ind w:firstLine="720"/>
        <w:rPr>
          <w:b w:val="0"/>
          <w:szCs w:val="22"/>
          <w:lang w:val="fr-FR"/>
        </w:rPr>
      </w:pPr>
      <w:r w:rsidRPr="00A83C94">
        <w:rPr>
          <w:spacing w:val="-4"/>
          <w:szCs w:val="22"/>
          <w:lang w:val="hy-AM"/>
        </w:rPr>
        <w:t>Միջազգային ռազմական համագործակցություն</w:t>
      </w:r>
      <w:r w:rsidRPr="00A83C94">
        <w:rPr>
          <w:b w:val="0"/>
          <w:spacing w:val="-4"/>
          <w:szCs w:val="22"/>
          <w:lang w:val="hy-AM"/>
        </w:rPr>
        <w:t xml:space="preserve"> ծրագրով </w:t>
      </w:r>
      <w:r w:rsidRPr="00A83C94">
        <w:rPr>
          <w:rFonts w:cs="Times Armenian"/>
          <w:b w:val="0"/>
          <w:szCs w:val="22"/>
          <w:lang w:val="hy-AM"/>
        </w:rPr>
        <w:t xml:space="preserve">ՀՀ 2022 թվականի պետական բյուջեի նախագծով նախատեսվել է </w:t>
      </w:r>
      <w:r w:rsidRPr="00A83C94">
        <w:rPr>
          <w:rFonts w:cs="Times Armenian"/>
          <w:b w:val="0"/>
          <w:szCs w:val="22"/>
          <w:lang w:val="fr-FR"/>
        </w:rPr>
        <w:t>869</w:t>
      </w:r>
      <w:r w:rsidRPr="00A83C94">
        <w:rPr>
          <w:rFonts w:cs="Times Armenian"/>
          <w:b w:val="0"/>
          <w:szCs w:val="22"/>
          <w:lang w:val="hy-AM"/>
        </w:rPr>
        <w:t xml:space="preserve">.4 </w:t>
      </w:r>
      <w:r w:rsidRPr="00A83C94">
        <w:rPr>
          <w:b w:val="0"/>
          <w:szCs w:val="22"/>
          <w:lang w:val="hy-AM"/>
        </w:rPr>
        <w:t>մլն.դրամ</w:t>
      </w:r>
      <w:r w:rsidRPr="00A83C94">
        <w:rPr>
          <w:rFonts w:cs="Times Armenian"/>
          <w:b w:val="0"/>
          <w:szCs w:val="22"/>
          <w:lang w:val="fr-FR"/>
        </w:rPr>
        <w:t xml:space="preserve">, </w:t>
      </w:r>
      <w:r w:rsidRPr="00A83C94">
        <w:rPr>
          <w:rFonts w:cs="Times Armenian"/>
          <w:b w:val="0"/>
          <w:szCs w:val="22"/>
        </w:rPr>
        <w:t>որի</w:t>
      </w:r>
      <w:r w:rsidRPr="00A83C94">
        <w:rPr>
          <w:rFonts w:cs="Times Armenian"/>
          <w:b w:val="0"/>
          <w:szCs w:val="22"/>
          <w:lang w:val="fr-FR"/>
        </w:rPr>
        <w:t xml:space="preserve"> </w:t>
      </w:r>
      <w:r w:rsidRPr="00A83C94">
        <w:rPr>
          <w:rFonts w:cs="Times Armenian"/>
          <w:b w:val="0"/>
          <w:szCs w:val="22"/>
        </w:rPr>
        <w:t>շրջանակներում</w:t>
      </w:r>
      <w:r w:rsidRPr="00A83C94">
        <w:rPr>
          <w:b w:val="0"/>
          <w:spacing w:val="-4"/>
          <w:szCs w:val="22"/>
          <w:lang w:val="hy-AM"/>
        </w:rPr>
        <w:t xml:space="preserve"> </w:t>
      </w:r>
      <w:r w:rsidRPr="00A83C94">
        <w:rPr>
          <w:b w:val="0"/>
          <w:spacing w:val="-4"/>
          <w:szCs w:val="22"/>
        </w:rPr>
        <w:t>կ</w:t>
      </w:r>
      <w:r w:rsidRPr="00A83C94">
        <w:rPr>
          <w:b w:val="0"/>
          <w:spacing w:val="-4"/>
          <w:szCs w:val="22"/>
          <w:lang w:val="hy-AM"/>
        </w:rPr>
        <w:t>իրականացվեն արտասահմանյան երկրների դեսպանություններում և միջազգային կազմակերպություններում թվով 18 ռազմական կցորդների ու  ՀՀ ԶՈւ ներկայացուցիչների պահպանման ծախսերի ֆինանսավորումը:</w:t>
      </w:r>
      <w:r w:rsidRPr="00A83C94">
        <w:rPr>
          <w:b w:val="0"/>
          <w:spacing w:val="-4"/>
          <w:szCs w:val="22"/>
          <w:lang w:val="fr-FR"/>
        </w:rPr>
        <w:t xml:space="preserve"> Ծախսերը </w:t>
      </w:r>
      <w:r w:rsidRPr="00A83C94">
        <w:rPr>
          <w:rFonts w:cs="Times Armenian"/>
          <w:b w:val="0"/>
          <w:szCs w:val="22"/>
          <w:lang w:val="hy-AM"/>
        </w:rPr>
        <w:t>ՀՀ 2021 թվականի պետական բյուջեով հաստատված</w:t>
      </w:r>
      <w:r w:rsidRPr="00A83C94">
        <w:rPr>
          <w:rFonts w:cs="Times Armenian"/>
          <w:b w:val="0"/>
          <w:szCs w:val="22"/>
        </w:rPr>
        <w:t>ին</w:t>
      </w:r>
      <w:r w:rsidRPr="00A83C94">
        <w:rPr>
          <w:rFonts w:cs="Times Armenian"/>
          <w:b w:val="0"/>
          <w:szCs w:val="22"/>
          <w:lang w:val="fr-FR"/>
        </w:rPr>
        <w:t xml:space="preserve"> </w:t>
      </w:r>
      <w:r w:rsidRPr="00A83C94">
        <w:rPr>
          <w:rFonts w:cs="Times Armenian"/>
          <w:b w:val="0"/>
          <w:szCs w:val="22"/>
        </w:rPr>
        <w:t>կգերազանցեն</w:t>
      </w:r>
      <w:r w:rsidRPr="00A83C94">
        <w:rPr>
          <w:rFonts w:cs="Times Armenian"/>
          <w:b w:val="0"/>
          <w:szCs w:val="22"/>
          <w:lang w:val="hy-AM"/>
        </w:rPr>
        <w:t xml:space="preserve"> </w:t>
      </w:r>
      <w:r w:rsidRPr="00A83C94">
        <w:rPr>
          <w:rFonts w:cs="Times Armenian"/>
          <w:b w:val="0"/>
          <w:szCs w:val="22"/>
          <w:lang w:val="fr-FR"/>
        </w:rPr>
        <w:t>5</w:t>
      </w:r>
      <w:r w:rsidRPr="00A83C94">
        <w:rPr>
          <w:rFonts w:cs="Times Armenian"/>
          <w:b w:val="0"/>
          <w:szCs w:val="22"/>
          <w:lang w:val="hy-AM"/>
        </w:rPr>
        <w:t xml:space="preserve">.4 </w:t>
      </w:r>
      <w:r w:rsidRPr="00A83C94">
        <w:rPr>
          <w:b w:val="0"/>
          <w:szCs w:val="22"/>
          <w:lang w:val="hy-AM"/>
        </w:rPr>
        <w:t>մլն.դրամ</w:t>
      </w:r>
      <w:r w:rsidRPr="00A83C94">
        <w:rPr>
          <w:rFonts w:cs="Times Armenian"/>
          <w:b w:val="0"/>
          <w:szCs w:val="22"/>
          <w:lang w:val="fr-FR"/>
        </w:rPr>
        <w:t xml:space="preserve">` </w:t>
      </w:r>
      <w:r w:rsidRPr="00A83C94">
        <w:rPr>
          <w:rFonts w:cs="Times Armenian"/>
          <w:b w:val="0"/>
          <w:szCs w:val="22"/>
        </w:rPr>
        <w:t>պայմանավորված</w:t>
      </w:r>
      <w:r w:rsidRPr="00A83C94">
        <w:rPr>
          <w:rFonts w:cs="Times Armenian"/>
          <w:b w:val="0"/>
          <w:szCs w:val="22"/>
          <w:lang w:val="fr-FR"/>
        </w:rPr>
        <w:t xml:space="preserve"> </w:t>
      </w:r>
      <w:r w:rsidRPr="00A83C94">
        <w:rPr>
          <w:rFonts w:cs="Times Armenian"/>
          <w:b w:val="0"/>
          <w:szCs w:val="22"/>
        </w:rPr>
        <w:t>փոխարժեքների</w:t>
      </w:r>
      <w:r w:rsidRPr="00A83C94">
        <w:rPr>
          <w:rFonts w:cs="Times Armenian"/>
          <w:b w:val="0"/>
          <w:szCs w:val="22"/>
          <w:lang w:val="fr-FR"/>
        </w:rPr>
        <w:t xml:space="preserve"> </w:t>
      </w:r>
      <w:r w:rsidRPr="00A83C94">
        <w:rPr>
          <w:rFonts w:cs="Times Armenian"/>
          <w:b w:val="0"/>
          <w:szCs w:val="22"/>
        </w:rPr>
        <w:t>տարբերությամբ</w:t>
      </w:r>
      <w:r w:rsidRPr="00A83C94">
        <w:rPr>
          <w:rFonts w:cs="Times Armenian"/>
          <w:b w:val="0"/>
          <w:szCs w:val="22"/>
          <w:lang w:val="fr-FR"/>
        </w:rPr>
        <w:t>:</w:t>
      </w:r>
    </w:p>
    <w:p w14:paraId="0A17772E" w14:textId="7839857C" w:rsidR="00D22749" w:rsidRPr="00A83C94" w:rsidRDefault="00D22749" w:rsidP="00D22749">
      <w:pPr>
        <w:tabs>
          <w:tab w:val="left" w:pos="1080"/>
        </w:tabs>
        <w:spacing w:line="276" w:lineRule="auto"/>
        <w:ind w:firstLine="720"/>
        <w:rPr>
          <w:rFonts w:cs="Times Armenian"/>
          <w:b w:val="0"/>
          <w:szCs w:val="22"/>
          <w:lang w:val="hy-AM"/>
        </w:rPr>
      </w:pPr>
      <w:r w:rsidRPr="00A83C94">
        <w:rPr>
          <w:rFonts w:cs="Times Armenian"/>
          <w:szCs w:val="22"/>
          <w:lang w:val="hy-AM"/>
        </w:rPr>
        <w:t>Հումանիտար ականազերծման և փորձագիտական ծառայություններ</w:t>
      </w:r>
      <w:r w:rsidRPr="00A83C94">
        <w:rPr>
          <w:rFonts w:cs="Times Armenian"/>
          <w:b w:val="0"/>
          <w:szCs w:val="22"/>
          <w:lang w:val="hy-AM"/>
        </w:rPr>
        <w:t xml:space="preserve"> ծրագրի շրջանակներում նախատեսվում է իրականացնել</w:t>
      </w:r>
      <w:r w:rsidRPr="00A83C94">
        <w:rPr>
          <w:rFonts w:cs="Times Armenian"/>
          <w:b w:val="0"/>
          <w:szCs w:val="22"/>
          <w:lang w:val="fr-FR"/>
        </w:rPr>
        <w:t xml:space="preserve"> </w:t>
      </w:r>
      <w:r w:rsidRPr="00A83C94">
        <w:rPr>
          <w:b w:val="0"/>
          <w:szCs w:val="22"/>
          <w:lang w:val="fr-FR"/>
        </w:rPr>
        <w:t xml:space="preserve">հաստատված վտանգավոր և կասկածելի վտանգավոր տարածքների կրճատում 60.000 քառ. մետրով, </w:t>
      </w:r>
      <w:r w:rsidRPr="00A83C94">
        <w:rPr>
          <w:b w:val="0"/>
          <w:szCs w:val="22"/>
          <w:lang w:val="it-IT"/>
        </w:rPr>
        <w:t xml:space="preserve">ականազերծել </w:t>
      </w:r>
      <w:r w:rsidRPr="00A83C94">
        <w:rPr>
          <w:b w:val="0"/>
          <w:szCs w:val="22"/>
          <w:lang w:val="fr-FR"/>
        </w:rPr>
        <w:t>50.000 քառ. մետր</w:t>
      </w:r>
      <w:r w:rsidRPr="00A83C94">
        <w:rPr>
          <w:b w:val="0"/>
          <w:szCs w:val="22"/>
          <w:lang w:val="it-IT"/>
        </w:rPr>
        <w:t xml:space="preserve"> տարածքներ, ինչպես նաև իրազեկել չափահաս բնակիչներին և երեխաներին</w:t>
      </w:r>
      <w:r w:rsidRPr="00A83C94">
        <w:rPr>
          <w:rFonts w:cs="Times Armenian"/>
          <w:b w:val="0"/>
          <w:szCs w:val="22"/>
          <w:lang w:val="hy-AM"/>
        </w:rPr>
        <w:t>: ՀՀ 202</w:t>
      </w:r>
      <w:r w:rsidRPr="00A83C94">
        <w:rPr>
          <w:rFonts w:cs="Times Armenian"/>
          <w:b w:val="0"/>
          <w:szCs w:val="22"/>
          <w:lang w:val="fr-FR"/>
        </w:rPr>
        <w:t>2</w:t>
      </w:r>
      <w:r w:rsidRPr="00A83C94">
        <w:rPr>
          <w:rFonts w:cs="Times Armenian"/>
          <w:b w:val="0"/>
          <w:szCs w:val="22"/>
          <w:lang w:val="hy-AM"/>
        </w:rPr>
        <w:t xml:space="preserve"> թվականի պետական բյուջեի նախագծով նախատեսվել է </w:t>
      </w:r>
      <w:r w:rsidRPr="00A83C94">
        <w:rPr>
          <w:rFonts w:cs="Times Armenian"/>
          <w:b w:val="0"/>
          <w:szCs w:val="22"/>
          <w:lang w:val="fr-FR"/>
        </w:rPr>
        <w:t>317,</w:t>
      </w:r>
      <w:r w:rsidRPr="00A83C94">
        <w:rPr>
          <w:rFonts w:cs="Times Armenian"/>
          <w:b w:val="0"/>
          <w:szCs w:val="22"/>
          <w:lang w:val="hy-AM"/>
        </w:rPr>
        <w:t xml:space="preserve">.6 </w:t>
      </w:r>
      <w:r w:rsidRPr="00A83C94">
        <w:rPr>
          <w:b w:val="0"/>
          <w:szCs w:val="22"/>
          <w:lang w:val="hy-AM"/>
        </w:rPr>
        <w:t>մլն.դրամ</w:t>
      </w:r>
      <w:r w:rsidRPr="00A83C94">
        <w:rPr>
          <w:rFonts w:cs="Times Armenian"/>
          <w:b w:val="0"/>
          <w:szCs w:val="22"/>
          <w:lang w:val="hy-AM"/>
        </w:rPr>
        <w:t>` ՀՀ 202</w:t>
      </w:r>
      <w:r w:rsidRPr="00A83C94">
        <w:rPr>
          <w:rFonts w:cs="Times Armenian"/>
          <w:b w:val="0"/>
          <w:szCs w:val="22"/>
          <w:lang w:val="fr-FR"/>
        </w:rPr>
        <w:t>1</w:t>
      </w:r>
      <w:r w:rsidRPr="00A83C94">
        <w:rPr>
          <w:rFonts w:cs="Times Armenian"/>
          <w:b w:val="0"/>
          <w:szCs w:val="22"/>
          <w:lang w:val="hy-AM"/>
        </w:rPr>
        <w:t xml:space="preserve"> թվականի պետական բյուջեով հաստատվածից </w:t>
      </w:r>
      <w:r w:rsidRPr="00A83C94">
        <w:rPr>
          <w:rFonts w:cs="Times Armenian"/>
          <w:b w:val="0"/>
          <w:szCs w:val="22"/>
          <w:lang w:val="fr-FR"/>
        </w:rPr>
        <w:t>21.</w:t>
      </w:r>
      <w:r w:rsidRPr="00A83C94">
        <w:rPr>
          <w:rFonts w:cs="Times Armenian"/>
          <w:b w:val="0"/>
          <w:szCs w:val="22"/>
          <w:lang w:val="hy-AM"/>
        </w:rPr>
        <w:t>4</w:t>
      </w:r>
      <w:r w:rsidRPr="00A83C94">
        <w:rPr>
          <w:rFonts w:cs="Times Armenian"/>
          <w:b w:val="0"/>
          <w:szCs w:val="22"/>
          <w:lang w:val="fr-FR"/>
        </w:rPr>
        <w:t xml:space="preserve"> </w:t>
      </w:r>
      <w:r w:rsidRPr="00A83C94">
        <w:rPr>
          <w:b w:val="0"/>
          <w:szCs w:val="22"/>
          <w:lang w:val="hy-AM"/>
        </w:rPr>
        <w:t>մլն.</w:t>
      </w:r>
      <w:r w:rsidRPr="00A83C94">
        <w:rPr>
          <w:rFonts w:cs="Times Armenian"/>
          <w:b w:val="0"/>
          <w:szCs w:val="22"/>
          <w:lang w:val="fr-FR"/>
        </w:rPr>
        <w:t>դրամով պակաս</w:t>
      </w:r>
      <w:r w:rsidRPr="00A83C94">
        <w:rPr>
          <w:rFonts w:cs="Times Armenian"/>
          <w:b w:val="0"/>
          <w:szCs w:val="22"/>
          <w:lang w:val="hy-AM"/>
        </w:rPr>
        <w:t>:</w:t>
      </w:r>
    </w:p>
    <w:p w14:paraId="708C32BC" w14:textId="77777777" w:rsidR="00AA2ADD" w:rsidRPr="00A83C94" w:rsidRDefault="00AA2ADD" w:rsidP="007C65A5">
      <w:pPr>
        <w:tabs>
          <w:tab w:val="left" w:pos="1080"/>
        </w:tabs>
        <w:spacing w:line="276" w:lineRule="auto"/>
        <w:ind w:firstLine="720"/>
        <w:rPr>
          <w:szCs w:val="22"/>
          <w:lang w:val="hy-AM"/>
        </w:rPr>
      </w:pPr>
    </w:p>
    <w:p w14:paraId="172C71B3" w14:textId="79684A0C" w:rsidR="00D83CD7" w:rsidRPr="00A83C94" w:rsidRDefault="00787739" w:rsidP="00427D1F">
      <w:pPr>
        <w:keepNext/>
        <w:spacing w:before="0" w:line="276" w:lineRule="auto"/>
        <w:ind w:firstLine="0"/>
        <w:contextualSpacing w:val="0"/>
        <w:jc w:val="center"/>
        <w:outlineLvl w:val="2"/>
        <w:rPr>
          <w:rFonts w:cs="Arial"/>
          <w:sz w:val="24"/>
          <w:lang w:val="hy-AM" w:eastAsia="en-US"/>
        </w:rPr>
      </w:pPr>
      <w:bookmarkStart w:id="288" w:name="_Toc83996381"/>
      <w:r w:rsidRPr="00A83C94">
        <w:rPr>
          <w:rFonts w:cs="Arial"/>
          <w:sz w:val="24"/>
          <w:lang w:val="hy-AM" w:eastAsia="en-US"/>
        </w:rPr>
        <w:t>ՀՀ Ոստիկանություն</w:t>
      </w:r>
      <w:bookmarkEnd w:id="288"/>
    </w:p>
    <w:p w14:paraId="244B7352" w14:textId="77777777" w:rsidR="00A42F71" w:rsidRPr="00A83C94" w:rsidRDefault="00A42F71" w:rsidP="00A42F71">
      <w:pPr>
        <w:spacing w:line="276" w:lineRule="auto"/>
        <w:rPr>
          <w:b w:val="0"/>
          <w:bCs/>
          <w:szCs w:val="22"/>
          <w:lang w:val="hy-AM"/>
        </w:rPr>
      </w:pPr>
      <w:r w:rsidRPr="00A83C94">
        <w:rPr>
          <w:b w:val="0"/>
          <w:bCs/>
          <w:szCs w:val="22"/>
          <w:lang w:val="hy-AM"/>
        </w:rPr>
        <w:t xml:space="preserve">Հայաստանի Հանրապետության 2022 թվականի պետական բյուջեի նախագծով ՀՀ ոստիկանության ընդհանուր հատկացումները կազմում են 66,585.6 </w:t>
      </w:r>
      <w:r w:rsidRPr="00A83C94">
        <w:rPr>
          <w:b w:val="0"/>
          <w:szCs w:val="22"/>
          <w:lang w:val="hy-AM"/>
        </w:rPr>
        <w:t>մլն.դրամ</w:t>
      </w:r>
      <w:r w:rsidRPr="00A83C94">
        <w:rPr>
          <w:b w:val="0"/>
          <w:bCs/>
          <w:szCs w:val="22"/>
          <w:lang w:val="hy-AM"/>
        </w:rPr>
        <w:t xml:space="preserve">, որը 2021 թվականի՝ 64,652.5 </w:t>
      </w:r>
      <w:r w:rsidRPr="00A83C94">
        <w:rPr>
          <w:b w:val="0"/>
          <w:szCs w:val="22"/>
          <w:lang w:val="hy-AM"/>
        </w:rPr>
        <w:t>մլն.</w:t>
      </w:r>
      <w:r w:rsidRPr="00A83C94">
        <w:rPr>
          <w:b w:val="0"/>
          <w:bCs/>
          <w:szCs w:val="22"/>
          <w:lang w:val="hy-AM"/>
        </w:rPr>
        <w:t xml:space="preserve">դրամի համեմատությամբ աճել է 1,933.2 </w:t>
      </w:r>
      <w:r w:rsidRPr="00A83C94">
        <w:rPr>
          <w:b w:val="0"/>
          <w:szCs w:val="22"/>
          <w:lang w:val="hy-AM"/>
        </w:rPr>
        <w:t>մլն.</w:t>
      </w:r>
      <w:r w:rsidRPr="00A83C94">
        <w:rPr>
          <w:b w:val="0"/>
          <w:bCs/>
          <w:szCs w:val="22"/>
          <w:lang w:val="hy-AM"/>
        </w:rPr>
        <w:t xml:space="preserve">դրամով, կամ 2.99 %-ով: </w:t>
      </w:r>
    </w:p>
    <w:p w14:paraId="7D93D259" w14:textId="77777777" w:rsidR="00A42F71" w:rsidRPr="00A83C94" w:rsidRDefault="00A42F71" w:rsidP="00A42F71">
      <w:pPr>
        <w:spacing w:line="276" w:lineRule="auto"/>
        <w:rPr>
          <w:rFonts w:cs="Arial Armenian"/>
          <w:b w:val="0"/>
          <w:szCs w:val="22"/>
          <w:lang w:val="hy-AM" w:bidi="he-IL"/>
        </w:rPr>
      </w:pPr>
      <w:r w:rsidRPr="00A83C94">
        <w:rPr>
          <w:rFonts w:cs="Arial Armenian"/>
          <w:b w:val="0"/>
          <w:szCs w:val="22"/>
          <w:lang w:val="hy-AM" w:bidi="he-IL"/>
        </w:rPr>
        <w:t xml:space="preserve">Նախագծով նախատեսվող հատկացումները հիմնականում վերագրվում են  ընթացիկ ծախսերին՝ </w:t>
      </w:r>
      <w:r w:rsidRPr="00A83C94">
        <w:rPr>
          <w:b w:val="0"/>
          <w:bCs/>
          <w:szCs w:val="22"/>
          <w:lang w:val="hy-AM"/>
        </w:rPr>
        <w:t xml:space="preserve">62,099.9 </w:t>
      </w:r>
      <w:r w:rsidRPr="00A83C94">
        <w:rPr>
          <w:b w:val="0"/>
          <w:szCs w:val="22"/>
          <w:lang w:val="hy-AM"/>
        </w:rPr>
        <w:t>մլն.դրամ</w:t>
      </w:r>
      <w:r w:rsidRPr="00A83C94">
        <w:rPr>
          <w:rFonts w:cs="Arial Armenian"/>
          <w:b w:val="0"/>
          <w:szCs w:val="22"/>
          <w:lang w:val="hy-AM" w:bidi="he-IL"/>
        </w:rPr>
        <w:t xml:space="preserve">, որը 2021 թվականի՝ 64,339.4 </w:t>
      </w:r>
      <w:r w:rsidRPr="00A83C94">
        <w:rPr>
          <w:b w:val="0"/>
          <w:szCs w:val="22"/>
          <w:lang w:val="hy-AM"/>
        </w:rPr>
        <w:t>մլն.</w:t>
      </w:r>
      <w:r w:rsidRPr="00A83C94">
        <w:rPr>
          <w:rFonts w:cs="Arial Armenian"/>
          <w:b w:val="0"/>
          <w:szCs w:val="22"/>
          <w:lang w:val="hy-AM" w:bidi="he-IL"/>
        </w:rPr>
        <w:t xml:space="preserve">դրամի նկատմամբ նվազել է 2,239.6 </w:t>
      </w:r>
      <w:r w:rsidRPr="00A83C94">
        <w:rPr>
          <w:b w:val="0"/>
          <w:szCs w:val="22"/>
          <w:lang w:val="hy-AM"/>
        </w:rPr>
        <w:t>մլն.</w:t>
      </w:r>
      <w:r w:rsidRPr="00A83C94">
        <w:rPr>
          <w:rFonts w:cs="Arial Armenian"/>
          <w:b w:val="0"/>
          <w:szCs w:val="22"/>
          <w:lang w:val="hy-AM" w:bidi="he-IL"/>
        </w:rPr>
        <w:t xml:space="preserve">դրամի չափով, կամ 3,48 %-ով,  իսկ կապիտալ ծախսերը կազմել են </w:t>
      </w:r>
      <w:r w:rsidRPr="00A83C94">
        <w:rPr>
          <w:b w:val="0"/>
          <w:bCs/>
          <w:szCs w:val="22"/>
          <w:lang w:val="hy-AM"/>
        </w:rPr>
        <w:t xml:space="preserve">4,485.,8 </w:t>
      </w:r>
      <w:r w:rsidRPr="00A83C94">
        <w:rPr>
          <w:b w:val="0"/>
          <w:szCs w:val="22"/>
          <w:lang w:val="hy-AM"/>
        </w:rPr>
        <w:t>մլն.դրամ</w:t>
      </w:r>
      <w:r w:rsidRPr="00A83C94">
        <w:rPr>
          <w:b w:val="0"/>
          <w:bCs/>
          <w:szCs w:val="22"/>
          <w:lang w:val="hy-AM"/>
        </w:rPr>
        <w:t>,</w:t>
      </w:r>
      <w:r w:rsidRPr="00A83C94">
        <w:rPr>
          <w:rFonts w:cs="Arial Armenian"/>
          <w:b w:val="0"/>
          <w:szCs w:val="22"/>
          <w:lang w:val="hy-AM" w:bidi="he-IL"/>
        </w:rPr>
        <w:t xml:space="preserve"> որը 2021 թվականի՝ 313.0 </w:t>
      </w:r>
      <w:r w:rsidRPr="00A83C94">
        <w:rPr>
          <w:b w:val="0"/>
          <w:szCs w:val="22"/>
          <w:lang w:val="hy-AM"/>
        </w:rPr>
        <w:t>մլն.</w:t>
      </w:r>
      <w:r w:rsidRPr="00A83C94">
        <w:rPr>
          <w:rFonts w:cs="Arial Armenian"/>
          <w:b w:val="0"/>
          <w:szCs w:val="22"/>
          <w:lang w:val="hy-AM" w:bidi="he-IL"/>
        </w:rPr>
        <w:t xml:space="preserve">դրամի նկատմամբ աճել է 4,172.8 </w:t>
      </w:r>
      <w:r w:rsidRPr="00A83C94">
        <w:rPr>
          <w:b w:val="0"/>
          <w:szCs w:val="22"/>
          <w:lang w:val="hy-AM"/>
        </w:rPr>
        <w:t>մլն.</w:t>
      </w:r>
      <w:r w:rsidRPr="00A83C94">
        <w:rPr>
          <w:rFonts w:cs="Arial Armenian"/>
          <w:b w:val="0"/>
          <w:szCs w:val="22"/>
          <w:lang w:val="hy-AM" w:bidi="he-IL"/>
        </w:rPr>
        <w:t xml:space="preserve">դրամի չափով։ </w:t>
      </w:r>
    </w:p>
    <w:p w14:paraId="2AF99E10" w14:textId="068A8C06" w:rsidR="00A42F71" w:rsidRPr="00A83C94" w:rsidRDefault="00A42F71" w:rsidP="00A42F71">
      <w:pPr>
        <w:spacing w:before="0" w:line="276" w:lineRule="auto"/>
        <w:rPr>
          <w:b w:val="0"/>
          <w:bCs/>
          <w:szCs w:val="22"/>
          <w:lang w:val="hy-AM"/>
        </w:rPr>
      </w:pPr>
      <w:r w:rsidRPr="00A83C94">
        <w:rPr>
          <w:rFonts w:cs="Arian AMU"/>
          <w:szCs w:val="22"/>
          <w:lang w:val="hy-AM"/>
        </w:rPr>
        <w:t>Ոստիկանության ոլորտների` կազմակերպաիրավական գործունեության, ծառայությունների մատուցման, հասարակական անվտանգության ապահովման և իրավախախտումների դեմ պայքարի քաղաքականության մշակում, մոնիտորինգ և կառավարում</w:t>
      </w:r>
      <w:r w:rsidRPr="00A83C94">
        <w:rPr>
          <w:rFonts w:cs="Arian AMU"/>
          <w:b w:val="0"/>
          <w:szCs w:val="22"/>
          <w:lang w:val="hy-AM"/>
        </w:rPr>
        <w:t xml:space="preserve"> ծրագրի գծով</w:t>
      </w:r>
      <w:r w:rsidRPr="00A83C94">
        <w:rPr>
          <w:b w:val="0"/>
          <w:bCs/>
          <w:szCs w:val="22"/>
          <w:lang w:val="hy-AM"/>
        </w:rPr>
        <w:t xml:space="preserve"> հատկացումները կազմում են 65,019.8 </w:t>
      </w:r>
      <w:r w:rsidRPr="00A83C94">
        <w:rPr>
          <w:b w:val="0"/>
          <w:szCs w:val="22"/>
          <w:lang w:val="hy-AM"/>
        </w:rPr>
        <w:t>մլն.դրամ</w:t>
      </w:r>
      <w:r w:rsidRPr="00A83C94">
        <w:rPr>
          <w:b w:val="0"/>
          <w:bCs/>
          <w:szCs w:val="22"/>
          <w:lang w:val="hy-AM"/>
        </w:rPr>
        <w:t xml:space="preserve">, որը 2021 թվականի՝ 63,086.6 </w:t>
      </w:r>
      <w:r w:rsidRPr="00A83C94">
        <w:rPr>
          <w:b w:val="0"/>
          <w:szCs w:val="22"/>
          <w:lang w:val="hy-AM"/>
        </w:rPr>
        <w:t>մլն.</w:t>
      </w:r>
      <w:r w:rsidRPr="00A83C94">
        <w:rPr>
          <w:b w:val="0"/>
          <w:bCs/>
          <w:szCs w:val="22"/>
          <w:lang w:val="hy-AM"/>
        </w:rPr>
        <w:t xml:space="preserve">դրամի համեմատությամբ աճել է 1,933.2 </w:t>
      </w:r>
      <w:r w:rsidRPr="00A83C94">
        <w:rPr>
          <w:b w:val="0"/>
          <w:szCs w:val="22"/>
          <w:lang w:val="hy-AM"/>
        </w:rPr>
        <w:t>մլն.</w:t>
      </w:r>
      <w:r w:rsidRPr="00A83C94">
        <w:rPr>
          <w:b w:val="0"/>
          <w:bCs/>
          <w:szCs w:val="22"/>
          <w:lang w:val="hy-AM"/>
        </w:rPr>
        <w:t xml:space="preserve">դրամով, կամ 3.06 %-ով: Ընթացիկ ծախսերի գծով հատկացումները կազմում են 60,533.9 </w:t>
      </w:r>
      <w:r w:rsidRPr="00A83C94">
        <w:rPr>
          <w:b w:val="0"/>
          <w:szCs w:val="22"/>
          <w:lang w:val="hy-AM"/>
        </w:rPr>
        <w:t>մլն.</w:t>
      </w:r>
      <w:r w:rsidRPr="00A83C94">
        <w:rPr>
          <w:b w:val="0"/>
          <w:bCs/>
          <w:szCs w:val="22"/>
          <w:lang w:val="hy-AM"/>
        </w:rPr>
        <w:t xml:space="preserve">դրամ, 2021 </w:t>
      </w:r>
      <w:r w:rsidRPr="00A83C94">
        <w:rPr>
          <w:rFonts w:cs="Arial Armenian"/>
          <w:b w:val="0"/>
          <w:szCs w:val="22"/>
          <w:lang w:val="hy-AM" w:bidi="he-IL"/>
        </w:rPr>
        <w:t xml:space="preserve">թվականի՝ 62,773.5 </w:t>
      </w:r>
      <w:r w:rsidRPr="00A83C94">
        <w:rPr>
          <w:b w:val="0"/>
          <w:szCs w:val="22"/>
          <w:lang w:val="hy-AM"/>
        </w:rPr>
        <w:t>մլն.</w:t>
      </w:r>
      <w:r w:rsidRPr="00A83C94">
        <w:rPr>
          <w:rFonts w:cs="Arial Armenian"/>
          <w:b w:val="0"/>
          <w:szCs w:val="22"/>
          <w:lang w:val="hy-AM" w:bidi="he-IL"/>
        </w:rPr>
        <w:t xml:space="preserve">դրամի նկատմամբ նվազել է 2,239.6 </w:t>
      </w:r>
      <w:r w:rsidRPr="00A83C94">
        <w:rPr>
          <w:b w:val="0"/>
          <w:szCs w:val="22"/>
          <w:lang w:val="hy-AM"/>
        </w:rPr>
        <w:t>մլն.</w:t>
      </w:r>
      <w:r w:rsidRPr="00A83C94">
        <w:rPr>
          <w:rFonts w:cs="Arial Armenian"/>
          <w:b w:val="0"/>
          <w:szCs w:val="22"/>
          <w:lang w:val="hy-AM" w:bidi="he-IL"/>
        </w:rPr>
        <w:t xml:space="preserve"> դրամի չափով, կամ 3,57 %-ով, իսկ կապիտալ ծախսերը կազմել են </w:t>
      </w:r>
      <w:r w:rsidRPr="00A83C94">
        <w:rPr>
          <w:b w:val="0"/>
          <w:bCs/>
          <w:szCs w:val="22"/>
          <w:lang w:val="hy-AM"/>
        </w:rPr>
        <w:t xml:space="preserve">4,485.8 </w:t>
      </w:r>
      <w:r w:rsidRPr="00A83C94">
        <w:rPr>
          <w:b w:val="0"/>
          <w:szCs w:val="22"/>
          <w:lang w:val="hy-AM"/>
        </w:rPr>
        <w:t>մլն.</w:t>
      </w:r>
      <w:r w:rsidRPr="00A83C94">
        <w:rPr>
          <w:b w:val="0"/>
          <w:bCs/>
          <w:szCs w:val="22"/>
          <w:lang w:val="hy-AM"/>
        </w:rPr>
        <w:t xml:space="preserve"> դրամ,</w:t>
      </w:r>
      <w:r w:rsidRPr="00A83C94">
        <w:rPr>
          <w:rFonts w:cs="Arial Armenian"/>
          <w:b w:val="0"/>
          <w:szCs w:val="22"/>
          <w:lang w:val="hy-AM" w:bidi="he-IL"/>
        </w:rPr>
        <w:t xml:space="preserve"> որը 2021 թվականի՝ 313.0 </w:t>
      </w:r>
      <w:r w:rsidRPr="00A83C94">
        <w:rPr>
          <w:b w:val="0"/>
          <w:szCs w:val="22"/>
          <w:lang w:val="hy-AM"/>
        </w:rPr>
        <w:t>մլն.</w:t>
      </w:r>
      <w:r w:rsidRPr="00A83C94">
        <w:rPr>
          <w:rFonts w:cs="Arial Armenian"/>
          <w:b w:val="0"/>
          <w:szCs w:val="22"/>
          <w:lang w:val="hy-AM" w:bidi="he-IL"/>
        </w:rPr>
        <w:t xml:space="preserve"> դրամի նկատմամբ աճել է 4,172.8 </w:t>
      </w:r>
      <w:r w:rsidRPr="00A83C94">
        <w:rPr>
          <w:b w:val="0"/>
          <w:szCs w:val="22"/>
          <w:lang w:val="hy-AM"/>
        </w:rPr>
        <w:t>մլն.</w:t>
      </w:r>
      <w:r w:rsidRPr="00A83C94">
        <w:rPr>
          <w:rFonts w:cs="Arial Armenian"/>
          <w:b w:val="0"/>
          <w:szCs w:val="22"/>
          <w:lang w:val="hy-AM" w:bidi="he-IL"/>
        </w:rPr>
        <w:t xml:space="preserve"> դրամի չափով:</w:t>
      </w:r>
      <w:r w:rsidRPr="00A83C94">
        <w:rPr>
          <w:b w:val="0"/>
          <w:bCs/>
          <w:szCs w:val="22"/>
          <w:lang w:val="hy-AM"/>
        </w:rPr>
        <w:t xml:space="preserve"> Ծրագրով իրականացվող ոստիկանության գործունեության հիմնական նպատակներ են.</w:t>
      </w:r>
    </w:p>
    <w:p w14:paraId="45319DDC" w14:textId="77777777" w:rsidR="00A42F71" w:rsidRPr="00A83C94" w:rsidRDefault="00A42F71" w:rsidP="00A42F71">
      <w:pPr>
        <w:spacing w:before="0" w:line="276" w:lineRule="auto"/>
        <w:rPr>
          <w:b w:val="0"/>
          <w:szCs w:val="22"/>
          <w:lang w:val="hy-AM"/>
        </w:rPr>
      </w:pPr>
      <w:r w:rsidRPr="00A83C94">
        <w:rPr>
          <w:rFonts w:cs="Sylfaen"/>
          <w:b w:val="0"/>
          <w:szCs w:val="22"/>
          <w:lang w:val="hy-AM"/>
        </w:rPr>
        <w:t>ա) մարդու</w:t>
      </w:r>
      <w:r w:rsidRPr="00A83C94">
        <w:rPr>
          <w:b w:val="0"/>
          <w:szCs w:val="22"/>
          <w:lang w:val="hy-AM"/>
        </w:rPr>
        <w:t xml:space="preserve"> </w:t>
      </w:r>
      <w:r w:rsidRPr="00A83C94">
        <w:rPr>
          <w:rFonts w:cs="Sylfaen"/>
          <w:b w:val="0"/>
          <w:szCs w:val="22"/>
          <w:lang w:val="hy-AM"/>
        </w:rPr>
        <w:t>կյանքի</w:t>
      </w:r>
      <w:r w:rsidRPr="00A83C94">
        <w:rPr>
          <w:b w:val="0"/>
          <w:szCs w:val="22"/>
          <w:lang w:val="hy-AM"/>
        </w:rPr>
        <w:t xml:space="preserve">, </w:t>
      </w:r>
      <w:r w:rsidRPr="00A83C94">
        <w:rPr>
          <w:rFonts w:cs="Sylfaen"/>
          <w:b w:val="0"/>
          <w:szCs w:val="22"/>
          <w:lang w:val="hy-AM"/>
        </w:rPr>
        <w:t>առողջության</w:t>
      </w:r>
      <w:r w:rsidRPr="00A83C94">
        <w:rPr>
          <w:b w:val="0"/>
          <w:szCs w:val="22"/>
          <w:lang w:val="hy-AM"/>
        </w:rPr>
        <w:t xml:space="preserve">, </w:t>
      </w:r>
      <w:r w:rsidRPr="00A83C94">
        <w:rPr>
          <w:rFonts w:cs="Sylfaen"/>
          <w:b w:val="0"/>
          <w:szCs w:val="22"/>
          <w:lang w:val="hy-AM"/>
        </w:rPr>
        <w:t>պատվի</w:t>
      </w:r>
      <w:r w:rsidRPr="00A83C94">
        <w:rPr>
          <w:b w:val="0"/>
          <w:szCs w:val="22"/>
          <w:lang w:val="hy-AM"/>
        </w:rPr>
        <w:t xml:space="preserve">, </w:t>
      </w:r>
      <w:r w:rsidRPr="00A83C94">
        <w:rPr>
          <w:rFonts w:cs="Sylfaen"/>
          <w:b w:val="0"/>
          <w:szCs w:val="22"/>
          <w:lang w:val="hy-AM"/>
        </w:rPr>
        <w:t>արժանապատվության</w:t>
      </w:r>
      <w:r w:rsidRPr="00A83C94">
        <w:rPr>
          <w:b w:val="0"/>
          <w:szCs w:val="22"/>
          <w:lang w:val="hy-AM"/>
        </w:rPr>
        <w:t xml:space="preserve">, </w:t>
      </w:r>
      <w:r w:rsidRPr="00A83C94">
        <w:rPr>
          <w:rFonts w:cs="Sylfaen"/>
          <w:b w:val="0"/>
          <w:szCs w:val="22"/>
          <w:lang w:val="hy-AM"/>
        </w:rPr>
        <w:t>իրավունքների</w:t>
      </w:r>
      <w:r w:rsidRPr="00A83C94">
        <w:rPr>
          <w:b w:val="0"/>
          <w:szCs w:val="22"/>
          <w:lang w:val="hy-AM"/>
        </w:rPr>
        <w:t xml:space="preserve">, </w:t>
      </w:r>
      <w:r w:rsidRPr="00A83C94">
        <w:rPr>
          <w:rFonts w:cs="Sylfaen"/>
          <w:b w:val="0"/>
          <w:szCs w:val="22"/>
          <w:lang w:val="hy-AM"/>
        </w:rPr>
        <w:t>ազատությունների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օրինական</w:t>
      </w:r>
      <w:r w:rsidRPr="00A83C94">
        <w:rPr>
          <w:b w:val="0"/>
          <w:szCs w:val="22"/>
          <w:lang w:val="hy-AM"/>
        </w:rPr>
        <w:t xml:space="preserve"> </w:t>
      </w:r>
      <w:r w:rsidRPr="00A83C94">
        <w:rPr>
          <w:rFonts w:cs="Sylfaen"/>
          <w:b w:val="0"/>
          <w:szCs w:val="22"/>
          <w:lang w:val="hy-AM"/>
        </w:rPr>
        <w:t>շահերի պաշտպանությունը</w:t>
      </w:r>
      <w:r w:rsidRPr="00A83C94">
        <w:rPr>
          <w:b w:val="0"/>
          <w:szCs w:val="22"/>
          <w:lang w:val="hy-AM"/>
        </w:rPr>
        <w:t xml:space="preserve"> </w:t>
      </w:r>
      <w:r w:rsidRPr="00A83C94">
        <w:rPr>
          <w:rFonts w:cs="Sylfaen"/>
          <w:b w:val="0"/>
          <w:szCs w:val="22"/>
          <w:lang w:val="hy-AM"/>
        </w:rPr>
        <w:t>հանցավոր</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այլ</w:t>
      </w:r>
      <w:r w:rsidRPr="00A83C94">
        <w:rPr>
          <w:b w:val="0"/>
          <w:szCs w:val="22"/>
          <w:lang w:val="hy-AM"/>
        </w:rPr>
        <w:t xml:space="preserve"> </w:t>
      </w:r>
      <w:r w:rsidRPr="00A83C94">
        <w:rPr>
          <w:rFonts w:cs="Sylfaen"/>
          <w:b w:val="0"/>
          <w:szCs w:val="22"/>
          <w:lang w:val="hy-AM"/>
        </w:rPr>
        <w:t>ոտնձգություններից</w:t>
      </w:r>
      <w:r w:rsidRPr="00A83C94">
        <w:rPr>
          <w:b w:val="0"/>
          <w:szCs w:val="22"/>
          <w:lang w:val="hy-AM"/>
        </w:rPr>
        <w:t>,</w:t>
      </w:r>
    </w:p>
    <w:p w14:paraId="1B81D6CB" w14:textId="77777777" w:rsidR="00A42F71" w:rsidRPr="00A83C94" w:rsidRDefault="00A42F71" w:rsidP="00A42F71">
      <w:pPr>
        <w:spacing w:before="0" w:line="276" w:lineRule="auto"/>
        <w:rPr>
          <w:b w:val="0"/>
          <w:szCs w:val="22"/>
          <w:lang w:val="hy-AM"/>
        </w:rPr>
      </w:pPr>
      <w:r w:rsidRPr="00A83C94">
        <w:rPr>
          <w:rFonts w:cs="Sylfaen"/>
          <w:b w:val="0"/>
          <w:szCs w:val="22"/>
          <w:lang w:val="hy-AM"/>
        </w:rPr>
        <w:t>բ) հասարակության ու պետության անվտանգության ապահովումը</w:t>
      </w:r>
      <w:r w:rsidRPr="00A83C94">
        <w:rPr>
          <w:b w:val="0"/>
          <w:szCs w:val="22"/>
          <w:lang w:val="hy-AM"/>
        </w:rPr>
        <w:t>,</w:t>
      </w:r>
    </w:p>
    <w:p w14:paraId="5F19E35D" w14:textId="77777777" w:rsidR="00A42F71" w:rsidRPr="00A83C94" w:rsidRDefault="00A42F71" w:rsidP="00A42F71">
      <w:pPr>
        <w:spacing w:before="0" w:line="276" w:lineRule="auto"/>
        <w:rPr>
          <w:b w:val="0"/>
          <w:szCs w:val="22"/>
          <w:lang w:val="hy-AM"/>
        </w:rPr>
      </w:pPr>
      <w:r w:rsidRPr="00A83C94">
        <w:rPr>
          <w:rFonts w:cs="Sylfaen"/>
          <w:b w:val="0"/>
          <w:szCs w:val="22"/>
          <w:lang w:val="hy-AM"/>
        </w:rPr>
        <w:t>գ) հանցագործությունների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վարչական</w:t>
      </w:r>
      <w:r w:rsidRPr="00A83C94">
        <w:rPr>
          <w:b w:val="0"/>
          <w:szCs w:val="22"/>
          <w:lang w:val="hy-AM"/>
        </w:rPr>
        <w:t xml:space="preserve"> </w:t>
      </w:r>
      <w:r w:rsidRPr="00A83C94">
        <w:rPr>
          <w:rFonts w:cs="Sylfaen"/>
          <w:b w:val="0"/>
          <w:szCs w:val="22"/>
          <w:lang w:val="hy-AM"/>
        </w:rPr>
        <w:t>իրավախախտումների հայտնաբերումը, բացահայտումը,</w:t>
      </w:r>
      <w:r w:rsidRPr="00A83C94">
        <w:rPr>
          <w:b w:val="0"/>
          <w:szCs w:val="22"/>
          <w:lang w:val="hy-AM"/>
        </w:rPr>
        <w:t xml:space="preserve"> </w:t>
      </w:r>
      <w:r w:rsidRPr="00A83C94">
        <w:rPr>
          <w:rFonts w:cs="Sylfaen"/>
          <w:b w:val="0"/>
          <w:szCs w:val="22"/>
          <w:lang w:val="hy-AM"/>
        </w:rPr>
        <w:t>նախականխումը</w:t>
      </w:r>
      <w:r w:rsidRPr="00A83C94">
        <w:rPr>
          <w:b w:val="0"/>
          <w:szCs w:val="22"/>
          <w:lang w:val="hy-AM"/>
        </w:rPr>
        <w:t xml:space="preserve">, </w:t>
      </w:r>
      <w:r w:rsidRPr="00A83C94">
        <w:rPr>
          <w:rFonts w:cs="Sylfaen"/>
          <w:b w:val="0"/>
          <w:szCs w:val="22"/>
          <w:lang w:val="hy-AM"/>
        </w:rPr>
        <w:t>կանխումը</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խափանումը</w:t>
      </w:r>
      <w:r w:rsidRPr="00A83C94">
        <w:rPr>
          <w:b w:val="0"/>
          <w:szCs w:val="22"/>
          <w:lang w:val="hy-AM"/>
        </w:rPr>
        <w:t>,</w:t>
      </w:r>
    </w:p>
    <w:p w14:paraId="7F345AC5" w14:textId="77777777" w:rsidR="00A42F71" w:rsidRPr="00A83C94" w:rsidRDefault="00A42F71" w:rsidP="00A42F71">
      <w:pPr>
        <w:spacing w:before="0" w:line="276" w:lineRule="auto"/>
        <w:rPr>
          <w:b w:val="0"/>
          <w:szCs w:val="22"/>
          <w:lang w:val="hy-AM"/>
        </w:rPr>
      </w:pPr>
      <w:r w:rsidRPr="00A83C94">
        <w:rPr>
          <w:rFonts w:cs="Sylfaen"/>
          <w:b w:val="0"/>
          <w:szCs w:val="22"/>
          <w:lang w:val="hy-AM"/>
        </w:rPr>
        <w:t>դ) հանցա</w:t>
      </w:r>
      <w:r w:rsidRPr="00A83C94">
        <w:rPr>
          <w:b w:val="0"/>
          <w:szCs w:val="22"/>
          <w:lang w:val="hy-AM"/>
        </w:rPr>
        <w:t>գ</w:t>
      </w:r>
      <w:r w:rsidRPr="00A83C94">
        <w:rPr>
          <w:rFonts w:cs="Sylfaen"/>
          <w:b w:val="0"/>
          <w:szCs w:val="22"/>
          <w:lang w:val="hy-AM"/>
        </w:rPr>
        <w:t>ործությունների և վարչական իրավախախտումների</w:t>
      </w:r>
      <w:r w:rsidRPr="00A83C94">
        <w:rPr>
          <w:b w:val="0"/>
          <w:szCs w:val="22"/>
          <w:lang w:val="hy-AM"/>
        </w:rPr>
        <w:t xml:space="preserve"> </w:t>
      </w:r>
      <w:r w:rsidRPr="00A83C94">
        <w:rPr>
          <w:rFonts w:cs="Sylfaen"/>
          <w:b w:val="0"/>
          <w:szCs w:val="22"/>
          <w:lang w:val="hy-AM"/>
        </w:rPr>
        <w:t>կանխար</w:t>
      </w:r>
      <w:r w:rsidRPr="00A83C94">
        <w:rPr>
          <w:b w:val="0"/>
          <w:szCs w:val="22"/>
          <w:lang w:val="hy-AM"/>
        </w:rPr>
        <w:t>գ</w:t>
      </w:r>
      <w:r w:rsidRPr="00A83C94">
        <w:rPr>
          <w:rFonts w:cs="Sylfaen"/>
          <w:b w:val="0"/>
          <w:szCs w:val="22"/>
          <w:lang w:val="hy-AM"/>
        </w:rPr>
        <w:t>ելմանը</w:t>
      </w:r>
      <w:r w:rsidRPr="00A83C94">
        <w:rPr>
          <w:b w:val="0"/>
          <w:szCs w:val="22"/>
          <w:lang w:val="hy-AM"/>
        </w:rPr>
        <w:t xml:space="preserve">, հասարակական կարգի պահպանությանը և հասարակական անվտանգության </w:t>
      </w:r>
      <w:r w:rsidRPr="00A83C94">
        <w:rPr>
          <w:rFonts w:cs="Sylfaen"/>
          <w:b w:val="0"/>
          <w:szCs w:val="22"/>
          <w:lang w:val="hy-AM"/>
        </w:rPr>
        <w:t>ապահովմանն</w:t>
      </w:r>
      <w:r w:rsidRPr="00A83C94">
        <w:rPr>
          <w:b w:val="0"/>
          <w:szCs w:val="22"/>
          <w:lang w:val="hy-AM"/>
        </w:rPr>
        <w:t xml:space="preserve"> </w:t>
      </w:r>
      <w:r w:rsidRPr="00A83C94">
        <w:rPr>
          <w:rFonts w:cs="Sylfaen"/>
          <w:b w:val="0"/>
          <w:szCs w:val="22"/>
          <w:lang w:val="hy-AM"/>
        </w:rPr>
        <w:t>ուղղված</w:t>
      </w:r>
      <w:r w:rsidRPr="00A83C94">
        <w:rPr>
          <w:b w:val="0"/>
          <w:szCs w:val="22"/>
          <w:lang w:val="hy-AM"/>
        </w:rPr>
        <w:t xml:space="preserve"> </w:t>
      </w:r>
      <w:r w:rsidRPr="00A83C94">
        <w:rPr>
          <w:rFonts w:cs="Sylfaen"/>
          <w:b w:val="0"/>
          <w:szCs w:val="22"/>
          <w:lang w:val="hy-AM"/>
        </w:rPr>
        <w:t>միջոցառումների</w:t>
      </w:r>
      <w:r w:rsidRPr="00A83C94">
        <w:rPr>
          <w:b w:val="0"/>
          <w:szCs w:val="22"/>
          <w:lang w:val="hy-AM"/>
        </w:rPr>
        <w:t xml:space="preserve"> </w:t>
      </w:r>
      <w:r w:rsidRPr="00A83C94">
        <w:rPr>
          <w:rFonts w:cs="Sylfaen"/>
          <w:b w:val="0"/>
          <w:szCs w:val="22"/>
          <w:lang w:val="hy-AM"/>
        </w:rPr>
        <w:t>արդյունավետության</w:t>
      </w:r>
      <w:r w:rsidRPr="00A83C94">
        <w:rPr>
          <w:b w:val="0"/>
          <w:szCs w:val="22"/>
          <w:lang w:val="hy-AM"/>
        </w:rPr>
        <w:t xml:space="preserve"> </w:t>
      </w:r>
      <w:r w:rsidRPr="00A83C94">
        <w:rPr>
          <w:rFonts w:cs="Sylfaen"/>
          <w:b w:val="0"/>
          <w:szCs w:val="22"/>
          <w:lang w:val="hy-AM"/>
        </w:rPr>
        <w:t>բարձրացումը</w:t>
      </w:r>
      <w:r w:rsidRPr="00A83C94">
        <w:rPr>
          <w:b w:val="0"/>
          <w:szCs w:val="22"/>
          <w:lang w:val="hy-AM"/>
        </w:rPr>
        <w:t>,</w:t>
      </w:r>
    </w:p>
    <w:p w14:paraId="168B3EAA" w14:textId="77777777" w:rsidR="00A42F71" w:rsidRPr="00A83C94" w:rsidRDefault="00A42F71" w:rsidP="00A42F71">
      <w:pPr>
        <w:spacing w:before="0" w:line="276" w:lineRule="auto"/>
        <w:rPr>
          <w:b w:val="0"/>
          <w:szCs w:val="22"/>
          <w:lang w:val="hy-AM"/>
        </w:rPr>
      </w:pPr>
      <w:r w:rsidRPr="00A83C94">
        <w:rPr>
          <w:rFonts w:cs="Sylfaen"/>
          <w:b w:val="0"/>
          <w:szCs w:val="22"/>
          <w:lang w:val="hy-AM"/>
        </w:rPr>
        <w:t>ե) անչափահասների</w:t>
      </w:r>
      <w:r w:rsidRPr="00A83C94">
        <w:rPr>
          <w:b w:val="0"/>
          <w:szCs w:val="22"/>
          <w:lang w:val="hy-AM"/>
        </w:rPr>
        <w:t xml:space="preserve"> նկատմամբ և անչափահասների կողմից կատարվող </w:t>
      </w:r>
      <w:r w:rsidRPr="00A83C94">
        <w:rPr>
          <w:rFonts w:cs="Sylfaen"/>
          <w:b w:val="0"/>
          <w:szCs w:val="22"/>
          <w:lang w:val="hy-AM"/>
        </w:rPr>
        <w:t>հանցագործություններին</w:t>
      </w:r>
      <w:r w:rsidRPr="00A83C94">
        <w:rPr>
          <w:b w:val="0"/>
          <w:szCs w:val="22"/>
          <w:lang w:val="hy-AM"/>
        </w:rPr>
        <w:t xml:space="preserve"> </w:t>
      </w:r>
      <w:r w:rsidRPr="00A83C94">
        <w:rPr>
          <w:rFonts w:cs="Sylfaen"/>
          <w:b w:val="0"/>
          <w:szCs w:val="22"/>
          <w:lang w:val="hy-AM"/>
        </w:rPr>
        <w:t>հակազդելու</w:t>
      </w:r>
      <w:r w:rsidRPr="00A83C94">
        <w:rPr>
          <w:b w:val="0"/>
          <w:szCs w:val="22"/>
          <w:lang w:val="hy-AM"/>
        </w:rPr>
        <w:t xml:space="preserve">, </w:t>
      </w:r>
      <w:r w:rsidRPr="00A83C94">
        <w:rPr>
          <w:rFonts w:cs="Sylfaen"/>
          <w:b w:val="0"/>
          <w:szCs w:val="22"/>
          <w:lang w:val="hy-AM"/>
        </w:rPr>
        <w:t>ոստիկանության</w:t>
      </w:r>
      <w:r w:rsidRPr="00A83C94">
        <w:rPr>
          <w:b w:val="0"/>
          <w:szCs w:val="22"/>
          <w:lang w:val="hy-AM"/>
        </w:rPr>
        <w:t xml:space="preserve"> </w:t>
      </w:r>
      <w:r w:rsidRPr="00A83C94">
        <w:rPr>
          <w:rFonts w:cs="Sylfaen"/>
          <w:b w:val="0"/>
          <w:szCs w:val="22"/>
          <w:lang w:val="hy-AM"/>
        </w:rPr>
        <w:t>տեսադաշտում</w:t>
      </w:r>
      <w:r w:rsidRPr="00A83C94">
        <w:rPr>
          <w:b w:val="0"/>
          <w:szCs w:val="22"/>
          <w:lang w:val="hy-AM"/>
        </w:rPr>
        <w:t xml:space="preserve"> գ</w:t>
      </w:r>
      <w:r w:rsidRPr="00A83C94">
        <w:rPr>
          <w:rFonts w:cs="Sylfaen"/>
          <w:b w:val="0"/>
          <w:szCs w:val="22"/>
          <w:lang w:val="hy-AM"/>
        </w:rPr>
        <w:t>տնվող</w:t>
      </w:r>
      <w:r w:rsidRPr="00A83C94">
        <w:rPr>
          <w:b w:val="0"/>
          <w:szCs w:val="22"/>
          <w:lang w:val="hy-AM"/>
        </w:rPr>
        <w:t xml:space="preserve"> </w:t>
      </w:r>
      <w:r w:rsidRPr="00A83C94">
        <w:rPr>
          <w:rFonts w:cs="Sylfaen"/>
          <w:b w:val="0"/>
          <w:szCs w:val="22"/>
          <w:lang w:val="hy-AM"/>
        </w:rPr>
        <w:t>անչափահասների</w:t>
      </w:r>
      <w:r w:rsidRPr="00A83C94">
        <w:rPr>
          <w:b w:val="0"/>
          <w:szCs w:val="22"/>
          <w:lang w:val="hy-AM"/>
        </w:rPr>
        <w:t xml:space="preserve"> </w:t>
      </w:r>
      <w:r w:rsidRPr="00A83C94">
        <w:rPr>
          <w:rFonts w:cs="Sylfaen"/>
          <w:b w:val="0"/>
          <w:szCs w:val="22"/>
          <w:lang w:val="hy-AM"/>
        </w:rPr>
        <w:t>հետ</w:t>
      </w:r>
      <w:r w:rsidRPr="00A83C94">
        <w:rPr>
          <w:b w:val="0"/>
          <w:szCs w:val="22"/>
          <w:lang w:val="hy-AM"/>
        </w:rPr>
        <w:t xml:space="preserve"> </w:t>
      </w:r>
      <w:r w:rsidRPr="00A83C94">
        <w:rPr>
          <w:rFonts w:cs="Sylfaen"/>
          <w:b w:val="0"/>
          <w:szCs w:val="22"/>
          <w:lang w:val="hy-AM"/>
        </w:rPr>
        <w:t>տարվող</w:t>
      </w:r>
      <w:r w:rsidRPr="00A83C94">
        <w:rPr>
          <w:b w:val="0"/>
          <w:szCs w:val="22"/>
          <w:lang w:val="hy-AM"/>
        </w:rPr>
        <w:t xml:space="preserve"> </w:t>
      </w:r>
      <w:r w:rsidRPr="00A83C94">
        <w:rPr>
          <w:rFonts w:cs="Sylfaen"/>
          <w:b w:val="0"/>
          <w:szCs w:val="22"/>
          <w:lang w:val="hy-AM"/>
        </w:rPr>
        <w:t>կանխար</w:t>
      </w:r>
      <w:r w:rsidRPr="00A83C94">
        <w:rPr>
          <w:b w:val="0"/>
          <w:szCs w:val="22"/>
          <w:lang w:val="hy-AM"/>
        </w:rPr>
        <w:t>գ</w:t>
      </w:r>
      <w:r w:rsidRPr="00A83C94">
        <w:rPr>
          <w:rFonts w:cs="Sylfaen"/>
          <w:b w:val="0"/>
          <w:szCs w:val="22"/>
          <w:lang w:val="hy-AM"/>
        </w:rPr>
        <w:t>ելիչ</w:t>
      </w:r>
      <w:r w:rsidRPr="00A83C94">
        <w:rPr>
          <w:b w:val="0"/>
          <w:szCs w:val="22"/>
          <w:lang w:val="hy-AM"/>
        </w:rPr>
        <w:t xml:space="preserve"> </w:t>
      </w:r>
      <w:r w:rsidRPr="00A83C94">
        <w:rPr>
          <w:rFonts w:cs="Sylfaen"/>
          <w:b w:val="0"/>
          <w:szCs w:val="22"/>
          <w:lang w:val="hy-AM"/>
        </w:rPr>
        <w:t>դաստիարակչական</w:t>
      </w:r>
      <w:r w:rsidRPr="00A83C94">
        <w:rPr>
          <w:b w:val="0"/>
          <w:szCs w:val="22"/>
          <w:lang w:val="hy-AM"/>
        </w:rPr>
        <w:t xml:space="preserve"> </w:t>
      </w:r>
      <w:r w:rsidRPr="00A83C94">
        <w:rPr>
          <w:rFonts w:cs="Sylfaen"/>
          <w:b w:val="0"/>
          <w:szCs w:val="22"/>
          <w:lang w:val="hy-AM"/>
        </w:rPr>
        <w:t>աշխատանքների</w:t>
      </w:r>
      <w:r w:rsidRPr="00A83C94">
        <w:rPr>
          <w:b w:val="0"/>
          <w:szCs w:val="22"/>
          <w:lang w:val="hy-AM"/>
        </w:rPr>
        <w:t xml:space="preserve"> </w:t>
      </w:r>
      <w:r w:rsidRPr="00A83C94">
        <w:rPr>
          <w:rFonts w:cs="Sylfaen"/>
          <w:b w:val="0"/>
          <w:szCs w:val="22"/>
          <w:lang w:val="hy-AM"/>
        </w:rPr>
        <w:t>բարելավումը</w:t>
      </w:r>
      <w:r w:rsidRPr="00A83C94">
        <w:rPr>
          <w:b w:val="0"/>
          <w:szCs w:val="22"/>
          <w:lang w:val="hy-AM"/>
        </w:rPr>
        <w:t>,</w:t>
      </w:r>
    </w:p>
    <w:p w14:paraId="76EFC66A" w14:textId="77777777" w:rsidR="00A42F71" w:rsidRPr="00A83C94" w:rsidRDefault="00A42F71" w:rsidP="00A42F71">
      <w:pPr>
        <w:spacing w:before="0" w:line="276" w:lineRule="auto"/>
        <w:rPr>
          <w:b w:val="0"/>
          <w:szCs w:val="22"/>
          <w:lang w:val="hy-AM"/>
        </w:rPr>
      </w:pPr>
      <w:r w:rsidRPr="00A83C94">
        <w:rPr>
          <w:rFonts w:cs="Sylfaen"/>
          <w:b w:val="0"/>
          <w:szCs w:val="22"/>
          <w:lang w:val="hy-AM"/>
        </w:rPr>
        <w:t>զ) ՀՀ քաղաքացիների, օտարերկրացիների և քաղաքացիություն չունեցող անձանց անձը հաստատող և (կամ) կարգավիճակը հավաստող փաստաթղթերի</w:t>
      </w:r>
      <w:r w:rsidRPr="00A83C94">
        <w:rPr>
          <w:b w:val="0"/>
          <w:szCs w:val="22"/>
          <w:lang w:val="hy-AM"/>
        </w:rPr>
        <w:t xml:space="preserve"> </w:t>
      </w:r>
      <w:r w:rsidRPr="00A83C94">
        <w:rPr>
          <w:rFonts w:cs="Sylfaen"/>
          <w:b w:val="0"/>
          <w:szCs w:val="22"/>
          <w:lang w:val="hy-AM"/>
        </w:rPr>
        <w:t>տրամադրման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բնակչության պետական ռեգիստրի վարման աշխատանքների անխափան և արդյունավետ իրականացումը,</w:t>
      </w:r>
    </w:p>
    <w:p w14:paraId="679BB55C" w14:textId="77777777" w:rsidR="00A42F71" w:rsidRPr="00A83C94" w:rsidRDefault="00A42F71" w:rsidP="00A42F71">
      <w:pPr>
        <w:spacing w:before="0" w:line="276" w:lineRule="auto"/>
        <w:rPr>
          <w:b w:val="0"/>
          <w:szCs w:val="22"/>
          <w:lang w:val="hy-AM"/>
        </w:rPr>
      </w:pPr>
      <w:r w:rsidRPr="00A83C94">
        <w:rPr>
          <w:rFonts w:cs="Sylfaen"/>
          <w:b w:val="0"/>
          <w:szCs w:val="22"/>
          <w:lang w:val="hy-AM"/>
        </w:rPr>
        <w:t>է) Ճանապարհային</w:t>
      </w:r>
      <w:r w:rsidRPr="00A83C94">
        <w:rPr>
          <w:b w:val="0"/>
          <w:szCs w:val="22"/>
          <w:lang w:val="hy-AM"/>
        </w:rPr>
        <w:t xml:space="preserve"> </w:t>
      </w:r>
      <w:r w:rsidRPr="00A83C94">
        <w:rPr>
          <w:rFonts w:cs="Sylfaen"/>
          <w:b w:val="0"/>
          <w:szCs w:val="22"/>
          <w:lang w:val="hy-AM"/>
        </w:rPr>
        <w:t>երթևեկության</w:t>
      </w:r>
      <w:r w:rsidRPr="00A83C94">
        <w:rPr>
          <w:b w:val="0"/>
          <w:szCs w:val="22"/>
          <w:lang w:val="hy-AM"/>
        </w:rPr>
        <w:t xml:space="preserve"> </w:t>
      </w:r>
      <w:r w:rsidRPr="00A83C94">
        <w:rPr>
          <w:rFonts w:cs="Sylfaen"/>
          <w:b w:val="0"/>
          <w:szCs w:val="22"/>
          <w:lang w:val="hy-AM"/>
        </w:rPr>
        <w:t>անվտանգության ապահովմանն ուղղված միջոցառումների</w:t>
      </w:r>
      <w:r w:rsidRPr="00A83C94">
        <w:rPr>
          <w:b w:val="0"/>
          <w:szCs w:val="22"/>
          <w:lang w:val="hy-AM"/>
        </w:rPr>
        <w:t xml:space="preserve"> </w:t>
      </w:r>
      <w:r w:rsidRPr="00A83C94">
        <w:rPr>
          <w:rFonts w:cs="Sylfaen"/>
          <w:b w:val="0"/>
          <w:szCs w:val="22"/>
          <w:lang w:val="hy-AM"/>
        </w:rPr>
        <w:t>արդյունավետության</w:t>
      </w:r>
      <w:r w:rsidRPr="00A83C94">
        <w:rPr>
          <w:b w:val="0"/>
          <w:szCs w:val="22"/>
          <w:lang w:val="hy-AM"/>
        </w:rPr>
        <w:t xml:space="preserve"> </w:t>
      </w:r>
      <w:r w:rsidRPr="00A83C94">
        <w:rPr>
          <w:rFonts w:cs="Sylfaen"/>
          <w:b w:val="0"/>
          <w:szCs w:val="22"/>
          <w:lang w:val="hy-AM"/>
        </w:rPr>
        <w:t>բարձրացումը, ճանապարհատրանսպորտային պատահարների և վթարների նվազեցումը</w:t>
      </w:r>
      <w:r w:rsidRPr="00A83C94">
        <w:rPr>
          <w:b w:val="0"/>
          <w:szCs w:val="22"/>
          <w:lang w:val="hy-AM"/>
        </w:rPr>
        <w:t>,</w:t>
      </w:r>
    </w:p>
    <w:p w14:paraId="5B897724" w14:textId="77777777" w:rsidR="00A42F71" w:rsidRPr="00A83C94" w:rsidRDefault="00A42F71" w:rsidP="00A42F71">
      <w:pPr>
        <w:spacing w:before="0" w:line="276" w:lineRule="auto"/>
        <w:rPr>
          <w:b w:val="0"/>
          <w:szCs w:val="22"/>
          <w:lang w:val="hy-AM"/>
        </w:rPr>
      </w:pPr>
      <w:r w:rsidRPr="00A83C94">
        <w:rPr>
          <w:rFonts w:cs="Sylfaen"/>
          <w:b w:val="0"/>
          <w:szCs w:val="22"/>
          <w:lang w:val="hy-AM"/>
        </w:rPr>
        <w:t>ը) ոստիկանական</w:t>
      </w:r>
      <w:r w:rsidRPr="00A83C94">
        <w:rPr>
          <w:b w:val="0"/>
          <w:szCs w:val="22"/>
          <w:lang w:val="hy-AM"/>
        </w:rPr>
        <w:t xml:space="preserve"> գ</w:t>
      </w:r>
      <w:r w:rsidRPr="00A83C94">
        <w:rPr>
          <w:rFonts w:cs="Sylfaen"/>
          <w:b w:val="0"/>
          <w:szCs w:val="22"/>
          <w:lang w:val="hy-AM"/>
        </w:rPr>
        <w:t>ործունեության ոլորտը կանոնակարգող օրենսդրության բարելավումը</w:t>
      </w:r>
      <w:r w:rsidRPr="00A83C94">
        <w:rPr>
          <w:b w:val="0"/>
          <w:szCs w:val="22"/>
          <w:lang w:val="hy-AM"/>
        </w:rPr>
        <w:t>,</w:t>
      </w:r>
    </w:p>
    <w:p w14:paraId="43AC8F6C" w14:textId="77777777" w:rsidR="00A42F71" w:rsidRPr="00A83C94" w:rsidRDefault="00A42F71" w:rsidP="00A42F71">
      <w:pPr>
        <w:spacing w:before="0" w:line="276" w:lineRule="auto"/>
        <w:rPr>
          <w:b w:val="0"/>
          <w:szCs w:val="22"/>
          <w:lang w:val="hy-AM"/>
        </w:rPr>
      </w:pPr>
      <w:r w:rsidRPr="00A83C94">
        <w:rPr>
          <w:rFonts w:cs="Sylfaen"/>
          <w:b w:val="0"/>
          <w:szCs w:val="22"/>
          <w:lang w:val="hy-AM"/>
        </w:rPr>
        <w:t>թ) հանցավորության</w:t>
      </w:r>
      <w:r w:rsidRPr="00A83C94">
        <w:rPr>
          <w:b w:val="0"/>
          <w:szCs w:val="22"/>
          <w:lang w:val="hy-AM"/>
        </w:rPr>
        <w:t xml:space="preserve"> </w:t>
      </w:r>
      <w:r w:rsidRPr="00A83C94">
        <w:rPr>
          <w:rFonts w:cs="Sylfaen"/>
          <w:b w:val="0"/>
          <w:szCs w:val="22"/>
          <w:lang w:val="hy-AM"/>
        </w:rPr>
        <w:t>դեմ</w:t>
      </w:r>
      <w:r w:rsidRPr="00A83C94">
        <w:rPr>
          <w:b w:val="0"/>
          <w:szCs w:val="22"/>
          <w:lang w:val="hy-AM"/>
        </w:rPr>
        <w:t xml:space="preserve"> </w:t>
      </w:r>
      <w:r w:rsidRPr="00A83C94">
        <w:rPr>
          <w:rFonts w:cs="Sylfaen"/>
          <w:b w:val="0"/>
          <w:szCs w:val="22"/>
          <w:lang w:val="hy-AM"/>
        </w:rPr>
        <w:t>պայքարի</w:t>
      </w:r>
      <w:r w:rsidRPr="00A83C94">
        <w:rPr>
          <w:b w:val="0"/>
          <w:szCs w:val="22"/>
          <w:lang w:val="hy-AM"/>
        </w:rPr>
        <w:t xml:space="preserve"> </w:t>
      </w:r>
      <w:r w:rsidRPr="00A83C94">
        <w:rPr>
          <w:rFonts w:cs="Sylfaen"/>
          <w:b w:val="0"/>
          <w:szCs w:val="22"/>
          <w:lang w:val="hy-AM"/>
        </w:rPr>
        <w:t>ոլորտում</w:t>
      </w:r>
      <w:r w:rsidRPr="00A83C94">
        <w:rPr>
          <w:b w:val="0"/>
          <w:szCs w:val="22"/>
          <w:lang w:val="hy-AM"/>
        </w:rPr>
        <w:t xml:space="preserve"> </w:t>
      </w:r>
      <w:r w:rsidRPr="00A83C94">
        <w:rPr>
          <w:rFonts w:cs="Sylfaen"/>
          <w:b w:val="0"/>
          <w:szCs w:val="22"/>
          <w:lang w:val="hy-AM"/>
        </w:rPr>
        <w:t>միջազ</w:t>
      </w:r>
      <w:r w:rsidRPr="00A83C94">
        <w:rPr>
          <w:b w:val="0"/>
          <w:szCs w:val="22"/>
          <w:lang w:val="hy-AM"/>
        </w:rPr>
        <w:t>գ</w:t>
      </w:r>
      <w:r w:rsidRPr="00A83C94">
        <w:rPr>
          <w:rFonts w:cs="Sylfaen"/>
          <w:b w:val="0"/>
          <w:szCs w:val="22"/>
          <w:lang w:val="hy-AM"/>
        </w:rPr>
        <w:t>ային</w:t>
      </w:r>
      <w:r w:rsidRPr="00A83C94">
        <w:rPr>
          <w:b w:val="0"/>
          <w:szCs w:val="22"/>
          <w:lang w:val="hy-AM"/>
        </w:rPr>
        <w:t xml:space="preserve"> </w:t>
      </w:r>
      <w:r w:rsidRPr="00A83C94">
        <w:rPr>
          <w:rFonts w:cs="Sylfaen"/>
          <w:b w:val="0"/>
          <w:szCs w:val="22"/>
          <w:lang w:val="hy-AM"/>
        </w:rPr>
        <w:t>ոստիկանական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այլ</w:t>
      </w:r>
      <w:r w:rsidRPr="00A83C94">
        <w:rPr>
          <w:b w:val="0"/>
          <w:szCs w:val="22"/>
          <w:lang w:val="hy-AM"/>
        </w:rPr>
        <w:t xml:space="preserve"> </w:t>
      </w:r>
      <w:r w:rsidRPr="00A83C94">
        <w:rPr>
          <w:rFonts w:cs="Sylfaen"/>
          <w:b w:val="0"/>
          <w:szCs w:val="22"/>
          <w:lang w:val="hy-AM"/>
        </w:rPr>
        <w:t>կառույցների</w:t>
      </w:r>
      <w:r w:rsidRPr="00A83C94">
        <w:rPr>
          <w:b w:val="0"/>
          <w:szCs w:val="22"/>
          <w:lang w:val="hy-AM"/>
        </w:rPr>
        <w:t xml:space="preserve"> </w:t>
      </w:r>
      <w:r w:rsidRPr="00A83C94">
        <w:rPr>
          <w:rFonts w:cs="Sylfaen"/>
          <w:b w:val="0"/>
          <w:szCs w:val="22"/>
          <w:lang w:val="hy-AM"/>
        </w:rPr>
        <w:t>հետ</w:t>
      </w:r>
      <w:r w:rsidRPr="00A83C94">
        <w:rPr>
          <w:b w:val="0"/>
          <w:szCs w:val="22"/>
          <w:lang w:val="hy-AM"/>
        </w:rPr>
        <w:t xml:space="preserve"> </w:t>
      </w:r>
      <w:r w:rsidRPr="00A83C94">
        <w:rPr>
          <w:rFonts w:cs="Sylfaen"/>
          <w:b w:val="0"/>
          <w:szCs w:val="22"/>
          <w:lang w:val="hy-AM"/>
        </w:rPr>
        <w:t>փոխհամա</w:t>
      </w:r>
      <w:r w:rsidRPr="00A83C94">
        <w:rPr>
          <w:b w:val="0"/>
          <w:szCs w:val="22"/>
          <w:lang w:val="hy-AM"/>
        </w:rPr>
        <w:t>գ</w:t>
      </w:r>
      <w:r w:rsidRPr="00A83C94">
        <w:rPr>
          <w:rFonts w:cs="Sylfaen"/>
          <w:b w:val="0"/>
          <w:szCs w:val="22"/>
          <w:lang w:val="hy-AM"/>
        </w:rPr>
        <w:t>ործակցության</w:t>
      </w:r>
      <w:r w:rsidRPr="00A83C94">
        <w:rPr>
          <w:b w:val="0"/>
          <w:szCs w:val="22"/>
          <w:lang w:val="hy-AM"/>
        </w:rPr>
        <w:t xml:space="preserve"> </w:t>
      </w:r>
      <w:r w:rsidRPr="00A83C94">
        <w:rPr>
          <w:rFonts w:cs="Sylfaen"/>
          <w:b w:val="0"/>
          <w:szCs w:val="22"/>
          <w:lang w:val="hy-AM"/>
        </w:rPr>
        <w:t>ակտիվացումը</w:t>
      </w:r>
      <w:r w:rsidRPr="00A83C94">
        <w:rPr>
          <w:b w:val="0"/>
          <w:szCs w:val="22"/>
          <w:lang w:val="hy-AM"/>
        </w:rPr>
        <w:t>,</w:t>
      </w:r>
    </w:p>
    <w:p w14:paraId="4E06F8ED" w14:textId="77777777" w:rsidR="00A42F71" w:rsidRPr="00A83C94" w:rsidRDefault="00A42F71" w:rsidP="00A42F71">
      <w:pPr>
        <w:spacing w:before="0" w:line="276" w:lineRule="auto"/>
        <w:rPr>
          <w:b w:val="0"/>
          <w:szCs w:val="22"/>
          <w:lang w:val="hy-AM"/>
        </w:rPr>
      </w:pPr>
      <w:r w:rsidRPr="00A83C94">
        <w:rPr>
          <w:rFonts w:cs="Sylfaen"/>
          <w:b w:val="0"/>
          <w:szCs w:val="22"/>
          <w:lang w:val="hy-AM"/>
        </w:rPr>
        <w:t>ժ) Ոստիկանությունում Քաղաքացիական</w:t>
      </w:r>
      <w:r w:rsidRPr="00A83C94">
        <w:rPr>
          <w:b w:val="0"/>
          <w:szCs w:val="22"/>
          <w:lang w:val="hy-AM"/>
        </w:rPr>
        <w:t xml:space="preserve"> </w:t>
      </w:r>
      <w:r w:rsidRPr="00A83C94">
        <w:rPr>
          <w:rFonts w:cs="Sylfaen"/>
          <w:b w:val="0"/>
          <w:szCs w:val="22"/>
          <w:lang w:val="hy-AM"/>
        </w:rPr>
        <w:t>ծառայության</w:t>
      </w:r>
      <w:r w:rsidRPr="00A83C94">
        <w:rPr>
          <w:b w:val="0"/>
          <w:szCs w:val="22"/>
          <w:lang w:val="hy-AM"/>
        </w:rPr>
        <w:t xml:space="preserve"> </w:t>
      </w:r>
      <w:r w:rsidRPr="00A83C94">
        <w:rPr>
          <w:rFonts w:cs="Sylfaen"/>
          <w:b w:val="0"/>
          <w:szCs w:val="22"/>
          <w:lang w:val="hy-AM"/>
        </w:rPr>
        <w:t>համակար</w:t>
      </w:r>
      <w:r w:rsidRPr="00A83C94">
        <w:rPr>
          <w:b w:val="0"/>
          <w:szCs w:val="22"/>
          <w:lang w:val="hy-AM"/>
        </w:rPr>
        <w:t>գ</w:t>
      </w:r>
      <w:r w:rsidRPr="00A83C94">
        <w:rPr>
          <w:rFonts w:cs="Sylfaen"/>
          <w:b w:val="0"/>
          <w:szCs w:val="22"/>
          <w:lang w:val="hy-AM"/>
        </w:rPr>
        <w:t>ի ներդրման արդյունավետությանն ուղղված իրավական և կազմակերպչական աշխատանքների իրականացում</w:t>
      </w:r>
      <w:r w:rsidRPr="00A83C94">
        <w:rPr>
          <w:b w:val="0"/>
          <w:szCs w:val="22"/>
          <w:lang w:val="hy-AM"/>
        </w:rPr>
        <w:t>:</w:t>
      </w:r>
    </w:p>
    <w:p w14:paraId="7C887C01" w14:textId="7DA4B183" w:rsidR="00A42F71" w:rsidRPr="00A83C94" w:rsidRDefault="00A42F71" w:rsidP="00A42F71">
      <w:pPr>
        <w:spacing w:before="0" w:line="276" w:lineRule="auto"/>
        <w:rPr>
          <w:b w:val="0"/>
          <w:szCs w:val="22"/>
          <w:lang w:val="hy-AM"/>
        </w:rPr>
      </w:pPr>
      <w:r w:rsidRPr="00A83C94">
        <w:rPr>
          <w:rFonts w:cs="Arian AMU"/>
          <w:szCs w:val="22"/>
          <w:lang w:val="hy-AM"/>
        </w:rPr>
        <w:t>Ոստիկանության կրթական ծառայություններ</w:t>
      </w:r>
      <w:r w:rsidRPr="00A83C94">
        <w:rPr>
          <w:rFonts w:cs="Arian AMU"/>
          <w:b w:val="0"/>
          <w:szCs w:val="22"/>
          <w:lang w:val="hy-AM"/>
        </w:rPr>
        <w:t xml:space="preserve"> ծրագրի գծով</w:t>
      </w:r>
      <w:r w:rsidRPr="00A83C94">
        <w:rPr>
          <w:b w:val="0"/>
          <w:bCs/>
          <w:szCs w:val="22"/>
          <w:lang w:val="hy-AM"/>
        </w:rPr>
        <w:t xml:space="preserve"> հատկացումները կազմում են 1,565.9 </w:t>
      </w:r>
      <w:r w:rsidRPr="00A83C94">
        <w:rPr>
          <w:b w:val="0"/>
          <w:szCs w:val="22"/>
          <w:lang w:val="hy-AM"/>
        </w:rPr>
        <w:t>մլն.</w:t>
      </w:r>
      <w:r w:rsidRPr="00A83C94">
        <w:rPr>
          <w:b w:val="0"/>
          <w:bCs/>
          <w:szCs w:val="22"/>
          <w:lang w:val="hy-AM"/>
        </w:rPr>
        <w:t xml:space="preserve"> դրամ, որը պահպանել է 2021 թվականի հատկացումների մակարդակը: </w:t>
      </w:r>
      <w:r w:rsidRPr="00A83C94">
        <w:rPr>
          <w:b w:val="0"/>
          <w:szCs w:val="22"/>
          <w:lang w:val="hy-AM"/>
        </w:rPr>
        <w:t>Տվյալ ծախսային ծարագրի իրականացումը, ինչպես ընթացիկ, այնպես էլ 2022 թվականի ընթացքում նախատեսվում է ապահովել հետևյալ միջոցառումներով կատարվող հատկացումների հաշվին.</w:t>
      </w:r>
    </w:p>
    <w:p w14:paraId="1B0A1F63" w14:textId="77777777" w:rsidR="00A42F71" w:rsidRPr="00A83C94" w:rsidRDefault="00A42F71" w:rsidP="00A42F71">
      <w:pPr>
        <w:spacing w:before="0" w:line="276" w:lineRule="auto"/>
        <w:rPr>
          <w:b w:val="0"/>
          <w:szCs w:val="22"/>
          <w:lang w:val="af-ZA"/>
        </w:rPr>
      </w:pPr>
      <w:r w:rsidRPr="00A83C94">
        <w:rPr>
          <w:rFonts w:cs="Sylfaen"/>
          <w:b w:val="0"/>
          <w:szCs w:val="22"/>
          <w:lang w:val="hy-AM"/>
        </w:rPr>
        <w:t xml:space="preserve">ա) </w:t>
      </w:r>
      <w:r w:rsidRPr="00A83C94">
        <w:rPr>
          <w:b w:val="0"/>
          <w:szCs w:val="22"/>
          <w:lang w:val="af-ZA"/>
        </w:rPr>
        <w:t>«</w:t>
      </w:r>
      <w:r w:rsidRPr="00A83C94">
        <w:rPr>
          <w:b w:val="0"/>
          <w:szCs w:val="22"/>
          <w:lang w:val="hy-AM"/>
        </w:rPr>
        <w:t>Բարձրագույն</w:t>
      </w:r>
      <w:r w:rsidRPr="00A83C94">
        <w:rPr>
          <w:b w:val="0"/>
          <w:szCs w:val="22"/>
          <w:lang w:val="af-ZA"/>
        </w:rPr>
        <w:t xml:space="preserve"> </w:t>
      </w:r>
      <w:r w:rsidRPr="00A83C94">
        <w:rPr>
          <w:b w:val="0"/>
          <w:szCs w:val="22"/>
          <w:lang w:val="hy-AM"/>
        </w:rPr>
        <w:t>մասնագիտական</w:t>
      </w:r>
      <w:r w:rsidRPr="00A83C94">
        <w:rPr>
          <w:b w:val="0"/>
          <w:szCs w:val="22"/>
          <w:lang w:val="af-ZA"/>
        </w:rPr>
        <w:t xml:space="preserve"> </w:t>
      </w:r>
      <w:r w:rsidRPr="00A83C94">
        <w:rPr>
          <w:b w:val="0"/>
          <w:szCs w:val="22"/>
          <w:lang w:val="hy-AM"/>
        </w:rPr>
        <w:t>կրթության</w:t>
      </w:r>
      <w:r w:rsidRPr="00A83C94">
        <w:rPr>
          <w:b w:val="0"/>
          <w:szCs w:val="22"/>
          <w:lang w:val="af-ZA"/>
        </w:rPr>
        <w:t xml:space="preserve"> </w:t>
      </w:r>
      <w:r w:rsidRPr="00A83C94">
        <w:rPr>
          <w:b w:val="0"/>
          <w:szCs w:val="22"/>
          <w:lang w:val="hy-AM"/>
        </w:rPr>
        <w:t>ծառայություն</w:t>
      </w:r>
      <w:r w:rsidRPr="00A83C94">
        <w:rPr>
          <w:b w:val="0"/>
          <w:szCs w:val="22"/>
          <w:lang w:val="af-ZA"/>
        </w:rPr>
        <w:t xml:space="preserve">» </w:t>
      </w:r>
      <w:r w:rsidRPr="00A83C94">
        <w:rPr>
          <w:b w:val="0"/>
          <w:szCs w:val="22"/>
          <w:lang w:val="hy-AM"/>
        </w:rPr>
        <w:t>միջոցառման</w:t>
      </w:r>
      <w:r w:rsidRPr="00A83C94">
        <w:rPr>
          <w:b w:val="0"/>
          <w:szCs w:val="22"/>
          <w:lang w:val="af-ZA"/>
        </w:rPr>
        <w:t xml:space="preserve"> </w:t>
      </w:r>
      <w:r w:rsidRPr="00A83C94">
        <w:rPr>
          <w:b w:val="0"/>
          <w:szCs w:val="22"/>
          <w:lang w:val="hy-AM"/>
        </w:rPr>
        <w:t>գծով՝</w:t>
      </w:r>
      <w:r w:rsidRPr="00A83C94">
        <w:rPr>
          <w:b w:val="0"/>
          <w:szCs w:val="22"/>
          <w:lang w:val="af-ZA"/>
        </w:rPr>
        <w:t xml:space="preserve"> </w:t>
      </w:r>
      <w:r w:rsidRPr="00A83C94">
        <w:rPr>
          <w:b w:val="0"/>
          <w:szCs w:val="22"/>
          <w:lang w:val="hy-AM"/>
        </w:rPr>
        <w:t xml:space="preserve">տարեկան </w:t>
      </w:r>
      <w:r w:rsidRPr="00A83C94">
        <w:rPr>
          <w:b w:val="0"/>
          <w:szCs w:val="22"/>
          <w:lang w:val="af-ZA"/>
        </w:rPr>
        <w:t>920</w:t>
      </w:r>
      <w:r w:rsidRPr="00A83C94">
        <w:rPr>
          <w:b w:val="0"/>
          <w:szCs w:val="22"/>
          <w:lang w:val="hy-AM"/>
        </w:rPr>
        <w:t>0.7</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lang w:val="hy-AM"/>
        </w:rPr>
        <w:t>դրամ</w:t>
      </w:r>
      <w:r w:rsidRPr="00A83C94">
        <w:rPr>
          <w:b w:val="0"/>
          <w:szCs w:val="22"/>
          <w:lang w:val="af-ZA"/>
        </w:rPr>
        <w:t xml:space="preserve"> (</w:t>
      </w:r>
      <w:r w:rsidRPr="00A83C94">
        <w:rPr>
          <w:b w:val="0"/>
          <w:szCs w:val="22"/>
          <w:lang w:val="hy-AM"/>
        </w:rPr>
        <w:t>տվյալ</w:t>
      </w:r>
      <w:r w:rsidRPr="00A83C94">
        <w:rPr>
          <w:b w:val="0"/>
          <w:szCs w:val="22"/>
          <w:lang w:val="af-ZA"/>
        </w:rPr>
        <w:t xml:space="preserve"> </w:t>
      </w:r>
      <w:r w:rsidRPr="00A83C94">
        <w:rPr>
          <w:b w:val="0"/>
          <w:szCs w:val="22"/>
          <w:lang w:val="hy-AM"/>
        </w:rPr>
        <w:t>ծրագրի՝</w:t>
      </w:r>
      <w:r w:rsidRPr="00A83C94">
        <w:rPr>
          <w:b w:val="0"/>
          <w:szCs w:val="22"/>
          <w:lang w:val="af-ZA"/>
        </w:rPr>
        <w:t xml:space="preserve"> 58,8 %-</w:t>
      </w:r>
      <w:r w:rsidRPr="00A83C94">
        <w:rPr>
          <w:b w:val="0"/>
          <w:szCs w:val="22"/>
          <w:lang w:val="hy-AM"/>
        </w:rPr>
        <w:t>ը</w:t>
      </w:r>
      <w:r w:rsidRPr="00A83C94">
        <w:rPr>
          <w:b w:val="0"/>
          <w:szCs w:val="22"/>
          <w:lang w:val="af-ZA"/>
        </w:rPr>
        <w:t xml:space="preserve">, պահպանվելով </w:t>
      </w:r>
      <w:r w:rsidRPr="00A83C94">
        <w:rPr>
          <w:b w:val="0"/>
          <w:szCs w:val="22"/>
          <w:lang w:val="hy-AM"/>
        </w:rPr>
        <w:t xml:space="preserve">2021 </w:t>
      </w:r>
      <w:r w:rsidRPr="00A83C94">
        <w:rPr>
          <w:b w:val="0"/>
          <w:szCs w:val="22"/>
          <w:lang w:val="af-ZA"/>
        </w:rPr>
        <w:t>թ</w:t>
      </w:r>
      <w:r w:rsidRPr="00A83C94">
        <w:rPr>
          <w:b w:val="0"/>
          <w:szCs w:val="22"/>
          <w:lang w:val="hy-AM"/>
        </w:rPr>
        <w:t>վականի</w:t>
      </w:r>
      <w:r w:rsidRPr="00A83C94">
        <w:rPr>
          <w:b w:val="0"/>
          <w:szCs w:val="22"/>
          <w:lang w:val="af-ZA"/>
        </w:rPr>
        <w:t xml:space="preserve"> մակարդակը),</w:t>
      </w:r>
    </w:p>
    <w:p w14:paraId="6E62D787" w14:textId="77777777" w:rsidR="00A42F71" w:rsidRPr="00A83C94" w:rsidRDefault="00A42F71" w:rsidP="00A42F71">
      <w:pPr>
        <w:spacing w:before="0" w:line="276" w:lineRule="auto"/>
        <w:rPr>
          <w:b w:val="0"/>
          <w:szCs w:val="22"/>
          <w:lang w:val="af-ZA"/>
        </w:rPr>
      </w:pPr>
      <w:r w:rsidRPr="00A83C94">
        <w:rPr>
          <w:rFonts w:cs="Sylfaen"/>
          <w:b w:val="0"/>
          <w:szCs w:val="22"/>
          <w:lang w:val="af-ZA"/>
        </w:rPr>
        <w:t xml:space="preserve">բ) </w:t>
      </w:r>
      <w:r w:rsidRPr="00A83C94">
        <w:rPr>
          <w:b w:val="0"/>
          <w:szCs w:val="22"/>
          <w:lang w:val="af-ZA"/>
        </w:rPr>
        <w:t>«</w:t>
      </w:r>
      <w:r w:rsidRPr="00A83C94">
        <w:rPr>
          <w:b w:val="0"/>
          <w:szCs w:val="22"/>
        </w:rPr>
        <w:t>Միջին</w:t>
      </w:r>
      <w:r w:rsidRPr="00A83C94">
        <w:rPr>
          <w:b w:val="0"/>
          <w:szCs w:val="22"/>
          <w:lang w:val="af-ZA"/>
        </w:rPr>
        <w:t xml:space="preserve"> </w:t>
      </w:r>
      <w:r w:rsidRPr="00A83C94">
        <w:rPr>
          <w:b w:val="0"/>
          <w:szCs w:val="22"/>
        </w:rPr>
        <w:t>մասնագիտական</w:t>
      </w:r>
      <w:r w:rsidRPr="00A83C94">
        <w:rPr>
          <w:b w:val="0"/>
          <w:szCs w:val="22"/>
          <w:lang w:val="af-ZA"/>
        </w:rPr>
        <w:t xml:space="preserve"> </w:t>
      </w:r>
      <w:r w:rsidRPr="00A83C94">
        <w:rPr>
          <w:b w:val="0"/>
          <w:szCs w:val="22"/>
        </w:rPr>
        <w:t>կրթության</w:t>
      </w:r>
      <w:r w:rsidRPr="00A83C94">
        <w:rPr>
          <w:b w:val="0"/>
          <w:szCs w:val="22"/>
          <w:lang w:val="af-ZA"/>
        </w:rPr>
        <w:t xml:space="preserve"> </w:t>
      </w:r>
      <w:r w:rsidRPr="00A83C94">
        <w:rPr>
          <w:b w:val="0"/>
          <w:szCs w:val="22"/>
        </w:rPr>
        <w:t>ծառայություն</w:t>
      </w:r>
      <w:r w:rsidRPr="00A83C94">
        <w:rPr>
          <w:b w:val="0"/>
          <w:szCs w:val="22"/>
          <w:lang w:val="af-ZA"/>
        </w:rPr>
        <w:t xml:space="preserve">» </w:t>
      </w:r>
      <w:r w:rsidRPr="00A83C94">
        <w:rPr>
          <w:b w:val="0"/>
          <w:szCs w:val="22"/>
        </w:rPr>
        <w:t>միջոցառման</w:t>
      </w:r>
      <w:r w:rsidRPr="00A83C94">
        <w:rPr>
          <w:b w:val="0"/>
          <w:szCs w:val="22"/>
          <w:lang w:val="af-ZA"/>
        </w:rPr>
        <w:t xml:space="preserve"> </w:t>
      </w:r>
      <w:r w:rsidRPr="00A83C94">
        <w:rPr>
          <w:b w:val="0"/>
          <w:szCs w:val="22"/>
        </w:rPr>
        <w:t>գծով՝</w:t>
      </w:r>
      <w:r w:rsidRPr="00A83C94">
        <w:rPr>
          <w:b w:val="0"/>
          <w:szCs w:val="22"/>
          <w:lang w:val="af-ZA"/>
        </w:rPr>
        <w:t xml:space="preserve"> 387</w:t>
      </w:r>
      <w:r w:rsidRPr="00A83C94">
        <w:rPr>
          <w:b w:val="0"/>
          <w:szCs w:val="22"/>
          <w:lang w:val="hy-AM"/>
        </w:rPr>
        <w:t>.5</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rPr>
        <w:t>դրամ</w:t>
      </w:r>
      <w:r w:rsidRPr="00A83C94">
        <w:rPr>
          <w:b w:val="0"/>
          <w:szCs w:val="22"/>
          <w:lang w:val="af-ZA"/>
        </w:rPr>
        <w:t xml:space="preserve"> (</w:t>
      </w:r>
      <w:r w:rsidRPr="00A83C94">
        <w:rPr>
          <w:b w:val="0"/>
          <w:szCs w:val="22"/>
        </w:rPr>
        <w:t>տվյալ</w:t>
      </w:r>
      <w:r w:rsidRPr="00A83C94">
        <w:rPr>
          <w:b w:val="0"/>
          <w:szCs w:val="22"/>
          <w:lang w:val="af-ZA"/>
        </w:rPr>
        <w:t xml:space="preserve"> </w:t>
      </w:r>
      <w:r w:rsidRPr="00A83C94">
        <w:rPr>
          <w:b w:val="0"/>
          <w:szCs w:val="22"/>
        </w:rPr>
        <w:t>ծրագրի՝</w:t>
      </w:r>
      <w:r w:rsidRPr="00A83C94">
        <w:rPr>
          <w:b w:val="0"/>
          <w:szCs w:val="22"/>
          <w:lang w:val="af-ZA"/>
        </w:rPr>
        <w:t xml:space="preserve"> 24,7 %-</w:t>
      </w:r>
      <w:r w:rsidRPr="00A83C94">
        <w:rPr>
          <w:b w:val="0"/>
          <w:szCs w:val="22"/>
        </w:rPr>
        <w:t>ը</w:t>
      </w:r>
      <w:r w:rsidRPr="00A83C94">
        <w:rPr>
          <w:b w:val="0"/>
          <w:szCs w:val="22"/>
          <w:lang w:val="af-ZA"/>
        </w:rPr>
        <w:t xml:space="preserve">, պահպանվելով </w:t>
      </w:r>
      <w:r w:rsidRPr="00A83C94">
        <w:rPr>
          <w:b w:val="0"/>
          <w:szCs w:val="22"/>
          <w:lang w:val="hy-AM"/>
        </w:rPr>
        <w:t>202</w:t>
      </w:r>
      <w:r w:rsidRPr="00A83C94">
        <w:rPr>
          <w:b w:val="0"/>
          <w:szCs w:val="22"/>
          <w:lang w:val="af-ZA"/>
        </w:rPr>
        <w:t>1</w:t>
      </w:r>
      <w:r w:rsidRPr="00A83C94">
        <w:rPr>
          <w:b w:val="0"/>
          <w:szCs w:val="22"/>
          <w:lang w:val="hy-AM"/>
        </w:rPr>
        <w:t xml:space="preserve"> </w:t>
      </w:r>
      <w:r w:rsidRPr="00A83C94">
        <w:rPr>
          <w:b w:val="0"/>
          <w:szCs w:val="22"/>
          <w:lang w:val="af-ZA"/>
        </w:rPr>
        <w:t>թ</w:t>
      </w:r>
      <w:r w:rsidRPr="00A83C94">
        <w:rPr>
          <w:b w:val="0"/>
          <w:szCs w:val="22"/>
          <w:lang w:val="hy-AM"/>
        </w:rPr>
        <w:t>վականի</w:t>
      </w:r>
      <w:r w:rsidRPr="00A83C94">
        <w:rPr>
          <w:b w:val="0"/>
          <w:szCs w:val="22"/>
          <w:lang w:val="af-ZA"/>
        </w:rPr>
        <w:t xml:space="preserve"> մակարդակը)</w:t>
      </w:r>
    </w:p>
    <w:p w14:paraId="60F34995" w14:textId="77777777" w:rsidR="00A42F71" w:rsidRPr="00A83C94" w:rsidRDefault="00A42F71" w:rsidP="00A42F71">
      <w:pPr>
        <w:spacing w:before="0" w:line="276" w:lineRule="auto"/>
        <w:rPr>
          <w:rFonts w:cs="Sylfaen"/>
          <w:b w:val="0"/>
          <w:szCs w:val="22"/>
          <w:lang w:val="hy-AM"/>
        </w:rPr>
      </w:pPr>
      <w:r w:rsidRPr="00A83C94">
        <w:rPr>
          <w:rFonts w:cs="Sylfaen"/>
          <w:b w:val="0"/>
          <w:szCs w:val="22"/>
          <w:lang w:val="af-ZA"/>
        </w:rPr>
        <w:t xml:space="preserve">գ) </w:t>
      </w:r>
      <w:r w:rsidRPr="00A83C94">
        <w:rPr>
          <w:b w:val="0"/>
          <w:szCs w:val="22"/>
          <w:lang w:val="af-ZA"/>
        </w:rPr>
        <w:t xml:space="preserve">«Նախնական </w:t>
      </w:r>
      <w:r w:rsidRPr="00A83C94">
        <w:rPr>
          <w:b w:val="0"/>
          <w:szCs w:val="22"/>
        </w:rPr>
        <w:t>մասնագիտական</w:t>
      </w:r>
      <w:r w:rsidRPr="00A83C94">
        <w:rPr>
          <w:b w:val="0"/>
          <w:szCs w:val="22"/>
          <w:lang w:val="af-ZA"/>
        </w:rPr>
        <w:t xml:space="preserve"> </w:t>
      </w:r>
      <w:r w:rsidRPr="00A83C94">
        <w:rPr>
          <w:b w:val="0"/>
          <w:szCs w:val="22"/>
        </w:rPr>
        <w:t>կրթության</w:t>
      </w:r>
      <w:r w:rsidRPr="00A83C94">
        <w:rPr>
          <w:b w:val="0"/>
          <w:szCs w:val="22"/>
          <w:lang w:val="af-ZA"/>
        </w:rPr>
        <w:t xml:space="preserve"> </w:t>
      </w:r>
      <w:r w:rsidRPr="00A83C94">
        <w:rPr>
          <w:b w:val="0"/>
          <w:szCs w:val="22"/>
        </w:rPr>
        <w:t>ծառայություն</w:t>
      </w:r>
      <w:r w:rsidRPr="00A83C94">
        <w:rPr>
          <w:b w:val="0"/>
          <w:szCs w:val="22"/>
          <w:lang w:val="af-ZA"/>
        </w:rPr>
        <w:t xml:space="preserve">» </w:t>
      </w:r>
      <w:r w:rsidRPr="00A83C94">
        <w:rPr>
          <w:b w:val="0"/>
          <w:szCs w:val="22"/>
        </w:rPr>
        <w:t>միջոցառման</w:t>
      </w:r>
      <w:r w:rsidRPr="00A83C94">
        <w:rPr>
          <w:b w:val="0"/>
          <w:szCs w:val="22"/>
          <w:lang w:val="af-ZA"/>
        </w:rPr>
        <w:t xml:space="preserve"> </w:t>
      </w:r>
      <w:r w:rsidRPr="00A83C94">
        <w:rPr>
          <w:b w:val="0"/>
          <w:szCs w:val="22"/>
        </w:rPr>
        <w:t>գծով՝</w:t>
      </w:r>
      <w:r w:rsidRPr="00A83C94">
        <w:rPr>
          <w:b w:val="0"/>
          <w:szCs w:val="22"/>
          <w:lang w:val="af-ZA"/>
        </w:rPr>
        <w:t xml:space="preserve"> 257.</w:t>
      </w:r>
      <w:r w:rsidRPr="00A83C94">
        <w:rPr>
          <w:b w:val="0"/>
          <w:szCs w:val="22"/>
          <w:lang w:val="hy-AM"/>
        </w:rPr>
        <w:t>8</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rPr>
        <w:t>դրամ</w:t>
      </w:r>
      <w:r w:rsidRPr="00A83C94">
        <w:rPr>
          <w:b w:val="0"/>
          <w:szCs w:val="22"/>
          <w:lang w:val="af-ZA"/>
        </w:rPr>
        <w:t xml:space="preserve"> (</w:t>
      </w:r>
      <w:r w:rsidRPr="00A83C94">
        <w:rPr>
          <w:b w:val="0"/>
          <w:szCs w:val="22"/>
        </w:rPr>
        <w:t>տվյալ</w:t>
      </w:r>
      <w:r w:rsidRPr="00A83C94">
        <w:rPr>
          <w:b w:val="0"/>
          <w:szCs w:val="22"/>
          <w:lang w:val="af-ZA"/>
        </w:rPr>
        <w:t xml:space="preserve"> </w:t>
      </w:r>
      <w:r w:rsidRPr="00A83C94">
        <w:rPr>
          <w:b w:val="0"/>
          <w:szCs w:val="22"/>
        </w:rPr>
        <w:t>ծրագրի</w:t>
      </w:r>
      <w:r w:rsidRPr="00A83C94">
        <w:rPr>
          <w:b w:val="0"/>
          <w:szCs w:val="22"/>
          <w:lang w:val="af-ZA"/>
        </w:rPr>
        <w:t xml:space="preserve"> 16,5 %-</w:t>
      </w:r>
      <w:r w:rsidRPr="00A83C94">
        <w:rPr>
          <w:b w:val="0"/>
          <w:szCs w:val="22"/>
        </w:rPr>
        <w:t>ը</w:t>
      </w:r>
      <w:r w:rsidRPr="00A83C94">
        <w:rPr>
          <w:b w:val="0"/>
          <w:szCs w:val="22"/>
          <w:lang w:val="af-ZA"/>
        </w:rPr>
        <w:t xml:space="preserve">, պահպանվելով </w:t>
      </w:r>
      <w:r w:rsidRPr="00A83C94">
        <w:rPr>
          <w:b w:val="0"/>
          <w:szCs w:val="22"/>
          <w:lang w:val="hy-AM"/>
        </w:rPr>
        <w:t>202</w:t>
      </w:r>
      <w:r w:rsidRPr="00A83C94">
        <w:rPr>
          <w:b w:val="0"/>
          <w:szCs w:val="22"/>
          <w:lang w:val="af-ZA"/>
        </w:rPr>
        <w:t>1</w:t>
      </w:r>
      <w:r w:rsidRPr="00A83C94">
        <w:rPr>
          <w:b w:val="0"/>
          <w:szCs w:val="22"/>
          <w:lang w:val="hy-AM"/>
        </w:rPr>
        <w:t xml:space="preserve"> </w:t>
      </w:r>
      <w:r w:rsidRPr="00A83C94">
        <w:rPr>
          <w:b w:val="0"/>
          <w:szCs w:val="22"/>
          <w:lang w:val="af-ZA"/>
        </w:rPr>
        <w:t>թ</w:t>
      </w:r>
      <w:r w:rsidRPr="00A83C94">
        <w:rPr>
          <w:b w:val="0"/>
          <w:szCs w:val="22"/>
          <w:lang w:val="hy-AM"/>
        </w:rPr>
        <w:t>վական</w:t>
      </w:r>
      <w:r w:rsidRPr="00A83C94">
        <w:rPr>
          <w:b w:val="0"/>
          <w:szCs w:val="22"/>
          <w:lang w:val="af-ZA"/>
        </w:rPr>
        <w:t>ի մակարդակը):</w:t>
      </w:r>
      <w:r w:rsidRPr="00A83C94">
        <w:rPr>
          <w:rFonts w:cs="Sylfaen"/>
          <w:b w:val="0"/>
          <w:szCs w:val="22"/>
          <w:lang w:val="hy-AM"/>
        </w:rPr>
        <w:tab/>
      </w:r>
      <w:r w:rsidRPr="00A83C94">
        <w:rPr>
          <w:rFonts w:cs="Sylfaen"/>
          <w:b w:val="0"/>
          <w:szCs w:val="22"/>
          <w:lang w:val="hy-AM"/>
        </w:rPr>
        <w:tab/>
      </w:r>
    </w:p>
    <w:p w14:paraId="3865D7FC" w14:textId="77777777" w:rsidR="00D83CD7" w:rsidRPr="00A83C94" w:rsidRDefault="00D83CD7" w:rsidP="007C65A5">
      <w:pPr>
        <w:spacing w:line="276" w:lineRule="auto"/>
        <w:ind w:left="-284"/>
        <w:rPr>
          <w:rFonts w:cs="Sylfaen"/>
          <w:szCs w:val="22"/>
          <w:lang w:val="hy-AM"/>
        </w:rPr>
      </w:pPr>
      <w:r w:rsidRPr="00A83C94">
        <w:rPr>
          <w:rFonts w:cs="Sylfaen"/>
          <w:szCs w:val="22"/>
          <w:lang w:val="hy-AM"/>
        </w:rPr>
        <w:tab/>
      </w:r>
      <w:r w:rsidRPr="00A83C94">
        <w:rPr>
          <w:rFonts w:cs="Sylfaen"/>
          <w:szCs w:val="22"/>
          <w:lang w:val="hy-AM"/>
        </w:rPr>
        <w:tab/>
      </w:r>
    </w:p>
    <w:p w14:paraId="02B6D9B5" w14:textId="77777777" w:rsidR="00787739" w:rsidRPr="00A83C94" w:rsidRDefault="00787739" w:rsidP="00427D1F">
      <w:pPr>
        <w:keepNext/>
        <w:spacing w:before="0" w:line="276" w:lineRule="auto"/>
        <w:ind w:firstLine="0"/>
        <w:contextualSpacing w:val="0"/>
        <w:jc w:val="center"/>
        <w:outlineLvl w:val="2"/>
        <w:rPr>
          <w:sz w:val="24"/>
          <w:lang w:val="hy-AM"/>
        </w:rPr>
      </w:pPr>
      <w:bookmarkStart w:id="289" w:name="_Toc83996382"/>
      <w:r w:rsidRPr="00A83C94">
        <w:rPr>
          <w:rFonts w:cs="Arial"/>
          <w:sz w:val="24"/>
          <w:lang w:val="hy-AM" w:eastAsia="en-US"/>
        </w:rPr>
        <w:t>ՀՀ ազգային անվտանգության ծառայություն</w:t>
      </w:r>
      <w:bookmarkEnd w:id="289"/>
    </w:p>
    <w:p w14:paraId="2481D470" w14:textId="77777777" w:rsidR="007D1591" w:rsidRPr="00A83C94" w:rsidRDefault="007D1591" w:rsidP="007D1591">
      <w:pPr>
        <w:spacing w:line="276" w:lineRule="auto"/>
        <w:ind w:firstLine="562"/>
        <w:rPr>
          <w:rFonts w:cs="Tahoma"/>
          <w:b w:val="0"/>
          <w:iCs/>
          <w:noProof/>
          <w:lang w:val="it-IT"/>
        </w:rPr>
      </w:pPr>
      <w:r w:rsidRPr="00A83C94">
        <w:rPr>
          <w:rFonts w:cs="Tahoma"/>
          <w:b w:val="0"/>
          <w:iCs/>
          <w:noProof/>
          <w:lang w:val="it-IT"/>
        </w:rPr>
        <w:t xml:space="preserve">Հայաստանի Հանրապետության ազգային անվտանգությունը պետության և հասարակության այնպիսի կացություն է, երբ ապահովված է անձի, հասարակության և պետության անվտանգությունը, երկրի տարածքային ամբողջականությունը, ինքնիշխանությունը, սահմանադրական կարգը, տնտեսության բնականոն զարգացումը, հասարակության նյութական և հոգևոր արժեքների, քաղաքացիների իրավունքների և ազատությունների, շրջակա միջավայրի պաշտպանությունը ներքին և արտաքին սպառնալիքներից: </w:t>
      </w:r>
    </w:p>
    <w:p w14:paraId="23BF8F13" w14:textId="77777777" w:rsidR="007D1591" w:rsidRPr="00A83C94" w:rsidRDefault="007D1591" w:rsidP="007D1591">
      <w:pPr>
        <w:spacing w:line="276" w:lineRule="auto"/>
        <w:ind w:firstLine="562"/>
        <w:rPr>
          <w:rFonts w:cs="Tahoma"/>
          <w:b w:val="0"/>
          <w:iCs/>
          <w:noProof/>
          <w:lang w:val="it-IT"/>
        </w:rPr>
      </w:pPr>
      <w:r w:rsidRPr="00A83C94">
        <w:rPr>
          <w:rFonts w:cs="Tahoma"/>
          <w:b w:val="0"/>
          <w:iCs/>
          <w:noProof/>
          <w:lang w:val="it-IT"/>
        </w:rPr>
        <w:t>Պետական պահպանության ծառայությունն իրականացնում է պետական պահպանության ենթակա օբյեկտների անվտանգության ապահովման և պետական օբյեկտների պաշտպանության ոլորտի գործառույթ, իրավական, կազմակերպական, պահպանական, ռեժիմային, օպերատիվ-հետախուզական, տեխնիկական և այլ միջոցառումների համակցմամբ:</w:t>
      </w:r>
    </w:p>
    <w:p w14:paraId="06E0A333"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Հայաստանի Հանրապետության արտաքին և ներքին անվտանգության ապահովման կարևորագույն նախապայմանն անվտանգության միջավայրի համակողմանի գնահատման հիման վրա արտաքին, ներքին և պաշտպանական քաղաքականության ճկուն գործիքակազմի ձևավորումն է, ինչը հնարավորություն կտա Կառավարության քաղաքական առաջնահերթությունները կյանքի կոչելու համար ստեղծել կայուն և կանխատեսելի մթնոլորտ, իսկ արտաքին անվտանգության ապահովման երաշխիքների համար՝ բավարար կարողություններ: Կառավարության առաջնահերթությունների թվում են Հայաստանի Հանրապետության ռազմավարական նշանակության օբյեկտների և ենթակառուցվածքների անվտանգության ապահովումը, անվտանգության մակարդակի բարձրացմանն ուղղված խնդիրների և դրանցից բխող միջոցառումների իրականացումը:</w:t>
      </w:r>
    </w:p>
    <w:p w14:paraId="72E18017"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Ազգային անվտանգության ծառայության նպատակներն են հետախուզական գործունեությունը, հակահետախուզական գործունեությունը, ռազմական հակահետախուզական գործունեությունը, պետական սահմանի պահպանությունը և պայքարը հանցագործությունների դեմ: Այս առումով վերջնական արդյունքներն են ՀՀ ազգային անվտանգության սպառնալիքների մասին տեղեկությունների ստացումը և կանխարգելիչ միջոցառումների անցկացումը, օտարերկրյա պետությունների հատուկ ծառայությունների և այլ կազմակերպությունների, ինչպես նաև առանձին անձանց հետախուզական գործունեության բացահայտումը, կանխումը և խափանումը, օպերատիվ-հետախուզական միջոցառումների շնորհիվ հանցագործությունների բացահայտումը, կանխումը և խափանումը,</w:t>
      </w:r>
      <w:r w:rsidRPr="00A83C94">
        <w:rPr>
          <w:b w:val="0"/>
          <w:iCs/>
          <w:lang w:val="it-IT"/>
        </w:rPr>
        <w:t xml:space="preserve"> </w:t>
      </w:r>
      <w:r w:rsidRPr="00A83C94">
        <w:rPr>
          <w:rFonts w:cs="Sylfaen"/>
          <w:b w:val="0"/>
          <w:iCs/>
          <w:kern w:val="16"/>
          <w:lang w:val="it-IT"/>
        </w:rPr>
        <w:t>ՀՀ պետական սահմանի անձեռնմխելիության ապահովումը, սահմանափակումների կանխումը և խափանումը:</w:t>
      </w:r>
    </w:p>
    <w:p w14:paraId="4FFBE4C5"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Պետական պահպանության ծառայության նպատակներն են` իր իրավասության սահմաններում կազմակերպել պետական պահպանության ենթակա օբյեկտների անվտանգությունը, կանխատեսել և բացահայտել այդ օբյեկտներին սպառնացող վտանգը և նրանց կանխարգելման համար իրականացնել համալիր միջոցառումներ, պետական պահպանության օբյեկտների անվտանգությունն ապահովել նրանց մշտական կամ ժամանակավոր գտնվելու վայրում, իր իրավասության շրջանակներում մասնակցել ահաբեկչության դեմ պայքարին, պաշտպանել պահպանվող օբյեկտները, կանխել և խափանել պահպանվող օբյեկտներում հանցագործությունները և այլ իրավախախտումները, ապահովել սահմանված անցագրային ռեժիմն ու կարգը:</w:t>
      </w:r>
    </w:p>
    <w:p w14:paraId="0D84417F"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Ազգային անվտանգության գերակա վերջնական արդյունքն է ազգային անվտանգության ապահովումը, իսկ պետական պահպանության ծառայության գերակա վերջնական արդյունքն է հատուկ պետական պաշտպանության ենթակա օբյեկտների անվտանգության ապահովումը:</w:t>
      </w:r>
    </w:p>
    <w:p w14:paraId="11908E99" w14:textId="77777777" w:rsidR="007D1591" w:rsidRPr="00A83C94" w:rsidRDefault="007D1591" w:rsidP="007D1591">
      <w:pPr>
        <w:spacing w:before="0" w:line="276" w:lineRule="auto"/>
        <w:ind w:firstLine="562"/>
        <w:rPr>
          <w:b w:val="0"/>
          <w:lang w:val="hy-AM"/>
        </w:rPr>
      </w:pPr>
      <w:r w:rsidRPr="00A83C94">
        <w:rPr>
          <w:rFonts w:cs="Arial"/>
          <w:b w:val="0"/>
          <w:lang w:val="hy-AM"/>
        </w:rPr>
        <w:t>Ազգային</w:t>
      </w:r>
      <w:r w:rsidRPr="00A83C94">
        <w:rPr>
          <w:b w:val="0"/>
          <w:lang w:val="hy-AM"/>
        </w:rPr>
        <w:t xml:space="preserve"> անվտանգության համակարգի զարգացման հիմնական միտումները</w:t>
      </w:r>
      <w:r w:rsidRPr="00A83C94">
        <w:rPr>
          <w:b w:val="0"/>
          <w:lang w:val="it-IT"/>
        </w:rPr>
        <w:t xml:space="preserve"> նպատակաուղղված են </w:t>
      </w:r>
      <w:r w:rsidRPr="00A83C94">
        <w:rPr>
          <w:b w:val="0"/>
          <w:lang w:val="hy-AM"/>
        </w:rPr>
        <w:t>ներքին և արտաքին սպառնալիքներից անձի, հասարակության ու պետության անվտանգության ապահովման</w:t>
      </w:r>
      <w:r w:rsidRPr="00A83C94">
        <w:rPr>
          <w:b w:val="0"/>
          <w:lang w:val="it-IT"/>
        </w:rPr>
        <w:t xml:space="preserve"> բարձրացմանը,</w:t>
      </w:r>
      <w:r w:rsidRPr="00A83C94">
        <w:rPr>
          <w:b w:val="0"/>
          <w:lang w:val="hy-AM"/>
        </w:rPr>
        <w:t xml:space="preserve"> տնտեսության ոլորտում կատարվող հանցագործությունների, այդ թվում՝ կոռուպցիայի տարբեր դրսևորումների և տնտեսության զարգացմանը խոչընդոտող այլ երևույթների ժամանակին հայտնաբերման ու բացահայտման աշխատանքների ակտիվացմանը</w:t>
      </w:r>
      <w:r w:rsidRPr="00A83C94">
        <w:rPr>
          <w:b w:val="0"/>
          <w:lang w:val="it-IT"/>
        </w:rPr>
        <w:t xml:space="preserve">, </w:t>
      </w:r>
      <w:r w:rsidRPr="00A83C94">
        <w:rPr>
          <w:b w:val="0"/>
          <w:lang w:val="hy-AM"/>
        </w:rPr>
        <w:t>օպերատիվ</w:t>
      </w:r>
      <w:r w:rsidRPr="00A83C94">
        <w:rPr>
          <w:b w:val="0"/>
          <w:lang w:val="it-IT"/>
        </w:rPr>
        <w:t xml:space="preserve"> </w:t>
      </w:r>
      <w:r w:rsidRPr="00A83C94">
        <w:rPr>
          <w:b w:val="0"/>
          <w:lang w:val="hy-AM"/>
        </w:rPr>
        <w:t>գործունեության</w:t>
      </w:r>
      <w:r w:rsidRPr="00A83C94">
        <w:rPr>
          <w:b w:val="0"/>
          <w:lang w:val="it-IT"/>
        </w:rPr>
        <w:t xml:space="preserve"> </w:t>
      </w:r>
      <w:r w:rsidRPr="00A83C94">
        <w:rPr>
          <w:b w:val="0"/>
          <w:lang w:val="hy-AM"/>
        </w:rPr>
        <w:t>արդյունավետության</w:t>
      </w:r>
      <w:r w:rsidRPr="00A83C94">
        <w:rPr>
          <w:b w:val="0"/>
          <w:lang w:val="it-IT"/>
        </w:rPr>
        <w:t xml:space="preserve"> </w:t>
      </w:r>
      <w:r w:rsidRPr="00A83C94">
        <w:rPr>
          <w:b w:val="0"/>
          <w:lang w:val="hy-AM"/>
        </w:rPr>
        <w:t>բարձրացմանը</w:t>
      </w:r>
      <w:r w:rsidRPr="00A83C94">
        <w:rPr>
          <w:b w:val="0"/>
          <w:lang w:val="it-IT"/>
        </w:rPr>
        <w:t xml:space="preserve">, </w:t>
      </w:r>
      <w:r w:rsidRPr="00A83C94">
        <w:rPr>
          <w:b w:val="0"/>
          <w:lang w:val="hy-AM"/>
        </w:rPr>
        <w:t>պետական սահմանի շուրջօրյա հսկման և պահպանման</w:t>
      </w:r>
      <w:r w:rsidRPr="00A83C94">
        <w:rPr>
          <w:b w:val="0"/>
          <w:lang w:val="it-IT"/>
        </w:rPr>
        <w:t xml:space="preserve"> բարելավմանը</w:t>
      </w:r>
      <w:r w:rsidRPr="00A83C94">
        <w:rPr>
          <w:b w:val="0"/>
          <w:lang w:val="hy-AM"/>
        </w:rPr>
        <w:t>, այդ թվում նաև էլեկտրոնային համակարգերով և ծառայողական կենդանիներով (շներ, ձիեր և այլն)</w:t>
      </w:r>
      <w:r w:rsidRPr="00A83C94">
        <w:rPr>
          <w:b w:val="0"/>
          <w:lang w:val="it-IT"/>
        </w:rPr>
        <w:t>, հետախուզության, հակահետախուզության ոլորտի ընդլայնմանը, օտարերկրյա հատուկ ծառայությունների կողմից օգտագործվող գործակալական ցանցի բացահայտման հետ կապված աշխատանքների զարգացմանը, գաղտնի տեղեկատվության անվտանգություն մակարդակի բարելավմանը, նոր համակարգի ներդրման ապահովմանը:</w:t>
      </w:r>
    </w:p>
    <w:p w14:paraId="71BB3A5A" w14:textId="77777777" w:rsidR="007D1591" w:rsidRPr="00A83C94" w:rsidRDefault="007D1591" w:rsidP="007D1591">
      <w:pPr>
        <w:spacing w:before="0" w:line="276" w:lineRule="auto"/>
        <w:ind w:firstLine="562"/>
        <w:rPr>
          <w:rFonts w:cs="Sylfaen"/>
          <w:b w:val="0"/>
          <w:kern w:val="16"/>
          <w:lang w:val="it-IT"/>
        </w:rPr>
      </w:pPr>
      <w:r w:rsidRPr="00A83C94">
        <w:rPr>
          <w:rFonts w:cs="Sylfaen"/>
          <w:b w:val="0"/>
          <w:kern w:val="16"/>
          <w:lang w:val="it-IT"/>
        </w:rPr>
        <w:t>Պետական պահպանության ծառայության զարգացման հիմնական միտումները նպատակաուղղված են պետական պահպանության ծառայության հատուկ պետական պաշտպանության ենթակա անձանց, ինչպես նաև մշտական և ժամանակավոր պահպանվող օբյեկտների անվտանգության ապահովման բարձրացմանը, պետական պահպանության ապահովման համար տեխնիկա-տնտեսական բազայի ամրապնդմանը, զենք զինամթերքի արդիականացմանը և ավելացմանը, անհրաժեշտ նյութական ռեսուրսներով ապահովմանը, զինծառայողների և զինվորական կոչում չունեցող աշխատակիցների ֆինանսական և սոցիալական վիճակի բարելավմանը, սեփական ուսումնական կենտրոնի և նրան կից անհրաժեշտ շինություններով, լրացուցիչ պահեստներով ապահովմանը, ինչպես նաև անձնակազմի մասնագիտական պատրաստականության բարձրացմանը:</w:t>
      </w:r>
    </w:p>
    <w:p w14:paraId="36BA866E" w14:textId="77777777" w:rsidR="007D1591" w:rsidRPr="00A83C94" w:rsidRDefault="007D1591" w:rsidP="007D1591">
      <w:pPr>
        <w:spacing w:before="0" w:line="276" w:lineRule="auto"/>
        <w:ind w:firstLine="562"/>
        <w:rPr>
          <w:rFonts w:eastAsia="GHEA Grapalat" w:cs="GHEA Grapalat"/>
          <w:b w:val="0"/>
          <w:bCs/>
          <w:lang w:val="hy-AM"/>
        </w:rPr>
      </w:pPr>
      <w:r w:rsidRPr="00A83C94">
        <w:rPr>
          <w:rFonts w:eastAsia="GHEA Grapalat" w:cs="GHEA Grapalat"/>
          <w:b w:val="0"/>
          <w:bCs/>
          <w:lang w:val="hy-AM"/>
        </w:rPr>
        <w:t xml:space="preserve">Ոլորտային քաղաքականության թիրախների (վերջնական արդյունքների) ապահովման նպատակով ՀՀ </w:t>
      </w:r>
      <w:r w:rsidRPr="00A83C94">
        <w:rPr>
          <w:rFonts w:eastAsia="GHEA Grapalat" w:cs="GHEA Grapalat"/>
          <w:b w:val="0"/>
          <w:bCs/>
        </w:rPr>
        <w:t>ազգային</w:t>
      </w:r>
      <w:r w:rsidRPr="00A83C94">
        <w:rPr>
          <w:rFonts w:eastAsia="GHEA Grapalat" w:cs="GHEA Grapalat"/>
          <w:b w:val="0"/>
          <w:bCs/>
          <w:lang w:val="it-IT"/>
        </w:rPr>
        <w:t xml:space="preserve"> </w:t>
      </w:r>
      <w:r w:rsidRPr="00A83C94">
        <w:rPr>
          <w:rFonts w:eastAsia="GHEA Grapalat" w:cs="GHEA Grapalat"/>
          <w:b w:val="0"/>
          <w:bCs/>
        </w:rPr>
        <w:t>անվտանգության</w:t>
      </w:r>
      <w:r w:rsidRPr="00A83C94">
        <w:rPr>
          <w:rFonts w:eastAsia="GHEA Grapalat" w:cs="GHEA Grapalat"/>
          <w:b w:val="0"/>
          <w:bCs/>
          <w:lang w:val="it-IT"/>
        </w:rPr>
        <w:t xml:space="preserve"> </w:t>
      </w:r>
      <w:r w:rsidRPr="00A83C94">
        <w:rPr>
          <w:rFonts w:eastAsia="GHEA Grapalat" w:cs="GHEA Grapalat"/>
          <w:b w:val="0"/>
          <w:bCs/>
        </w:rPr>
        <w:t>ծառայության</w:t>
      </w:r>
      <w:r w:rsidRPr="00A83C94">
        <w:rPr>
          <w:rFonts w:eastAsia="GHEA Grapalat" w:cs="GHEA Grapalat"/>
          <w:b w:val="0"/>
          <w:bCs/>
          <w:lang w:val="hy-AM"/>
        </w:rPr>
        <w:t xml:space="preserve"> կողմից իրականցվում են հետևյալ ծրագրերը.</w:t>
      </w:r>
    </w:p>
    <w:p w14:paraId="2CC40DFE" w14:textId="00A2C53D" w:rsidR="007D1591" w:rsidRPr="00A83C94" w:rsidRDefault="007D1591" w:rsidP="007D1591">
      <w:pPr>
        <w:spacing w:before="0" w:line="276" w:lineRule="auto"/>
        <w:ind w:firstLine="562"/>
        <w:rPr>
          <w:rFonts w:cs="Times LatArm"/>
          <w:b w:val="0"/>
          <w:lang w:val="it-IT"/>
        </w:rPr>
      </w:pPr>
      <w:r w:rsidRPr="00A83C94">
        <w:rPr>
          <w:rFonts w:cs="Times LatArm"/>
          <w:lang w:val="hy-AM"/>
        </w:rPr>
        <w:t>Ազգային</w:t>
      </w:r>
      <w:r w:rsidRPr="00A83C94">
        <w:rPr>
          <w:rFonts w:cs="Times LatArm"/>
          <w:lang w:val="it-IT"/>
        </w:rPr>
        <w:t xml:space="preserve"> </w:t>
      </w:r>
      <w:r w:rsidRPr="00A83C94">
        <w:rPr>
          <w:rFonts w:cs="Times LatArm"/>
          <w:lang w:val="hy-AM"/>
        </w:rPr>
        <w:t>անվտանգություն</w:t>
      </w:r>
      <w:r w:rsidRPr="00A83C94">
        <w:rPr>
          <w:rFonts w:cs="Times LatArm"/>
          <w:b w:val="0"/>
          <w:lang w:val="it-IT"/>
        </w:rPr>
        <w:t xml:space="preserve"> </w:t>
      </w:r>
      <w:r w:rsidRPr="00A83C94">
        <w:rPr>
          <w:rFonts w:cs="Times LatArm"/>
          <w:b w:val="0"/>
          <w:lang w:val="hy-AM"/>
        </w:rPr>
        <w:t>ծրագիր</w:t>
      </w:r>
      <w:r w:rsidRPr="00A83C94">
        <w:rPr>
          <w:rFonts w:cs="Times LatArm"/>
          <w:b w:val="0"/>
          <w:lang w:val="it-IT"/>
        </w:rPr>
        <w:t>, որի</w:t>
      </w:r>
      <w:r w:rsidRPr="00A83C94">
        <w:rPr>
          <w:rFonts w:eastAsia="Calibri" w:cs="Sylfaen"/>
          <w:b w:val="0"/>
          <w:szCs w:val="20"/>
          <w:lang w:val="af-ZA"/>
        </w:rPr>
        <w:t xml:space="preserve"> շրջանակներում նախատեսվում է</w:t>
      </w:r>
      <w:r w:rsidRPr="00A83C94">
        <w:rPr>
          <w:rFonts w:eastAsia="Calibri" w:cs="Sylfaen"/>
          <w:b w:val="0"/>
          <w:szCs w:val="20"/>
          <w:lang w:val="hy-AM"/>
        </w:rPr>
        <w:t xml:space="preserve"> </w:t>
      </w:r>
      <w:r w:rsidRPr="00A83C94">
        <w:rPr>
          <w:b w:val="0"/>
          <w:szCs w:val="20"/>
          <w:lang w:val="hy-AM"/>
        </w:rPr>
        <w:t>ՀՀ</w:t>
      </w:r>
      <w:r w:rsidRPr="00A83C94">
        <w:rPr>
          <w:b w:val="0"/>
          <w:szCs w:val="20"/>
          <w:lang w:val="it-IT"/>
        </w:rPr>
        <w:t xml:space="preserve"> 2022 </w:t>
      </w:r>
      <w:r w:rsidRPr="00A83C94">
        <w:rPr>
          <w:b w:val="0"/>
          <w:szCs w:val="20"/>
          <w:lang w:val="hy-AM"/>
        </w:rPr>
        <w:t>թվականի</w:t>
      </w:r>
      <w:r w:rsidRPr="00A83C94">
        <w:rPr>
          <w:b w:val="0"/>
          <w:szCs w:val="20"/>
          <w:lang w:val="it-IT"/>
        </w:rPr>
        <w:t xml:space="preserve"> </w:t>
      </w:r>
      <w:r w:rsidRPr="00A83C94">
        <w:rPr>
          <w:b w:val="0"/>
          <w:szCs w:val="20"/>
          <w:lang w:val="hy-AM"/>
        </w:rPr>
        <w:t>պետական</w:t>
      </w:r>
      <w:r w:rsidRPr="00A83C94">
        <w:rPr>
          <w:b w:val="0"/>
          <w:szCs w:val="20"/>
          <w:lang w:val="it-IT"/>
        </w:rPr>
        <w:t xml:space="preserve"> </w:t>
      </w:r>
      <w:r w:rsidRPr="00A83C94">
        <w:rPr>
          <w:b w:val="0"/>
          <w:szCs w:val="20"/>
          <w:lang w:val="hy-AM"/>
        </w:rPr>
        <w:t>բյուջեի</w:t>
      </w:r>
      <w:r w:rsidRPr="00A83C94">
        <w:rPr>
          <w:b w:val="0"/>
          <w:szCs w:val="20"/>
          <w:lang w:val="it-IT"/>
        </w:rPr>
        <w:t xml:space="preserve"> </w:t>
      </w:r>
      <w:r w:rsidRPr="00A83C94">
        <w:rPr>
          <w:b w:val="0"/>
          <w:szCs w:val="20"/>
          <w:lang w:val="hy-AM"/>
        </w:rPr>
        <w:t>նախագծով</w:t>
      </w:r>
      <w:r w:rsidRPr="00A83C94">
        <w:rPr>
          <w:rFonts w:eastAsia="Calibri" w:cs="Sylfaen"/>
          <w:b w:val="0"/>
          <w:szCs w:val="20"/>
          <w:lang w:val="hy-AM"/>
        </w:rPr>
        <w:t xml:space="preserve"> հատկացնել 38,630.9 մլն դրամ կամ 7,604.9 մլն դրամով ավել ՀՀ 2021 թվականի պետական բյուջեի նկատմամբ՝</w:t>
      </w:r>
      <w:r w:rsidRPr="00A83C94">
        <w:rPr>
          <w:b w:val="0"/>
          <w:szCs w:val="20"/>
          <w:lang w:val="hy-AM"/>
        </w:rPr>
        <w:t xml:space="preserve"> պայմանավորված</w:t>
      </w:r>
      <w:r w:rsidRPr="00A83C94">
        <w:rPr>
          <w:b w:val="0"/>
          <w:szCs w:val="20"/>
          <w:lang w:val="it-IT"/>
        </w:rPr>
        <w:t xml:space="preserve"> </w:t>
      </w:r>
      <w:r w:rsidRPr="00A83C94">
        <w:rPr>
          <w:b w:val="0"/>
          <w:szCs w:val="20"/>
          <w:lang w:val="hy-AM"/>
        </w:rPr>
        <w:t>ծառայության</w:t>
      </w:r>
      <w:r w:rsidRPr="00A83C94">
        <w:rPr>
          <w:b w:val="0"/>
          <w:szCs w:val="20"/>
          <w:lang w:val="it-IT"/>
        </w:rPr>
        <w:t xml:space="preserve"> </w:t>
      </w:r>
      <w:r w:rsidRPr="00A83C94">
        <w:rPr>
          <w:b w:val="0"/>
          <w:szCs w:val="20"/>
          <w:lang w:val="hy-AM"/>
        </w:rPr>
        <w:t>բնականոն</w:t>
      </w:r>
      <w:r w:rsidRPr="00A83C94">
        <w:rPr>
          <w:b w:val="0"/>
          <w:szCs w:val="20"/>
          <w:lang w:val="it-IT"/>
        </w:rPr>
        <w:t xml:space="preserve"> </w:t>
      </w:r>
      <w:r w:rsidRPr="00A83C94">
        <w:rPr>
          <w:b w:val="0"/>
          <w:szCs w:val="20"/>
          <w:lang w:val="hy-AM"/>
        </w:rPr>
        <w:t>գործունեության</w:t>
      </w:r>
      <w:r w:rsidRPr="00A83C94">
        <w:rPr>
          <w:b w:val="0"/>
          <w:szCs w:val="20"/>
          <w:lang w:val="it-IT"/>
        </w:rPr>
        <w:t xml:space="preserve"> </w:t>
      </w:r>
      <w:r w:rsidRPr="00A83C94">
        <w:rPr>
          <w:b w:val="0"/>
          <w:szCs w:val="20"/>
          <w:lang w:val="hy-AM"/>
        </w:rPr>
        <w:t>ապահովման</w:t>
      </w:r>
      <w:r w:rsidRPr="00A83C94">
        <w:rPr>
          <w:b w:val="0"/>
          <w:szCs w:val="20"/>
          <w:lang w:val="it-IT"/>
        </w:rPr>
        <w:t xml:space="preserve"> </w:t>
      </w:r>
      <w:r w:rsidRPr="00A83C94">
        <w:rPr>
          <w:b w:val="0"/>
          <w:szCs w:val="20"/>
          <w:lang w:val="hy-AM"/>
        </w:rPr>
        <w:t>անհրաժեշտությամբ</w:t>
      </w:r>
      <w:r w:rsidRPr="00A83C94">
        <w:rPr>
          <w:b w:val="0"/>
          <w:szCs w:val="20"/>
          <w:lang w:val="it-IT"/>
        </w:rPr>
        <w:t>:</w:t>
      </w:r>
    </w:p>
    <w:p w14:paraId="78598F8E" w14:textId="26B2C40E" w:rsidR="007D1591" w:rsidRPr="00A83C94" w:rsidRDefault="007D1591" w:rsidP="007D1591">
      <w:pPr>
        <w:spacing w:before="0" w:line="276" w:lineRule="auto"/>
        <w:ind w:firstLine="562"/>
        <w:rPr>
          <w:b w:val="0"/>
          <w:szCs w:val="20"/>
          <w:lang w:val="hy-AM"/>
        </w:rPr>
      </w:pPr>
      <w:r w:rsidRPr="00A83C94">
        <w:rPr>
          <w:rFonts w:cs="Times LatArm"/>
        </w:rPr>
        <w:t>Պետական</w:t>
      </w:r>
      <w:r w:rsidRPr="00A83C94">
        <w:rPr>
          <w:rFonts w:cs="Times LatArm"/>
          <w:lang w:val="af-ZA"/>
        </w:rPr>
        <w:t xml:space="preserve"> </w:t>
      </w:r>
      <w:r w:rsidRPr="00A83C94">
        <w:rPr>
          <w:rFonts w:cs="Times LatArm"/>
        </w:rPr>
        <w:t>պահպ</w:t>
      </w:r>
      <w:r w:rsidRPr="00A83C94">
        <w:rPr>
          <w:rFonts w:cs="Times LatArm"/>
          <w:lang w:val="hy-AM"/>
        </w:rPr>
        <w:t>ա</w:t>
      </w:r>
      <w:r w:rsidRPr="00A83C94">
        <w:rPr>
          <w:rFonts w:cs="Times LatArm"/>
        </w:rPr>
        <w:t>նության</w:t>
      </w:r>
      <w:r w:rsidRPr="00A83C94">
        <w:rPr>
          <w:rFonts w:cs="Times LatArm"/>
          <w:lang w:val="af-ZA"/>
        </w:rPr>
        <w:t xml:space="preserve"> </w:t>
      </w:r>
      <w:r w:rsidRPr="00A83C94">
        <w:rPr>
          <w:rFonts w:cs="Times LatArm"/>
        </w:rPr>
        <w:t>ապահովում</w:t>
      </w:r>
      <w:r w:rsidRPr="00A83C94">
        <w:rPr>
          <w:rFonts w:cs="Times LatArm"/>
          <w:b w:val="0"/>
          <w:lang w:val="af-ZA"/>
        </w:rPr>
        <w:t xml:space="preserve"> </w:t>
      </w:r>
      <w:r w:rsidRPr="00A83C94">
        <w:rPr>
          <w:rFonts w:cs="Times LatArm"/>
          <w:b w:val="0"/>
          <w:lang w:val="hy-AM"/>
        </w:rPr>
        <w:t>ծրագիր</w:t>
      </w:r>
      <w:r w:rsidRPr="00A83C94">
        <w:rPr>
          <w:rFonts w:cs="Times LatArm"/>
          <w:b w:val="0"/>
          <w:lang w:val="af-ZA"/>
        </w:rPr>
        <w:t>,</w:t>
      </w:r>
      <w:r w:rsidRPr="00A83C94">
        <w:rPr>
          <w:rFonts w:cs="Times LatArm"/>
          <w:b w:val="0"/>
          <w:lang w:val="it-IT"/>
        </w:rPr>
        <w:t xml:space="preserve"> որի</w:t>
      </w:r>
      <w:r w:rsidRPr="00A83C94">
        <w:rPr>
          <w:rFonts w:eastAsia="Calibri" w:cs="Sylfaen"/>
          <w:b w:val="0"/>
          <w:szCs w:val="20"/>
          <w:lang w:val="af-ZA"/>
        </w:rPr>
        <w:t xml:space="preserve"> շրջանակներում նախատեսվում է</w:t>
      </w:r>
      <w:r w:rsidRPr="00A83C94">
        <w:rPr>
          <w:rFonts w:eastAsia="Calibri" w:cs="Sylfaen"/>
          <w:b w:val="0"/>
          <w:szCs w:val="20"/>
          <w:lang w:val="hy-AM"/>
        </w:rPr>
        <w:t xml:space="preserve"> </w:t>
      </w:r>
      <w:r w:rsidRPr="00A83C94">
        <w:rPr>
          <w:b w:val="0"/>
          <w:szCs w:val="20"/>
          <w:lang w:val="hy-AM"/>
        </w:rPr>
        <w:t>ՀՀ</w:t>
      </w:r>
      <w:r w:rsidRPr="00A83C94">
        <w:rPr>
          <w:b w:val="0"/>
          <w:szCs w:val="20"/>
          <w:lang w:val="it-IT"/>
        </w:rPr>
        <w:t xml:space="preserve"> 2022 </w:t>
      </w:r>
      <w:r w:rsidRPr="00A83C94">
        <w:rPr>
          <w:b w:val="0"/>
          <w:szCs w:val="20"/>
          <w:lang w:val="hy-AM"/>
        </w:rPr>
        <w:t>թվականի</w:t>
      </w:r>
      <w:r w:rsidRPr="00A83C94">
        <w:rPr>
          <w:b w:val="0"/>
          <w:szCs w:val="20"/>
          <w:lang w:val="it-IT"/>
        </w:rPr>
        <w:t xml:space="preserve"> </w:t>
      </w:r>
      <w:r w:rsidRPr="00A83C94">
        <w:rPr>
          <w:b w:val="0"/>
          <w:szCs w:val="20"/>
          <w:lang w:val="hy-AM"/>
        </w:rPr>
        <w:t>պետական</w:t>
      </w:r>
      <w:r w:rsidRPr="00A83C94">
        <w:rPr>
          <w:b w:val="0"/>
          <w:szCs w:val="20"/>
          <w:lang w:val="it-IT"/>
        </w:rPr>
        <w:t xml:space="preserve"> </w:t>
      </w:r>
      <w:r w:rsidRPr="00A83C94">
        <w:rPr>
          <w:b w:val="0"/>
          <w:szCs w:val="20"/>
          <w:lang w:val="hy-AM"/>
        </w:rPr>
        <w:t>բյուջեի</w:t>
      </w:r>
      <w:r w:rsidRPr="00A83C94">
        <w:rPr>
          <w:b w:val="0"/>
          <w:szCs w:val="20"/>
          <w:lang w:val="it-IT"/>
        </w:rPr>
        <w:t xml:space="preserve"> </w:t>
      </w:r>
      <w:r w:rsidRPr="00A83C94">
        <w:rPr>
          <w:b w:val="0"/>
          <w:szCs w:val="20"/>
          <w:lang w:val="hy-AM"/>
        </w:rPr>
        <w:t>նախագծով</w:t>
      </w:r>
      <w:r w:rsidRPr="00A83C94">
        <w:rPr>
          <w:rFonts w:eastAsia="Calibri" w:cs="Sylfaen"/>
          <w:b w:val="0"/>
          <w:szCs w:val="20"/>
          <w:lang w:val="hy-AM"/>
        </w:rPr>
        <w:t xml:space="preserve"> հատկացնել 4,038.1 մլն դրամ կամ 331.2 մլն դրամով ավել ՀՀ 2021 թվականի պետական բյուջեի նկատմամբ՝</w:t>
      </w:r>
      <w:r w:rsidRPr="00A83C94">
        <w:rPr>
          <w:b w:val="0"/>
          <w:szCs w:val="20"/>
          <w:lang w:val="hy-AM"/>
        </w:rPr>
        <w:t xml:space="preserve"> պայմանավորված</w:t>
      </w:r>
      <w:r w:rsidRPr="00A83C94">
        <w:rPr>
          <w:b w:val="0"/>
          <w:szCs w:val="20"/>
          <w:lang w:val="it-IT"/>
        </w:rPr>
        <w:t xml:space="preserve"> </w:t>
      </w:r>
      <w:r w:rsidRPr="00A83C94">
        <w:rPr>
          <w:b w:val="0"/>
          <w:szCs w:val="20"/>
          <w:lang w:val="hy-AM"/>
        </w:rPr>
        <w:t>թափուր</w:t>
      </w:r>
      <w:r w:rsidRPr="00A83C94">
        <w:rPr>
          <w:b w:val="0"/>
          <w:szCs w:val="20"/>
          <w:lang w:val="af-ZA"/>
        </w:rPr>
        <w:t xml:space="preserve"> </w:t>
      </w:r>
      <w:r w:rsidRPr="00A83C94">
        <w:rPr>
          <w:b w:val="0"/>
          <w:szCs w:val="20"/>
          <w:lang w:val="hy-AM"/>
        </w:rPr>
        <w:t>հաստիքների</w:t>
      </w:r>
      <w:r w:rsidRPr="00A83C94">
        <w:rPr>
          <w:b w:val="0"/>
          <w:szCs w:val="20"/>
          <w:lang w:val="af-ZA"/>
        </w:rPr>
        <w:t xml:space="preserve"> </w:t>
      </w:r>
      <w:r w:rsidRPr="00A83C94">
        <w:rPr>
          <w:b w:val="0"/>
          <w:szCs w:val="20"/>
          <w:lang w:val="hy-AM"/>
        </w:rPr>
        <w:t>համալրմամբ և կապիտալ ծախսերի ավելացմամաբ</w:t>
      </w:r>
      <w:r w:rsidRPr="00A83C94">
        <w:rPr>
          <w:b w:val="0"/>
          <w:szCs w:val="20"/>
          <w:lang w:val="it-IT"/>
        </w:rPr>
        <w:t>:</w:t>
      </w:r>
    </w:p>
    <w:p w14:paraId="1EE522F7" w14:textId="77777777" w:rsidR="007D1591" w:rsidRPr="00A83C94" w:rsidRDefault="007D1591" w:rsidP="007D1591">
      <w:pPr>
        <w:spacing w:line="276" w:lineRule="auto"/>
        <w:ind w:firstLine="562"/>
        <w:rPr>
          <w:rFonts w:cs="Times LatArm"/>
          <w:b w:val="0"/>
          <w:sz w:val="24"/>
          <w:lang w:val="hy-AM"/>
        </w:rPr>
      </w:pPr>
    </w:p>
    <w:p w14:paraId="24478803" w14:textId="77777777" w:rsidR="00FC7885" w:rsidRPr="00A83C94" w:rsidRDefault="00FC7885" w:rsidP="00427D1F">
      <w:pPr>
        <w:keepNext/>
        <w:spacing w:before="0" w:line="276" w:lineRule="auto"/>
        <w:ind w:firstLine="0"/>
        <w:contextualSpacing w:val="0"/>
        <w:jc w:val="center"/>
        <w:outlineLvl w:val="2"/>
        <w:rPr>
          <w:rFonts w:cs="Arial"/>
          <w:sz w:val="24"/>
          <w:lang w:val="hy-AM" w:eastAsia="en-US"/>
        </w:rPr>
      </w:pPr>
      <w:bookmarkStart w:id="290" w:name="_Toc83996383"/>
      <w:r w:rsidRPr="00A83C94">
        <w:rPr>
          <w:rFonts w:cs="Arial"/>
          <w:sz w:val="24"/>
          <w:lang w:val="hy-AM" w:eastAsia="en-US"/>
        </w:rPr>
        <w:t>ՀՀ վարչապետի աշխատակազմ</w:t>
      </w:r>
      <w:bookmarkEnd w:id="290"/>
    </w:p>
    <w:p w14:paraId="050C6278" w14:textId="7C4F1105" w:rsidR="00836619" w:rsidRPr="0089541F" w:rsidRDefault="00836619" w:rsidP="00836619">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89541F">
        <w:rPr>
          <w:rFonts w:cs="Sylfaen"/>
          <w:b w:val="0"/>
          <w:color w:val="000000"/>
          <w:szCs w:val="22"/>
          <w:lang w:val="fr-FR"/>
        </w:rPr>
        <w:t xml:space="preserve">ՀՀ վարչապետի աշխատակազմի գծով </w:t>
      </w:r>
      <w:r w:rsidRPr="0089541F">
        <w:rPr>
          <w:b w:val="0"/>
          <w:color w:val="000000"/>
          <w:szCs w:val="22"/>
          <w:lang w:val="hy-AM" w:eastAsia="en-US"/>
        </w:rPr>
        <w:t xml:space="preserve">ՀՀ 2022 թվականի պետական բյուջեի նախագծով նախատեսվում է </w:t>
      </w:r>
      <w:r w:rsidR="0050059A" w:rsidRPr="0089541F">
        <w:rPr>
          <w:b w:val="0"/>
          <w:color w:val="000000"/>
          <w:szCs w:val="22"/>
          <w:lang w:val="hy-AM" w:eastAsia="en-US"/>
        </w:rPr>
        <w:t>19</w:t>
      </w:r>
      <w:r w:rsidRPr="0089541F">
        <w:rPr>
          <w:b w:val="0"/>
          <w:color w:val="000000"/>
          <w:szCs w:val="22"/>
          <w:lang w:val="hy-AM" w:eastAsia="en-US"/>
        </w:rPr>
        <w:t>,</w:t>
      </w:r>
      <w:r w:rsidR="0050059A" w:rsidRPr="0089541F">
        <w:rPr>
          <w:b w:val="0"/>
          <w:color w:val="000000"/>
          <w:szCs w:val="22"/>
          <w:lang w:val="hy-AM" w:eastAsia="en-US"/>
        </w:rPr>
        <w:t>675</w:t>
      </w:r>
      <w:r w:rsidRPr="0089541F">
        <w:rPr>
          <w:b w:val="0"/>
          <w:color w:val="000000"/>
          <w:szCs w:val="22"/>
          <w:lang w:val="hy-AM" w:eastAsia="en-US"/>
        </w:rPr>
        <w:t>.</w:t>
      </w:r>
      <w:r w:rsidR="00A01ED8" w:rsidRPr="0089541F">
        <w:rPr>
          <w:b w:val="0"/>
          <w:color w:val="000000"/>
          <w:szCs w:val="22"/>
          <w:lang w:val="hy-AM" w:eastAsia="en-US"/>
        </w:rPr>
        <w:t>3</w:t>
      </w:r>
      <w:r w:rsidRPr="0089541F">
        <w:rPr>
          <w:b w:val="0"/>
          <w:color w:val="000000"/>
          <w:szCs w:val="22"/>
          <w:lang w:val="hy-AM" w:eastAsia="en-US"/>
        </w:rPr>
        <w:t xml:space="preserve"> մլն դրամի ծախսեր </w:t>
      </w:r>
      <w:r w:rsidR="00427D1F" w:rsidRPr="0089541F">
        <w:rPr>
          <w:b w:val="0"/>
          <w:color w:val="000000"/>
          <w:szCs w:val="22"/>
          <w:lang w:val="hy-AM" w:eastAsia="en-US"/>
        </w:rPr>
        <w:t>(ներառյալ կառավարման ապարատի պահպանման ծախսերը)</w:t>
      </w:r>
      <w:r w:rsidRPr="0089541F">
        <w:rPr>
          <w:b w:val="0"/>
          <w:color w:val="000000"/>
          <w:szCs w:val="22"/>
          <w:lang w:val="hy-AM" w:eastAsia="en-US"/>
        </w:rPr>
        <w:t>:</w:t>
      </w:r>
      <w:r w:rsidRPr="0089541F">
        <w:rPr>
          <w:rFonts w:cs="Sylfaen"/>
          <w:b w:val="0"/>
          <w:szCs w:val="22"/>
          <w:lang w:val="hy-AM"/>
        </w:rPr>
        <w:t xml:space="preserve"> Հ</w:t>
      </w:r>
      <w:r w:rsidRPr="0089541F">
        <w:rPr>
          <w:rFonts w:cs="Sylfaen"/>
          <w:b w:val="0"/>
          <w:szCs w:val="22"/>
          <w:lang w:val="af-ZA"/>
        </w:rPr>
        <w:t>ատկացվելիք միջոցներն ուղղվելու են հետևյալ ծրագրերի իրականացմանը.</w:t>
      </w:r>
    </w:p>
    <w:p w14:paraId="02D97A30" w14:textId="3B87A516" w:rsidR="00FC690A" w:rsidRPr="0089541F" w:rsidRDefault="00FC7885" w:rsidP="00FC690A">
      <w:pPr>
        <w:pStyle w:val="ListParagraph"/>
        <w:spacing w:before="0" w:line="276" w:lineRule="auto"/>
        <w:ind w:left="0"/>
        <w:rPr>
          <w:b w:val="0"/>
          <w:lang w:val="hy-AM"/>
        </w:rPr>
      </w:pPr>
      <w:r w:rsidRPr="0089541F">
        <w:rPr>
          <w:rFonts w:cs="Sylfaen"/>
          <w:bCs/>
          <w:szCs w:val="22"/>
          <w:lang w:val="af-ZA"/>
        </w:rPr>
        <w:t>ՀՀ Վարչապետի լիազորությունների իրականացման ապահովում</w:t>
      </w:r>
      <w:r w:rsidRPr="0089541F">
        <w:rPr>
          <w:rFonts w:cs="Sylfaen"/>
          <w:b w:val="0"/>
          <w:bCs/>
          <w:szCs w:val="22"/>
          <w:lang w:val="af-ZA"/>
        </w:rPr>
        <w:t xml:space="preserve"> </w:t>
      </w:r>
      <w:r w:rsidR="00FC690A" w:rsidRPr="0089541F">
        <w:rPr>
          <w:b w:val="0"/>
          <w:lang w:val="hy-AM"/>
        </w:rPr>
        <w:t>ծրագրի գծով 2022 թվականին նախատեսվել է հատկացնել 1,</w:t>
      </w:r>
      <w:r w:rsidR="00832A79" w:rsidRPr="0089541F">
        <w:rPr>
          <w:b w:val="0"/>
          <w:lang w:val="hy-AM"/>
        </w:rPr>
        <w:t>915</w:t>
      </w:r>
      <w:r w:rsidR="00FC690A" w:rsidRPr="0089541F">
        <w:rPr>
          <w:b w:val="0"/>
          <w:lang w:val="hy-AM"/>
        </w:rPr>
        <w:t>.</w:t>
      </w:r>
      <w:r w:rsidR="00832A79" w:rsidRPr="0089541F">
        <w:rPr>
          <w:b w:val="0"/>
          <w:lang w:val="hy-AM"/>
        </w:rPr>
        <w:t>7</w:t>
      </w:r>
      <w:r w:rsidR="00FC690A" w:rsidRPr="0089541F">
        <w:rPr>
          <w:b w:val="0"/>
          <w:lang w:val="hy-AM"/>
        </w:rPr>
        <w:t xml:space="preserve"> մլն դրամ (առանց </w:t>
      </w:r>
      <w:r w:rsidR="00FC690A" w:rsidRPr="0089541F">
        <w:rPr>
          <w:b w:val="0"/>
          <w:color w:val="000000"/>
          <w:szCs w:val="22"/>
          <w:lang w:val="hy-AM" w:eastAsia="en-US"/>
        </w:rPr>
        <w:t>կառավարման ապարատի պահպանման ծախսերի</w:t>
      </w:r>
      <w:r w:rsidR="00FC690A" w:rsidRPr="0089541F">
        <w:rPr>
          <w:b w:val="0"/>
          <w:lang w:val="hy-AM"/>
        </w:rPr>
        <w:t>):</w:t>
      </w:r>
    </w:p>
    <w:p w14:paraId="3DB2AA3D" w14:textId="7282112A" w:rsidR="000B4927" w:rsidRPr="0089541F" w:rsidRDefault="000B4927" w:rsidP="00FC690A">
      <w:pPr>
        <w:tabs>
          <w:tab w:val="left" w:pos="851"/>
        </w:tabs>
        <w:spacing w:before="0" w:line="276" w:lineRule="auto"/>
        <w:ind w:firstLine="720"/>
        <w:rPr>
          <w:rFonts w:cs="Sylfaen"/>
          <w:b w:val="0"/>
          <w:bCs/>
          <w:szCs w:val="22"/>
          <w:lang w:val="fr-FR"/>
        </w:rPr>
      </w:pPr>
      <w:r w:rsidRPr="0089541F">
        <w:rPr>
          <w:rFonts w:cs="Sylfaen"/>
          <w:b w:val="0"/>
          <w:bCs/>
          <w:szCs w:val="22"/>
          <w:lang w:val="fr-FR"/>
        </w:rPr>
        <w:t>Ծրագրի նպատակն</w:t>
      </w:r>
      <w:r w:rsidR="00EE7134" w:rsidRPr="0089541F">
        <w:rPr>
          <w:rFonts w:cs="Sylfaen"/>
          <w:b w:val="0"/>
          <w:bCs/>
          <w:szCs w:val="22"/>
          <w:lang w:val="fr-FR"/>
        </w:rPr>
        <w:t>երից</w:t>
      </w:r>
      <w:r w:rsidRPr="0089541F">
        <w:rPr>
          <w:rFonts w:cs="Sylfaen"/>
          <w:b w:val="0"/>
          <w:bCs/>
          <w:szCs w:val="22"/>
          <w:lang w:val="fr-FR"/>
        </w:rPr>
        <w:t xml:space="preserve"> է աջակցել օտարերկրյա ուղղակի ներդրումների ներգրավման</w:t>
      </w:r>
      <w:r w:rsidR="00EE7134" w:rsidRPr="0089541F">
        <w:rPr>
          <w:rFonts w:cs="Sylfaen"/>
          <w:b w:val="0"/>
          <w:bCs/>
          <w:szCs w:val="22"/>
          <w:lang w:val="fr-FR"/>
        </w:rPr>
        <w:t>ը</w:t>
      </w:r>
      <w:r w:rsidRPr="0089541F">
        <w:rPr>
          <w:rFonts w:cs="Sylfaen"/>
          <w:b w:val="0"/>
          <w:bCs/>
          <w:szCs w:val="22"/>
          <w:lang w:val="fr-FR"/>
        </w:rPr>
        <w:t>, ներդրողներին խորհրդատվության և աջակցության տրամադրման</w:t>
      </w:r>
      <w:r w:rsidR="00EE7134" w:rsidRPr="0089541F">
        <w:rPr>
          <w:rFonts w:cs="Sylfaen"/>
          <w:b w:val="0"/>
          <w:bCs/>
          <w:szCs w:val="22"/>
          <w:lang w:val="fr-FR"/>
        </w:rPr>
        <w:t>ը</w:t>
      </w:r>
      <w:r w:rsidRPr="0089541F">
        <w:rPr>
          <w:rFonts w:cs="Sylfaen"/>
          <w:b w:val="0"/>
          <w:bCs/>
          <w:szCs w:val="22"/>
          <w:lang w:val="fr-FR"/>
        </w:rPr>
        <w:t>, օտարերկրյա ներդրումային ծրագրերին բաժնեմասնակցության</w:t>
      </w:r>
      <w:r w:rsidR="00EE7134" w:rsidRPr="0089541F">
        <w:rPr>
          <w:rFonts w:cs="Sylfaen"/>
          <w:b w:val="0"/>
          <w:bCs/>
          <w:szCs w:val="22"/>
          <w:lang w:val="fr-FR"/>
        </w:rPr>
        <w:t>ը</w:t>
      </w:r>
      <w:r w:rsidRPr="0089541F">
        <w:rPr>
          <w:rFonts w:cs="Sylfaen"/>
          <w:b w:val="0"/>
          <w:bCs/>
          <w:szCs w:val="22"/>
          <w:lang w:val="fr-FR"/>
        </w:rPr>
        <w:t>, ՊՄԳ ոլորտի զարգացման խթանման</w:t>
      </w:r>
      <w:r w:rsidR="00EE7134" w:rsidRPr="0089541F">
        <w:rPr>
          <w:rFonts w:cs="Sylfaen"/>
          <w:b w:val="0"/>
          <w:bCs/>
          <w:szCs w:val="22"/>
          <w:lang w:val="fr-FR"/>
        </w:rPr>
        <w:t>ը</w:t>
      </w:r>
      <w:r w:rsidRPr="0089541F">
        <w:rPr>
          <w:rFonts w:cs="Sylfaen"/>
          <w:b w:val="0"/>
          <w:bCs/>
          <w:szCs w:val="22"/>
          <w:lang w:val="fr-FR"/>
        </w:rPr>
        <w:t>, ՊՄԳ ծրագրերի զարգացման աջակցության</w:t>
      </w:r>
      <w:r w:rsidR="00EE7134" w:rsidRPr="0089541F">
        <w:rPr>
          <w:rFonts w:cs="Sylfaen"/>
          <w:b w:val="0"/>
          <w:bCs/>
          <w:szCs w:val="22"/>
          <w:lang w:val="fr-FR"/>
        </w:rPr>
        <w:t>ը</w:t>
      </w:r>
      <w:r w:rsidRPr="0089541F">
        <w:rPr>
          <w:rFonts w:cs="Sylfaen"/>
          <w:b w:val="0"/>
          <w:bCs/>
          <w:szCs w:val="22"/>
          <w:lang w:val="fr-FR"/>
        </w:rPr>
        <w:t>:</w:t>
      </w:r>
    </w:p>
    <w:p w14:paraId="1CBBEAE2" w14:textId="497B9F27" w:rsidR="00FC690A" w:rsidRPr="0089541F" w:rsidRDefault="00FC7885" w:rsidP="00FC690A">
      <w:pPr>
        <w:pStyle w:val="ListParagraph"/>
        <w:spacing w:before="0" w:line="276" w:lineRule="auto"/>
        <w:ind w:left="0"/>
        <w:rPr>
          <w:b w:val="0"/>
          <w:lang w:val="hy-AM"/>
        </w:rPr>
      </w:pPr>
      <w:r w:rsidRPr="0089541F">
        <w:rPr>
          <w:rFonts w:cs="Times Armenian"/>
          <w:szCs w:val="22"/>
          <w:lang w:val="af-ZA"/>
        </w:rPr>
        <w:t xml:space="preserve">Տեսչական վերահսկողության </w:t>
      </w:r>
      <w:r w:rsidR="00FC690A" w:rsidRPr="0089541F">
        <w:rPr>
          <w:b w:val="0"/>
          <w:lang w:val="hy-AM"/>
        </w:rPr>
        <w:t>ծրագրի գծով 2022 թվականին նախատեսվել է հատկացնել 46.0 մլն դրամ</w:t>
      </w:r>
      <w:r w:rsidR="00FC690A" w:rsidRPr="0089541F">
        <w:rPr>
          <w:b w:val="0"/>
          <w:lang w:val="fr-FR"/>
        </w:rPr>
        <w:t xml:space="preserve"> </w:t>
      </w:r>
      <w:r w:rsidR="00FC690A" w:rsidRPr="0089541F">
        <w:rPr>
          <w:b w:val="0"/>
          <w:lang w:val="hy-AM"/>
        </w:rPr>
        <w:t xml:space="preserve">(առանց </w:t>
      </w:r>
      <w:r w:rsidR="00FC690A" w:rsidRPr="0089541F">
        <w:rPr>
          <w:b w:val="0"/>
          <w:color w:val="000000"/>
          <w:szCs w:val="22"/>
          <w:lang w:val="hy-AM" w:eastAsia="en-US"/>
        </w:rPr>
        <w:t>կառավարման ապարատի պահպանման ծախսերի</w:t>
      </w:r>
      <w:r w:rsidR="00FC690A" w:rsidRPr="0089541F">
        <w:rPr>
          <w:b w:val="0"/>
          <w:lang w:val="hy-AM"/>
        </w:rPr>
        <w:t>):</w:t>
      </w:r>
    </w:p>
    <w:p w14:paraId="45CAAECF" w14:textId="19611123" w:rsidR="00FC7885" w:rsidRPr="0089541F" w:rsidRDefault="00FC7885" w:rsidP="00FC690A">
      <w:pPr>
        <w:spacing w:before="0" w:line="276" w:lineRule="auto"/>
        <w:ind w:firstLine="720"/>
        <w:rPr>
          <w:b w:val="0"/>
          <w:szCs w:val="22"/>
          <w:lang w:val="af-ZA"/>
        </w:rPr>
      </w:pPr>
      <w:r w:rsidRPr="0089541F">
        <w:rPr>
          <w:rFonts w:cs="Sylfaen"/>
          <w:b w:val="0"/>
          <w:szCs w:val="22"/>
          <w:lang w:val="af-ZA"/>
        </w:rPr>
        <w:t>Ծրագրի շրջանակներում</w:t>
      </w:r>
      <w:r w:rsidRPr="0089541F">
        <w:rPr>
          <w:rFonts w:cs="Times Armenian"/>
          <w:b w:val="0"/>
          <w:szCs w:val="22"/>
          <w:lang w:val="af-ZA"/>
        </w:rPr>
        <w:t xml:space="preserve"> </w:t>
      </w:r>
      <w:r w:rsidRPr="0089541F">
        <w:rPr>
          <w:rFonts w:cs="Sylfaen"/>
          <w:b w:val="0"/>
          <w:szCs w:val="22"/>
          <w:lang w:val="af-ZA"/>
        </w:rPr>
        <w:t>նախատեսվում</w:t>
      </w:r>
      <w:r w:rsidRPr="0089541F">
        <w:rPr>
          <w:rFonts w:cs="Times Armenian"/>
          <w:b w:val="0"/>
          <w:szCs w:val="22"/>
          <w:lang w:val="af-ZA"/>
        </w:rPr>
        <w:t xml:space="preserve"> </w:t>
      </w:r>
      <w:r w:rsidRPr="0089541F">
        <w:rPr>
          <w:rFonts w:cs="Sylfaen"/>
          <w:b w:val="0"/>
          <w:szCs w:val="22"/>
          <w:lang w:val="af-ZA"/>
        </w:rPr>
        <w:t>է</w:t>
      </w:r>
      <w:r w:rsidRPr="0089541F">
        <w:rPr>
          <w:rFonts w:cs="Times Armenian"/>
          <w:b w:val="0"/>
          <w:szCs w:val="22"/>
          <w:lang w:val="af-ZA"/>
        </w:rPr>
        <w:t xml:space="preserve"> </w:t>
      </w:r>
      <w:r w:rsidRPr="0089541F">
        <w:rPr>
          <w:rFonts w:cs="Sylfaen"/>
          <w:b w:val="0"/>
          <w:szCs w:val="22"/>
          <w:lang w:val="af-ZA"/>
        </w:rPr>
        <w:t>իրականացնել</w:t>
      </w:r>
      <w:r w:rsidRPr="0089541F">
        <w:rPr>
          <w:rFonts w:cs="Times Armenian"/>
          <w:b w:val="0"/>
          <w:szCs w:val="22"/>
          <w:lang w:val="af-ZA"/>
        </w:rPr>
        <w:t xml:space="preserve"> </w:t>
      </w:r>
      <w:r w:rsidRPr="0089541F">
        <w:rPr>
          <w:rFonts w:cs="Sylfaen"/>
          <w:b w:val="0"/>
          <w:szCs w:val="22"/>
          <w:lang w:val="af-ZA"/>
        </w:rPr>
        <w:t>հետևյալ միջոցառումները.</w:t>
      </w:r>
    </w:p>
    <w:p w14:paraId="0BA11052" w14:textId="20E9077F" w:rsidR="00FC7885" w:rsidRPr="0089541F" w:rsidRDefault="00E307A1" w:rsidP="00FC7885">
      <w:pPr>
        <w:spacing w:line="276" w:lineRule="auto"/>
        <w:ind w:firstLine="720"/>
        <w:rPr>
          <w:rFonts w:cs="Sylfaen"/>
          <w:b w:val="0"/>
          <w:bCs/>
          <w:szCs w:val="22"/>
          <w:lang w:val="fr-FR"/>
        </w:rPr>
      </w:pPr>
      <w:r>
        <w:rPr>
          <w:rFonts w:cs="Sylfaen"/>
          <w:b w:val="0"/>
          <w:bCs/>
          <w:szCs w:val="22"/>
          <w:lang w:val="fr-FR"/>
        </w:rPr>
        <w:t>- փ</w:t>
      </w:r>
      <w:r w:rsidR="00FC7885" w:rsidRPr="0089541F">
        <w:rPr>
          <w:rFonts w:cs="Sylfaen"/>
          <w:b w:val="0"/>
          <w:bCs/>
          <w:szCs w:val="22"/>
          <w:lang w:val="fr-FR"/>
        </w:rPr>
        <w:t>որձանմուշների ձեռքբերման</w:t>
      </w:r>
      <w:r>
        <w:rPr>
          <w:rFonts w:cs="Sylfaen"/>
          <w:b w:val="0"/>
          <w:bCs/>
          <w:szCs w:val="22"/>
          <w:lang w:val="hy-AM"/>
        </w:rPr>
        <w:t xml:space="preserve"> և</w:t>
      </w:r>
      <w:r w:rsidR="00FC7885" w:rsidRPr="0089541F">
        <w:rPr>
          <w:rFonts w:cs="Sylfaen"/>
          <w:b w:val="0"/>
          <w:bCs/>
          <w:szCs w:val="22"/>
          <w:lang w:val="fr-FR"/>
        </w:rPr>
        <w:t xml:space="preserve"> </w:t>
      </w:r>
      <w:r w:rsidRPr="0089541F">
        <w:rPr>
          <w:rFonts w:cs="Sylfaen"/>
          <w:b w:val="0"/>
          <w:bCs/>
          <w:szCs w:val="22"/>
          <w:lang w:val="fr-FR"/>
        </w:rPr>
        <w:t xml:space="preserve">փորձարկման </w:t>
      </w:r>
      <w:r w:rsidR="00FC7885" w:rsidRPr="0089541F">
        <w:rPr>
          <w:rFonts w:cs="Sylfaen"/>
          <w:b w:val="0"/>
          <w:bCs/>
          <w:szCs w:val="22"/>
          <w:lang w:val="fr-FR"/>
        </w:rPr>
        <w:t>ծախսեր,</w:t>
      </w:r>
    </w:p>
    <w:p w14:paraId="24F8649E" w14:textId="1D4350E9" w:rsidR="00FC7885" w:rsidRPr="0089541F" w:rsidRDefault="00FC7885" w:rsidP="00FC7885">
      <w:pPr>
        <w:spacing w:line="276" w:lineRule="auto"/>
        <w:ind w:firstLine="720"/>
        <w:rPr>
          <w:rFonts w:cs="Sylfaen"/>
          <w:b w:val="0"/>
          <w:bCs/>
          <w:szCs w:val="22"/>
          <w:lang w:val="fr-FR"/>
        </w:rPr>
      </w:pPr>
      <w:r w:rsidRPr="0089541F">
        <w:rPr>
          <w:rFonts w:cs="Sylfaen"/>
          <w:b w:val="0"/>
          <w:bCs/>
          <w:szCs w:val="22"/>
          <w:lang w:val="fr-FR"/>
        </w:rPr>
        <w:t xml:space="preserve">- </w:t>
      </w:r>
      <w:r w:rsidR="00E307A1">
        <w:rPr>
          <w:rFonts w:cs="Times Armenian"/>
          <w:b w:val="0"/>
          <w:szCs w:val="22"/>
          <w:lang w:val="af-ZA"/>
        </w:rPr>
        <w:t>շ</w:t>
      </w:r>
      <w:r w:rsidRPr="0089541F">
        <w:rPr>
          <w:rFonts w:cs="Times Armenian"/>
          <w:b w:val="0"/>
          <w:szCs w:val="22"/>
          <w:lang w:val="af-ZA"/>
        </w:rPr>
        <w:t>արժական լաբորատորիայի համար անհրաժեշտ ծախսեր</w:t>
      </w:r>
      <w:r w:rsidR="00E307A1">
        <w:rPr>
          <w:rFonts w:cs="Sylfaen"/>
          <w:b w:val="0"/>
          <w:bCs/>
          <w:szCs w:val="22"/>
          <w:lang w:val="fr-FR"/>
        </w:rPr>
        <w:t>,</w:t>
      </w:r>
    </w:p>
    <w:p w14:paraId="72915027" w14:textId="14EA4F1C" w:rsidR="00FC7885" w:rsidRPr="0089541F" w:rsidRDefault="00FC7885" w:rsidP="00FC690A">
      <w:pPr>
        <w:spacing w:line="276" w:lineRule="auto"/>
        <w:ind w:firstLine="720"/>
        <w:rPr>
          <w:rFonts w:cs="Sylfaen"/>
          <w:b w:val="0"/>
          <w:bCs/>
          <w:szCs w:val="22"/>
          <w:lang w:val="hy-AM"/>
        </w:rPr>
      </w:pPr>
      <w:r w:rsidRPr="0089541F">
        <w:rPr>
          <w:rFonts w:cs="Sylfaen"/>
          <w:b w:val="0"/>
          <w:bCs/>
          <w:szCs w:val="22"/>
          <w:lang w:val="fr-FR"/>
        </w:rPr>
        <w:t xml:space="preserve">- արտադրական կանեփի նկատմամբ վերահսկողության իրականացման ժամանակ փորձարկումների կատարում: </w:t>
      </w:r>
      <w:r w:rsidRPr="0089541F">
        <w:rPr>
          <w:rFonts w:cs="Sylfaen"/>
          <w:b w:val="0"/>
          <w:bCs/>
          <w:szCs w:val="22"/>
        </w:rPr>
        <w:t>Ծրագրի</w:t>
      </w:r>
      <w:r w:rsidRPr="0089541F">
        <w:rPr>
          <w:rFonts w:cs="Sylfaen"/>
          <w:b w:val="0"/>
          <w:bCs/>
          <w:szCs w:val="22"/>
          <w:lang w:val="fr-FR"/>
        </w:rPr>
        <w:t xml:space="preserve"> </w:t>
      </w:r>
      <w:r w:rsidRPr="0089541F">
        <w:rPr>
          <w:rFonts w:cs="Sylfaen"/>
          <w:b w:val="0"/>
          <w:bCs/>
          <w:szCs w:val="22"/>
        </w:rPr>
        <w:t>նպատակն</w:t>
      </w:r>
      <w:r w:rsidRPr="0089541F">
        <w:rPr>
          <w:rFonts w:cs="Sylfaen"/>
          <w:b w:val="0"/>
          <w:bCs/>
          <w:szCs w:val="22"/>
          <w:lang w:val="fr-FR"/>
        </w:rPr>
        <w:t xml:space="preserve"> </w:t>
      </w:r>
      <w:r w:rsidRPr="0089541F">
        <w:rPr>
          <w:rFonts w:cs="Sylfaen"/>
          <w:b w:val="0"/>
          <w:bCs/>
          <w:szCs w:val="22"/>
        </w:rPr>
        <w:t>է</w:t>
      </w:r>
      <w:r w:rsidRPr="0089541F">
        <w:rPr>
          <w:rFonts w:cs="Sylfaen"/>
          <w:b w:val="0"/>
          <w:bCs/>
          <w:szCs w:val="22"/>
          <w:lang w:val="fr-FR"/>
        </w:rPr>
        <w:t xml:space="preserve"> </w:t>
      </w:r>
      <w:r w:rsidRPr="0089541F">
        <w:rPr>
          <w:rFonts w:cs="Sylfaen"/>
          <w:b w:val="0"/>
          <w:bCs/>
          <w:szCs w:val="22"/>
        </w:rPr>
        <w:t>Հայաստանի</w:t>
      </w:r>
      <w:r w:rsidRPr="0089541F">
        <w:rPr>
          <w:rFonts w:cs="Sylfaen"/>
          <w:b w:val="0"/>
          <w:bCs/>
          <w:szCs w:val="22"/>
          <w:lang w:val="fr-FR"/>
        </w:rPr>
        <w:t xml:space="preserve"> </w:t>
      </w:r>
      <w:r w:rsidRPr="0089541F">
        <w:rPr>
          <w:rFonts w:cs="Sylfaen"/>
          <w:b w:val="0"/>
          <w:bCs/>
          <w:szCs w:val="22"/>
        </w:rPr>
        <w:t>Հանրապետությունում</w:t>
      </w:r>
      <w:r w:rsidRPr="0089541F">
        <w:rPr>
          <w:rFonts w:cs="Sylfaen"/>
          <w:b w:val="0"/>
          <w:bCs/>
          <w:szCs w:val="22"/>
          <w:lang w:val="fr-FR"/>
        </w:rPr>
        <w:t xml:space="preserve"> </w:t>
      </w:r>
      <w:r w:rsidRPr="0089541F">
        <w:rPr>
          <w:rFonts w:cs="Sylfaen"/>
          <w:b w:val="0"/>
          <w:bCs/>
          <w:szCs w:val="22"/>
        </w:rPr>
        <w:t>ապրանք</w:t>
      </w:r>
      <w:r w:rsidRPr="0089541F">
        <w:rPr>
          <w:rFonts w:cs="Sylfaen"/>
          <w:b w:val="0"/>
          <w:bCs/>
          <w:szCs w:val="22"/>
          <w:lang w:val="fr-FR"/>
        </w:rPr>
        <w:t xml:space="preserve"> </w:t>
      </w:r>
      <w:r w:rsidRPr="0089541F">
        <w:rPr>
          <w:rFonts w:cs="Sylfaen"/>
          <w:b w:val="0"/>
          <w:bCs/>
          <w:szCs w:val="22"/>
        </w:rPr>
        <w:t>արտադրողների</w:t>
      </w:r>
      <w:r w:rsidRPr="0089541F">
        <w:rPr>
          <w:rFonts w:cs="Sylfaen"/>
          <w:b w:val="0"/>
          <w:bCs/>
          <w:szCs w:val="22"/>
          <w:lang w:val="fr-FR"/>
        </w:rPr>
        <w:t xml:space="preserve"> </w:t>
      </w:r>
      <w:r w:rsidRPr="0089541F">
        <w:rPr>
          <w:rFonts w:cs="Sylfaen"/>
          <w:b w:val="0"/>
          <w:bCs/>
          <w:szCs w:val="22"/>
        </w:rPr>
        <w:t>և</w:t>
      </w:r>
      <w:r w:rsidRPr="0089541F">
        <w:rPr>
          <w:rFonts w:cs="Sylfaen"/>
          <w:b w:val="0"/>
          <w:bCs/>
          <w:szCs w:val="22"/>
          <w:lang w:val="fr-FR"/>
        </w:rPr>
        <w:t xml:space="preserve"> </w:t>
      </w:r>
      <w:r w:rsidRPr="0089541F">
        <w:rPr>
          <w:rFonts w:cs="Sylfaen"/>
          <w:b w:val="0"/>
          <w:bCs/>
          <w:szCs w:val="22"/>
        </w:rPr>
        <w:t>ծառայություն</w:t>
      </w:r>
      <w:r w:rsidRPr="0089541F">
        <w:rPr>
          <w:rFonts w:cs="Sylfaen"/>
          <w:b w:val="0"/>
          <w:bCs/>
          <w:szCs w:val="22"/>
          <w:lang w:val="fr-FR"/>
        </w:rPr>
        <w:t xml:space="preserve"> </w:t>
      </w:r>
      <w:r w:rsidRPr="0089541F">
        <w:rPr>
          <w:rFonts w:cs="Sylfaen"/>
          <w:b w:val="0"/>
          <w:bCs/>
          <w:szCs w:val="22"/>
        </w:rPr>
        <w:t>մատուցող</w:t>
      </w:r>
      <w:r w:rsidRPr="0089541F">
        <w:rPr>
          <w:rFonts w:cs="Sylfaen"/>
          <w:b w:val="0"/>
          <w:bCs/>
          <w:szCs w:val="22"/>
          <w:lang w:val="fr-FR"/>
        </w:rPr>
        <w:softHyphen/>
      </w:r>
      <w:r w:rsidRPr="0089541F">
        <w:rPr>
          <w:rFonts w:cs="Sylfaen"/>
          <w:b w:val="0"/>
          <w:bCs/>
          <w:szCs w:val="22"/>
        </w:rPr>
        <w:t>ների</w:t>
      </w:r>
      <w:r w:rsidRPr="0089541F">
        <w:rPr>
          <w:rFonts w:cs="Sylfaen"/>
          <w:b w:val="0"/>
          <w:bCs/>
          <w:szCs w:val="22"/>
          <w:lang w:val="fr-FR"/>
        </w:rPr>
        <w:t xml:space="preserve"> </w:t>
      </w:r>
      <w:r w:rsidRPr="0089541F">
        <w:rPr>
          <w:rFonts w:cs="Sylfaen"/>
          <w:b w:val="0"/>
          <w:bCs/>
          <w:szCs w:val="22"/>
        </w:rPr>
        <w:t>կողմից</w:t>
      </w:r>
      <w:r w:rsidRPr="0089541F">
        <w:rPr>
          <w:rFonts w:cs="Sylfaen"/>
          <w:b w:val="0"/>
          <w:bCs/>
          <w:szCs w:val="22"/>
          <w:lang w:val="fr-FR"/>
        </w:rPr>
        <w:t xml:space="preserve"> </w:t>
      </w:r>
      <w:r w:rsidRPr="0089541F">
        <w:rPr>
          <w:rFonts w:cs="Sylfaen"/>
          <w:b w:val="0"/>
          <w:bCs/>
          <w:szCs w:val="22"/>
        </w:rPr>
        <w:t>սպառողներին</w:t>
      </w:r>
      <w:r w:rsidRPr="0089541F">
        <w:rPr>
          <w:rFonts w:cs="Sylfaen"/>
          <w:b w:val="0"/>
          <w:bCs/>
          <w:szCs w:val="22"/>
          <w:lang w:val="fr-FR"/>
        </w:rPr>
        <w:t xml:space="preserve"> </w:t>
      </w:r>
      <w:r w:rsidRPr="0089541F">
        <w:rPr>
          <w:rFonts w:cs="Sylfaen"/>
          <w:b w:val="0"/>
          <w:bCs/>
          <w:szCs w:val="22"/>
        </w:rPr>
        <w:t>իրացվող</w:t>
      </w:r>
      <w:r w:rsidRPr="0089541F">
        <w:rPr>
          <w:rFonts w:cs="Sylfaen"/>
          <w:b w:val="0"/>
          <w:bCs/>
          <w:szCs w:val="22"/>
          <w:lang w:val="fr-FR"/>
        </w:rPr>
        <w:t xml:space="preserve"> </w:t>
      </w:r>
      <w:r w:rsidRPr="0089541F">
        <w:rPr>
          <w:rFonts w:cs="Sylfaen"/>
          <w:b w:val="0"/>
          <w:bCs/>
          <w:szCs w:val="22"/>
        </w:rPr>
        <w:t>արտադրանքի</w:t>
      </w:r>
      <w:r w:rsidRPr="0089541F">
        <w:rPr>
          <w:rFonts w:cs="Sylfaen"/>
          <w:b w:val="0"/>
          <w:bCs/>
          <w:szCs w:val="22"/>
          <w:lang w:val="fr-FR"/>
        </w:rPr>
        <w:t xml:space="preserve"> </w:t>
      </w:r>
      <w:r w:rsidRPr="0089541F">
        <w:rPr>
          <w:rFonts w:cs="Sylfaen"/>
          <w:b w:val="0"/>
          <w:bCs/>
          <w:szCs w:val="22"/>
        </w:rPr>
        <w:t>նկատմամբ</w:t>
      </w:r>
      <w:r w:rsidRPr="0089541F">
        <w:rPr>
          <w:rFonts w:cs="Sylfaen"/>
          <w:b w:val="0"/>
          <w:bCs/>
          <w:szCs w:val="22"/>
          <w:lang w:val="fr-FR"/>
        </w:rPr>
        <w:t xml:space="preserve"> </w:t>
      </w:r>
      <w:r w:rsidRPr="0089541F">
        <w:rPr>
          <w:rFonts w:cs="Sylfaen"/>
          <w:b w:val="0"/>
          <w:bCs/>
          <w:szCs w:val="22"/>
        </w:rPr>
        <w:t>պետական</w:t>
      </w:r>
      <w:r w:rsidRPr="0089541F">
        <w:rPr>
          <w:rFonts w:cs="Sylfaen"/>
          <w:b w:val="0"/>
          <w:bCs/>
          <w:szCs w:val="22"/>
          <w:lang w:val="fr-FR"/>
        </w:rPr>
        <w:t xml:space="preserve"> </w:t>
      </w:r>
      <w:r w:rsidRPr="0089541F">
        <w:rPr>
          <w:rFonts w:cs="Sylfaen"/>
          <w:b w:val="0"/>
          <w:bCs/>
          <w:szCs w:val="22"/>
        </w:rPr>
        <w:t>վերահսկողության</w:t>
      </w:r>
      <w:r w:rsidRPr="0089541F">
        <w:rPr>
          <w:rFonts w:cs="Sylfaen"/>
          <w:b w:val="0"/>
          <w:bCs/>
          <w:szCs w:val="22"/>
          <w:lang w:val="fr-FR"/>
        </w:rPr>
        <w:t xml:space="preserve"> </w:t>
      </w:r>
      <w:r w:rsidRPr="0089541F">
        <w:rPr>
          <w:rFonts w:cs="Sylfaen"/>
          <w:b w:val="0"/>
          <w:bCs/>
          <w:szCs w:val="22"/>
        </w:rPr>
        <w:t>իրականացումը</w:t>
      </w:r>
      <w:r w:rsidRPr="0089541F">
        <w:rPr>
          <w:rFonts w:cs="Sylfaen"/>
          <w:b w:val="0"/>
          <w:bCs/>
          <w:szCs w:val="22"/>
          <w:lang w:val="fr-FR"/>
        </w:rPr>
        <w:t xml:space="preserve">` </w:t>
      </w:r>
      <w:r w:rsidRPr="0089541F">
        <w:rPr>
          <w:rFonts w:cs="Sylfaen"/>
          <w:b w:val="0"/>
          <w:bCs/>
          <w:szCs w:val="22"/>
        </w:rPr>
        <w:t>ստանդարտացման</w:t>
      </w:r>
      <w:r w:rsidRPr="0089541F">
        <w:rPr>
          <w:rFonts w:cs="Sylfaen"/>
          <w:b w:val="0"/>
          <w:bCs/>
          <w:szCs w:val="22"/>
          <w:lang w:val="fr-FR"/>
        </w:rPr>
        <w:t xml:space="preserve"> </w:t>
      </w:r>
      <w:r w:rsidRPr="0089541F">
        <w:rPr>
          <w:rFonts w:cs="Sylfaen"/>
          <w:b w:val="0"/>
          <w:bCs/>
          <w:szCs w:val="22"/>
        </w:rPr>
        <w:t>և</w:t>
      </w:r>
      <w:r w:rsidRPr="0089541F">
        <w:rPr>
          <w:rFonts w:cs="Sylfaen"/>
          <w:b w:val="0"/>
          <w:bCs/>
          <w:szCs w:val="22"/>
          <w:lang w:val="fr-FR"/>
        </w:rPr>
        <w:t xml:space="preserve"> </w:t>
      </w:r>
      <w:r w:rsidRPr="0089541F">
        <w:rPr>
          <w:rFonts w:cs="Sylfaen"/>
          <w:b w:val="0"/>
          <w:bCs/>
          <w:szCs w:val="22"/>
        </w:rPr>
        <w:t>չափագիտական</w:t>
      </w:r>
      <w:r w:rsidRPr="0089541F">
        <w:rPr>
          <w:rFonts w:cs="Sylfaen"/>
          <w:b w:val="0"/>
          <w:bCs/>
          <w:szCs w:val="22"/>
          <w:lang w:val="fr-FR"/>
        </w:rPr>
        <w:t xml:space="preserve"> </w:t>
      </w:r>
      <w:r w:rsidRPr="0089541F">
        <w:rPr>
          <w:rFonts w:cs="Sylfaen"/>
          <w:b w:val="0"/>
          <w:bCs/>
          <w:szCs w:val="22"/>
        </w:rPr>
        <w:t>նորմերի</w:t>
      </w:r>
      <w:r w:rsidRPr="0089541F">
        <w:rPr>
          <w:rFonts w:cs="Sylfaen"/>
          <w:b w:val="0"/>
          <w:bCs/>
          <w:szCs w:val="22"/>
          <w:lang w:val="fr-FR"/>
        </w:rPr>
        <w:t xml:space="preserve"> </w:t>
      </w:r>
      <w:r w:rsidRPr="0089541F">
        <w:rPr>
          <w:rFonts w:cs="Sylfaen"/>
          <w:b w:val="0"/>
          <w:bCs/>
          <w:szCs w:val="22"/>
        </w:rPr>
        <w:t>ապահովման</w:t>
      </w:r>
      <w:r w:rsidRPr="0089541F">
        <w:rPr>
          <w:rFonts w:cs="Sylfaen"/>
          <w:b w:val="0"/>
          <w:bCs/>
          <w:szCs w:val="22"/>
          <w:lang w:val="fr-FR"/>
        </w:rPr>
        <w:t xml:space="preserve"> </w:t>
      </w:r>
      <w:r w:rsidRPr="0089541F">
        <w:rPr>
          <w:rFonts w:cs="Sylfaen"/>
          <w:b w:val="0"/>
          <w:bCs/>
          <w:szCs w:val="22"/>
        </w:rPr>
        <w:t>միջոցով</w:t>
      </w:r>
      <w:r w:rsidR="00FC690A" w:rsidRPr="0089541F">
        <w:rPr>
          <w:rFonts w:cs="Sylfaen"/>
          <w:b w:val="0"/>
          <w:bCs/>
          <w:szCs w:val="22"/>
          <w:lang w:val="hy-AM"/>
        </w:rPr>
        <w:t xml:space="preserve">, ինչպես նաև </w:t>
      </w:r>
      <w:r w:rsidRPr="0089541F">
        <w:rPr>
          <w:rFonts w:cs="Sylfaen"/>
          <w:b w:val="0"/>
          <w:bCs/>
          <w:szCs w:val="22"/>
          <w:lang w:val="fr-FR"/>
        </w:rPr>
        <w:t xml:space="preserve">սննդամթերքի անվտանգության և որակի ապահովման  բնագավառներում միջազգային չափորոշիչների պահանջներին համապատասխան իրականացնել լաբորատոր փորձաքննություններ:                                                                                                                                                                    </w:t>
      </w:r>
    </w:p>
    <w:p w14:paraId="7AE014C8" w14:textId="01C412EE" w:rsidR="00D647CE" w:rsidRPr="0089541F" w:rsidRDefault="00D647CE" w:rsidP="00832A79">
      <w:pPr>
        <w:pStyle w:val="ListParagraph"/>
        <w:spacing w:before="0" w:line="276" w:lineRule="auto"/>
        <w:ind w:left="0"/>
        <w:rPr>
          <w:b w:val="0"/>
          <w:noProof/>
          <w:szCs w:val="22"/>
          <w:lang w:val="hy-AM"/>
        </w:rPr>
      </w:pPr>
      <w:r w:rsidRPr="0089541F">
        <w:rPr>
          <w:noProof/>
          <w:szCs w:val="22"/>
          <w:lang w:val="hy-AM"/>
        </w:rPr>
        <w:t xml:space="preserve">Աջակցություն քաղաքական կուսակցություններին, հասարակական կազմակերպություններին և արհմիություններին </w:t>
      </w:r>
      <w:r w:rsidRPr="0089541F">
        <w:rPr>
          <w:b w:val="0"/>
          <w:noProof/>
          <w:szCs w:val="22"/>
          <w:lang w:val="hy-AM"/>
        </w:rPr>
        <w:t>ծրագրի նպատակն է</w:t>
      </w:r>
      <w:r w:rsidRPr="0089541F">
        <w:rPr>
          <w:b w:val="0"/>
          <w:noProof/>
          <w:szCs w:val="22"/>
          <w:lang w:val="af-ZA"/>
        </w:rPr>
        <w:t xml:space="preserve"> </w:t>
      </w:r>
      <w:r w:rsidRPr="0089541F">
        <w:rPr>
          <w:b w:val="0"/>
          <w:noProof/>
          <w:szCs w:val="22"/>
          <w:lang w:val="hy-AM"/>
        </w:rPr>
        <w:t>նպաստել քաղաքացիական հասարակության զարգացմանը</w:t>
      </w:r>
      <w:r w:rsidRPr="0089541F">
        <w:rPr>
          <w:b w:val="0"/>
          <w:noProof/>
          <w:szCs w:val="22"/>
          <w:lang w:val="af-ZA"/>
        </w:rPr>
        <w:t>:</w:t>
      </w:r>
      <w:r w:rsidRPr="0089541F">
        <w:rPr>
          <w:b w:val="0"/>
          <w:noProof/>
          <w:szCs w:val="22"/>
          <w:lang w:val="hy-AM"/>
        </w:rPr>
        <w:t xml:space="preserve"> Ծրագրի</w:t>
      </w:r>
      <w:r w:rsidRPr="0089541F">
        <w:rPr>
          <w:b w:val="0"/>
          <w:noProof/>
          <w:szCs w:val="22"/>
          <w:lang w:val="af-ZA"/>
        </w:rPr>
        <w:t xml:space="preserve"> </w:t>
      </w:r>
      <w:r w:rsidRPr="0089541F">
        <w:rPr>
          <w:b w:val="0"/>
          <w:noProof/>
          <w:szCs w:val="22"/>
          <w:lang w:val="hy-AM"/>
        </w:rPr>
        <w:t>շրջանակներում</w:t>
      </w:r>
      <w:r w:rsidRPr="0089541F">
        <w:rPr>
          <w:b w:val="0"/>
          <w:noProof/>
          <w:szCs w:val="22"/>
          <w:lang w:val="af-ZA"/>
        </w:rPr>
        <w:t xml:space="preserve"> </w:t>
      </w:r>
      <w:r w:rsidRPr="0089541F">
        <w:rPr>
          <w:b w:val="0"/>
          <w:noProof/>
          <w:szCs w:val="22"/>
          <w:lang w:val="hy-AM"/>
        </w:rPr>
        <w:t>հատկացումներն</w:t>
      </w:r>
      <w:r w:rsidRPr="0089541F">
        <w:rPr>
          <w:b w:val="0"/>
          <w:noProof/>
          <w:szCs w:val="22"/>
          <w:lang w:val="af-ZA"/>
        </w:rPr>
        <w:t xml:space="preserve"> </w:t>
      </w:r>
      <w:r w:rsidRPr="0089541F">
        <w:rPr>
          <w:b w:val="0"/>
          <w:noProof/>
          <w:szCs w:val="22"/>
          <w:lang w:val="hy-AM"/>
        </w:rPr>
        <w:t>ուղղվելու</w:t>
      </w:r>
      <w:r w:rsidRPr="0089541F">
        <w:rPr>
          <w:b w:val="0"/>
          <w:noProof/>
          <w:szCs w:val="22"/>
          <w:lang w:val="af-ZA"/>
        </w:rPr>
        <w:t xml:space="preserve"> </w:t>
      </w:r>
      <w:r w:rsidRPr="0089541F">
        <w:rPr>
          <w:b w:val="0"/>
          <w:noProof/>
          <w:szCs w:val="22"/>
          <w:lang w:val="hy-AM"/>
        </w:rPr>
        <w:t>են</w:t>
      </w:r>
      <w:r w:rsidRPr="0089541F">
        <w:rPr>
          <w:b w:val="0"/>
          <w:noProof/>
          <w:szCs w:val="22"/>
          <w:lang w:val="af-ZA"/>
        </w:rPr>
        <w:t xml:space="preserve"> </w:t>
      </w:r>
      <w:r w:rsidRPr="0089541F">
        <w:rPr>
          <w:b w:val="0"/>
          <w:noProof/>
          <w:szCs w:val="22"/>
          <w:lang w:val="hy-AM"/>
        </w:rPr>
        <w:t>պ</w:t>
      </w:r>
      <w:r w:rsidRPr="0089541F">
        <w:rPr>
          <w:b w:val="0"/>
          <w:noProof/>
          <w:szCs w:val="22"/>
          <w:lang w:val="af-ZA"/>
        </w:rPr>
        <w:t>ետական կառավարման գործընթացներին քաղաքացիական հասարակության մասնակցության ապահով</w:t>
      </w:r>
      <w:r w:rsidRPr="0089541F">
        <w:rPr>
          <w:b w:val="0"/>
          <w:noProof/>
          <w:szCs w:val="22"/>
          <w:lang w:val="hy-AM"/>
        </w:rPr>
        <w:t>մանը, հասարակական կազմակերպություններին աջակցմանը</w:t>
      </w:r>
      <w:r w:rsidRPr="0089541F">
        <w:rPr>
          <w:b w:val="0"/>
          <w:noProof/>
          <w:szCs w:val="22"/>
          <w:lang w:val="af-ZA"/>
        </w:rPr>
        <w:t>:</w:t>
      </w:r>
      <w:r w:rsidRPr="0089541F">
        <w:rPr>
          <w:b w:val="0"/>
          <w:noProof/>
          <w:szCs w:val="22"/>
          <w:lang w:val="hy-AM"/>
        </w:rPr>
        <w:t xml:space="preserve"> </w:t>
      </w:r>
      <w:r w:rsidRPr="0089541F">
        <w:rPr>
          <w:b w:val="0"/>
          <w:noProof/>
          <w:szCs w:val="22"/>
          <w:lang w:val="af-ZA"/>
        </w:rPr>
        <w:t></w:t>
      </w:r>
      <w:r w:rsidRPr="0089541F">
        <w:rPr>
          <w:b w:val="0"/>
          <w:noProof/>
          <w:szCs w:val="22"/>
          <w:lang w:val="hy-AM"/>
        </w:rPr>
        <w:t>Աջակցություն</w:t>
      </w:r>
      <w:r w:rsidRPr="0089541F">
        <w:rPr>
          <w:b w:val="0"/>
          <w:noProof/>
          <w:szCs w:val="22"/>
          <w:lang w:val="af-ZA"/>
        </w:rPr>
        <w:t xml:space="preserve"> </w:t>
      </w:r>
      <w:r w:rsidRPr="0089541F">
        <w:rPr>
          <w:b w:val="0"/>
          <w:noProof/>
          <w:szCs w:val="22"/>
          <w:lang w:val="hy-AM"/>
        </w:rPr>
        <w:t>քաղաքական</w:t>
      </w:r>
      <w:r w:rsidRPr="0089541F">
        <w:rPr>
          <w:b w:val="0"/>
          <w:noProof/>
          <w:szCs w:val="22"/>
          <w:lang w:val="af-ZA"/>
        </w:rPr>
        <w:t xml:space="preserve"> </w:t>
      </w:r>
      <w:r w:rsidRPr="0089541F">
        <w:rPr>
          <w:b w:val="0"/>
          <w:noProof/>
          <w:szCs w:val="22"/>
          <w:lang w:val="hy-AM"/>
        </w:rPr>
        <w:t>կուսակցություններին</w:t>
      </w:r>
      <w:r w:rsidRPr="0089541F">
        <w:rPr>
          <w:b w:val="0"/>
          <w:noProof/>
          <w:szCs w:val="22"/>
          <w:lang w:val="af-ZA"/>
        </w:rPr>
        <w:t xml:space="preserve">, </w:t>
      </w:r>
      <w:r w:rsidRPr="0089541F">
        <w:rPr>
          <w:b w:val="0"/>
          <w:noProof/>
          <w:szCs w:val="22"/>
          <w:lang w:val="hy-AM"/>
        </w:rPr>
        <w:t>հասարակական</w:t>
      </w:r>
      <w:r w:rsidRPr="0089541F">
        <w:rPr>
          <w:b w:val="0"/>
          <w:noProof/>
          <w:szCs w:val="22"/>
          <w:lang w:val="af-ZA"/>
        </w:rPr>
        <w:t xml:space="preserve"> </w:t>
      </w:r>
      <w:r w:rsidRPr="0089541F">
        <w:rPr>
          <w:b w:val="0"/>
          <w:noProof/>
          <w:szCs w:val="22"/>
          <w:lang w:val="hy-AM"/>
        </w:rPr>
        <w:t>կազմակերպություններին</w:t>
      </w:r>
      <w:r w:rsidRPr="0089541F">
        <w:rPr>
          <w:b w:val="0"/>
          <w:noProof/>
          <w:szCs w:val="22"/>
          <w:lang w:val="af-ZA"/>
        </w:rPr>
        <w:t xml:space="preserve"> </w:t>
      </w:r>
      <w:r w:rsidRPr="0089541F">
        <w:rPr>
          <w:b w:val="0"/>
          <w:noProof/>
          <w:szCs w:val="22"/>
          <w:lang w:val="hy-AM"/>
        </w:rPr>
        <w:t>և</w:t>
      </w:r>
      <w:r w:rsidRPr="0089541F">
        <w:rPr>
          <w:b w:val="0"/>
          <w:noProof/>
          <w:szCs w:val="22"/>
          <w:lang w:val="af-ZA"/>
        </w:rPr>
        <w:t xml:space="preserve"> </w:t>
      </w:r>
      <w:r w:rsidRPr="0089541F">
        <w:rPr>
          <w:b w:val="0"/>
          <w:noProof/>
          <w:szCs w:val="22"/>
          <w:lang w:val="hy-AM"/>
        </w:rPr>
        <w:t>արհմիություններին</w:t>
      </w:r>
      <w:r w:rsidRPr="0089541F">
        <w:rPr>
          <w:b w:val="0"/>
          <w:noProof/>
          <w:szCs w:val="22"/>
          <w:lang w:val="af-ZA"/>
        </w:rPr>
        <w:t xml:space="preserve">» </w:t>
      </w:r>
      <w:r w:rsidRPr="0089541F">
        <w:rPr>
          <w:b w:val="0"/>
          <w:noProof/>
          <w:szCs w:val="22"/>
          <w:lang w:val="hy-AM"/>
        </w:rPr>
        <w:t>ծրագրի</w:t>
      </w:r>
      <w:r w:rsidRPr="0089541F">
        <w:rPr>
          <w:b w:val="0"/>
          <w:noProof/>
          <w:szCs w:val="22"/>
          <w:lang w:val="af-ZA"/>
        </w:rPr>
        <w:t xml:space="preserve"> </w:t>
      </w:r>
      <w:r w:rsidRPr="0089541F">
        <w:rPr>
          <w:b w:val="0"/>
          <w:noProof/>
          <w:szCs w:val="22"/>
          <w:lang w:val="hy-AM"/>
        </w:rPr>
        <w:t>համար</w:t>
      </w:r>
      <w:r w:rsidRPr="0089541F">
        <w:rPr>
          <w:b w:val="0"/>
          <w:noProof/>
          <w:szCs w:val="22"/>
          <w:lang w:val="af-ZA"/>
        </w:rPr>
        <w:t xml:space="preserve"> </w:t>
      </w:r>
      <w:r w:rsidRPr="0089541F">
        <w:rPr>
          <w:b w:val="0"/>
          <w:noProof/>
          <w:szCs w:val="22"/>
          <w:lang w:val="hy-AM"/>
        </w:rPr>
        <w:t>Նախագծով</w:t>
      </w:r>
      <w:r w:rsidRPr="0089541F">
        <w:rPr>
          <w:b w:val="0"/>
          <w:noProof/>
          <w:szCs w:val="22"/>
          <w:lang w:val="af-ZA"/>
        </w:rPr>
        <w:t xml:space="preserve"> </w:t>
      </w:r>
      <w:r w:rsidRPr="0089541F">
        <w:rPr>
          <w:b w:val="0"/>
          <w:noProof/>
          <w:szCs w:val="22"/>
          <w:lang w:val="hy-AM"/>
        </w:rPr>
        <w:t>նախատեսվում</w:t>
      </w:r>
      <w:r w:rsidRPr="0089541F">
        <w:rPr>
          <w:b w:val="0"/>
          <w:noProof/>
          <w:szCs w:val="22"/>
          <w:lang w:val="af-ZA"/>
        </w:rPr>
        <w:t xml:space="preserve"> </w:t>
      </w:r>
      <w:r w:rsidRPr="0089541F">
        <w:rPr>
          <w:b w:val="0"/>
          <w:noProof/>
          <w:szCs w:val="22"/>
          <w:lang w:val="hy-AM"/>
        </w:rPr>
        <w:t>է</w:t>
      </w:r>
      <w:r w:rsidRPr="0089541F">
        <w:rPr>
          <w:b w:val="0"/>
          <w:noProof/>
          <w:szCs w:val="22"/>
          <w:lang w:val="af-ZA"/>
        </w:rPr>
        <w:t xml:space="preserve"> </w:t>
      </w:r>
      <w:r w:rsidRPr="0089541F">
        <w:rPr>
          <w:b w:val="0"/>
          <w:noProof/>
          <w:szCs w:val="22"/>
          <w:lang w:val="hy-AM"/>
        </w:rPr>
        <w:t>հատկացնել</w:t>
      </w:r>
      <w:r w:rsidRPr="0089541F">
        <w:rPr>
          <w:b w:val="0"/>
          <w:noProof/>
          <w:szCs w:val="22"/>
          <w:lang w:val="af-ZA"/>
        </w:rPr>
        <w:t xml:space="preserve"> </w:t>
      </w:r>
      <w:r w:rsidR="00832A79" w:rsidRPr="0089541F">
        <w:rPr>
          <w:b w:val="0"/>
          <w:noProof/>
          <w:szCs w:val="22"/>
          <w:lang w:val="hy-AM"/>
        </w:rPr>
        <w:t>61</w:t>
      </w:r>
      <w:r w:rsidRPr="0089541F">
        <w:rPr>
          <w:b w:val="0"/>
          <w:noProof/>
          <w:szCs w:val="22"/>
          <w:lang w:val="af-ZA"/>
        </w:rPr>
        <w:t xml:space="preserve">.8 </w:t>
      </w:r>
      <w:r w:rsidRPr="0089541F">
        <w:rPr>
          <w:b w:val="0"/>
          <w:noProof/>
          <w:szCs w:val="22"/>
          <w:lang w:val="hy-AM"/>
        </w:rPr>
        <w:t>մլն</w:t>
      </w:r>
      <w:r w:rsidRPr="0089541F">
        <w:rPr>
          <w:b w:val="0"/>
          <w:noProof/>
          <w:szCs w:val="22"/>
          <w:lang w:val="af-ZA"/>
        </w:rPr>
        <w:t xml:space="preserve"> </w:t>
      </w:r>
      <w:r w:rsidRPr="0089541F">
        <w:rPr>
          <w:b w:val="0"/>
          <w:noProof/>
          <w:szCs w:val="22"/>
          <w:lang w:val="hy-AM"/>
        </w:rPr>
        <w:t>դրամ</w:t>
      </w:r>
      <w:r w:rsidR="00832A79" w:rsidRPr="0089541F">
        <w:rPr>
          <w:b w:val="0"/>
          <w:noProof/>
          <w:szCs w:val="22"/>
          <w:lang w:val="hy-AM"/>
        </w:rPr>
        <w:t xml:space="preserve"> </w:t>
      </w:r>
      <w:r w:rsidR="00832A79" w:rsidRPr="0089541F">
        <w:rPr>
          <w:b w:val="0"/>
          <w:lang w:val="hy-AM"/>
        </w:rPr>
        <w:t xml:space="preserve">առանց </w:t>
      </w:r>
      <w:r w:rsidR="00832A79" w:rsidRPr="0089541F">
        <w:rPr>
          <w:b w:val="0"/>
          <w:color w:val="000000"/>
          <w:szCs w:val="22"/>
          <w:lang w:val="hy-AM" w:eastAsia="en-US"/>
        </w:rPr>
        <w:t>կառավարման ապարատի պահպանման ծախսերի</w:t>
      </w:r>
      <w:r w:rsidR="00832A79" w:rsidRPr="0089541F">
        <w:rPr>
          <w:b w:val="0"/>
          <w:lang w:val="hy-AM"/>
        </w:rPr>
        <w:t>)</w:t>
      </w:r>
      <w:r w:rsidRPr="0089541F">
        <w:rPr>
          <w:b w:val="0"/>
          <w:noProof/>
          <w:szCs w:val="22"/>
          <w:lang w:val="hy-AM"/>
        </w:rPr>
        <w:t>՝</w:t>
      </w:r>
      <w:r w:rsidRPr="0089541F">
        <w:rPr>
          <w:b w:val="0"/>
          <w:noProof/>
          <w:szCs w:val="22"/>
          <w:lang w:val="af-ZA"/>
        </w:rPr>
        <w:t xml:space="preserve"> </w:t>
      </w:r>
      <w:r w:rsidRPr="0089541F">
        <w:rPr>
          <w:b w:val="0"/>
          <w:noProof/>
          <w:szCs w:val="22"/>
          <w:lang w:val="hy-AM"/>
        </w:rPr>
        <w:t>ՀՀ</w:t>
      </w:r>
      <w:r w:rsidRPr="0089541F">
        <w:rPr>
          <w:b w:val="0"/>
          <w:noProof/>
          <w:szCs w:val="22"/>
          <w:lang w:val="af-ZA"/>
        </w:rPr>
        <w:t xml:space="preserve"> 20</w:t>
      </w:r>
      <w:r w:rsidRPr="0089541F">
        <w:rPr>
          <w:b w:val="0"/>
          <w:noProof/>
          <w:szCs w:val="22"/>
          <w:lang w:val="hy-AM"/>
        </w:rPr>
        <w:t>2</w:t>
      </w:r>
      <w:r w:rsidRPr="0089541F">
        <w:rPr>
          <w:b w:val="0"/>
          <w:noProof/>
          <w:szCs w:val="22"/>
          <w:lang w:val="af-ZA"/>
        </w:rPr>
        <w:t xml:space="preserve">1 </w:t>
      </w:r>
      <w:r w:rsidRPr="0089541F">
        <w:rPr>
          <w:b w:val="0"/>
          <w:noProof/>
          <w:szCs w:val="22"/>
          <w:lang w:val="hy-AM"/>
        </w:rPr>
        <w:t>թվականի</w:t>
      </w:r>
      <w:r w:rsidRPr="0089541F">
        <w:rPr>
          <w:b w:val="0"/>
          <w:noProof/>
          <w:szCs w:val="22"/>
          <w:lang w:val="af-ZA"/>
        </w:rPr>
        <w:t xml:space="preserve"> </w:t>
      </w:r>
      <w:r w:rsidRPr="0089541F">
        <w:rPr>
          <w:b w:val="0"/>
          <w:noProof/>
          <w:szCs w:val="22"/>
          <w:lang w:val="hy-AM"/>
        </w:rPr>
        <w:t>պետական</w:t>
      </w:r>
      <w:r w:rsidRPr="0089541F">
        <w:rPr>
          <w:b w:val="0"/>
          <w:noProof/>
          <w:szCs w:val="22"/>
          <w:lang w:val="af-ZA"/>
        </w:rPr>
        <w:t xml:space="preserve"> </w:t>
      </w:r>
      <w:r w:rsidRPr="0089541F">
        <w:rPr>
          <w:b w:val="0"/>
          <w:noProof/>
          <w:szCs w:val="22"/>
          <w:lang w:val="hy-AM"/>
        </w:rPr>
        <w:t>բյուջեով</w:t>
      </w:r>
      <w:r w:rsidRPr="0089541F">
        <w:rPr>
          <w:b w:val="0"/>
          <w:noProof/>
          <w:szCs w:val="22"/>
          <w:lang w:val="af-ZA"/>
        </w:rPr>
        <w:t xml:space="preserve"> </w:t>
      </w:r>
      <w:r w:rsidRPr="0089541F">
        <w:rPr>
          <w:b w:val="0"/>
          <w:noProof/>
          <w:szCs w:val="22"/>
          <w:lang w:val="hy-AM"/>
        </w:rPr>
        <w:t>հաստատված</w:t>
      </w:r>
      <w:r w:rsidR="004C00D9" w:rsidRPr="0089541F">
        <w:rPr>
          <w:b w:val="0"/>
          <w:noProof/>
          <w:szCs w:val="22"/>
          <w:lang w:val="af-ZA"/>
        </w:rPr>
        <w:t xml:space="preserve"> 1</w:t>
      </w:r>
      <w:r w:rsidR="00832A79" w:rsidRPr="0089541F">
        <w:rPr>
          <w:b w:val="0"/>
          <w:noProof/>
          <w:szCs w:val="22"/>
          <w:lang w:val="hy-AM"/>
        </w:rPr>
        <w:t>62</w:t>
      </w:r>
      <w:r w:rsidRPr="0089541F">
        <w:rPr>
          <w:b w:val="0"/>
          <w:noProof/>
          <w:szCs w:val="22"/>
          <w:lang w:val="af-ZA"/>
        </w:rPr>
        <w:t>.</w:t>
      </w:r>
      <w:r w:rsidRPr="0089541F">
        <w:rPr>
          <w:b w:val="0"/>
          <w:noProof/>
          <w:szCs w:val="22"/>
          <w:lang w:val="hy-AM"/>
        </w:rPr>
        <w:t>7</w:t>
      </w:r>
      <w:r w:rsidRPr="0089541F">
        <w:rPr>
          <w:b w:val="0"/>
          <w:noProof/>
          <w:szCs w:val="22"/>
          <w:lang w:val="af-ZA"/>
        </w:rPr>
        <w:t xml:space="preserve"> </w:t>
      </w:r>
      <w:r w:rsidRPr="0089541F">
        <w:rPr>
          <w:b w:val="0"/>
          <w:noProof/>
          <w:szCs w:val="22"/>
          <w:lang w:val="hy-AM"/>
        </w:rPr>
        <w:t>մլն</w:t>
      </w:r>
      <w:r w:rsidRPr="0089541F">
        <w:rPr>
          <w:b w:val="0"/>
          <w:noProof/>
          <w:szCs w:val="22"/>
          <w:lang w:val="af-ZA"/>
        </w:rPr>
        <w:t xml:space="preserve"> </w:t>
      </w:r>
      <w:r w:rsidRPr="0089541F">
        <w:rPr>
          <w:b w:val="0"/>
          <w:noProof/>
          <w:szCs w:val="22"/>
          <w:lang w:val="hy-AM"/>
        </w:rPr>
        <w:t>դրամի</w:t>
      </w:r>
      <w:r w:rsidRPr="0089541F">
        <w:rPr>
          <w:b w:val="0"/>
          <w:noProof/>
          <w:szCs w:val="22"/>
          <w:lang w:val="af-ZA"/>
        </w:rPr>
        <w:t xml:space="preserve"> </w:t>
      </w:r>
      <w:r w:rsidRPr="0089541F">
        <w:rPr>
          <w:b w:val="0"/>
          <w:noProof/>
          <w:szCs w:val="22"/>
          <w:lang w:val="hy-AM"/>
        </w:rPr>
        <w:t>դիմաց</w:t>
      </w:r>
      <w:r w:rsidRPr="0089541F">
        <w:rPr>
          <w:b w:val="0"/>
          <w:noProof/>
          <w:szCs w:val="22"/>
          <w:lang w:val="af-ZA"/>
        </w:rPr>
        <w:t>:</w:t>
      </w:r>
      <w:r w:rsidRPr="0089541F">
        <w:rPr>
          <w:b w:val="0"/>
          <w:noProof/>
          <w:szCs w:val="22"/>
          <w:lang w:val="hy-AM"/>
        </w:rPr>
        <w:t xml:space="preserve"> Ծախսերը նվազել</w:t>
      </w:r>
      <w:r w:rsidRPr="0089541F">
        <w:rPr>
          <w:b w:val="0"/>
          <w:noProof/>
          <w:szCs w:val="22"/>
          <w:lang w:val="af-ZA"/>
        </w:rPr>
        <w:t xml:space="preserve"> </w:t>
      </w:r>
      <w:r w:rsidRPr="0089541F">
        <w:rPr>
          <w:b w:val="0"/>
          <w:noProof/>
          <w:szCs w:val="22"/>
          <w:lang w:val="hy-AM"/>
        </w:rPr>
        <w:t>են՝</w:t>
      </w:r>
      <w:r w:rsidRPr="0089541F">
        <w:rPr>
          <w:b w:val="0"/>
          <w:noProof/>
          <w:szCs w:val="22"/>
          <w:lang w:val="af-ZA"/>
        </w:rPr>
        <w:t xml:space="preserve"> 1</w:t>
      </w:r>
      <w:r w:rsidR="004C00D9" w:rsidRPr="0089541F">
        <w:rPr>
          <w:b w:val="0"/>
          <w:noProof/>
          <w:szCs w:val="22"/>
          <w:lang w:val="af-ZA"/>
        </w:rPr>
        <w:t>00</w:t>
      </w:r>
      <w:r w:rsidRPr="0089541F">
        <w:rPr>
          <w:b w:val="0"/>
          <w:noProof/>
          <w:szCs w:val="22"/>
          <w:lang w:val="af-ZA"/>
        </w:rPr>
        <w:t xml:space="preserve">.9 </w:t>
      </w:r>
      <w:r w:rsidRPr="0089541F">
        <w:rPr>
          <w:b w:val="0"/>
          <w:noProof/>
          <w:szCs w:val="22"/>
          <w:lang w:val="hy-AM"/>
        </w:rPr>
        <w:t>մլն</w:t>
      </w:r>
      <w:r w:rsidRPr="0089541F">
        <w:rPr>
          <w:b w:val="0"/>
          <w:noProof/>
          <w:szCs w:val="22"/>
          <w:lang w:val="af-ZA"/>
        </w:rPr>
        <w:t xml:space="preserve"> </w:t>
      </w:r>
      <w:r w:rsidRPr="0089541F">
        <w:rPr>
          <w:b w:val="0"/>
          <w:noProof/>
          <w:szCs w:val="22"/>
          <w:lang w:val="hy-AM"/>
        </w:rPr>
        <w:t>դրամով</w:t>
      </w:r>
      <w:r w:rsidRPr="0089541F">
        <w:rPr>
          <w:b w:val="0"/>
          <w:noProof/>
          <w:szCs w:val="22"/>
          <w:lang w:val="af-ZA"/>
        </w:rPr>
        <w:t xml:space="preserve">, </w:t>
      </w:r>
      <w:r w:rsidRPr="0089541F">
        <w:rPr>
          <w:b w:val="0"/>
          <w:noProof/>
          <w:szCs w:val="22"/>
          <w:lang w:val="hy-AM"/>
        </w:rPr>
        <w:t>կամ</w:t>
      </w:r>
      <w:r w:rsidRPr="0089541F">
        <w:rPr>
          <w:b w:val="0"/>
          <w:noProof/>
          <w:szCs w:val="22"/>
          <w:lang w:val="af-ZA"/>
        </w:rPr>
        <w:t xml:space="preserve"> </w:t>
      </w:r>
      <w:r w:rsidR="00832A79" w:rsidRPr="0089541F">
        <w:rPr>
          <w:b w:val="0"/>
          <w:noProof/>
          <w:szCs w:val="22"/>
          <w:lang w:val="hy-AM"/>
        </w:rPr>
        <w:t>62</w:t>
      </w:r>
      <w:r w:rsidRPr="0089541F">
        <w:rPr>
          <w:b w:val="0"/>
          <w:noProof/>
          <w:szCs w:val="22"/>
          <w:lang w:val="af-ZA"/>
        </w:rPr>
        <w:t>.</w:t>
      </w:r>
      <w:r w:rsidR="00832A79" w:rsidRPr="0089541F">
        <w:rPr>
          <w:b w:val="0"/>
          <w:noProof/>
          <w:szCs w:val="22"/>
          <w:lang w:val="hy-AM"/>
        </w:rPr>
        <w:t>0</w:t>
      </w:r>
      <w:r w:rsidRPr="0089541F">
        <w:rPr>
          <w:b w:val="0"/>
          <w:noProof/>
          <w:szCs w:val="22"/>
          <w:lang w:val="af-ZA"/>
        </w:rPr>
        <w:t xml:space="preserve"> %-</w:t>
      </w:r>
      <w:r w:rsidRPr="0089541F">
        <w:rPr>
          <w:b w:val="0"/>
          <w:noProof/>
          <w:szCs w:val="22"/>
          <w:lang w:val="hy-AM"/>
        </w:rPr>
        <w:t>ով:</w:t>
      </w:r>
    </w:p>
    <w:p w14:paraId="018A25DC" w14:textId="77777777" w:rsidR="00D647CE" w:rsidRPr="00A83C94" w:rsidRDefault="00D647CE" w:rsidP="00D647CE">
      <w:pPr>
        <w:spacing w:before="0" w:line="276" w:lineRule="auto"/>
        <w:ind w:firstLine="270"/>
        <w:contextualSpacing w:val="0"/>
        <w:rPr>
          <w:b w:val="0"/>
          <w:noProof/>
          <w:szCs w:val="22"/>
          <w:lang w:val="af-ZA"/>
        </w:rPr>
      </w:pPr>
      <w:r w:rsidRPr="0089541F">
        <w:rPr>
          <w:b w:val="0"/>
          <w:noProof/>
          <w:szCs w:val="22"/>
          <w:lang w:val="af-ZA"/>
        </w:rPr>
        <w:t>Ծրագրի իրականացման արդյունքում կբարձրացվի քաղաքացիական հասարակության կառույցների և նրանց</w:t>
      </w:r>
      <w:r w:rsidRPr="00A83C94">
        <w:rPr>
          <w:b w:val="0"/>
          <w:noProof/>
          <w:szCs w:val="22"/>
          <w:lang w:val="af-ZA"/>
        </w:rPr>
        <w:t xml:space="preserve"> կարողությունների զարգացումը՝ կապահովվի տնտեսական և քաղաքական կյանքում ՔՀԿ-ների ընդգրկվածության և մասնակցության աճ:</w:t>
      </w:r>
    </w:p>
    <w:p w14:paraId="0FFFC52E" w14:textId="77777777" w:rsidR="00D647CE" w:rsidRPr="00A83C94" w:rsidRDefault="00D647CE" w:rsidP="00D647CE">
      <w:pPr>
        <w:numPr>
          <w:ilvl w:val="12"/>
          <w:numId w:val="0"/>
        </w:numPr>
        <w:tabs>
          <w:tab w:val="left" w:pos="851"/>
        </w:tabs>
        <w:spacing w:before="0" w:line="276" w:lineRule="auto"/>
        <w:ind w:firstLine="720"/>
        <w:rPr>
          <w:b w:val="0"/>
          <w:noProof/>
          <w:szCs w:val="22"/>
          <w:lang w:val="af-ZA"/>
        </w:rPr>
      </w:pPr>
      <w:r w:rsidRPr="00A83C94">
        <w:rPr>
          <w:noProof/>
          <w:szCs w:val="22"/>
        </w:rPr>
        <w:t>Հանրային</w:t>
      </w:r>
      <w:r w:rsidRPr="00A83C94">
        <w:rPr>
          <w:noProof/>
          <w:szCs w:val="22"/>
          <w:lang w:val="af-ZA"/>
        </w:rPr>
        <w:t xml:space="preserve"> </w:t>
      </w:r>
      <w:r w:rsidRPr="00A83C94">
        <w:rPr>
          <w:noProof/>
          <w:szCs w:val="22"/>
        </w:rPr>
        <w:t>իրազեկում</w:t>
      </w:r>
      <w:r w:rsidRPr="00A83C94">
        <w:rPr>
          <w:noProof/>
          <w:szCs w:val="22"/>
          <w:lang w:val="af-ZA"/>
        </w:rPr>
        <w:t xml:space="preserve"> </w:t>
      </w:r>
      <w:r w:rsidRPr="00A83C94">
        <w:rPr>
          <w:b w:val="0"/>
          <w:noProof/>
          <w:szCs w:val="22"/>
          <w:lang w:val="hy-AM"/>
        </w:rPr>
        <w:t xml:space="preserve">ծրագրի </w:t>
      </w:r>
      <w:r w:rsidRPr="00A83C94">
        <w:rPr>
          <w:b w:val="0"/>
          <w:noProof/>
          <w:szCs w:val="22"/>
        </w:rPr>
        <w:t>նպատակ</w:t>
      </w:r>
      <w:r w:rsidRPr="00A83C94">
        <w:rPr>
          <w:b w:val="0"/>
          <w:noProof/>
          <w:szCs w:val="22"/>
          <w:lang w:val="hy-AM"/>
        </w:rPr>
        <w:t>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 հանրային կապերի՝ պետական մարմինների թափանցիկությունը, տեղեկատվության մատչելիությունը</w:t>
      </w:r>
      <w:r w:rsidRPr="00A83C94">
        <w:rPr>
          <w:b w:val="0"/>
          <w:noProof/>
          <w:szCs w:val="22"/>
          <w:lang w:val="af-ZA"/>
        </w:rPr>
        <w:t>:</w:t>
      </w:r>
    </w:p>
    <w:p w14:paraId="623C2926" w14:textId="77777777" w:rsidR="00D647CE" w:rsidRPr="00A83C94" w:rsidRDefault="00D647CE" w:rsidP="00D647CE">
      <w:pPr>
        <w:numPr>
          <w:ilvl w:val="12"/>
          <w:numId w:val="0"/>
        </w:numPr>
        <w:tabs>
          <w:tab w:val="left" w:pos="851"/>
        </w:tabs>
        <w:spacing w:before="0" w:line="276" w:lineRule="auto"/>
        <w:ind w:firstLine="720"/>
        <w:rPr>
          <w:b w:val="0"/>
          <w:noProof/>
          <w:szCs w:val="22"/>
          <w:lang w:val="af-ZA"/>
        </w:rPr>
      </w:pPr>
      <w:r w:rsidRPr="00A83C94">
        <w:rPr>
          <w:b w:val="0"/>
          <w:noProof/>
          <w:szCs w:val="22"/>
          <w:lang w:val="hy-AM"/>
        </w:rPr>
        <w:t>Ծ</w:t>
      </w:r>
      <w:r w:rsidRPr="00A83C94">
        <w:rPr>
          <w:b w:val="0"/>
          <w:noProof/>
          <w:szCs w:val="22"/>
        </w:rPr>
        <w:t>րագրով</w:t>
      </w:r>
      <w:r w:rsidRPr="00A83C94">
        <w:rPr>
          <w:b w:val="0"/>
          <w:noProof/>
          <w:szCs w:val="22"/>
          <w:lang w:val="af-ZA"/>
        </w:rPr>
        <w:t xml:space="preserve"> </w:t>
      </w:r>
      <w:r w:rsidRPr="00A83C94">
        <w:rPr>
          <w:b w:val="0"/>
          <w:noProof/>
          <w:szCs w:val="22"/>
        </w:rPr>
        <w:t>նախատեսված</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իրազեկման</w:t>
      </w:r>
      <w:r w:rsidRPr="00A83C94">
        <w:rPr>
          <w:b w:val="0"/>
          <w:noProof/>
          <w:szCs w:val="22"/>
          <w:lang w:val="af-ZA"/>
        </w:rPr>
        <w:t xml:space="preserve"> </w:t>
      </w:r>
      <w:r w:rsidRPr="00A83C94">
        <w:rPr>
          <w:b w:val="0"/>
          <w:noProof/>
          <w:szCs w:val="22"/>
        </w:rPr>
        <w:t>ապահովմանը</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մամուլի</w:t>
      </w:r>
      <w:r w:rsidRPr="00A83C94">
        <w:rPr>
          <w:b w:val="0"/>
          <w:noProof/>
          <w:szCs w:val="22"/>
          <w:lang w:val="af-ZA"/>
        </w:rPr>
        <w:t xml:space="preserve"> </w:t>
      </w:r>
      <w:r w:rsidRPr="00A83C94">
        <w:rPr>
          <w:b w:val="0"/>
          <w:noProof/>
          <w:szCs w:val="22"/>
        </w:rPr>
        <w:t>հրատարակմանը</w:t>
      </w:r>
      <w:r w:rsidRPr="00A83C94">
        <w:rPr>
          <w:b w:val="0"/>
          <w:noProof/>
          <w:szCs w:val="22"/>
          <w:lang w:val="af-ZA"/>
        </w:rPr>
        <w:t>, «Միր» միջպետական հեռուստառադիոընկերության ՀՀ մասնաբաժնի վճար</w:t>
      </w:r>
      <w:r w:rsidRPr="00A83C94">
        <w:rPr>
          <w:b w:val="0"/>
          <w:noProof/>
          <w:szCs w:val="22"/>
          <w:lang w:val="hy-AM"/>
        </w:rPr>
        <w:t xml:space="preserve">մանը, </w:t>
      </w:r>
      <w:r w:rsidRPr="00A83C94">
        <w:rPr>
          <w:b w:val="0"/>
          <w:noProof/>
          <w:szCs w:val="22"/>
        </w:rPr>
        <w:t>տեղեկատվության</w:t>
      </w:r>
      <w:r w:rsidRPr="00A83C94">
        <w:rPr>
          <w:b w:val="0"/>
          <w:noProof/>
          <w:szCs w:val="22"/>
          <w:lang w:val="af-ZA"/>
        </w:rPr>
        <w:t xml:space="preserve"> </w:t>
      </w:r>
      <w:r w:rsidRPr="00A83C94">
        <w:rPr>
          <w:b w:val="0"/>
          <w:noProof/>
          <w:szCs w:val="22"/>
        </w:rPr>
        <w:t>ձեռքբերման</w:t>
      </w:r>
      <w:r w:rsidRPr="00A83C94">
        <w:rPr>
          <w:b w:val="0"/>
          <w:noProof/>
          <w:szCs w:val="22"/>
          <w:lang w:val="af-ZA"/>
        </w:rPr>
        <w:t xml:space="preserve">, </w:t>
      </w:r>
      <w:r w:rsidRPr="00A83C94">
        <w:rPr>
          <w:b w:val="0"/>
          <w:noProof/>
          <w:szCs w:val="22"/>
        </w:rPr>
        <w:t>պահպանման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արխիվացման</w:t>
      </w:r>
      <w:r w:rsidRPr="00A83C94">
        <w:rPr>
          <w:b w:val="0"/>
          <w:noProof/>
          <w:szCs w:val="22"/>
          <w:lang w:val="af-ZA"/>
        </w:rPr>
        <w:t xml:space="preserve"> </w:t>
      </w:r>
      <w:r w:rsidRPr="00A83C94">
        <w:rPr>
          <w:b w:val="0"/>
          <w:noProof/>
          <w:szCs w:val="22"/>
        </w:rPr>
        <w:t>ծառայությունների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p>
    <w:p w14:paraId="3903782D" w14:textId="77777777" w:rsidR="00D647CE" w:rsidRPr="00A83C94" w:rsidRDefault="00D647CE" w:rsidP="00D647CE">
      <w:pPr>
        <w:spacing w:before="0" w:line="276" w:lineRule="auto"/>
        <w:ind w:firstLine="360"/>
        <w:rPr>
          <w:rFonts w:cs="Sylfaen"/>
          <w:b w:val="0"/>
          <w:bCs/>
          <w:iCs/>
          <w:color w:val="000000"/>
          <w:sz w:val="20"/>
          <w:szCs w:val="20"/>
          <w:lang w:val="hy-AM" w:eastAsia="en-US"/>
        </w:rPr>
      </w:pPr>
      <w:r w:rsidRPr="00A83C94">
        <w:rPr>
          <w:b w:val="0"/>
          <w:noProof/>
          <w:szCs w:val="22"/>
        </w:rPr>
        <w:t>Հանրային</w:t>
      </w:r>
      <w:r w:rsidRPr="00A83C94">
        <w:rPr>
          <w:b w:val="0"/>
          <w:noProof/>
          <w:szCs w:val="22"/>
          <w:lang w:val="af-ZA"/>
        </w:rPr>
        <w:t xml:space="preserve"> </w:t>
      </w:r>
      <w:r w:rsidRPr="00A83C94">
        <w:rPr>
          <w:b w:val="0"/>
          <w:noProof/>
          <w:szCs w:val="22"/>
        </w:rPr>
        <w:t>իրազեկում</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Նախագծով</w:t>
      </w:r>
      <w:r w:rsidRPr="00A83C94">
        <w:rPr>
          <w:b w:val="0"/>
          <w:noProof/>
          <w:szCs w:val="22"/>
          <w:lang w:val="af-ZA"/>
        </w:rPr>
        <w:t xml:space="preserve">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860.6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w:t>
      </w:r>
      <w:r w:rsidRPr="00A83C94">
        <w:rPr>
          <w:b w:val="0"/>
          <w:noProof/>
          <w:szCs w:val="22"/>
          <w:lang w:val="hy-AM"/>
        </w:rPr>
        <w:t>2</w:t>
      </w:r>
      <w:r w:rsidRPr="00A83C94">
        <w:rPr>
          <w:b w:val="0"/>
          <w:noProof/>
          <w:szCs w:val="22"/>
          <w:lang w:val="af-ZA"/>
        </w:rPr>
        <w:t xml:space="preserve">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w:t>
      </w:r>
      <w:r w:rsidRPr="00A83C94">
        <w:rPr>
          <w:b w:val="0"/>
          <w:noProof/>
          <w:szCs w:val="22"/>
          <w:lang w:val="hy-AM"/>
        </w:rPr>
        <w:t>1,1</w:t>
      </w:r>
      <w:r w:rsidRPr="00A83C94">
        <w:rPr>
          <w:b w:val="0"/>
          <w:noProof/>
          <w:szCs w:val="22"/>
          <w:lang w:val="af-ZA"/>
        </w:rPr>
        <w:t>45.</w:t>
      </w:r>
      <w:r w:rsidRPr="00A83C94">
        <w:rPr>
          <w:b w:val="0"/>
          <w:noProof/>
          <w:szCs w:val="22"/>
          <w:lang w:val="hy-AM"/>
        </w:rPr>
        <w:t>9</w:t>
      </w:r>
      <w:r w:rsidRPr="00A83C94">
        <w:rPr>
          <w:b w:val="0"/>
          <w:noProof/>
          <w:szCs w:val="22"/>
          <w:lang w:val="af-ZA"/>
        </w:rPr>
        <w:t xml:space="preserve">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w:t>
      </w:r>
      <w:r w:rsidRPr="00A83C94" w:rsidDel="00F93BFB">
        <w:rPr>
          <w:b w:val="0"/>
          <w:noProof/>
          <w:szCs w:val="22"/>
          <w:lang w:val="af-ZA"/>
        </w:rPr>
        <w:t xml:space="preserve"> </w:t>
      </w:r>
      <w:r w:rsidRPr="00A83C94">
        <w:rPr>
          <w:b w:val="0"/>
          <w:noProof/>
          <w:szCs w:val="22"/>
          <w:lang w:val="en-US"/>
        </w:rPr>
        <w:t>Ծ</w:t>
      </w:r>
      <w:r w:rsidRPr="00A83C94">
        <w:rPr>
          <w:b w:val="0"/>
          <w:noProof/>
          <w:szCs w:val="22"/>
        </w:rPr>
        <w:t>ախսերը</w:t>
      </w:r>
      <w:r w:rsidRPr="00A83C94">
        <w:rPr>
          <w:b w:val="0"/>
          <w:noProof/>
          <w:szCs w:val="22"/>
          <w:lang w:val="af-ZA"/>
        </w:rPr>
        <w:t xml:space="preserve"> նվազել </w:t>
      </w:r>
      <w:r w:rsidRPr="00A83C94">
        <w:rPr>
          <w:b w:val="0"/>
          <w:noProof/>
          <w:szCs w:val="22"/>
        </w:rPr>
        <w:t>են՝</w:t>
      </w:r>
      <w:r w:rsidRPr="00A83C94">
        <w:rPr>
          <w:b w:val="0"/>
          <w:noProof/>
          <w:szCs w:val="22"/>
          <w:lang w:val="af-ZA"/>
        </w:rPr>
        <w:t xml:space="preserve"> 285.3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24.9 %-</w:t>
      </w:r>
      <w:r w:rsidRPr="00A83C94">
        <w:rPr>
          <w:b w:val="0"/>
          <w:noProof/>
          <w:szCs w:val="22"/>
        </w:rPr>
        <w:t>ով</w:t>
      </w:r>
      <w:r w:rsidRPr="00A83C94">
        <w:rPr>
          <w:b w:val="0"/>
          <w:noProof/>
          <w:szCs w:val="22"/>
          <w:lang w:val="af-ZA"/>
        </w:rPr>
        <w:t>::</w:t>
      </w:r>
      <w:r w:rsidRPr="00A83C94">
        <w:rPr>
          <w:rFonts w:cs="Sylfaen"/>
          <w:b w:val="0"/>
          <w:bCs/>
          <w:iCs/>
          <w:color w:val="000000"/>
          <w:sz w:val="20"/>
          <w:szCs w:val="20"/>
          <w:lang w:val="hy-AM" w:eastAsia="en-US"/>
        </w:rPr>
        <w:t xml:space="preserve"> </w:t>
      </w:r>
    </w:p>
    <w:p w14:paraId="55261E94" w14:textId="77777777" w:rsidR="00D647CE" w:rsidRPr="00A83C94" w:rsidRDefault="00D647CE" w:rsidP="00D647CE">
      <w:pPr>
        <w:numPr>
          <w:ilvl w:val="12"/>
          <w:numId w:val="0"/>
        </w:numPr>
        <w:tabs>
          <w:tab w:val="left" w:pos="851"/>
        </w:tabs>
        <w:spacing w:before="0" w:line="276" w:lineRule="auto"/>
        <w:ind w:firstLine="720"/>
        <w:rPr>
          <w:b w:val="0"/>
          <w:noProof/>
          <w:szCs w:val="22"/>
          <w:lang w:val="hy-AM"/>
        </w:rPr>
      </w:pPr>
      <w:r w:rsidRPr="00A83C94">
        <w:rPr>
          <w:b w:val="0"/>
          <w:noProof/>
          <w:szCs w:val="22"/>
          <w:lang w:val="hy-AM"/>
        </w:rPr>
        <w:t>Ծրագրի իրականացման արդյունքում կբարելավվի հանրության իրազեկվածության մակարդակը, ինչպես նաև կլուսաբանվեն ՀՀ համար կարևոր նշանակություն ունեցող քաղաքական և հասարակական կյանքին առնչվող իրադարձությունները:</w:t>
      </w:r>
    </w:p>
    <w:p w14:paraId="0B909E42" w14:textId="77777777" w:rsidR="00D647CE" w:rsidRPr="00A83C94" w:rsidRDefault="00D647CE" w:rsidP="00D647CE">
      <w:pPr>
        <w:numPr>
          <w:ilvl w:val="12"/>
          <w:numId w:val="0"/>
        </w:numPr>
        <w:tabs>
          <w:tab w:val="left" w:pos="851"/>
        </w:tabs>
        <w:spacing w:before="0" w:line="276" w:lineRule="auto"/>
        <w:ind w:firstLine="720"/>
        <w:rPr>
          <w:b w:val="0"/>
          <w:noProof/>
          <w:szCs w:val="22"/>
          <w:lang w:val="af-ZA"/>
        </w:rPr>
      </w:pPr>
      <w:r w:rsidRPr="00A83C94">
        <w:rPr>
          <w:noProof/>
          <w:szCs w:val="22"/>
          <w:lang w:val="hy-AM"/>
        </w:rPr>
        <w:t>Տոների</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հիշատակի</w:t>
      </w:r>
      <w:r w:rsidRPr="00A83C94">
        <w:rPr>
          <w:noProof/>
          <w:szCs w:val="22"/>
          <w:lang w:val="af-ZA"/>
        </w:rPr>
        <w:t xml:space="preserve"> </w:t>
      </w:r>
      <w:r w:rsidRPr="00A83C94">
        <w:rPr>
          <w:noProof/>
          <w:szCs w:val="22"/>
          <w:lang w:val="hy-AM"/>
        </w:rPr>
        <w:t>օրերի</w:t>
      </w:r>
      <w:r w:rsidRPr="00A83C94">
        <w:rPr>
          <w:noProof/>
          <w:szCs w:val="22"/>
          <w:lang w:val="af-ZA"/>
        </w:rPr>
        <w:t xml:space="preserve"> </w:t>
      </w:r>
      <w:r w:rsidRPr="00A83C94">
        <w:rPr>
          <w:b w:val="0"/>
          <w:noProof/>
          <w:szCs w:val="22"/>
          <w:lang w:val="hy-AM"/>
        </w:rPr>
        <w:t>ծրագրի 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տոների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հիշատակի</w:t>
      </w:r>
      <w:r w:rsidRPr="00A83C94">
        <w:rPr>
          <w:b w:val="0"/>
          <w:noProof/>
          <w:szCs w:val="22"/>
          <w:lang w:val="af-ZA"/>
        </w:rPr>
        <w:t xml:space="preserve"> </w:t>
      </w:r>
      <w:r w:rsidRPr="00A83C94">
        <w:rPr>
          <w:b w:val="0"/>
          <w:noProof/>
          <w:szCs w:val="22"/>
          <w:lang w:val="hy-AM"/>
        </w:rPr>
        <w:t>օրերին</w:t>
      </w:r>
      <w:r w:rsidRPr="00A83C94">
        <w:rPr>
          <w:b w:val="0"/>
          <w:noProof/>
          <w:szCs w:val="22"/>
          <w:lang w:val="af-ZA"/>
        </w:rPr>
        <w:t xml:space="preserve"> </w:t>
      </w:r>
      <w:r w:rsidRPr="00A83C94">
        <w:rPr>
          <w:b w:val="0"/>
          <w:noProof/>
          <w:szCs w:val="22"/>
          <w:lang w:val="hy-AM"/>
        </w:rPr>
        <w:t>նվիրված</w:t>
      </w:r>
      <w:r w:rsidRPr="00A83C94">
        <w:rPr>
          <w:b w:val="0"/>
          <w:noProof/>
          <w:szCs w:val="22"/>
          <w:lang w:val="af-ZA"/>
        </w:rPr>
        <w:t xml:space="preserve"> </w:t>
      </w:r>
      <w:r w:rsidRPr="00A83C94">
        <w:rPr>
          <w:b w:val="0"/>
          <w:noProof/>
          <w:szCs w:val="22"/>
          <w:lang w:val="hy-AM"/>
        </w:rPr>
        <w:t>միջոցառումների</w:t>
      </w:r>
      <w:r w:rsidRPr="00A83C94">
        <w:rPr>
          <w:b w:val="0"/>
          <w:noProof/>
          <w:szCs w:val="22"/>
          <w:lang w:val="af-ZA"/>
        </w:rPr>
        <w:t xml:space="preserve"> </w:t>
      </w:r>
      <w:r w:rsidRPr="00A83C94">
        <w:rPr>
          <w:b w:val="0"/>
          <w:noProof/>
          <w:szCs w:val="22"/>
          <w:lang w:val="hy-AM"/>
        </w:rPr>
        <w:t>անցկացումը՝</w:t>
      </w:r>
      <w:r w:rsidRPr="00A83C94">
        <w:rPr>
          <w:b w:val="0"/>
          <w:noProof/>
          <w:szCs w:val="22"/>
          <w:lang w:val="af-ZA"/>
        </w:rPr>
        <w:t xml:space="preserve"> </w:t>
      </w:r>
      <w:r w:rsidRPr="00A83C94">
        <w:rPr>
          <w:b w:val="0"/>
          <w:noProof/>
          <w:szCs w:val="22"/>
          <w:lang w:val="hy-AM"/>
        </w:rPr>
        <w:t>ի</w:t>
      </w:r>
      <w:r w:rsidRPr="00A83C94">
        <w:rPr>
          <w:b w:val="0"/>
          <w:noProof/>
          <w:szCs w:val="22"/>
          <w:lang w:val="af-ZA"/>
        </w:rPr>
        <w:t xml:space="preserve"> </w:t>
      </w:r>
      <w:r w:rsidRPr="00A83C94">
        <w:rPr>
          <w:b w:val="0"/>
          <w:noProof/>
          <w:szCs w:val="22"/>
          <w:lang w:val="hy-AM"/>
        </w:rPr>
        <w:t>նպաստ</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ինքնության</w:t>
      </w:r>
      <w:r w:rsidRPr="00A83C94">
        <w:rPr>
          <w:b w:val="0"/>
          <w:noProof/>
          <w:szCs w:val="22"/>
          <w:lang w:val="af-ZA"/>
        </w:rPr>
        <w:t xml:space="preserve"> </w:t>
      </w:r>
      <w:r w:rsidRPr="00A83C94">
        <w:rPr>
          <w:b w:val="0"/>
          <w:noProof/>
          <w:szCs w:val="22"/>
          <w:lang w:val="hy-AM"/>
        </w:rPr>
        <w:t>պահպանմանը</w:t>
      </w:r>
      <w:r w:rsidRPr="00A83C94">
        <w:rPr>
          <w:b w:val="0"/>
          <w:noProof/>
          <w:szCs w:val="22"/>
          <w:lang w:val="af-ZA"/>
        </w:rPr>
        <w:t xml:space="preserve">:  </w:t>
      </w:r>
    </w:p>
    <w:p w14:paraId="46140CE3" w14:textId="77777777" w:rsidR="00D647CE" w:rsidRPr="00A83C94" w:rsidRDefault="00D647CE" w:rsidP="00D647CE">
      <w:pPr>
        <w:numPr>
          <w:ilvl w:val="12"/>
          <w:numId w:val="0"/>
        </w:numPr>
        <w:tabs>
          <w:tab w:val="left" w:pos="851"/>
        </w:tabs>
        <w:spacing w:before="0" w:line="276" w:lineRule="auto"/>
        <w:ind w:firstLine="720"/>
        <w:rPr>
          <w:b w:val="0"/>
          <w:noProof/>
          <w:szCs w:val="22"/>
          <w:lang w:val="hy-AM"/>
        </w:rPr>
      </w:pPr>
      <w:r w:rsidRPr="00A83C94">
        <w:rPr>
          <w:b w:val="0"/>
          <w:noProof/>
          <w:szCs w:val="22"/>
        </w:rPr>
        <w:t>Տոների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հիշատակի</w:t>
      </w:r>
      <w:r w:rsidRPr="00A83C94">
        <w:rPr>
          <w:b w:val="0"/>
          <w:noProof/>
          <w:szCs w:val="22"/>
          <w:lang w:val="af-ZA"/>
        </w:rPr>
        <w:t xml:space="preserve"> </w:t>
      </w:r>
      <w:r w:rsidRPr="00A83C94">
        <w:rPr>
          <w:b w:val="0"/>
          <w:noProof/>
          <w:szCs w:val="22"/>
        </w:rPr>
        <w:t>օրերի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հատկացումները</w:t>
      </w:r>
      <w:r w:rsidRPr="00A83C94">
        <w:rPr>
          <w:b w:val="0"/>
          <w:noProof/>
          <w:szCs w:val="22"/>
          <w:lang w:val="af-ZA"/>
        </w:rPr>
        <w:t xml:space="preserve"> </w:t>
      </w:r>
      <w:r w:rsidRPr="00A83C94">
        <w:rPr>
          <w:b w:val="0"/>
          <w:noProof/>
          <w:szCs w:val="22"/>
        </w:rPr>
        <w:t>կուղղվեն</w:t>
      </w:r>
      <w:r w:rsidRPr="00A83C94">
        <w:rPr>
          <w:b w:val="0"/>
          <w:noProof/>
          <w:szCs w:val="22"/>
          <w:lang w:val="af-ZA"/>
        </w:rPr>
        <w:t xml:space="preserve"> երկու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Հանրապետության</w:t>
      </w:r>
      <w:r w:rsidRPr="00A83C94">
        <w:rPr>
          <w:b w:val="0"/>
          <w:noProof/>
          <w:szCs w:val="22"/>
          <w:lang w:val="af-ZA"/>
        </w:rPr>
        <w:t xml:space="preserve"> </w:t>
      </w:r>
      <w:r w:rsidRPr="00A83C94">
        <w:rPr>
          <w:b w:val="0"/>
          <w:noProof/>
          <w:szCs w:val="22"/>
        </w:rPr>
        <w:t>անկախության</w:t>
      </w:r>
      <w:r w:rsidRPr="00A83C94">
        <w:rPr>
          <w:b w:val="0"/>
          <w:noProof/>
          <w:szCs w:val="22"/>
          <w:lang w:val="af-ZA"/>
        </w:rPr>
        <w:t xml:space="preserve"> </w:t>
      </w:r>
      <w:r w:rsidRPr="00A83C94">
        <w:rPr>
          <w:b w:val="0"/>
          <w:noProof/>
          <w:szCs w:val="22"/>
        </w:rPr>
        <w:t>հռչակման</w:t>
      </w:r>
      <w:r w:rsidRPr="00A83C94">
        <w:rPr>
          <w:b w:val="0"/>
          <w:noProof/>
          <w:szCs w:val="22"/>
          <w:lang w:val="af-ZA"/>
        </w:rPr>
        <w:t xml:space="preserve"> </w:t>
      </w:r>
      <w:r w:rsidRPr="00A83C94">
        <w:rPr>
          <w:b w:val="0"/>
          <w:noProof/>
          <w:szCs w:val="22"/>
        </w:rPr>
        <w:t>տարեդարձին</w:t>
      </w:r>
      <w:r w:rsidRPr="00A83C94">
        <w:rPr>
          <w:b w:val="0"/>
          <w:noProof/>
          <w:szCs w:val="22"/>
          <w:lang w:val="af-ZA"/>
        </w:rPr>
        <w:t xml:space="preserve"> </w:t>
      </w:r>
      <w:r w:rsidRPr="00A83C94">
        <w:rPr>
          <w:b w:val="0"/>
          <w:noProof/>
          <w:szCs w:val="22"/>
        </w:rPr>
        <w:t>նվիրված</w:t>
      </w:r>
      <w:r w:rsidRPr="00A83C94">
        <w:rPr>
          <w:b w:val="0"/>
          <w:noProof/>
          <w:szCs w:val="22"/>
          <w:lang w:val="af-ZA"/>
        </w:rPr>
        <w:t xml:space="preserve"> </w:t>
      </w:r>
      <w:r w:rsidRPr="00A83C94">
        <w:rPr>
          <w:b w:val="0"/>
          <w:noProof/>
          <w:szCs w:val="22"/>
        </w:rPr>
        <w:t>միջոցառումներ</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Քաղաքացու</w:t>
      </w:r>
      <w:r w:rsidRPr="00A83C94">
        <w:rPr>
          <w:b w:val="0"/>
          <w:noProof/>
          <w:szCs w:val="22"/>
          <w:lang w:val="af-ZA"/>
        </w:rPr>
        <w:t xml:space="preserve"> </w:t>
      </w:r>
      <w:r w:rsidRPr="00A83C94">
        <w:rPr>
          <w:b w:val="0"/>
          <w:noProof/>
          <w:szCs w:val="22"/>
        </w:rPr>
        <w:t>օրվան</w:t>
      </w:r>
      <w:r w:rsidRPr="00A83C94">
        <w:rPr>
          <w:b w:val="0"/>
          <w:noProof/>
          <w:szCs w:val="22"/>
          <w:lang w:val="af-ZA"/>
        </w:rPr>
        <w:t xml:space="preserve"> </w:t>
      </w:r>
      <w:r w:rsidRPr="00A83C94">
        <w:rPr>
          <w:b w:val="0"/>
          <w:noProof/>
          <w:szCs w:val="22"/>
        </w:rPr>
        <w:t>նվիրված</w:t>
      </w:r>
      <w:r w:rsidRPr="00A83C94">
        <w:rPr>
          <w:b w:val="0"/>
          <w:noProof/>
          <w:szCs w:val="22"/>
          <w:lang w:val="af-ZA"/>
        </w:rPr>
        <w:t xml:space="preserve"> </w:t>
      </w:r>
      <w:r w:rsidRPr="00A83C94">
        <w:rPr>
          <w:b w:val="0"/>
          <w:noProof/>
          <w:szCs w:val="22"/>
        </w:rPr>
        <w:t>միջոցառումներ</w:t>
      </w:r>
      <w:r w:rsidRPr="00A83C94">
        <w:rPr>
          <w:b w:val="0"/>
          <w:noProof/>
          <w:szCs w:val="22"/>
          <w:lang w:val="af-ZA"/>
        </w:rPr>
        <w:t xml:space="preserve">» </w:t>
      </w:r>
      <w:r w:rsidRPr="00A83C94">
        <w:rPr>
          <w:b w:val="0"/>
          <w:noProof/>
          <w:szCs w:val="22"/>
        </w:rPr>
        <w:t>համապատասխանաբար՝</w:t>
      </w:r>
      <w:r w:rsidRPr="00A83C94">
        <w:rPr>
          <w:b w:val="0"/>
          <w:noProof/>
          <w:szCs w:val="22"/>
          <w:lang w:val="af-ZA"/>
        </w:rPr>
        <w:t xml:space="preserve"> 150.0 </w:t>
      </w:r>
      <w:r w:rsidRPr="00A83C94">
        <w:rPr>
          <w:b w:val="0"/>
          <w:noProof/>
          <w:szCs w:val="22"/>
        </w:rPr>
        <w:t>և</w:t>
      </w:r>
      <w:r w:rsidRPr="00A83C94">
        <w:rPr>
          <w:b w:val="0"/>
          <w:noProof/>
          <w:szCs w:val="22"/>
          <w:lang w:val="af-ZA"/>
        </w:rPr>
        <w:t xml:space="preserve"> 40.0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չափով</w:t>
      </w:r>
      <w:r w:rsidRPr="00A83C94">
        <w:rPr>
          <w:b w:val="0"/>
          <w:noProof/>
          <w:szCs w:val="22"/>
          <w:lang w:val="af-ZA"/>
        </w:rPr>
        <w:t>:</w:t>
      </w:r>
    </w:p>
    <w:p w14:paraId="475C1995" w14:textId="77777777" w:rsidR="007D0F12" w:rsidRPr="007D0F12" w:rsidRDefault="007D0F12" w:rsidP="007D0F12">
      <w:pPr>
        <w:numPr>
          <w:ilvl w:val="12"/>
          <w:numId w:val="0"/>
        </w:numPr>
        <w:tabs>
          <w:tab w:val="left" w:pos="851"/>
        </w:tabs>
        <w:spacing w:line="276" w:lineRule="auto"/>
        <w:ind w:firstLine="720"/>
        <w:rPr>
          <w:b w:val="0"/>
          <w:noProof/>
          <w:szCs w:val="22"/>
          <w:lang w:val="hy-AM"/>
        </w:rPr>
      </w:pPr>
      <w:r w:rsidRPr="007D0F12">
        <w:rPr>
          <w:noProof/>
          <w:szCs w:val="22"/>
          <w:lang w:val="hy-AM"/>
        </w:rPr>
        <w:t xml:space="preserve">Սփյուռքի գծով </w:t>
      </w:r>
      <w:r w:rsidRPr="007D0F12">
        <w:rPr>
          <w:b w:val="0"/>
          <w:noProof/>
          <w:szCs w:val="22"/>
          <w:lang w:val="hy-AM"/>
        </w:rPr>
        <w:t>իրականացվում է 2 ծրագիր, որից.</w:t>
      </w:r>
    </w:p>
    <w:p w14:paraId="334E4E22" w14:textId="77777777" w:rsidR="007D0F12" w:rsidRPr="007D0F12" w:rsidRDefault="007D0F12" w:rsidP="007D0F12">
      <w:pPr>
        <w:numPr>
          <w:ilvl w:val="12"/>
          <w:numId w:val="0"/>
        </w:numPr>
        <w:tabs>
          <w:tab w:val="left" w:pos="851"/>
        </w:tabs>
        <w:spacing w:line="276" w:lineRule="auto"/>
        <w:ind w:firstLine="720"/>
        <w:rPr>
          <w:b w:val="0"/>
          <w:noProof/>
          <w:szCs w:val="22"/>
          <w:lang w:val="hy-AM"/>
        </w:rPr>
      </w:pPr>
      <w:r w:rsidRPr="007D0F12">
        <w:rPr>
          <w:noProof/>
          <w:szCs w:val="22"/>
          <w:lang w:val="hy-AM"/>
        </w:rPr>
        <w:t xml:space="preserve">Հայաստան-Սփյուռք գործակցության </w:t>
      </w:r>
      <w:r w:rsidRPr="007D0F12">
        <w:rPr>
          <w:b w:val="0"/>
          <w:noProof/>
          <w:szCs w:val="22"/>
          <w:lang w:val="hy-AM"/>
        </w:rPr>
        <w:t>ծրագրի նպատակն է</w:t>
      </w:r>
      <w:r w:rsidRPr="007D0F12">
        <w:rPr>
          <w:b w:val="0"/>
          <w:noProof/>
          <w:szCs w:val="22"/>
          <w:lang w:val="af-ZA"/>
        </w:rPr>
        <w:t xml:space="preserve"> </w:t>
      </w:r>
      <w:r w:rsidRPr="007D0F12">
        <w:rPr>
          <w:b w:val="0"/>
          <w:noProof/>
          <w:szCs w:val="22"/>
          <w:lang w:val="hy-AM"/>
        </w:rPr>
        <w:t xml:space="preserve">նպաստել </w:t>
      </w:r>
      <w:r w:rsidRPr="007D0F12">
        <w:rPr>
          <w:rFonts w:cs="Sylfaen"/>
          <w:b w:val="0"/>
          <w:bCs/>
          <w:noProof/>
          <w:szCs w:val="22"/>
          <w:lang w:val="hy-AM" w:eastAsia="en-US"/>
        </w:rPr>
        <w:t>Հայաստան-Սփյուռք գործակցության զարգացմանը, հայապահպանությանն ու ազգային ինքնության պահպանմանը:</w:t>
      </w:r>
      <w:r w:rsidRPr="007D0F12">
        <w:rPr>
          <w:b w:val="0"/>
          <w:noProof/>
          <w:szCs w:val="22"/>
          <w:lang w:val="hy-AM"/>
        </w:rPr>
        <w:t xml:space="preserve"> </w:t>
      </w:r>
    </w:p>
    <w:p w14:paraId="5E18427F" w14:textId="77777777" w:rsidR="007D0F12" w:rsidRPr="007D0F12" w:rsidRDefault="007D0F12" w:rsidP="007D0F12">
      <w:pPr>
        <w:numPr>
          <w:ilvl w:val="12"/>
          <w:numId w:val="0"/>
        </w:numPr>
        <w:tabs>
          <w:tab w:val="left" w:pos="851"/>
        </w:tabs>
        <w:spacing w:line="276" w:lineRule="auto"/>
        <w:ind w:firstLine="720"/>
        <w:rPr>
          <w:b w:val="0"/>
          <w:noProof/>
          <w:szCs w:val="22"/>
          <w:lang w:val="af-ZA"/>
        </w:rPr>
      </w:pPr>
      <w:r w:rsidRPr="007D0F12">
        <w:rPr>
          <w:b w:val="0"/>
          <w:noProof/>
          <w:szCs w:val="22"/>
          <w:lang w:val="hy-AM"/>
        </w:rPr>
        <w:t>Ծրագրի</w:t>
      </w:r>
      <w:r w:rsidRPr="007D0F12">
        <w:rPr>
          <w:b w:val="0"/>
          <w:noProof/>
          <w:szCs w:val="22"/>
          <w:lang w:val="af-ZA"/>
        </w:rPr>
        <w:t xml:space="preserve"> </w:t>
      </w:r>
      <w:r w:rsidRPr="007D0F12">
        <w:rPr>
          <w:b w:val="0"/>
          <w:noProof/>
          <w:szCs w:val="22"/>
          <w:lang w:val="hy-AM"/>
        </w:rPr>
        <w:t>գծով</w:t>
      </w:r>
      <w:r w:rsidRPr="007D0F12">
        <w:rPr>
          <w:b w:val="0"/>
          <w:noProof/>
          <w:szCs w:val="22"/>
          <w:lang w:val="af-ZA"/>
        </w:rPr>
        <w:t xml:space="preserve"> </w:t>
      </w:r>
      <w:r w:rsidRPr="007D0F12">
        <w:rPr>
          <w:b w:val="0"/>
          <w:noProof/>
          <w:szCs w:val="22"/>
          <w:lang w:val="hy-AM"/>
        </w:rPr>
        <w:t>հատկացումներն</w:t>
      </w:r>
      <w:r w:rsidRPr="007D0F12">
        <w:rPr>
          <w:b w:val="0"/>
          <w:noProof/>
          <w:szCs w:val="22"/>
          <w:lang w:val="af-ZA"/>
        </w:rPr>
        <w:t xml:space="preserve"> 374.6 </w:t>
      </w:r>
      <w:r w:rsidRPr="007D0F12">
        <w:rPr>
          <w:b w:val="0"/>
          <w:noProof/>
          <w:szCs w:val="22"/>
          <w:lang w:val="hy-AM"/>
        </w:rPr>
        <w:t>մլն</w:t>
      </w:r>
      <w:r w:rsidRPr="007D0F12">
        <w:rPr>
          <w:b w:val="0"/>
          <w:noProof/>
          <w:szCs w:val="22"/>
          <w:lang w:val="af-ZA"/>
        </w:rPr>
        <w:t xml:space="preserve"> </w:t>
      </w:r>
      <w:r w:rsidRPr="007D0F12">
        <w:rPr>
          <w:b w:val="0"/>
          <w:noProof/>
          <w:szCs w:val="22"/>
          <w:lang w:val="hy-AM"/>
        </w:rPr>
        <w:t>դրամի չափով ուղղվելու</w:t>
      </w:r>
      <w:r w:rsidRPr="007D0F12">
        <w:rPr>
          <w:b w:val="0"/>
          <w:noProof/>
          <w:szCs w:val="22"/>
          <w:lang w:val="af-ZA"/>
        </w:rPr>
        <w:t xml:space="preserve"> </w:t>
      </w:r>
      <w:r w:rsidRPr="007D0F12">
        <w:rPr>
          <w:b w:val="0"/>
          <w:noProof/>
          <w:szCs w:val="22"/>
          <w:lang w:val="hy-AM"/>
        </w:rPr>
        <w:t>են</w:t>
      </w:r>
      <w:r w:rsidRPr="007D0F12">
        <w:rPr>
          <w:b w:val="0"/>
          <w:noProof/>
          <w:szCs w:val="22"/>
          <w:lang w:val="af-ZA"/>
        </w:rPr>
        <w:t xml:space="preserve"> 7 </w:t>
      </w:r>
      <w:r w:rsidRPr="007D0F12">
        <w:rPr>
          <w:b w:val="0"/>
          <w:noProof/>
          <w:szCs w:val="22"/>
          <w:lang w:val="hy-AM"/>
        </w:rPr>
        <w:t>միջոցառումների</w:t>
      </w:r>
      <w:r w:rsidRPr="007D0F12">
        <w:rPr>
          <w:b w:val="0"/>
          <w:noProof/>
          <w:szCs w:val="22"/>
          <w:lang w:val="af-ZA"/>
        </w:rPr>
        <w:t xml:space="preserve"> </w:t>
      </w:r>
      <w:r w:rsidRPr="007D0F12">
        <w:rPr>
          <w:b w:val="0"/>
          <w:noProof/>
          <w:szCs w:val="22"/>
          <w:lang w:val="hy-AM"/>
        </w:rPr>
        <w:t>իրականացմանը:</w:t>
      </w:r>
      <w:r w:rsidRPr="007D0F12">
        <w:rPr>
          <w:b w:val="0"/>
          <w:noProof/>
          <w:szCs w:val="22"/>
          <w:lang w:val="af-ZA"/>
        </w:rPr>
        <w:t xml:space="preserve"> </w:t>
      </w:r>
    </w:p>
    <w:p w14:paraId="63BBDB4D" w14:textId="6FBE899C" w:rsidR="007D0F12" w:rsidRPr="007D0F12" w:rsidRDefault="007D0F12" w:rsidP="007D0F12">
      <w:pPr>
        <w:pStyle w:val="ListParagraph"/>
        <w:spacing w:after="120" w:line="276" w:lineRule="auto"/>
        <w:ind w:left="0"/>
        <w:contextualSpacing w:val="0"/>
        <w:rPr>
          <w:b w:val="0"/>
          <w:szCs w:val="22"/>
          <w:lang w:val="af-ZA"/>
        </w:rPr>
      </w:pPr>
      <w:r w:rsidRPr="007D0F12">
        <w:rPr>
          <w:b w:val="0"/>
          <w:szCs w:val="22"/>
          <w:lang w:val="af-ZA"/>
        </w:rPr>
        <w:t xml:space="preserve">  </w:t>
      </w:r>
      <w:r w:rsidRPr="007D0F12">
        <w:rPr>
          <w:b w:val="0"/>
          <w:szCs w:val="22"/>
        </w:rPr>
        <w:t>Ծրագրի</w:t>
      </w:r>
      <w:r w:rsidRPr="007D0F12">
        <w:rPr>
          <w:b w:val="0"/>
          <w:szCs w:val="22"/>
          <w:lang w:val="fr-FR"/>
        </w:rPr>
        <w:t xml:space="preserve"> </w:t>
      </w:r>
      <w:r w:rsidRPr="007D0F12">
        <w:rPr>
          <w:b w:val="0"/>
          <w:szCs w:val="22"/>
          <w:lang w:val="hy-AM"/>
        </w:rPr>
        <w:t xml:space="preserve">շրջանակներում </w:t>
      </w:r>
      <w:r w:rsidRPr="007D0F12">
        <w:rPr>
          <w:b w:val="0"/>
          <w:szCs w:val="22"/>
        </w:rPr>
        <w:t>նախատեսվում</w:t>
      </w:r>
      <w:r w:rsidRPr="007D0F12">
        <w:rPr>
          <w:b w:val="0"/>
          <w:szCs w:val="22"/>
          <w:lang w:val="fr-FR"/>
        </w:rPr>
        <w:t xml:space="preserve"> </w:t>
      </w:r>
      <w:r w:rsidRPr="007D0F12">
        <w:rPr>
          <w:b w:val="0"/>
          <w:szCs w:val="22"/>
          <w:lang w:val="hy-AM"/>
        </w:rPr>
        <w:t>է</w:t>
      </w:r>
      <w:r w:rsidRPr="007D0F12">
        <w:rPr>
          <w:b w:val="0"/>
          <w:szCs w:val="22"/>
          <w:lang w:val="fr-FR"/>
        </w:rPr>
        <w:t xml:space="preserve"> </w:t>
      </w:r>
      <w:r w:rsidRPr="007D0F12">
        <w:rPr>
          <w:b w:val="0"/>
          <w:szCs w:val="22"/>
        </w:rPr>
        <w:t>իրականացնել</w:t>
      </w:r>
      <w:r w:rsidRPr="007D0F12">
        <w:rPr>
          <w:szCs w:val="22"/>
          <w:lang w:val="fr-FR"/>
        </w:rPr>
        <w:t xml:space="preserve"> </w:t>
      </w:r>
      <w:r w:rsidRPr="007D0F12">
        <w:rPr>
          <w:b w:val="0"/>
          <w:szCs w:val="22"/>
          <w:lang w:val="af-ZA"/>
        </w:rPr>
        <w:t xml:space="preserve">Սփյուռքի հայ երիտասարդության և պատանիների </w:t>
      </w:r>
      <w:r w:rsidRPr="007D0F12">
        <w:rPr>
          <w:b w:val="0"/>
          <w:szCs w:val="22"/>
          <w:lang w:val="hy-AM"/>
        </w:rPr>
        <w:t>ուսումնա</w:t>
      </w:r>
      <w:r w:rsidRPr="007D0F12">
        <w:rPr>
          <w:b w:val="0"/>
          <w:szCs w:val="22"/>
          <w:lang w:val="af-ZA"/>
        </w:rPr>
        <w:t>ճանաչողական այցելություններ, հայերենի ուսուցման և հայրենագիտության դասընթացներ</w:t>
      </w:r>
      <w:r w:rsidRPr="007D0F12">
        <w:rPr>
          <w:b w:val="0"/>
          <w:szCs w:val="22"/>
          <w:lang w:val="hy-AM"/>
        </w:rPr>
        <w:t>,</w:t>
      </w:r>
      <w:r w:rsidRPr="007D0F12">
        <w:rPr>
          <w:b w:val="0"/>
          <w:noProof/>
          <w:szCs w:val="22"/>
          <w:lang w:val="hy-AM"/>
        </w:rPr>
        <w:t xml:space="preserve"> </w:t>
      </w:r>
      <w:r w:rsidRPr="007D0F12">
        <w:rPr>
          <w:b w:val="0"/>
          <w:noProof/>
          <w:szCs w:val="22"/>
        </w:rPr>
        <w:t>ընդգրկել</w:t>
      </w:r>
      <w:r w:rsidRPr="007D0F12">
        <w:rPr>
          <w:b w:val="0"/>
          <w:noProof/>
          <w:szCs w:val="22"/>
          <w:lang w:val="hy-AM"/>
        </w:rPr>
        <w:t>ով</w:t>
      </w:r>
      <w:r w:rsidRPr="007D0F12">
        <w:rPr>
          <w:b w:val="0"/>
          <w:noProof/>
          <w:szCs w:val="22"/>
          <w:lang w:val="af-ZA"/>
        </w:rPr>
        <w:t xml:space="preserve"> </w:t>
      </w:r>
      <w:r w:rsidRPr="007D0F12">
        <w:rPr>
          <w:b w:val="0"/>
          <w:noProof/>
          <w:szCs w:val="22"/>
          <w:lang w:val="hy-AM"/>
        </w:rPr>
        <w:t>շուրջ 4</w:t>
      </w:r>
      <w:r w:rsidRPr="007D0F12">
        <w:rPr>
          <w:b w:val="0"/>
          <w:noProof/>
          <w:szCs w:val="22"/>
          <w:lang w:val="af-ZA"/>
        </w:rPr>
        <w:t xml:space="preserve">00 </w:t>
      </w:r>
      <w:r w:rsidRPr="007D0F12">
        <w:rPr>
          <w:b w:val="0"/>
          <w:noProof/>
          <w:szCs w:val="22"/>
          <w:lang w:val="hy-AM"/>
        </w:rPr>
        <w:t xml:space="preserve">մասնակցի, </w:t>
      </w:r>
      <w:r w:rsidRPr="007D0F12">
        <w:rPr>
          <w:b w:val="0"/>
          <w:szCs w:val="22"/>
        </w:rPr>
        <w:t>հնարավորություն</w:t>
      </w:r>
      <w:r w:rsidRPr="007D0F12">
        <w:rPr>
          <w:b w:val="0"/>
          <w:szCs w:val="22"/>
          <w:lang w:val="af-ZA"/>
        </w:rPr>
        <w:t xml:space="preserve"> </w:t>
      </w:r>
      <w:r w:rsidRPr="007D0F12">
        <w:rPr>
          <w:b w:val="0"/>
          <w:szCs w:val="22"/>
        </w:rPr>
        <w:t>է</w:t>
      </w:r>
      <w:r w:rsidRPr="007D0F12">
        <w:rPr>
          <w:b w:val="0"/>
          <w:szCs w:val="22"/>
          <w:lang w:val="af-ZA"/>
        </w:rPr>
        <w:t xml:space="preserve"> </w:t>
      </w:r>
      <w:r w:rsidRPr="007D0F12">
        <w:rPr>
          <w:b w:val="0"/>
          <w:szCs w:val="22"/>
        </w:rPr>
        <w:t>ընձեռնվում</w:t>
      </w:r>
      <w:r w:rsidRPr="007D0F12">
        <w:rPr>
          <w:b w:val="0"/>
          <w:szCs w:val="22"/>
          <w:lang w:val="af-ZA"/>
        </w:rPr>
        <w:t xml:space="preserve"> </w:t>
      </w:r>
      <w:r w:rsidRPr="007D0F12">
        <w:rPr>
          <w:b w:val="0"/>
          <w:szCs w:val="22"/>
        </w:rPr>
        <w:t>սփյուռքահայ</w:t>
      </w:r>
      <w:r w:rsidRPr="007D0F12">
        <w:rPr>
          <w:b w:val="0"/>
          <w:szCs w:val="22"/>
          <w:lang w:val="af-ZA"/>
        </w:rPr>
        <w:t xml:space="preserve"> </w:t>
      </w:r>
      <w:r w:rsidRPr="007D0F12">
        <w:rPr>
          <w:b w:val="0"/>
          <w:szCs w:val="22"/>
        </w:rPr>
        <w:t>լավագույն</w:t>
      </w:r>
      <w:r w:rsidRPr="007D0F12">
        <w:rPr>
          <w:b w:val="0"/>
          <w:szCs w:val="22"/>
          <w:lang w:val="af-ZA"/>
        </w:rPr>
        <w:t xml:space="preserve"> </w:t>
      </w:r>
      <w:r w:rsidRPr="007D0F12">
        <w:rPr>
          <w:b w:val="0"/>
          <w:szCs w:val="22"/>
        </w:rPr>
        <w:t>որակավորում</w:t>
      </w:r>
      <w:r w:rsidRPr="007D0F12">
        <w:rPr>
          <w:b w:val="0"/>
          <w:szCs w:val="22"/>
          <w:lang w:val="af-ZA"/>
        </w:rPr>
        <w:t xml:space="preserve"> </w:t>
      </w:r>
      <w:r w:rsidRPr="007D0F12">
        <w:rPr>
          <w:b w:val="0"/>
          <w:szCs w:val="22"/>
        </w:rPr>
        <w:t>ունեցող</w:t>
      </w:r>
      <w:r w:rsidRPr="007D0F12">
        <w:rPr>
          <w:b w:val="0"/>
          <w:szCs w:val="22"/>
          <w:lang w:val="af-ZA"/>
        </w:rPr>
        <w:t xml:space="preserve"> 50 </w:t>
      </w:r>
      <w:r w:rsidRPr="007D0F12">
        <w:rPr>
          <w:b w:val="0"/>
          <w:szCs w:val="22"/>
        </w:rPr>
        <w:t>մասնագետներին</w:t>
      </w:r>
      <w:r w:rsidRPr="007D0F12">
        <w:rPr>
          <w:b w:val="0"/>
          <w:szCs w:val="22"/>
          <w:lang w:val="af-ZA"/>
        </w:rPr>
        <w:t xml:space="preserve"> </w:t>
      </w:r>
      <w:r w:rsidRPr="007D0F12">
        <w:rPr>
          <w:b w:val="0"/>
          <w:szCs w:val="22"/>
        </w:rPr>
        <w:t>իրենց</w:t>
      </w:r>
      <w:r w:rsidRPr="007D0F12">
        <w:rPr>
          <w:b w:val="0"/>
          <w:szCs w:val="22"/>
          <w:lang w:val="af-ZA"/>
        </w:rPr>
        <w:t xml:space="preserve"> </w:t>
      </w:r>
      <w:r w:rsidRPr="007D0F12">
        <w:rPr>
          <w:b w:val="0"/>
          <w:szCs w:val="22"/>
        </w:rPr>
        <w:t>մասնագիտական</w:t>
      </w:r>
      <w:r w:rsidRPr="007D0F12">
        <w:rPr>
          <w:b w:val="0"/>
          <w:szCs w:val="22"/>
          <w:lang w:val="af-ZA"/>
        </w:rPr>
        <w:t xml:space="preserve"> </w:t>
      </w:r>
      <w:r w:rsidRPr="007D0F12">
        <w:rPr>
          <w:b w:val="0"/>
          <w:szCs w:val="22"/>
        </w:rPr>
        <w:t>և</w:t>
      </w:r>
      <w:r w:rsidRPr="007D0F12">
        <w:rPr>
          <w:b w:val="0"/>
          <w:szCs w:val="22"/>
          <w:lang w:val="af-ZA"/>
        </w:rPr>
        <w:t xml:space="preserve"> փորձագիտական հմտություններով ներգրավվելու ՀՀ պետական կառավարման համակարգում, պատրաստվելու և </w:t>
      </w:r>
      <w:r w:rsidRPr="007D0F12">
        <w:rPr>
          <w:b w:val="0"/>
          <w:szCs w:val="22"/>
          <w:lang w:val="hy-AM"/>
        </w:rPr>
        <w:t>հեռարձակվելու</w:t>
      </w:r>
      <w:r w:rsidRPr="007D0F12">
        <w:rPr>
          <w:b w:val="0"/>
          <w:szCs w:val="22"/>
          <w:lang w:val="af-ZA"/>
        </w:rPr>
        <w:t xml:space="preserve"> են հայրենադարձության քարոզչության վերաբերյալ 110 հեռուստահաղորդումներ</w:t>
      </w:r>
      <w:r w:rsidRPr="007D0F12">
        <w:rPr>
          <w:b w:val="0"/>
          <w:szCs w:val="22"/>
          <w:lang w:val="hy-AM"/>
        </w:rPr>
        <w:t>,</w:t>
      </w:r>
      <w:r w:rsidRPr="007D0F12">
        <w:rPr>
          <w:b w:val="0"/>
          <w:szCs w:val="22"/>
          <w:lang w:val="af-ZA"/>
        </w:rPr>
        <w:t xml:space="preserve"> տեսահոլովակներ և գովազդային նյութեր` ապահովելով սփյուռքահայերի իրազեկվածությ</w:t>
      </w:r>
      <w:r>
        <w:rPr>
          <w:b w:val="0"/>
          <w:szCs w:val="22"/>
        </w:rPr>
        <w:t>ունը</w:t>
      </w:r>
      <w:r w:rsidRPr="007D0F12">
        <w:rPr>
          <w:b w:val="0"/>
          <w:szCs w:val="22"/>
          <w:lang w:val="af-ZA"/>
        </w:rPr>
        <w:t xml:space="preserve">: </w:t>
      </w:r>
    </w:p>
    <w:p w14:paraId="38D8F8A8" w14:textId="77777777" w:rsidR="007D0F12" w:rsidRPr="007D0F12" w:rsidRDefault="007D0F12" w:rsidP="007D0F12">
      <w:pPr>
        <w:numPr>
          <w:ilvl w:val="12"/>
          <w:numId w:val="0"/>
        </w:numPr>
        <w:tabs>
          <w:tab w:val="left" w:pos="851"/>
        </w:tabs>
        <w:spacing w:line="276" w:lineRule="auto"/>
        <w:ind w:firstLine="720"/>
        <w:rPr>
          <w:b w:val="0"/>
          <w:szCs w:val="22"/>
          <w:lang w:val="af-ZA"/>
        </w:rPr>
      </w:pPr>
      <w:r w:rsidRPr="007D0F12">
        <w:rPr>
          <w:b w:val="0"/>
          <w:szCs w:val="22"/>
        </w:rPr>
        <w:t>Ծրագրի</w:t>
      </w:r>
      <w:r w:rsidRPr="007D0F12">
        <w:rPr>
          <w:b w:val="0"/>
          <w:szCs w:val="22"/>
          <w:lang w:val="fr-FR"/>
        </w:rPr>
        <w:t xml:space="preserve"> </w:t>
      </w:r>
      <w:r w:rsidRPr="007D0F12">
        <w:rPr>
          <w:b w:val="0"/>
          <w:szCs w:val="22"/>
          <w:lang w:val="hy-AM"/>
        </w:rPr>
        <w:t xml:space="preserve">շրջանակներում </w:t>
      </w:r>
      <w:r w:rsidRPr="007D0F12">
        <w:rPr>
          <w:b w:val="0"/>
          <w:szCs w:val="22"/>
        </w:rPr>
        <w:t>նախատեսվում</w:t>
      </w:r>
      <w:r w:rsidRPr="007D0F12">
        <w:rPr>
          <w:b w:val="0"/>
          <w:szCs w:val="22"/>
          <w:lang w:val="af-ZA"/>
        </w:rPr>
        <w:t xml:space="preserve"> </w:t>
      </w:r>
      <w:r w:rsidRPr="007D0F12">
        <w:rPr>
          <w:b w:val="0"/>
          <w:szCs w:val="22"/>
          <w:lang w:val="hy-AM"/>
        </w:rPr>
        <w:t>է իրականացնել</w:t>
      </w:r>
      <w:r w:rsidRPr="007D0F12">
        <w:rPr>
          <w:b w:val="0"/>
          <w:szCs w:val="22"/>
          <w:lang w:val="af-ZA"/>
        </w:rPr>
        <w:t xml:space="preserve"> Հ</w:t>
      </w:r>
      <w:r w:rsidRPr="007D0F12">
        <w:rPr>
          <w:b w:val="0"/>
          <w:szCs w:val="22"/>
          <w:lang w:val="hy-AM"/>
        </w:rPr>
        <w:t xml:space="preserve">այաստանի </w:t>
      </w:r>
      <w:r w:rsidRPr="007D0F12">
        <w:rPr>
          <w:b w:val="0"/>
          <w:szCs w:val="22"/>
          <w:lang w:val="af-ZA"/>
        </w:rPr>
        <w:t>Հ</w:t>
      </w:r>
      <w:r w:rsidRPr="007D0F12">
        <w:rPr>
          <w:b w:val="0"/>
          <w:szCs w:val="22"/>
          <w:lang w:val="hy-AM"/>
        </w:rPr>
        <w:t>անրապետության</w:t>
      </w:r>
      <w:r w:rsidRPr="007D0F12">
        <w:rPr>
          <w:b w:val="0"/>
          <w:szCs w:val="22"/>
          <w:lang w:val="af-ZA"/>
        </w:rPr>
        <w:t xml:space="preserve"> մասին </w:t>
      </w:r>
      <w:r w:rsidRPr="007D0F12">
        <w:rPr>
          <w:b w:val="0"/>
          <w:szCs w:val="22"/>
          <w:lang w:val="hy-AM"/>
        </w:rPr>
        <w:t xml:space="preserve">սփյուռքի </w:t>
      </w:r>
      <w:r w:rsidRPr="007D0F12">
        <w:rPr>
          <w:b w:val="0"/>
          <w:szCs w:val="22"/>
          <w:lang w:val="af-ZA"/>
        </w:rPr>
        <w:t xml:space="preserve">երիտասարդ առաջնորդների ճանաչողական և վերապատրաստման դասընթացների կազմակերպում շուրջ 20 մասնակցի համար, ինչպես նաև 27 այցելություններ սփյուռքի համայնքներ՝ խնդիրներին ծանոթանալու, դրանց լուծման ուղիների քննարկման, համայնքներում կազմակերպված միջոցառումներին մասնակցության և այլ նպատակներով:  </w:t>
      </w:r>
    </w:p>
    <w:p w14:paraId="76C81D25" w14:textId="77777777" w:rsidR="007D0F12" w:rsidRPr="007D0F12" w:rsidRDefault="007D0F12" w:rsidP="007D0F12">
      <w:pPr>
        <w:spacing w:after="120" w:line="276" w:lineRule="auto"/>
        <w:rPr>
          <w:b w:val="0"/>
          <w:szCs w:val="22"/>
          <w:lang w:val="af-ZA"/>
        </w:rPr>
      </w:pPr>
      <w:r w:rsidRPr="007D0F12">
        <w:rPr>
          <w:b w:val="0"/>
          <w:szCs w:val="22"/>
          <w:lang w:val="af-ZA"/>
        </w:rPr>
        <w:t>Ծրագրի շրջանակներում նախատեսվում է նաև Հայրենադարձության և ինտեգրման կենտրոնի ստեղծում, որը հնարավորություն կընձեռի կարգավորել հայրենադարձության հետ կապված տարատեսակ հարցեր, սպասարկելով շուրջ 2500 անձանց և կնպաստի Հայաստանի Հանրապետությունում հայրենադարձների արագ և արդյունավետ ինտեգրմանը:</w:t>
      </w:r>
    </w:p>
    <w:p w14:paraId="761305A8" w14:textId="77777777" w:rsidR="007D0F12" w:rsidRPr="007D0F12" w:rsidRDefault="007D0F12" w:rsidP="007D0F12">
      <w:pPr>
        <w:numPr>
          <w:ilvl w:val="12"/>
          <w:numId w:val="0"/>
        </w:numPr>
        <w:tabs>
          <w:tab w:val="left" w:pos="851"/>
        </w:tabs>
        <w:spacing w:line="276" w:lineRule="auto"/>
        <w:ind w:firstLine="720"/>
        <w:rPr>
          <w:b w:val="0"/>
          <w:noProof/>
          <w:szCs w:val="22"/>
          <w:lang w:val="hy-AM"/>
        </w:rPr>
      </w:pPr>
      <w:r w:rsidRPr="007D0F12">
        <w:rPr>
          <w:rFonts w:eastAsia="Calibri"/>
          <w:b w:val="0"/>
          <w:szCs w:val="22"/>
          <w:lang w:val="hy-AM" w:eastAsia="en-US"/>
        </w:rPr>
        <w:t>Միաժամանակ</w:t>
      </w:r>
      <w:r w:rsidRPr="007D0F12">
        <w:rPr>
          <w:rFonts w:eastAsia="Calibri"/>
          <w:b w:val="0"/>
          <w:szCs w:val="22"/>
          <w:lang w:val="af-ZA" w:eastAsia="en-US"/>
        </w:rPr>
        <w:t>,</w:t>
      </w:r>
      <w:r w:rsidRPr="007D0F12">
        <w:rPr>
          <w:rFonts w:eastAsia="Calibri"/>
          <w:b w:val="0"/>
          <w:szCs w:val="22"/>
          <w:lang w:val="fr-FR" w:eastAsia="en-US"/>
        </w:rPr>
        <w:t xml:space="preserve"> </w:t>
      </w:r>
      <w:r w:rsidRPr="007D0F12">
        <w:rPr>
          <w:rFonts w:eastAsia="Calibri"/>
          <w:b w:val="0"/>
          <w:szCs w:val="22"/>
          <w:lang w:val="hy-AM" w:eastAsia="en-US"/>
        </w:rPr>
        <w:t>ծրագրի</w:t>
      </w:r>
      <w:r w:rsidRPr="007D0F12">
        <w:rPr>
          <w:rFonts w:eastAsia="Calibri"/>
          <w:b w:val="0"/>
          <w:szCs w:val="22"/>
          <w:lang w:val="fr-FR" w:eastAsia="en-US"/>
        </w:rPr>
        <w:t xml:space="preserve"> </w:t>
      </w:r>
      <w:r w:rsidRPr="007D0F12">
        <w:rPr>
          <w:rFonts w:eastAsia="Calibri"/>
          <w:b w:val="0"/>
          <w:szCs w:val="22"/>
          <w:lang w:val="hy-AM" w:eastAsia="en-US"/>
        </w:rPr>
        <w:t>գծով</w:t>
      </w:r>
      <w:r w:rsidRPr="007D0F12">
        <w:rPr>
          <w:rFonts w:eastAsia="Calibri"/>
          <w:b w:val="0"/>
          <w:szCs w:val="22"/>
          <w:lang w:val="fr-FR" w:eastAsia="en-US"/>
        </w:rPr>
        <w:t xml:space="preserve"> </w:t>
      </w:r>
      <w:r w:rsidRPr="007D0F12">
        <w:rPr>
          <w:rFonts w:eastAsia="Calibri" w:cs="Sylfaen"/>
          <w:b w:val="0"/>
          <w:szCs w:val="22"/>
          <w:lang w:val="fr-FR" w:eastAsia="en-US"/>
        </w:rPr>
        <w:t xml:space="preserve">2021 թվականի համեմատ ծախսերը նվազել են </w:t>
      </w:r>
      <w:r w:rsidRPr="007D0F12">
        <w:rPr>
          <w:b w:val="0"/>
          <w:noProof/>
          <w:szCs w:val="22"/>
          <w:lang w:val="af-ZA"/>
        </w:rPr>
        <w:t xml:space="preserve">441.3 </w:t>
      </w:r>
      <w:r w:rsidRPr="007D0F12">
        <w:rPr>
          <w:b w:val="0"/>
          <w:noProof/>
          <w:szCs w:val="22"/>
          <w:lang w:val="hy-AM"/>
        </w:rPr>
        <w:t>մլն</w:t>
      </w:r>
      <w:r w:rsidRPr="007D0F12">
        <w:rPr>
          <w:b w:val="0"/>
          <w:noProof/>
          <w:szCs w:val="22"/>
          <w:lang w:val="af-ZA"/>
        </w:rPr>
        <w:t xml:space="preserve"> </w:t>
      </w:r>
      <w:r w:rsidRPr="007D0F12">
        <w:rPr>
          <w:b w:val="0"/>
          <w:noProof/>
          <w:szCs w:val="22"/>
          <w:lang w:val="hy-AM"/>
        </w:rPr>
        <w:t>դրամով</w:t>
      </w:r>
      <w:r w:rsidRPr="007D0F12">
        <w:rPr>
          <w:b w:val="0"/>
          <w:noProof/>
          <w:szCs w:val="22"/>
          <w:lang w:val="af-ZA"/>
        </w:rPr>
        <w:t xml:space="preserve">, </w:t>
      </w:r>
      <w:r w:rsidRPr="007D0F12">
        <w:rPr>
          <w:b w:val="0"/>
          <w:noProof/>
          <w:szCs w:val="22"/>
          <w:lang w:val="hy-AM"/>
        </w:rPr>
        <w:t xml:space="preserve">պայմանավորված կանխատեսվող մասնակիցների քանակի կրճատմամբ </w:t>
      </w:r>
      <w:r w:rsidRPr="007D0F12">
        <w:rPr>
          <w:b w:val="0"/>
          <w:noProof/>
          <w:szCs w:val="22"/>
          <w:lang w:val="af-ZA"/>
        </w:rPr>
        <w:t>(</w:t>
      </w:r>
      <w:r w:rsidRPr="007D0F12">
        <w:rPr>
          <w:b w:val="0"/>
          <w:noProof/>
          <w:szCs w:val="22"/>
          <w:lang w:val="hy-AM"/>
        </w:rPr>
        <w:t>հաշվի է առնվել որոշ միջոցառումների գծով փաստացի ծախսերը</w:t>
      </w:r>
      <w:r w:rsidRPr="007D0F12">
        <w:rPr>
          <w:b w:val="0"/>
          <w:noProof/>
          <w:szCs w:val="22"/>
          <w:lang w:val="af-ZA"/>
        </w:rPr>
        <w:t>)</w:t>
      </w:r>
      <w:r w:rsidRPr="007D0F12">
        <w:rPr>
          <w:b w:val="0"/>
          <w:noProof/>
          <w:szCs w:val="22"/>
          <w:lang w:val="hy-AM"/>
        </w:rPr>
        <w:t xml:space="preserve">: </w:t>
      </w:r>
    </w:p>
    <w:p w14:paraId="52CCE98D" w14:textId="77777777" w:rsidR="007D0F12" w:rsidRPr="007D0F12" w:rsidRDefault="007D0F12" w:rsidP="007D0F12">
      <w:pPr>
        <w:numPr>
          <w:ilvl w:val="12"/>
          <w:numId w:val="0"/>
        </w:numPr>
        <w:tabs>
          <w:tab w:val="left" w:pos="851"/>
        </w:tabs>
        <w:spacing w:line="276" w:lineRule="auto"/>
        <w:ind w:firstLine="720"/>
        <w:rPr>
          <w:rFonts w:cs="Sylfaen"/>
          <w:b w:val="0"/>
          <w:kern w:val="16"/>
          <w:szCs w:val="22"/>
          <w:lang w:val="pt-BR"/>
        </w:rPr>
      </w:pPr>
      <w:r w:rsidRPr="007D0F12">
        <w:rPr>
          <w:noProof/>
          <w:szCs w:val="22"/>
          <w:lang w:val="hy-AM"/>
        </w:rPr>
        <w:t>ՀՀ զարգացման գործընթացներում Սփյուռքի ներուժի ներգրավում ծրագրի</w:t>
      </w:r>
      <w:r w:rsidRPr="007D0F12">
        <w:rPr>
          <w:b w:val="0"/>
          <w:noProof/>
          <w:szCs w:val="22"/>
          <w:lang w:val="hy-AM"/>
        </w:rPr>
        <w:t xml:space="preserve"> նպատակն է ապահովել </w:t>
      </w:r>
      <w:r w:rsidRPr="007D0F12">
        <w:rPr>
          <w:rFonts w:cs="Sylfaen"/>
          <w:b w:val="0"/>
          <w:bCs/>
          <w:szCs w:val="22"/>
          <w:lang w:val="hy-AM"/>
        </w:rPr>
        <w:t xml:space="preserve">սփյուռքի ներուժի բացահայտումը, տեղեկատվական համակարգերի ստեղծումը, կատարելագործումը և համալրումը, համատեղ ծրագրերի իրականացումը, համահայկական մասնագիտական ցանցերի ստեղծումը, </w:t>
      </w:r>
      <w:r w:rsidRPr="007D0F12">
        <w:rPr>
          <w:rFonts w:cs="Sylfaen"/>
          <w:b w:val="0"/>
          <w:color w:val="000000"/>
          <w:szCs w:val="22"/>
          <w:shd w:val="clear" w:color="auto" w:fill="FFFFFF"/>
          <w:lang w:val="hy-AM"/>
        </w:rPr>
        <w:t>որի արդյունքում հնարավոր կլինի համախմբել Հայաստանի և</w:t>
      </w:r>
      <w:r w:rsidRPr="007D0F12">
        <w:rPr>
          <w:rFonts w:cs="Sylfaen"/>
          <w:b w:val="0"/>
          <w:color w:val="000000"/>
          <w:szCs w:val="22"/>
          <w:shd w:val="clear" w:color="auto" w:fill="FFFFFF"/>
          <w:lang w:val="pt-BR"/>
        </w:rPr>
        <w:t xml:space="preserve"> </w:t>
      </w:r>
      <w:r w:rsidRPr="007D0F12">
        <w:rPr>
          <w:rFonts w:cs="Sylfaen"/>
          <w:b w:val="0"/>
          <w:color w:val="000000"/>
          <w:szCs w:val="22"/>
          <w:shd w:val="clear" w:color="auto" w:fill="FFFFFF"/>
          <w:lang w:val="hy-AM"/>
        </w:rPr>
        <w:t>Սփյուռքի</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գիտական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կրթական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տնտեսական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մշակութային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և</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այլ</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ոլորտներում</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առկա</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ներուժը</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 xml:space="preserve">և այն </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արդյունավետ</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կիրառել առաջադրված</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խնդիրների</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լուծման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համար</w:t>
      </w:r>
      <w:r w:rsidRPr="007D0F12">
        <w:rPr>
          <w:b w:val="0"/>
          <w:color w:val="000000"/>
          <w:szCs w:val="22"/>
          <w:shd w:val="clear" w:color="auto" w:fill="FFFFFF"/>
          <w:lang w:val="pt-BR"/>
        </w:rPr>
        <w:t>:</w:t>
      </w:r>
    </w:p>
    <w:p w14:paraId="1A28B93D" w14:textId="77777777" w:rsidR="007D0F12" w:rsidRPr="007D0F12" w:rsidRDefault="007D0F12" w:rsidP="007D0F12">
      <w:pPr>
        <w:numPr>
          <w:ilvl w:val="12"/>
          <w:numId w:val="0"/>
        </w:numPr>
        <w:tabs>
          <w:tab w:val="left" w:pos="851"/>
        </w:tabs>
        <w:spacing w:line="276" w:lineRule="auto"/>
        <w:rPr>
          <w:b w:val="0"/>
          <w:noProof/>
          <w:szCs w:val="22"/>
          <w:lang w:val="hy-AM"/>
        </w:rPr>
      </w:pPr>
      <w:r w:rsidRPr="007D0F12">
        <w:rPr>
          <w:b w:val="0"/>
          <w:noProof/>
          <w:szCs w:val="22"/>
          <w:lang w:val="pt-BR"/>
        </w:rPr>
        <w:t xml:space="preserve">         </w:t>
      </w:r>
      <w:r w:rsidRPr="007D0F12">
        <w:rPr>
          <w:b w:val="0"/>
          <w:noProof/>
          <w:szCs w:val="22"/>
        </w:rPr>
        <w:t>Ծրագրի</w:t>
      </w:r>
      <w:r w:rsidRPr="007D0F12">
        <w:rPr>
          <w:b w:val="0"/>
          <w:noProof/>
          <w:szCs w:val="22"/>
          <w:lang w:val="pt-BR"/>
        </w:rPr>
        <w:t xml:space="preserve"> </w:t>
      </w:r>
      <w:r w:rsidRPr="007D0F12">
        <w:rPr>
          <w:b w:val="0"/>
          <w:noProof/>
          <w:szCs w:val="22"/>
          <w:lang w:val="hy-AM"/>
        </w:rPr>
        <w:t>գծով</w:t>
      </w:r>
      <w:r w:rsidRPr="007D0F12">
        <w:rPr>
          <w:b w:val="0"/>
          <w:noProof/>
          <w:szCs w:val="22"/>
          <w:lang w:val="pt-BR"/>
        </w:rPr>
        <w:t xml:space="preserve"> </w:t>
      </w:r>
      <w:r w:rsidRPr="007D0F12">
        <w:rPr>
          <w:b w:val="0"/>
          <w:noProof/>
          <w:szCs w:val="22"/>
        </w:rPr>
        <w:t>հատկացումներն</w:t>
      </w:r>
      <w:r w:rsidRPr="007D0F12">
        <w:rPr>
          <w:b w:val="0"/>
          <w:noProof/>
          <w:szCs w:val="22"/>
          <w:lang w:val="pt-BR"/>
        </w:rPr>
        <w:t xml:space="preserve"> </w:t>
      </w:r>
      <w:r w:rsidRPr="007D0F12">
        <w:rPr>
          <w:b w:val="0"/>
          <w:noProof/>
          <w:szCs w:val="22"/>
          <w:lang w:val="hy-AM"/>
        </w:rPr>
        <w:t>204</w:t>
      </w:r>
      <w:r w:rsidRPr="007D0F12">
        <w:rPr>
          <w:b w:val="0"/>
          <w:noProof/>
          <w:szCs w:val="22"/>
          <w:lang w:val="af-ZA"/>
        </w:rPr>
        <w:t>.</w:t>
      </w:r>
      <w:r w:rsidRPr="007D0F12">
        <w:rPr>
          <w:b w:val="0"/>
          <w:noProof/>
          <w:szCs w:val="22"/>
          <w:lang w:val="hy-AM"/>
        </w:rPr>
        <w:t>3</w:t>
      </w:r>
      <w:r w:rsidRPr="007D0F12">
        <w:rPr>
          <w:b w:val="0"/>
          <w:noProof/>
          <w:szCs w:val="22"/>
          <w:lang w:val="af-ZA"/>
        </w:rPr>
        <w:t xml:space="preserve"> </w:t>
      </w:r>
      <w:r w:rsidRPr="007D0F12">
        <w:rPr>
          <w:b w:val="0"/>
          <w:noProof/>
          <w:szCs w:val="22"/>
          <w:lang w:val="hy-AM"/>
        </w:rPr>
        <w:t>մլն</w:t>
      </w:r>
      <w:r w:rsidRPr="007D0F12">
        <w:rPr>
          <w:b w:val="0"/>
          <w:noProof/>
          <w:szCs w:val="22"/>
          <w:lang w:val="af-ZA"/>
        </w:rPr>
        <w:t xml:space="preserve"> </w:t>
      </w:r>
      <w:r w:rsidRPr="007D0F12">
        <w:rPr>
          <w:b w:val="0"/>
          <w:noProof/>
          <w:szCs w:val="22"/>
          <w:lang w:val="hy-AM"/>
        </w:rPr>
        <w:t>դրամի չափով</w:t>
      </w:r>
      <w:r w:rsidRPr="007D0F12">
        <w:rPr>
          <w:b w:val="0"/>
          <w:noProof/>
          <w:szCs w:val="22"/>
          <w:lang w:val="pt-BR"/>
        </w:rPr>
        <w:t xml:space="preserve"> </w:t>
      </w:r>
      <w:r w:rsidRPr="007D0F12">
        <w:rPr>
          <w:b w:val="0"/>
          <w:noProof/>
          <w:szCs w:val="22"/>
        </w:rPr>
        <w:t>ուղղվելու</w:t>
      </w:r>
      <w:r w:rsidRPr="007D0F12">
        <w:rPr>
          <w:b w:val="0"/>
          <w:noProof/>
          <w:szCs w:val="22"/>
          <w:lang w:val="pt-BR"/>
        </w:rPr>
        <w:t xml:space="preserve"> </w:t>
      </w:r>
      <w:r w:rsidRPr="007D0F12">
        <w:rPr>
          <w:b w:val="0"/>
          <w:noProof/>
          <w:szCs w:val="22"/>
        </w:rPr>
        <w:t>են</w:t>
      </w:r>
      <w:r w:rsidRPr="007D0F12">
        <w:rPr>
          <w:b w:val="0"/>
          <w:noProof/>
          <w:szCs w:val="22"/>
          <w:lang w:val="pt-BR"/>
        </w:rPr>
        <w:t xml:space="preserve"> </w:t>
      </w:r>
      <w:r w:rsidRPr="007D0F12">
        <w:rPr>
          <w:b w:val="0"/>
          <w:noProof/>
          <w:szCs w:val="22"/>
          <w:lang w:val="hy-AM"/>
        </w:rPr>
        <w:t>2</w:t>
      </w:r>
      <w:r w:rsidRPr="007D0F12">
        <w:rPr>
          <w:b w:val="0"/>
          <w:noProof/>
          <w:szCs w:val="22"/>
          <w:lang w:val="af-ZA"/>
        </w:rPr>
        <w:t xml:space="preserve"> </w:t>
      </w:r>
      <w:r w:rsidRPr="007D0F12">
        <w:rPr>
          <w:b w:val="0"/>
          <w:noProof/>
          <w:szCs w:val="22"/>
        </w:rPr>
        <w:t>միջոցառումների</w:t>
      </w:r>
      <w:r w:rsidRPr="007D0F12">
        <w:rPr>
          <w:b w:val="0"/>
          <w:noProof/>
          <w:szCs w:val="22"/>
          <w:lang w:val="af-ZA"/>
        </w:rPr>
        <w:t xml:space="preserve"> </w:t>
      </w:r>
      <w:r w:rsidRPr="007D0F12">
        <w:rPr>
          <w:b w:val="0"/>
          <w:noProof/>
          <w:szCs w:val="22"/>
        </w:rPr>
        <w:t>իրականացմանը</w:t>
      </w:r>
      <w:r w:rsidRPr="007D0F12">
        <w:rPr>
          <w:b w:val="0"/>
          <w:noProof/>
          <w:szCs w:val="22"/>
          <w:lang w:val="hy-AM"/>
        </w:rPr>
        <w:t>:</w:t>
      </w:r>
    </w:p>
    <w:p w14:paraId="27572C08" w14:textId="77777777" w:rsidR="007D0F12" w:rsidRPr="007D0F12" w:rsidRDefault="007D0F12" w:rsidP="007D0F12">
      <w:pPr>
        <w:numPr>
          <w:ilvl w:val="12"/>
          <w:numId w:val="0"/>
        </w:numPr>
        <w:tabs>
          <w:tab w:val="left" w:pos="851"/>
        </w:tabs>
        <w:spacing w:line="276" w:lineRule="auto"/>
        <w:rPr>
          <w:b w:val="0"/>
          <w:noProof/>
          <w:szCs w:val="22"/>
          <w:lang w:val="hy-AM"/>
        </w:rPr>
      </w:pPr>
      <w:r w:rsidRPr="007D0F12">
        <w:rPr>
          <w:b w:val="0"/>
          <w:i/>
          <w:noProof/>
          <w:szCs w:val="22"/>
          <w:lang w:val="hy-AM"/>
        </w:rPr>
        <w:t xml:space="preserve">        </w:t>
      </w:r>
      <w:r w:rsidRPr="007D0F12">
        <w:rPr>
          <w:b w:val="0"/>
          <w:i/>
          <w:noProof/>
          <w:szCs w:val="22"/>
          <w:lang w:val="pt-BR"/>
        </w:rPr>
        <w:t xml:space="preserve"> </w:t>
      </w:r>
      <w:r w:rsidRPr="007D0F12">
        <w:rPr>
          <w:b w:val="0"/>
          <w:szCs w:val="22"/>
          <w:lang w:val="hy-AM"/>
        </w:rPr>
        <w:t>Ծրագրի</w:t>
      </w:r>
      <w:r w:rsidRPr="007D0F12">
        <w:rPr>
          <w:b w:val="0"/>
          <w:szCs w:val="22"/>
          <w:lang w:val="fr-FR"/>
        </w:rPr>
        <w:t xml:space="preserve"> </w:t>
      </w:r>
      <w:r w:rsidRPr="007D0F12">
        <w:rPr>
          <w:b w:val="0"/>
          <w:szCs w:val="22"/>
          <w:lang w:val="hy-AM"/>
        </w:rPr>
        <w:t>շրջանակներում նախատեսվում</w:t>
      </w:r>
      <w:r w:rsidRPr="007D0F12">
        <w:rPr>
          <w:b w:val="0"/>
          <w:szCs w:val="22"/>
          <w:lang w:val="fr-FR"/>
        </w:rPr>
        <w:t xml:space="preserve"> </w:t>
      </w:r>
      <w:r w:rsidRPr="007D0F12">
        <w:rPr>
          <w:b w:val="0"/>
          <w:szCs w:val="22"/>
          <w:lang w:val="hy-AM"/>
        </w:rPr>
        <w:t>է</w:t>
      </w:r>
      <w:r w:rsidRPr="007D0F12">
        <w:rPr>
          <w:b w:val="0"/>
          <w:szCs w:val="22"/>
          <w:lang w:val="fr-FR"/>
        </w:rPr>
        <w:t xml:space="preserve"> </w:t>
      </w:r>
      <w:r w:rsidRPr="007D0F12">
        <w:rPr>
          <w:b w:val="0"/>
          <w:szCs w:val="22"/>
          <w:lang w:val="hy-AM"/>
        </w:rPr>
        <w:t>իրականացնել</w:t>
      </w:r>
      <w:r w:rsidRPr="007D0F12">
        <w:rPr>
          <w:b w:val="0"/>
          <w:szCs w:val="22"/>
          <w:lang w:val="fr-FR"/>
        </w:rPr>
        <w:t xml:space="preserve"> </w:t>
      </w:r>
      <w:r w:rsidRPr="007D0F12">
        <w:rPr>
          <w:b w:val="0"/>
          <w:szCs w:val="22"/>
          <w:lang w:val="hy-AM"/>
        </w:rPr>
        <w:t xml:space="preserve">3 </w:t>
      </w:r>
      <w:r w:rsidRPr="007D0F12">
        <w:rPr>
          <w:b w:val="0"/>
          <w:noProof/>
          <w:szCs w:val="22"/>
          <w:lang w:val="hy-AM"/>
        </w:rPr>
        <w:t>Համահայկական համաժողով (</w:t>
      </w:r>
      <w:r w:rsidRPr="007D0F12">
        <w:rPr>
          <w:rFonts w:eastAsia="Calibri"/>
          <w:b w:val="0"/>
          <w:color w:val="000000"/>
          <w:szCs w:val="22"/>
          <w:lang w:val="pt-BR"/>
        </w:rPr>
        <w:t xml:space="preserve">Սփյուռքահայ քաղաքական գործիչների, Հայաստան-Սփյուռք համահայկական, Սփյուռքի ներդրումների և բարեգործության </w:t>
      </w:r>
      <w:r w:rsidRPr="007D0F12">
        <w:rPr>
          <w:rFonts w:eastAsia="Calibri"/>
          <w:b w:val="0"/>
          <w:color w:val="000000"/>
          <w:szCs w:val="22"/>
          <w:lang w:val="hy-AM"/>
        </w:rPr>
        <w:t>համաժողովներ</w:t>
      </w:r>
      <w:r w:rsidRPr="007D0F12">
        <w:rPr>
          <w:rFonts w:eastAsia="Calibri"/>
          <w:b w:val="0"/>
          <w:color w:val="000000"/>
          <w:szCs w:val="22"/>
          <w:lang w:val="pt-BR"/>
        </w:rPr>
        <w:t>)</w:t>
      </w:r>
      <w:r w:rsidRPr="007D0F12">
        <w:rPr>
          <w:rFonts w:eastAsia="Calibri"/>
          <w:b w:val="0"/>
          <w:color w:val="000000"/>
          <w:szCs w:val="22"/>
          <w:lang w:val="hy-AM"/>
        </w:rPr>
        <w:t>, որը իրականացվում է երկու տարին մեկ անգամ՝ ներգրավելով</w:t>
      </w:r>
      <w:r w:rsidRPr="007D0F12">
        <w:rPr>
          <w:b w:val="0"/>
          <w:noProof/>
          <w:szCs w:val="22"/>
          <w:lang w:val="hy-AM"/>
        </w:rPr>
        <w:t xml:space="preserve"> շուրջ 2550 մասնակիցների, ինչպես նաև «</w:t>
      </w:r>
      <w:r w:rsidRPr="007D0F12">
        <w:rPr>
          <w:b w:val="0"/>
          <w:noProof/>
          <w:szCs w:val="22"/>
          <w:lang w:val="pt-BR"/>
        </w:rPr>
        <w:t>Սփյուռքի մարդկային ներուժի վերհանում, դրա քարտեզագրում և տեղեկատվական բազայի ստեղծում»</w:t>
      </w:r>
      <w:r w:rsidRPr="007D0F12">
        <w:rPr>
          <w:b w:val="0"/>
          <w:noProof/>
          <w:szCs w:val="22"/>
          <w:lang w:val="hy-AM"/>
        </w:rPr>
        <w:t xml:space="preserve"> միջոցառման գծով հավաքագրել սփյուռքի մարդկային ներուժի 50 000 տվյալ: </w:t>
      </w:r>
    </w:p>
    <w:p w14:paraId="564104B3" w14:textId="77777777" w:rsidR="007D0F12" w:rsidRPr="00855EC2" w:rsidRDefault="007D0F12" w:rsidP="007D0F12">
      <w:pPr>
        <w:numPr>
          <w:ilvl w:val="12"/>
          <w:numId w:val="0"/>
        </w:numPr>
        <w:tabs>
          <w:tab w:val="left" w:pos="851"/>
        </w:tabs>
        <w:spacing w:line="276" w:lineRule="auto"/>
        <w:rPr>
          <w:b w:val="0"/>
          <w:noProof/>
          <w:szCs w:val="22"/>
          <w:lang w:val="af-ZA"/>
        </w:rPr>
      </w:pPr>
      <w:r w:rsidRPr="007D0F12">
        <w:rPr>
          <w:rFonts w:eastAsia="Calibri" w:cs="Sylfaen"/>
          <w:b w:val="0"/>
          <w:szCs w:val="22"/>
          <w:lang w:val="hy-AM" w:eastAsia="en-US"/>
        </w:rPr>
        <w:t xml:space="preserve">         Ծրագրի գծով </w:t>
      </w:r>
      <w:r w:rsidRPr="007D0F12">
        <w:rPr>
          <w:rFonts w:eastAsia="Calibri" w:cs="Sylfaen"/>
          <w:b w:val="0"/>
          <w:szCs w:val="22"/>
          <w:lang w:val="fr-FR" w:eastAsia="en-US"/>
        </w:rPr>
        <w:t xml:space="preserve">2021 թվականի համեմատ ծախսերը </w:t>
      </w:r>
      <w:r w:rsidRPr="007D0F12">
        <w:rPr>
          <w:rFonts w:eastAsia="Calibri" w:cs="Sylfaen"/>
          <w:b w:val="0"/>
          <w:szCs w:val="22"/>
          <w:lang w:val="hy-AM" w:eastAsia="en-US"/>
        </w:rPr>
        <w:t>աճել են 129.3 մլն դրամով:</w:t>
      </w:r>
    </w:p>
    <w:p w14:paraId="7A526A83" w14:textId="666987D1" w:rsidR="00FC7885" w:rsidRPr="00A83C94" w:rsidRDefault="00FC7885" w:rsidP="007D0F12">
      <w:pPr>
        <w:numPr>
          <w:ilvl w:val="12"/>
          <w:numId w:val="0"/>
        </w:numPr>
        <w:tabs>
          <w:tab w:val="left" w:pos="851"/>
        </w:tabs>
        <w:spacing w:line="276" w:lineRule="auto"/>
        <w:ind w:firstLine="720"/>
        <w:rPr>
          <w:rFonts w:cs="Times LatArm"/>
          <w:b w:val="0"/>
          <w:szCs w:val="22"/>
          <w:lang w:val="hy-AM"/>
        </w:rPr>
      </w:pPr>
      <w:r w:rsidRPr="00A83C94">
        <w:rPr>
          <w:rFonts w:cs="Times LatArm"/>
          <w:szCs w:val="22"/>
          <w:lang w:val="hy-AM"/>
        </w:rPr>
        <w:t>Քաղաքացիական ծառայողների վերապատրաստում</w:t>
      </w:r>
      <w:r w:rsidR="00B8385D" w:rsidRPr="00A83C94">
        <w:rPr>
          <w:rFonts w:cs="Times LatArm"/>
          <w:szCs w:val="22"/>
          <w:lang w:val="hy-AM"/>
        </w:rPr>
        <w:t xml:space="preserve"> </w:t>
      </w:r>
      <w:r w:rsidRPr="00A83C94">
        <w:rPr>
          <w:rFonts w:cs="Times LatArm"/>
          <w:b w:val="0"/>
          <w:szCs w:val="22"/>
          <w:lang w:val="hy-AM"/>
        </w:rPr>
        <w:t>ծրագրի գծով 2022 թվականին նախատեսվում է հատկացնել 16.2 մլն դրամ՝ քաղաքացիական ծառայողների մասնագիտական գիտելիքների, աշխատանքային ունակությունների հետևողական վերապատրաստման և ուսուցման նպատակով</w:t>
      </w:r>
      <w:r w:rsidRPr="00A83C94">
        <w:rPr>
          <w:b w:val="0"/>
          <w:noProof/>
          <w:szCs w:val="22"/>
          <w:lang w:val="hy-AM"/>
        </w:rPr>
        <w:t xml:space="preserve">՝ ՀՀ 2021 թվականի պետական բյուջեով հաստատված 19.8 մլն դրամի դիմաց: </w:t>
      </w:r>
      <w:r w:rsidR="00A26A26" w:rsidRPr="00A83C94">
        <w:rPr>
          <w:b w:val="0"/>
          <w:noProof/>
          <w:szCs w:val="22"/>
          <w:lang w:val="hy-AM"/>
        </w:rPr>
        <w:t>2022 թվականին նախատեսվում է վերապատրաստել 4500 քաղաքացիական ծառայողներ</w:t>
      </w:r>
      <w:r w:rsidR="00A26A26" w:rsidRPr="00A83C94">
        <w:rPr>
          <w:rFonts w:cs="Times LatArm"/>
          <w:b w:val="0"/>
          <w:szCs w:val="22"/>
          <w:lang w:val="hy-AM"/>
        </w:rPr>
        <w:t>ի:</w:t>
      </w:r>
    </w:p>
    <w:p w14:paraId="08FF8746" w14:textId="0D953831" w:rsidR="001C3747" w:rsidRPr="00A83C94" w:rsidRDefault="001C3747" w:rsidP="001C3747">
      <w:pPr>
        <w:numPr>
          <w:ilvl w:val="12"/>
          <w:numId w:val="0"/>
        </w:numPr>
        <w:tabs>
          <w:tab w:val="left" w:pos="851"/>
        </w:tabs>
        <w:spacing w:line="276" w:lineRule="auto"/>
        <w:ind w:firstLine="720"/>
        <w:rPr>
          <w:rFonts w:cs="Times LatArm"/>
          <w:b w:val="0"/>
          <w:szCs w:val="22"/>
          <w:lang w:val="hy-AM"/>
        </w:rPr>
      </w:pPr>
      <w:r w:rsidRPr="00A83C94">
        <w:rPr>
          <w:rFonts w:cs="Times LatArm"/>
          <w:szCs w:val="22"/>
          <w:lang w:val="hy-AM"/>
        </w:rPr>
        <w:t xml:space="preserve">Պետական հատվածի արդիականացման </w:t>
      </w:r>
      <w:r w:rsidRPr="00A83C94">
        <w:rPr>
          <w:rFonts w:cs="Times LatArm"/>
          <w:b w:val="0"/>
          <w:szCs w:val="22"/>
          <w:lang w:val="hy-AM"/>
        </w:rPr>
        <w:t>ծրագրի գծով  2022 թվականին  նախատեսվել է  3,054</w:t>
      </w:r>
      <w:r w:rsidRPr="00A83C94">
        <w:rPr>
          <w:rFonts w:ascii="Cambria Math" w:hAnsi="Cambria Math" w:cs="Cambria Math"/>
          <w:b w:val="0"/>
          <w:szCs w:val="22"/>
          <w:lang w:val="hy-AM"/>
        </w:rPr>
        <w:t>․</w:t>
      </w:r>
      <w:r w:rsidRPr="00A83C94">
        <w:rPr>
          <w:rFonts w:cs="Times LatArm"/>
          <w:b w:val="0"/>
          <w:szCs w:val="22"/>
          <w:lang w:val="hy-AM"/>
        </w:rPr>
        <w:t>7 մլն դրամ: Ծրագրի նպատակն է Հանրային ֆինանսական հաշվետվությունների որակի և ընտրված էլեկտրոնային կառավարման կատարելագործված ծառայությունների հասանելիության բարելավում: Ծրագրի շրջանակներում նախատեսվում է՝ ՀՀ պետական և համայնքային ծառայությունների (ծառայությունների, լիցենզիաների և թույլտվությունների) միասնական էլեկտրոնային համակարգի ստեղծում և ինտեգրում e-gov.am հարթակին, Էլ.հյուպատոսության համակարգի նոր՝ տեսամոդուլի ձեռքբերում և ինտեգրում Էլեկտրոնային նոտարական (AENIS) համակարգին, միասնական էլեկտրոնային հարթակ ծանուցումների համար, վիճակագրական տվյալների վահանակ (dashboard) որոշում կայացնողների համար:</w:t>
      </w:r>
    </w:p>
    <w:p w14:paraId="7E5D2C09" w14:textId="35472A6B" w:rsidR="001C3747" w:rsidRPr="00A83C94" w:rsidRDefault="001C3747" w:rsidP="001C3747">
      <w:pPr>
        <w:numPr>
          <w:ilvl w:val="12"/>
          <w:numId w:val="0"/>
        </w:numPr>
        <w:tabs>
          <w:tab w:val="left" w:pos="851"/>
        </w:tabs>
        <w:spacing w:line="276" w:lineRule="auto"/>
        <w:ind w:firstLine="720"/>
        <w:rPr>
          <w:rFonts w:cs="Times LatArm"/>
          <w:b w:val="0"/>
          <w:szCs w:val="22"/>
          <w:lang w:val="hy-AM"/>
        </w:rPr>
      </w:pPr>
      <w:r w:rsidRPr="00A83C94">
        <w:rPr>
          <w:rFonts w:cs="Times LatArm"/>
          <w:szCs w:val="22"/>
          <w:lang w:val="hy-AM"/>
        </w:rPr>
        <w:t>Արդյունահանող ճյուղերի զարգացման</w:t>
      </w:r>
      <w:r w:rsidRPr="00A83C94">
        <w:rPr>
          <w:rFonts w:cs="Times LatArm"/>
          <w:b w:val="0"/>
          <w:szCs w:val="22"/>
          <w:lang w:val="hy-AM"/>
        </w:rPr>
        <w:t xml:space="preserve"> ծրագրի գծով  2022 թվականին  նախատեսվել է  121</w:t>
      </w:r>
      <w:r w:rsidRPr="00A83C94">
        <w:rPr>
          <w:rFonts w:ascii="Cambria Math" w:hAnsi="Cambria Math" w:cs="Cambria Math"/>
          <w:b w:val="0"/>
          <w:szCs w:val="22"/>
          <w:lang w:val="hy-AM"/>
        </w:rPr>
        <w:t>․</w:t>
      </w:r>
      <w:r w:rsidRPr="00A83C94">
        <w:rPr>
          <w:rFonts w:cs="Times LatArm"/>
          <w:b w:val="0"/>
          <w:szCs w:val="22"/>
          <w:lang w:val="hy-AM"/>
        </w:rPr>
        <w:t>9 մլն դրամ: Ծրագրի նպատակն է Հայաստանում տնտեսական աճին հանքարդյունաբերության ոլորտի նպաստի ամրապնդումը: Ծրագրի շրջանակներում նախատեսվում է՝ Համաշխարհային բանկի աջակցությամբ իրականացվող «Հայաստանի արդյունահանող ճյուղերի թափանցիկության նախաձեռնությանն աջակցություն. Լրացուցիչ ֆինանսավորում» դրամաշնոր</w:t>
      </w:r>
      <w:r w:rsidRPr="00A83C94">
        <w:rPr>
          <w:rFonts w:cs="Times LatArm"/>
          <w:b w:val="0"/>
          <w:szCs w:val="22"/>
          <w:lang w:val="hy-AM"/>
        </w:rPr>
        <w:softHyphen/>
        <w:t>հային ծրագիր, որի նպատակն է ԱՃԹՆ-ի միջազգային ստանդարտին համապատասխան՝ հանքաարդյունաբերության ոլորտի թափանցիկության և հաշվետվողականության բարձրացմանն աջակցություն, տվյալների համակարգված բացահայտումների համակարգի ներդնում:</w:t>
      </w:r>
    </w:p>
    <w:p w14:paraId="4F332F6B" w14:textId="77777777" w:rsidR="001C3747" w:rsidRPr="00A83C94" w:rsidRDefault="001C3747" w:rsidP="001B5347">
      <w:pPr>
        <w:numPr>
          <w:ilvl w:val="12"/>
          <w:numId w:val="0"/>
        </w:numPr>
        <w:tabs>
          <w:tab w:val="left" w:pos="851"/>
        </w:tabs>
        <w:spacing w:line="276" w:lineRule="auto"/>
        <w:ind w:firstLine="720"/>
        <w:rPr>
          <w:b w:val="0"/>
          <w:noProof/>
          <w:sz w:val="24"/>
          <w:lang w:val="hy-AM"/>
        </w:rPr>
      </w:pPr>
    </w:p>
    <w:p w14:paraId="0C035874" w14:textId="77777777" w:rsidR="00FC7885" w:rsidRPr="00A83C94" w:rsidRDefault="00FC7885" w:rsidP="00427D1F">
      <w:pPr>
        <w:keepNext/>
        <w:spacing w:before="0" w:line="276" w:lineRule="auto"/>
        <w:ind w:firstLine="0"/>
        <w:contextualSpacing w:val="0"/>
        <w:jc w:val="center"/>
        <w:outlineLvl w:val="2"/>
        <w:rPr>
          <w:rFonts w:cs="Arial"/>
          <w:sz w:val="24"/>
          <w:lang w:val="hy-AM" w:eastAsia="en-US"/>
        </w:rPr>
      </w:pPr>
      <w:bookmarkStart w:id="291" w:name="_Toc83996384"/>
      <w:bookmarkStart w:id="292" w:name="_Toc526009822"/>
      <w:r w:rsidRPr="00A83C94">
        <w:rPr>
          <w:rFonts w:cs="Arial"/>
          <w:sz w:val="24"/>
          <w:lang w:val="hy-AM" w:eastAsia="en-US"/>
        </w:rPr>
        <w:t>ՀՀ պետական եկամուտների կոմիտե</w:t>
      </w:r>
      <w:bookmarkEnd w:id="291"/>
    </w:p>
    <w:p w14:paraId="793699CF" w14:textId="6A559D08" w:rsidR="00F515CB" w:rsidRPr="00A83C94" w:rsidRDefault="00F515CB" w:rsidP="00F515CB">
      <w:pPr>
        <w:pStyle w:val="Bullet2"/>
      </w:pPr>
      <w:r w:rsidRPr="00A83C94">
        <w:rPr>
          <w:b/>
          <w:lang w:val="hy-AM"/>
        </w:rPr>
        <w:t>Հարկային</w:t>
      </w:r>
      <w:r w:rsidRPr="00A83C94">
        <w:rPr>
          <w:b/>
        </w:rPr>
        <w:t xml:space="preserve"> </w:t>
      </w:r>
      <w:r w:rsidRPr="00A83C94">
        <w:rPr>
          <w:b/>
          <w:lang w:val="hy-AM"/>
        </w:rPr>
        <w:t>և</w:t>
      </w:r>
      <w:r w:rsidRPr="00A83C94">
        <w:rPr>
          <w:b/>
        </w:rPr>
        <w:t xml:space="preserve"> </w:t>
      </w:r>
      <w:r w:rsidRPr="00A83C94">
        <w:rPr>
          <w:b/>
          <w:lang w:val="hy-AM"/>
        </w:rPr>
        <w:t>մաքսային</w:t>
      </w:r>
      <w:r w:rsidRPr="00A83C94">
        <w:rPr>
          <w:b/>
        </w:rPr>
        <w:t xml:space="preserve"> </w:t>
      </w:r>
      <w:r w:rsidRPr="00A83C94">
        <w:rPr>
          <w:b/>
          <w:lang w:val="hy-AM"/>
        </w:rPr>
        <w:t>ծառայություններ</w:t>
      </w:r>
      <w:r w:rsidRPr="00A83C94">
        <w:t xml:space="preserve"> </w:t>
      </w:r>
      <w:r w:rsidRPr="00A83C94">
        <w:rPr>
          <w:lang w:val="hy-AM"/>
        </w:rPr>
        <w:t>ծրագրի</w:t>
      </w:r>
      <w:r w:rsidRPr="00A83C94">
        <w:t xml:space="preserve"> </w:t>
      </w:r>
      <w:r w:rsidR="00427D1F" w:rsidRPr="00A83C94">
        <w:t>գծով</w:t>
      </w:r>
      <w:r w:rsidRPr="00A83C94">
        <w:t xml:space="preserve"> </w:t>
      </w:r>
      <w:r w:rsidR="00427D1F" w:rsidRPr="00A83C94">
        <w:t xml:space="preserve">ՀՀ 2022 թվականի պետական բյուջեի նախագծով, </w:t>
      </w:r>
      <w:r w:rsidR="00427D1F" w:rsidRPr="00A83C94">
        <w:rPr>
          <w:color w:val="000000"/>
          <w:lang w:val="hy-AM" w:eastAsia="en-US"/>
        </w:rPr>
        <w:t>ներառյալ կառավարման ապարատի պահպանման ծախսերը,</w:t>
      </w:r>
      <w:r w:rsidR="00427D1F" w:rsidRPr="00A83C94">
        <w:rPr>
          <w:lang w:val="hy-AM"/>
        </w:rPr>
        <w:t xml:space="preserve"> </w:t>
      </w:r>
      <w:r w:rsidRPr="00A83C94">
        <w:rPr>
          <w:lang w:val="hy-AM"/>
        </w:rPr>
        <w:t>նախատեսվել</w:t>
      </w:r>
      <w:r w:rsidRPr="00A83C94">
        <w:t xml:space="preserve"> </w:t>
      </w:r>
      <w:r w:rsidRPr="00A83C94">
        <w:rPr>
          <w:lang w:val="hy-AM"/>
        </w:rPr>
        <w:t>է</w:t>
      </w:r>
      <w:r w:rsidRPr="00A83C94">
        <w:t xml:space="preserve"> </w:t>
      </w:r>
      <w:r w:rsidRPr="00A83C94">
        <w:rPr>
          <w:lang w:val="hy-AM"/>
        </w:rPr>
        <w:t>հատկացնել</w:t>
      </w:r>
      <w:r w:rsidRPr="00A83C94">
        <w:t xml:space="preserve"> </w:t>
      </w:r>
      <w:r w:rsidR="009A59AC" w:rsidRPr="00A83C94">
        <w:t>33</w:t>
      </w:r>
      <w:r w:rsidRPr="00A83C94">
        <w:t>,</w:t>
      </w:r>
      <w:r w:rsidR="009A59AC" w:rsidRPr="00A83C94">
        <w:t>802</w:t>
      </w:r>
      <w:r w:rsidRPr="00A83C94">
        <w:t>.</w:t>
      </w:r>
      <w:r w:rsidR="009A59AC" w:rsidRPr="00A83C94">
        <w:t>2</w:t>
      </w:r>
      <w:r w:rsidRPr="00A83C94">
        <w:t xml:space="preserve"> մլն դրամ</w:t>
      </w:r>
      <w:r w:rsidR="00427D1F" w:rsidRPr="00A83C94">
        <w:t xml:space="preserve">, </w:t>
      </w:r>
      <w:r w:rsidRPr="00A83C94">
        <w:t>(</w:t>
      </w:r>
      <w:r w:rsidR="002C51C0" w:rsidRPr="00A83C94">
        <w:t>այդ թվում՝</w:t>
      </w:r>
      <w:r w:rsidR="009A59AC" w:rsidRPr="00A83C94">
        <w:t xml:space="preserve"> </w:t>
      </w:r>
      <w:r w:rsidRPr="00A83C94">
        <w:t>վարկային միջոցներ՝ 1.980.9 մլն</w:t>
      </w:r>
      <w:r w:rsidR="009A59AC" w:rsidRPr="00A83C94">
        <w:t xml:space="preserve"> դրամ</w:t>
      </w:r>
      <w:r w:rsidRPr="00A83C94">
        <w:t xml:space="preserve">, դրամաշնորհային միջոցներ՝ 2,015.5 մլն դրամ, ՀՀ համաֆինանսավորում՝ ընդհանուր 3,996.4 մլն դրամ): </w:t>
      </w:r>
    </w:p>
    <w:p w14:paraId="3EB7A138" w14:textId="77777777" w:rsidR="00F515CB" w:rsidRPr="00A83C94" w:rsidRDefault="00F515CB" w:rsidP="00F515CB">
      <w:pPr>
        <w:pStyle w:val="Bullet2"/>
        <w:rPr>
          <w:lang w:val="hy-AM"/>
        </w:rPr>
      </w:pPr>
      <w:r w:rsidRPr="00A83C94">
        <w:rPr>
          <w:lang w:val="hy-AM"/>
        </w:rPr>
        <w:t>Ծրագրի նպատակը հարկային և մաքսային միասնական պետական քաղաքա</w:t>
      </w:r>
      <w:r w:rsidRPr="00A83C94">
        <w:rPr>
          <w:lang w:val="hy-AM"/>
        </w:rPr>
        <w:softHyphen/>
        <w:t>կանության իրականացումն է, հարկային և մաքսային օրենսդրության ամբողջական և համահավասար կիրառում</w:t>
      </w:r>
      <w:r w:rsidRPr="00A83C94">
        <w:rPr>
          <w:lang w:val="en-US"/>
        </w:rPr>
        <w:t>ը</w:t>
      </w:r>
      <w:r w:rsidRPr="00A83C94">
        <w:rPr>
          <w:lang w:val="hy-AM"/>
        </w:rPr>
        <w:t xml:space="preserve"> ՀՀ տարածքում: Ծրագրի վերջնական արդյունքը` արդյունավետ հարկային և մաքսային հսկողության իրականացումն է և պետական բյուջեի եկամուտների ապահովումը: </w:t>
      </w:r>
    </w:p>
    <w:p w14:paraId="09E1368A" w14:textId="65C58575" w:rsidR="00F515CB" w:rsidRPr="00A83C94" w:rsidRDefault="00F515CB" w:rsidP="00F515CB">
      <w:pPr>
        <w:pStyle w:val="Bullet2"/>
      </w:pPr>
      <w:r w:rsidRPr="00A83C94">
        <w:rPr>
          <w:lang w:val="hy-AM"/>
        </w:rPr>
        <w:t>Նշված ծրագրի շրջանակներում նախատեսվել է թվով 9 միջոցառում, որից 4-ը՝ կապիտալ բնույթի</w:t>
      </w:r>
      <w:r w:rsidRPr="00A83C94">
        <w:t xml:space="preserve"> (այդ թվում` մեկական վարկային և դրամաշնորհային միջոցների հաշվին իրականացվող): Մասնավորապես. նախատեսվում է ձեռք բերել </w:t>
      </w:r>
      <w:r w:rsidRPr="00A83C94">
        <w:rPr>
          <w:lang w:val="hy-AM"/>
        </w:rPr>
        <w:t>Հայաստանի</w:t>
      </w:r>
      <w:r w:rsidRPr="00A83C94">
        <w:t xml:space="preserve"> </w:t>
      </w:r>
      <w:r w:rsidRPr="00A83C94">
        <w:rPr>
          <w:lang w:val="hy-AM"/>
        </w:rPr>
        <w:t>Հանրա</w:t>
      </w:r>
      <w:r w:rsidRPr="00A83C94">
        <w:rPr>
          <w:lang w:val="hy-AM"/>
        </w:rPr>
        <w:softHyphen/>
        <w:t>պետությունում արտադրվող և ներմուծվող ալկոհոլային խմիչքների</w:t>
      </w:r>
      <w:r w:rsidRPr="00A83C94">
        <w:t xml:space="preserve"> </w:t>
      </w:r>
      <w:r w:rsidRPr="00A83C94">
        <w:rPr>
          <w:lang w:val="hy-AM"/>
        </w:rPr>
        <w:t>դրոշմավորման</w:t>
      </w:r>
      <w:r w:rsidRPr="00A83C94">
        <w:t xml:space="preserve"> </w:t>
      </w:r>
      <w:r w:rsidRPr="00A83C94">
        <w:rPr>
          <w:lang w:val="hy-AM"/>
        </w:rPr>
        <w:t>համար</w:t>
      </w:r>
      <w:r w:rsidRPr="00A83C94">
        <w:t xml:space="preserve"> 37.0 մլն հատ և </w:t>
      </w:r>
      <w:r w:rsidRPr="00A83C94">
        <w:rPr>
          <w:lang w:val="hy-AM"/>
        </w:rPr>
        <w:t>ծխախոտի արտադրանքի դրոշմավորման համար</w:t>
      </w:r>
      <w:r w:rsidRPr="00A83C94">
        <w:t xml:space="preserve"> 410.0 մլն հատ </w:t>
      </w:r>
      <w:r w:rsidRPr="00A83C94">
        <w:rPr>
          <w:lang w:val="hy-AM"/>
        </w:rPr>
        <w:t>ակցիզային դրոշմանիշեր</w:t>
      </w:r>
      <w:r w:rsidRPr="00A83C94">
        <w:t xml:space="preserve">, </w:t>
      </w:r>
      <w:r w:rsidRPr="00A83C94">
        <w:rPr>
          <w:lang w:val="hy-AM"/>
        </w:rPr>
        <w:t>Հայաստանի Հանրապետությունում արտադրվող և ներմուծվող որոշակի ապրանքների համար 980.0 մլն հատ դրոշմապիտակներ,</w:t>
      </w:r>
      <w:r w:rsidRPr="00A83C94">
        <w:t xml:space="preserve"> </w:t>
      </w:r>
      <w:r w:rsidRPr="00A83C94">
        <w:rPr>
          <w:lang w:val="hy-AM"/>
        </w:rPr>
        <w:t>Հայաստանի Հանրապետությունում վիճակախաղի կազմակերպչի կողմից վիճակախաղի տոմսի վրա փակ</w:t>
      </w:r>
      <w:r w:rsidRPr="00A83C94">
        <w:rPr>
          <w:lang w:val="hy-AM"/>
        </w:rPr>
        <w:softHyphen/>
        <w:t xml:space="preserve">ցնելու նպատակով </w:t>
      </w:r>
      <w:r w:rsidRPr="00A83C94">
        <w:t xml:space="preserve">3.5 </w:t>
      </w:r>
      <w:r w:rsidRPr="00A83C94">
        <w:rPr>
          <w:lang w:val="hy-AM"/>
        </w:rPr>
        <w:t>մլն</w:t>
      </w:r>
      <w:r w:rsidRPr="00A83C94">
        <w:t xml:space="preserve"> </w:t>
      </w:r>
      <w:r w:rsidRPr="00A83C94">
        <w:rPr>
          <w:lang w:val="hy-AM"/>
        </w:rPr>
        <w:t>հսկիչ նշաններ:</w:t>
      </w:r>
      <w:r w:rsidRPr="00A83C94">
        <w:t xml:space="preserve"> Նախատեսվում է շարունակել </w:t>
      </w:r>
      <w:r w:rsidRPr="00A83C94">
        <w:rPr>
          <w:lang w:val="hy-AM"/>
        </w:rPr>
        <w:t>Կոմիտեի</w:t>
      </w:r>
      <w:r w:rsidRPr="00A83C94">
        <w:t xml:space="preserve"> </w:t>
      </w:r>
      <w:r w:rsidRPr="00A83C94">
        <w:rPr>
          <w:lang w:val="hy-AM"/>
        </w:rPr>
        <w:t>կարիքների</w:t>
      </w:r>
      <w:r w:rsidRPr="00A83C94">
        <w:t xml:space="preserve"> </w:t>
      </w:r>
      <w:r w:rsidRPr="00A83C94">
        <w:rPr>
          <w:lang w:val="hy-AM"/>
        </w:rPr>
        <w:t>համար</w:t>
      </w:r>
      <w:r w:rsidRPr="00A83C94">
        <w:t xml:space="preserve"> </w:t>
      </w:r>
      <w:r w:rsidRPr="00A83C94">
        <w:rPr>
          <w:lang w:val="hy-AM"/>
        </w:rPr>
        <w:t>անհրաժեշտ</w:t>
      </w:r>
      <w:r w:rsidRPr="00A83C94">
        <w:t xml:space="preserve"> </w:t>
      </w:r>
      <w:r w:rsidRPr="00A83C94">
        <w:rPr>
          <w:lang w:val="hy-AM"/>
        </w:rPr>
        <w:t>փորձաքննությունների</w:t>
      </w:r>
      <w:r w:rsidRPr="00A83C94">
        <w:t xml:space="preserve"> </w:t>
      </w:r>
      <w:r w:rsidRPr="00A83C94">
        <w:rPr>
          <w:lang w:val="hy-AM"/>
        </w:rPr>
        <w:t>կատարումը</w:t>
      </w:r>
      <w:r w:rsidRPr="00A83C94">
        <w:t xml:space="preserve">, </w:t>
      </w:r>
      <w:r w:rsidRPr="00A83C94">
        <w:rPr>
          <w:lang w:val="hy-AM"/>
        </w:rPr>
        <w:t>եզրակացությունների</w:t>
      </w:r>
      <w:r w:rsidRPr="00A83C94">
        <w:t xml:space="preserve"> </w:t>
      </w:r>
      <w:r w:rsidRPr="00A83C94">
        <w:rPr>
          <w:lang w:val="hy-AM"/>
        </w:rPr>
        <w:t>տրամադրումը</w:t>
      </w:r>
      <w:r w:rsidRPr="00A83C94">
        <w:t xml:space="preserve"> </w:t>
      </w:r>
      <w:r w:rsidRPr="00A83C94">
        <w:rPr>
          <w:lang w:val="hy-AM"/>
        </w:rPr>
        <w:t>և</w:t>
      </w:r>
      <w:r w:rsidRPr="00A83C94">
        <w:t xml:space="preserve"> </w:t>
      </w:r>
      <w:r w:rsidRPr="00A83C94">
        <w:rPr>
          <w:lang w:val="hy-AM"/>
        </w:rPr>
        <w:t>անվճարու</w:t>
      </w:r>
      <w:r w:rsidRPr="00A83C94">
        <w:softHyphen/>
      </w:r>
      <w:r w:rsidRPr="00A83C94">
        <w:rPr>
          <w:lang w:val="hy-AM"/>
        </w:rPr>
        <w:t>նակ</w:t>
      </w:r>
      <w:r w:rsidRPr="00A83C94">
        <w:t xml:space="preserve"> </w:t>
      </w:r>
      <w:r w:rsidRPr="00A83C94">
        <w:rPr>
          <w:lang w:val="hy-AM"/>
        </w:rPr>
        <w:t>քաղաքացիներին</w:t>
      </w:r>
      <w:r w:rsidRPr="00A83C94">
        <w:t xml:space="preserve"> </w:t>
      </w:r>
      <w:r w:rsidRPr="00A83C94">
        <w:rPr>
          <w:lang w:val="hy-AM"/>
        </w:rPr>
        <w:t>իրավական</w:t>
      </w:r>
      <w:r w:rsidRPr="00A83C94">
        <w:t xml:space="preserve"> </w:t>
      </w:r>
      <w:r w:rsidRPr="00A83C94">
        <w:rPr>
          <w:lang w:val="hy-AM"/>
        </w:rPr>
        <w:t>ծառայու</w:t>
      </w:r>
      <w:r w:rsidRPr="00A83C94">
        <w:rPr>
          <w:lang w:val="hy-AM"/>
        </w:rPr>
        <w:softHyphen/>
        <w:t>թյունների</w:t>
      </w:r>
      <w:r w:rsidRPr="00A83C94">
        <w:t xml:space="preserve"> </w:t>
      </w:r>
      <w:r w:rsidRPr="00A83C94">
        <w:rPr>
          <w:lang w:val="hy-AM"/>
        </w:rPr>
        <w:t>տրամա</w:t>
      </w:r>
      <w:r w:rsidRPr="00A83C94">
        <w:softHyphen/>
      </w:r>
      <w:r w:rsidRPr="00A83C94">
        <w:rPr>
          <w:lang w:val="hy-AM"/>
        </w:rPr>
        <w:t>դրումը</w:t>
      </w:r>
      <w:r w:rsidRPr="00A83C94">
        <w:t xml:space="preserve">: </w:t>
      </w:r>
      <w:r w:rsidRPr="00A83C94">
        <w:rPr>
          <w:lang w:val="hy-AM"/>
        </w:rPr>
        <w:t>Միաժամանակ, նախատեսվում է իրականացնել հարկային և մաքսային ծառայողների վերապատրաստման մեթոդիկայի մշակումը, պլանավորումը, ծրագրերի իրակա</w:t>
      </w:r>
      <w:r w:rsidRPr="00A83C94">
        <w:rPr>
          <w:lang w:val="hy-AM"/>
        </w:rPr>
        <w:softHyphen/>
        <w:t>նացումը և աջակցության ծառայությունների մատուցումը, 1600 ծառայողների վերապատրաստումը</w:t>
      </w:r>
      <w:r w:rsidRPr="00A83C94">
        <w:t>:</w:t>
      </w:r>
    </w:p>
    <w:p w14:paraId="1FF60DD9" w14:textId="4BE13322" w:rsidR="00F515CB" w:rsidRPr="00A83C94" w:rsidRDefault="00F515CB" w:rsidP="00F515CB">
      <w:pPr>
        <w:pStyle w:val="Bullet2"/>
      </w:pPr>
      <w:r w:rsidRPr="00A83C94">
        <w:rPr>
          <w:lang w:val="hy-AM"/>
        </w:rPr>
        <w:t>Բացի վերը նշվածից, նախատեսվում է նաև ՀՀ</w:t>
      </w:r>
      <w:r w:rsidRPr="00A83C94">
        <w:t xml:space="preserve"> </w:t>
      </w:r>
      <w:r w:rsidRPr="00A83C94">
        <w:rPr>
          <w:lang w:val="hy-AM"/>
        </w:rPr>
        <w:t>պետական</w:t>
      </w:r>
      <w:r w:rsidRPr="00A83C94">
        <w:t xml:space="preserve"> </w:t>
      </w:r>
      <w:r w:rsidRPr="00A83C94">
        <w:rPr>
          <w:lang w:val="hy-AM"/>
        </w:rPr>
        <w:t>եկամուտների</w:t>
      </w:r>
      <w:r w:rsidRPr="00A83C94">
        <w:t xml:space="preserve"> </w:t>
      </w:r>
      <w:r w:rsidRPr="00A83C94">
        <w:rPr>
          <w:lang w:val="hy-AM"/>
        </w:rPr>
        <w:t>կոմիտեի</w:t>
      </w:r>
      <w:r w:rsidRPr="00A83C94">
        <w:t xml:space="preserve"> </w:t>
      </w:r>
      <w:r w:rsidRPr="00A83C94">
        <w:rPr>
          <w:lang w:val="hy-AM"/>
        </w:rPr>
        <w:t>շենքային</w:t>
      </w:r>
      <w:r w:rsidRPr="00A83C94">
        <w:t xml:space="preserve"> </w:t>
      </w:r>
      <w:r w:rsidRPr="00A83C94">
        <w:rPr>
          <w:lang w:val="hy-AM"/>
        </w:rPr>
        <w:t>ապահովվածության</w:t>
      </w:r>
      <w:r w:rsidRPr="00A83C94">
        <w:t xml:space="preserve"> և պայմանների </w:t>
      </w:r>
      <w:r w:rsidRPr="00A83C94">
        <w:rPr>
          <w:lang w:val="hy-AM"/>
        </w:rPr>
        <w:t>բարելավմանն ուղղված միջոցառումներ</w:t>
      </w:r>
      <w:r w:rsidRPr="00A83C94">
        <w:t xml:space="preserve">, որոնց  </w:t>
      </w:r>
      <w:r w:rsidRPr="00A83C94">
        <w:rPr>
          <w:lang w:val="hy-AM"/>
        </w:rPr>
        <w:t>նպատակն է Կոմիտեի կարիքնե</w:t>
      </w:r>
      <w:r w:rsidRPr="00A83C94">
        <w:rPr>
          <w:lang w:val="hy-AM"/>
        </w:rPr>
        <w:softHyphen/>
        <w:t>րի համար նոր շենքերի կառուցումը, շինու</w:t>
      </w:r>
      <w:r w:rsidRPr="00A83C94">
        <w:rPr>
          <w:lang w:val="hy-AM"/>
        </w:rPr>
        <w:softHyphen/>
        <w:t xml:space="preserve">թյունների և նախագծային աշխատանքների ձեռքբերումը: </w:t>
      </w:r>
      <w:r w:rsidRPr="00A83C94">
        <w:rPr>
          <w:lang w:val="en-US"/>
        </w:rPr>
        <w:t>Մասնավորապես</w:t>
      </w:r>
      <w:r w:rsidRPr="00A83C94">
        <w:t>.</w:t>
      </w:r>
      <w:r w:rsidRPr="00A83C94">
        <w:rPr>
          <w:lang w:val="hy-AM"/>
        </w:rPr>
        <w:t xml:space="preserve"> նախատ</w:t>
      </w:r>
      <w:r w:rsidRPr="00A83C94">
        <w:t xml:space="preserve">եսվում է </w:t>
      </w:r>
      <w:r w:rsidRPr="00A83C94">
        <w:rPr>
          <w:lang w:val="en-US"/>
        </w:rPr>
        <w:t>սկսել</w:t>
      </w:r>
      <w:r w:rsidRPr="00A83C94">
        <w:t xml:space="preserve"> Գյումրի քաղաքում նոր արտաքին տնտեսական գործունեության կենտրոնի կառուցման</w:t>
      </w:r>
      <w:r w:rsidRPr="00A83C94">
        <w:rPr>
          <w:lang w:val="hy-AM"/>
        </w:rPr>
        <w:t xml:space="preserve"> աշխատանքներ</w:t>
      </w:r>
      <w:r w:rsidRPr="00A83C94">
        <w:rPr>
          <w:lang w:val="en-US"/>
        </w:rPr>
        <w:t>ը</w:t>
      </w:r>
      <w:r w:rsidRPr="00A83C94">
        <w:rPr>
          <w:lang w:val="hy-AM"/>
        </w:rPr>
        <w:t xml:space="preserve"> (</w:t>
      </w:r>
      <w:r w:rsidRPr="00A83C94">
        <w:rPr>
          <w:lang w:val="en-US"/>
        </w:rPr>
        <w:t>աշխատանքների</w:t>
      </w:r>
      <w:r w:rsidRPr="00A83C94">
        <w:t xml:space="preserve"> </w:t>
      </w:r>
      <w:r w:rsidRPr="00A83C94">
        <w:rPr>
          <w:lang w:val="hy-AM"/>
        </w:rPr>
        <w:t>շուրջ 30%-ը,</w:t>
      </w:r>
      <w:r w:rsidRPr="00A83C94">
        <w:t xml:space="preserve"> </w:t>
      </w:r>
      <w:r w:rsidRPr="00A83C94">
        <w:rPr>
          <w:lang w:val="hy-AM"/>
        </w:rPr>
        <w:t xml:space="preserve">2,880.0 քառ. մետր), </w:t>
      </w:r>
      <w:r w:rsidRPr="00A83C94">
        <w:t>ձեռք բերել Կոմիտեի աշխատակիցների համար ծառայողական բնակելի շենքի կառուցման նախագծա</w:t>
      </w:r>
      <w:r w:rsidRPr="00A83C94">
        <w:softHyphen/>
        <w:t>նախահաշվային փաստաթղթերը, ինչպես նաև իրականացնել թվով 2 վարչական շենքերի վերանորոգման աշխատանքները:</w:t>
      </w:r>
    </w:p>
    <w:p w14:paraId="3D7DFCC6" w14:textId="77777777" w:rsidR="00F515CB" w:rsidRPr="00A83C94" w:rsidRDefault="00F515CB" w:rsidP="00F515CB">
      <w:pPr>
        <w:pStyle w:val="Bullet2"/>
        <w:rPr>
          <w:b/>
        </w:rPr>
      </w:pPr>
      <w:r w:rsidRPr="00A83C94">
        <w:t>Ծրագրի շրջանակներում նախատեսվում է նաև Վերակառուցման և զարգացման եվրոպական բանկի աջակցությամբ իրակա</w:t>
      </w:r>
      <w:r w:rsidRPr="00A83C94">
        <w:softHyphen/>
        <w:t>նացվող «Մեղրիի սահմանային անցակետի ծրագիր» դրամաշնորհային և վարկային ծրագրերով ՀՀ պետական եկամուտների կոմիտեի նոր շենքային պայմանների ապահովումը, ինչի նպատակն է ՎԶԵԲ-ի կողմից տրամադրվող դրամաշնորհային ծրագրի շրջա</w:t>
      </w:r>
      <w:r w:rsidRPr="00A83C94">
        <w:softHyphen/>
        <w:t>նակներում Կոմիտեի Մեղրիի սահմանային անցակետում միջազգային չափորոշիչներին համա</w:t>
      </w:r>
      <w:r w:rsidRPr="00A83C94">
        <w:softHyphen/>
        <w:t xml:space="preserve">պատասխան նոր մաքսակետի կառուցումը: </w:t>
      </w:r>
    </w:p>
    <w:p w14:paraId="01D8F8CE" w14:textId="77777777" w:rsidR="00FC7885" w:rsidRPr="00A83C94" w:rsidRDefault="00FC7885" w:rsidP="00FC7885">
      <w:pPr>
        <w:tabs>
          <w:tab w:val="left" w:pos="993"/>
        </w:tabs>
        <w:spacing w:before="0" w:line="276" w:lineRule="auto"/>
        <w:rPr>
          <w:b w:val="0"/>
          <w:szCs w:val="22"/>
          <w:lang w:val="af-ZA"/>
        </w:rPr>
      </w:pPr>
    </w:p>
    <w:p w14:paraId="37BC6D3F" w14:textId="77777777" w:rsidR="00FC7885" w:rsidRPr="00A83C94" w:rsidRDefault="00FC7885" w:rsidP="00427D1F">
      <w:pPr>
        <w:keepNext/>
        <w:spacing w:before="0" w:line="276" w:lineRule="auto"/>
        <w:ind w:firstLine="0"/>
        <w:contextualSpacing w:val="0"/>
        <w:jc w:val="center"/>
        <w:outlineLvl w:val="2"/>
        <w:rPr>
          <w:rFonts w:cs="Arial"/>
          <w:sz w:val="24"/>
          <w:lang w:val="hy-AM" w:eastAsia="en-US"/>
        </w:rPr>
      </w:pPr>
      <w:bookmarkStart w:id="293" w:name="_Toc83996385"/>
      <w:r w:rsidRPr="00A83C94">
        <w:rPr>
          <w:rFonts w:cs="Arial"/>
          <w:sz w:val="24"/>
          <w:lang w:val="hy-AM" w:eastAsia="en-US"/>
        </w:rPr>
        <w:t>ՀՀ կադաստրի կոմիտե</w:t>
      </w:r>
      <w:bookmarkEnd w:id="293"/>
      <w:r w:rsidRPr="00A83C94">
        <w:rPr>
          <w:rFonts w:cs="Arial"/>
          <w:sz w:val="24"/>
          <w:lang w:val="hy-AM" w:eastAsia="en-US"/>
        </w:rPr>
        <w:t xml:space="preserve"> </w:t>
      </w:r>
    </w:p>
    <w:p w14:paraId="517C9632" w14:textId="53C7296B" w:rsidR="0081133C" w:rsidRPr="00A83C94" w:rsidRDefault="0081133C" w:rsidP="0081133C">
      <w:pPr>
        <w:widowControl w:val="0"/>
        <w:spacing w:before="0" w:line="276" w:lineRule="auto"/>
        <w:rPr>
          <w:rFonts w:eastAsia="Calibri" w:cs="Sylfaen"/>
          <w:b w:val="0"/>
          <w:szCs w:val="22"/>
          <w:lang w:val="af-ZA"/>
        </w:rPr>
      </w:pPr>
      <w:r w:rsidRPr="00A83C94">
        <w:rPr>
          <w:rFonts w:eastAsia="Calibri" w:cs="Sylfaen"/>
          <w:b w:val="0"/>
          <w:szCs w:val="22"/>
          <w:lang w:val="af-ZA"/>
        </w:rPr>
        <w:t xml:space="preserve">   Անշարժ գույքի պետական ռեգիստրի համակարգի գծով ՀՀ 2022 թվականի պետական բյուջեի նախագծով նախատեսվում է </w:t>
      </w:r>
      <w:r w:rsidRPr="00A83C94">
        <w:rPr>
          <w:rFonts w:eastAsia="Calibri" w:cs="Sylfaen"/>
          <w:b w:val="0"/>
          <w:color w:val="000000" w:themeColor="text1"/>
          <w:szCs w:val="22"/>
          <w:lang w:val="af-ZA"/>
        </w:rPr>
        <w:t>4,</w:t>
      </w:r>
      <w:r w:rsidRPr="00A83C94">
        <w:rPr>
          <w:rFonts w:eastAsia="Calibri" w:cs="Sylfaen"/>
          <w:b w:val="0"/>
          <w:color w:val="000000" w:themeColor="text1"/>
          <w:szCs w:val="22"/>
          <w:lang w:val="hy-AM"/>
        </w:rPr>
        <w:t>997</w:t>
      </w:r>
      <w:r w:rsidRPr="00A83C94">
        <w:rPr>
          <w:rFonts w:eastAsia="Calibri" w:cs="Sylfaen"/>
          <w:b w:val="0"/>
          <w:color w:val="000000" w:themeColor="text1"/>
          <w:szCs w:val="22"/>
          <w:lang w:val="af-ZA"/>
        </w:rPr>
        <w:t>.4 մլն դրամի ծախսեր</w:t>
      </w:r>
      <w:r w:rsidRPr="00A83C94">
        <w:rPr>
          <w:rFonts w:eastAsia="Calibri" w:cs="Sylfaen"/>
          <w:b w:val="0"/>
          <w:color w:val="000000" w:themeColor="text1"/>
          <w:szCs w:val="22"/>
          <w:lang w:val="hy-AM"/>
        </w:rPr>
        <w:t xml:space="preserve"> </w:t>
      </w:r>
      <w:r w:rsidR="00427D1F" w:rsidRPr="00A83C94">
        <w:rPr>
          <w:b w:val="0"/>
          <w:color w:val="000000"/>
          <w:szCs w:val="22"/>
          <w:lang w:val="hy-AM" w:eastAsia="en-US"/>
        </w:rPr>
        <w:t>(ներառյալ կառավարման ապարատի պահպանման ծախսերը)</w:t>
      </w:r>
      <w:r w:rsidRPr="00A83C94">
        <w:rPr>
          <w:rFonts w:eastAsia="Calibri" w:cs="Sylfaen"/>
          <w:b w:val="0"/>
          <w:color w:val="000000" w:themeColor="text1"/>
          <w:szCs w:val="22"/>
          <w:lang w:val="hy-AM"/>
        </w:rPr>
        <w:t xml:space="preserve">։ Նշված գումարի շրջանակներում նախատեսվում է իրականացնել </w:t>
      </w:r>
      <w:r w:rsidRPr="00A83C94">
        <w:rPr>
          <w:rFonts w:eastAsia="Calibri" w:cs="Sylfaen"/>
          <w:szCs w:val="22"/>
          <w:lang w:val="af-ZA"/>
        </w:rPr>
        <w:t>Անշարժ գույքի կադաստրի վարման բնագավառում պետական քաղաքականության իրականացում</w:t>
      </w:r>
      <w:r w:rsidRPr="00A83C94">
        <w:rPr>
          <w:rFonts w:eastAsia="Calibri" w:cs="Sylfaen"/>
          <w:b w:val="0"/>
          <w:szCs w:val="22"/>
          <w:lang w:val="af-ZA"/>
        </w:rPr>
        <w:t xml:space="preserve"> ծրագիրը։ Ծրագրի նպատակն է անշարժ գույքի պետական միասնական կադաստրի համակարգի զարգացումը, պետության կողմից անշարժ գույքի նկատմամբ իրավունքների ճանաչումը, երաշխավորումը և պաշտպանությունը։ </w:t>
      </w:r>
    </w:p>
    <w:p w14:paraId="339AED02" w14:textId="77777777" w:rsidR="0081133C" w:rsidRPr="00A83C94" w:rsidRDefault="0081133C" w:rsidP="0081133C">
      <w:pPr>
        <w:widowControl w:val="0"/>
        <w:spacing w:before="0" w:line="276" w:lineRule="auto"/>
        <w:rPr>
          <w:rFonts w:eastAsia="Calibri" w:cs="Sylfaen"/>
          <w:b w:val="0"/>
          <w:szCs w:val="22"/>
          <w:lang w:val="af-ZA"/>
        </w:rPr>
      </w:pPr>
      <w:r w:rsidRPr="00A83C94">
        <w:rPr>
          <w:rFonts w:eastAsia="Calibri" w:cs="Sylfaen"/>
          <w:b w:val="0"/>
          <w:szCs w:val="22"/>
          <w:lang w:val="af-ZA"/>
        </w:rPr>
        <w:t xml:space="preserve">Ծրագրի շրջանակներում նախատեսվում է իրականացնել ՀՀ թվային տեղագրական քարտեզների երկրատեղեկատվական համակարգի միջավայրում ստեղծման աշխատանքներ՝ Հայաստանի Հանրապետության Արարատի մարզի Նոր Կյանք, Լուսառատ, Փոքր Վեդի և Տափերական  համայնքների՝ շուրջ 4000 հա տարածքի,  ժամանակակից պահանջներին բավարարող բազային ԱՏՀ-ի ստեղծման մասով։ </w:t>
      </w:r>
    </w:p>
    <w:p w14:paraId="59832E55" w14:textId="77777777" w:rsidR="0081133C" w:rsidRPr="00A83C94" w:rsidRDefault="0081133C" w:rsidP="0081133C">
      <w:pPr>
        <w:widowControl w:val="0"/>
        <w:spacing w:before="0" w:line="276" w:lineRule="auto"/>
        <w:rPr>
          <w:rFonts w:eastAsia="Calibri" w:cs="Sylfaen"/>
          <w:b w:val="0"/>
          <w:szCs w:val="22"/>
          <w:lang w:val="hy-AM"/>
        </w:rPr>
      </w:pPr>
      <w:r w:rsidRPr="00A83C94">
        <w:rPr>
          <w:rFonts w:eastAsia="Calibri" w:cs="Sylfaen"/>
          <w:b w:val="0"/>
          <w:szCs w:val="22"/>
          <w:lang w:val="hy-AM"/>
        </w:rPr>
        <w:t xml:space="preserve">Բացի այդ նախատեսվում են </w:t>
      </w:r>
      <w:r w:rsidRPr="00A83C94">
        <w:rPr>
          <w:rFonts w:eastAsia="Calibri" w:cs="Sylfaen"/>
          <w:b w:val="0"/>
          <w:szCs w:val="22"/>
          <w:lang w:val="af-ZA"/>
        </w:rPr>
        <w:t>ՀՀ տարածքի օդալուսանկարահանման օրթոֆոտոհատակագծերի և թվային բարձունքային մոդելի ստեղծման աշխատանքներ</w:t>
      </w:r>
      <w:r w:rsidRPr="00A83C94">
        <w:rPr>
          <w:rFonts w:eastAsia="Calibri" w:cs="Sylfaen"/>
          <w:b w:val="0"/>
          <w:szCs w:val="22"/>
          <w:lang w:val="hy-AM"/>
        </w:rPr>
        <w:t>, որոնց շր</w:t>
      </w:r>
      <w:r w:rsidRPr="00A83C94">
        <w:rPr>
          <w:rFonts w:eastAsia="Calibri" w:cs="Sylfaen"/>
          <w:b w:val="0"/>
          <w:szCs w:val="22"/>
          <w:lang w:val="af-ZA"/>
        </w:rPr>
        <w:t xml:space="preserve">ջանակներում ձեռք </w:t>
      </w:r>
      <w:r w:rsidRPr="00A83C94">
        <w:rPr>
          <w:rFonts w:eastAsia="Calibri" w:cs="Sylfaen"/>
          <w:b w:val="0"/>
          <w:szCs w:val="22"/>
          <w:lang w:val="hy-AM"/>
        </w:rPr>
        <w:t>կ</w:t>
      </w:r>
      <w:r w:rsidRPr="00A83C94">
        <w:rPr>
          <w:rFonts w:eastAsia="Calibri" w:cs="Sylfaen"/>
          <w:b w:val="0"/>
          <w:szCs w:val="22"/>
          <w:lang w:val="af-ZA"/>
        </w:rPr>
        <w:t>բեր</w:t>
      </w:r>
      <w:r w:rsidRPr="00A83C94">
        <w:rPr>
          <w:rFonts w:eastAsia="Calibri" w:cs="Sylfaen"/>
          <w:b w:val="0"/>
          <w:szCs w:val="22"/>
          <w:lang w:val="hy-AM"/>
        </w:rPr>
        <w:t>վեն</w:t>
      </w:r>
      <w:r w:rsidRPr="00A83C94">
        <w:rPr>
          <w:rFonts w:eastAsia="Calibri" w:cs="Sylfaen"/>
          <w:b w:val="0"/>
          <w:szCs w:val="22"/>
          <w:lang w:val="af-ZA"/>
        </w:rPr>
        <w:t xml:space="preserve"> ՀՀ ողջ տարածքի պլանաբարձունքային կապակցման աշխատանքների հիմքով իրականացված օդալուսանկարահանմամբ և տիեզերանկարահանմամբ  օրթոֆոտոհատակագծերի և ռելիֆի մոդել</w:t>
      </w:r>
      <w:r w:rsidRPr="00A83C94">
        <w:rPr>
          <w:rFonts w:eastAsia="Calibri" w:cs="Sylfaen"/>
          <w:b w:val="0"/>
          <w:szCs w:val="22"/>
          <w:lang w:val="hy-AM"/>
        </w:rPr>
        <w:t>։  Ա</w:t>
      </w:r>
      <w:r w:rsidRPr="00A83C94">
        <w:rPr>
          <w:rFonts w:eastAsia="Calibri" w:cs="Sylfaen"/>
          <w:b w:val="0"/>
          <w:szCs w:val="22"/>
          <w:lang w:val="af-ZA"/>
        </w:rPr>
        <w:t xml:space="preserve">րդյունքում ակնկալվում է ունենալ ՀՀ երեք խոշոր քաղաքների համար GSD-10 սմ, </w:t>
      </w:r>
      <w:r w:rsidRPr="00A83C94">
        <w:rPr>
          <w:rFonts w:eastAsia="Calibri" w:cs="Sylfaen"/>
          <w:b w:val="0"/>
          <w:szCs w:val="22"/>
          <w:lang w:val="hy-AM"/>
        </w:rPr>
        <w:t xml:space="preserve">ՀՀ </w:t>
      </w:r>
      <w:r w:rsidRPr="00A83C94">
        <w:rPr>
          <w:rFonts w:eastAsia="Calibri" w:cs="Sylfaen"/>
          <w:b w:val="0"/>
          <w:szCs w:val="22"/>
          <w:lang w:val="af-ZA"/>
        </w:rPr>
        <w:t>մնացած տարածքի համար GSD-20 սմ և սահմանային տարածքի համար՝  GSD-30 սմ լուծաչափի օդատիեզերական բազմասպեկտրալ, օրթոտրանսֆորմացված և մոզաիկ ձևով պատրաստված GeoTIFF ֆորմատի լուսանկարներ, DSM/DTM ձևաչափերով տեղանքի եռաչափ թվային մոդելներ, իզոգծեր,  օրթոֆոտոհատակագծեր, բոլոր նկաների մետատվյալներ,  վերստուգիչ գեոդեզիական չափագրված կետերի ցանկ</w:t>
      </w:r>
      <w:r w:rsidRPr="00A83C94">
        <w:rPr>
          <w:rFonts w:eastAsia="Calibri" w:cs="Sylfaen"/>
          <w:b w:val="0"/>
          <w:szCs w:val="22"/>
          <w:lang w:val="hy-AM"/>
        </w:rPr>
        <w:t xml:space="preserve">։ </w:t>
      </w:r>
    </w:p>
    <w:p w14:paraId="18954D18" w14:textId="674A0A45" w:rsidR="0081133C" w:rsidRPr="00A83C94" w:rsidRDefault="0081133C" w:rsidP="0081133C">
      <w:pPr>
        <w:widowControl w:val="0"/>
        <w:spacing w:before="0" w:line="276" w:lineRule="auto"/>
        <w:rPr>
          <w:rFonts w:eastAsia="Calibri" w:cs="Sylfaen"/>
          <w:b w:val="0"/>
          <w:szCs w:val="22"/>
          <w:lang w:val="af-ZA"/>
        </w:rPr>
      </w:pPr>
      <w:r w:rsidRPr="00A83C94">
        <w:rPr>
          <w:rFonts w:eastAsia="Calibri" w:cs="Sylfaen"/>
          <w:b w:val="0"/>
          <w:szCs w:val="22"/>
          <w:lang w:val="hy-AM"/>
        </w:rPr>
        <w:t>Նախատեսվում են նաև ռ</w:t>
      </w:r>
      <w:r w:rsidRPr="00A83C94">
        <w:rPr>
          <w:rFonts w:eastAsia="Calibri" w:cs="Sylfaen"/>
          <w:b w:val="0"/>
          <w:szCs w:val="22"/>
          <w:lang w:val="af-ZA"/>
        </w:rPr>
        <w:t xml:space="preserve">եֆերենց կայանների կառուցման, դիտարկման և կայանների ցանցի հավասարակշռման աշխատանքներ, որի շրջանակներում </w:t>
      </w:r>
      <w:r w:rsidRPr="00A83C94">
        <w:rPr>
          <w:rFonts w:eastAsia="Calibri" w:cs="Sylfaen"/>
          <w:b w:val="0"/>
          <w:szCs w:val="22"/>
          <w:lang w:val="hy-AM"/>
        </w:rPr>
        <w:t>կ</w:t>
      </w:r>
      <w:r w:rsidRPr="00A83C94">
        <w:rPr>
          <w:rFonts w:eastAsia="Calibri" w:cs="Sylfaen"/>
          <w:b w:val="0"/>
          <w:szCs w:val="22"/>
          <w:lang w:val="af-ZA"/>
        </w:rPr>
        <w:t>իրականաց</w:t>
      </w:r>
      <w:r w:rsidRPr="00A83C94">
        <w:rPr>
          <w:rFonts w:eastAsia="Calibri" w:cs="Sylfaen"/>
          <w:b w:val="0"/>
          <w:szCs w:val="22"/>
          <w:lang w:val="hy-AM"/>
        </w:rPr>
        <w:t>վեն</w:t>
      </w:r>
      <w:r w:rsidRPr="00A83C94">
        <w:rPr>
          <w:rFonts w:eastAsia="Calibri" w:cs="Sylfaen"/>
          <w:b w:val="0"/>
          <w:szCs w:val="22"/>
          <w:lang w:val="af-ZA"/>
        </w:rPr>
        <w:t xml:space="preserve"> իրական ժամանակում մշտական գործող ռեֆերենց կայանների արդիականացման, տեխնիկապես վերազինման, վերանորոգման, նոր կոորդինատների որոշման` հավասարակշռման, ստացված կոորդինատների միջազգային ստանդարտ ռեֆերենց շրջանակում կապակցման և շահագործման աշխատանքներ։</w:t>
      </w:r>
    </w:p>
    <w:p w14:paraId="1A8CC8FD" w14:textId="77777777" w:rsidR="00427D1F" w:rsidRPr="00A83C94" w:rsidRDefault="00427D1F" w:rsidP="0081133C">
      <w:pPr>
        <w:widowControl w:val="0"/>
        <w:spacing w:before="0" w:line="276" w:lineRule="auto"/>
        <w:rPr>
          <w:rFonts w:eastAsia="Calibri" w:cs="Sylfaen"/>
          <w:b w:val="0"/>
          <w:szCs w:val="22"/>
          <w:lang w:val="af-ZA"/>
        </w:rPr>
      </w:pPr>
    </w:p>
    <w:p w14:paraId="7A9BB8AA" w14:textId="755EED89" w:rsidR="00243DE8" w:rsidRPr="00A83C94" w:rsidRDefault="00243DE8" w:rsidP="00427D1F">
      <w:pPr>
        <w:keepNext/>
        <w:spacing w:before="0" w:line="276" w:lineRule="auto"/>
        <w:ind w:firstLine="0"/>
        <w:contextualSpacing w:val="0"/>
        <w:jc w:val="center"/>
        <w:outlineLvl w:val="2"/>
        <w:rPr>
          <w:rFonts w:cs="Arial"/>
          <w:sz w:val="24"/>
          <w:lang w:val="hy-AM" w:eastAsia="en-US"/>
        </w:rPr>
      </w:pPr>
      <w:bookmarkStart w:id="294" w:name="_Toc83996386"/>
      <w:r w:rsidRPr="00A83C94">
        <w:rPr>
          <w:rFonts w:cs="Arial"/>
          <w:sz w:val="24"/>
          <w:lang w:val="hy-AM" w:eastAsia="en-US"/>
        </w:rPr>
        <w:t>ՀՀ վիճակագրական կոմիտե</w:t>
      </w:r>
      <w:bookmarkEnd w:id="294"/>
    </w:p>
    <w:p w14:paraId="3270AE5A"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Վիճակագրական կոմիտեն ՀՀ կառավարությանը ենթակա պետական մարմին է, որն իր լիազորություններն իրականացնելիս անկախ է, ղեկավարվում է ՀՀ Սահմանադրությամբ, ՀՀ միջազգային պայմանագրերով, «Պաշտոնական վիճակագրության մասին» օրենքով և այլ իրավական ակտերով:</w:t>
      </w:r>
    </w:p>
    <w:p w14:paraId="27DD8711"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Պաշտոնական վիճակագրության մշակման, արտադրության և տարածման գործառույթների մասով ազգային վիճակագրական համակարգի, այդ թվում՝ ՀՀ վիճակագրական կոմիտեի կառավարման բարձրագույն մարմինը, բացառությամբ ՀՀ կենտրոնական բանկի, ՀՀ վիճակագրության պետական խորհուրդն է:</w:t>
      </w:r>
    </w:p>
    <w:p w14:paraId="78935EE1"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Վիճակագրական կոմիտեն ՀՀ պաշտոնական վիճակագրության գլխավոր արտադրողն է և համակարգում է ազգային վիճակագրական համակարգում պաշտոնական վիճակագրության մշակմանը, արտադրությանը և տարածմանն ուղղված ողջ գործունեությունը, բացառությամբ  ՀՀ կենտրոնական բանկի:</w:t>
      </w:r>
    </w:p>
    <w:p w14:paraId="48ABD76C" w14:textId="7F45C0E9"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Վիճակագրական կոմիտեի գծով ՀՀ 2022 թվականի պետական բյուջեով նախատեսվում է հատկացնել 3,442.5 մլն դրամ</w:t>
      </w:r>
      <w:r w:rsidR="00427D1F" w:rsidRPr="00A83C94">
        <w:rPr>
          <w:b w:val="0"/>
          <w:szCs w:val="22"/>
          <w:lang w:val="af-ZA" w:eastAsia="en-US"/>
        </w:rPr>
        <w:t xml:space="preserve"> </w:t>
      </w:r>
      <w:r w:rsidR="00427D1F" w:rsidRPr="00A83C94">
        <w:rPr>
          <w:b w:val="0"/>
          <w:color w:val="000000"/>
          <w:szCs w:val="22"/>
          <w:lang w:val="hy-AM" w:eastAsia="en-US"/>
        </w:rPr>
        <w:t>(ներառյալ կառավարման ապարատի պահպանման ծախսերը)</w:t>
      </w:r>
      <w:r w:rsidRPr="00A83C94">
        <w:rPr>
          <w:b w:val="0"/>
          <w:szCs w:val="22"/>
          <w:lang w:val="af-ZA" w:eastAsia="en-US"/>
        </w:rPr>
        <w:t>, որը ուղղվելու է հետևյալ ծրագրերի իրականացմանը.</w:t>
      </w:r>
    </w:p>
    <w:p w14:paraId="0374237A" w14:textId="77777777" w:rsidR="00243DE8" w:rsidRPr="00A83C94" w:rsidRDefault="00243DE8" w:rsidP="00243DE8">
      <w:pPr>
        <w:spacing w:before="0" w:line="276" w:lineRule="auto"/>
        <w:contextualSpacing w:val="0"/>
        <w:rPr>
          <w:szCs w:val="22"/>
          <w:lang w:val="af-ZA" w:eastAsia="en-US"/>
        </w:rPr>
      </w:pPr>
      <w:r w:rsidRPr="00A83C94">
        <w:rPr>
          <w:szCs w:val="22"/>
          <w:lang w:val="af-ZA" w:eastAsia="en-US"/>
        </w:rPr>
        <w:t xml:space="preserve">Ազգային պաշտոնական վիճակագրության արտադրություն և տարածում ծրագիր </w:t>
      </w:r>
    </w:p>
    <w:p w14:paraId="1981BF9D"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 xml:space="preserve"> Ծրագրի նպատակն է տնտեսական և հասարակական գործընթացների վերաբերյալ պաշտոնական վիճակագրության մշակումը, արտադրումն ու տարածումը: Որպես վերջնական արդյունք, նախատեսվում է սույն ծրագրով նախատեսված ժամկետներով և պարբերականությամբ ամբողջական, համադրելի, արդիական և օգտատերերին հավասար մատչելիությամբ հասանելի պաշտոնական վիճա</w:t>
      </w:r>
      <w:r w:rsidRPr="00A83C94">
        <w:rPr>
          <w:b w:val="0"/>
          <w:szCs w:val="22"/>
          <w:lang w:val="af-ZA" w:eastAsia="en-US"/>
        </w:rPr>
        <w:softHyphen/>
        <w:t>կա</w:t>
      </w:r>
      <w:r w:rsidRPr="00A83C94">
        <w:rPr>
          <w:b w:val="0"/>
          <w:szCs w:val="22"/>
          <w:lang w:val="af-ZA" w:eastAsia="en-US"/>
        </w:rPr>
        <w:softHyphen/>
        <w:t xml:space="preserve">գրության ապահովում: Ծրագրի գծով 2022 թվականին նախատեսվում է հատկացնել 2,900.0 մլն դրամ: </w:t>
      </w:r>
    </w:p>
    <w:p w14:paraId="2D3C2DDD" w14:textId="7DF3DC9C" w:rsidR="00243DE8" w:rsidRPr="00A83C94" w:rsidRDefault="00243DE8" w:rsidP="00243DE8">
      <w:pPr>
        <w:spacing w:before="0" w:line="276" w:lineRule="auto"/>
        <w:contextualSpacing w:val="0"/>
        <w:rPr>
          <w:szCs w:val="22"/>
          <w:lang w:val="af-ZA" w:eastAsia="en-US"/>
        </w:rPr>
      </w:pPr>
      <w:r w:rsidRPr="00A83C94">
        <w:rPr>
          <w:szCs w:val="22"/>
          <w:lang w:val="af-ZA" w:eastAsia="en-US"/>
        </w:rPr>
        <w:t xml:space="preserve">Վիճակագրական համակարգի ամրապնդման ազգային ռազմավարական ծրագիր </w:t>
      </w:r>
    </w:p>
    <w:p w14:paraId="78B8400A"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Ծրագրի նպատակն է միջազգային չափանիշներին համապատասխան Հայաստանի վիճակագրական համակարգի զարգացումը: Որպես վերջնական արդյունք, նախատեսվում է Հայաստանի վիճակա</w:t>
      </w:r>
      <w:r w:rsidRPr="00A83C94">
        <w:rPr>
          <w:b w:val="0"/>
          <w:szCs w:val="22"/>
          <w:lang w:val="af-ZA" w:eastAsia="en-US"/>
        </w:rPr>
        <w:softHyphen/>
        <w:t>գրական համակարգի կարողությունների և Կոմիտեի անձնակազմի մասնագիտական կարո</w:t>
      </w:r>
      <w:r w:rsidRPr="00A83C94">
        <w:rPr>
          <w:b w:val="0"/>
          <w:szCs w:val="22"/>
          <w:lang w:val="af-ZA" w:eastAsia="en-US"/>
        </w:rPr>
        <w:softHyphen/>
        <w:t>ղու</w:t>
      </w:r>
      <w:r w:rsidRPr="00A83C94">
        <w:rPr>
          <w:b w:val="0"/>
          <w:szCs w:val="22"/>
          <w:lang w:val="af-ZA" w:eastAsia="en-US"/>
        </w:rPr>
        <w:softHyphen/>
        <w:t xml:space="preserve">թյունների զարգացումը: Ծրագրի գծով 2022 թվականին նախատեսվում է հատկացնել 542.5 մլն դրամ: </w:t>
      </w:r>
    </w:p>
    <w:p w14:paraId="1E78E125" w14:textId="77777777" w:rsidR="0081133C" w:rsidRPr="00A83C94" w:rsidRDefault="0081133C" w:rsidP="0081133C">
      <w:pPr>
        <w:widowControl w:val="0"/>
        <w:spacing w:before="0" w:line="276" w:lineRule="auto"/>
        <w:rPr>
          <w:rFonts w:eastAsia="Calibri" w:cs="Sylfaen"/>
          <w:b w:val="0"/>
          <w:color w:val="FF0000"/>
          <w:szCs w:val="22"/>
          <w:lang w:val="hy-AM"/>
        </w:rPr>
      </w:pPr>
    </w:p>
    <w:p w14:paraId="1D043A9C" w14:textId="72E74A7F" w:rsidR="00FC7885" w:rsidRPr="00A83C94" w:rsidRDefault="00FC7885" w:rsidP="00832373">
      <w:pPr>
        <w:keepNext/>
        <w:spacing w:before="0" w:line="276" w:lineRule="auto"/>
        <w:ind w:firstLine="0"/>
        <w:contextualSpacing w:val="0"/>
        <w:jc w:val="center"/>
        <w:outlineLvl w:val="2"/>
        <w:rPr>
          <w:rFonts w:cs="Arial"/>
          <w:sz w:val="24"/>
          <w:lang w:val="hy-AM" w:eastAsia="en-US"/>
        </w:rPr>
      </w:pPr>
      <w:bookmarkStart w:id="295" w:name="_Toc83996387"/>
      <w:r w:rsidRPr="00A83C94">
        <w:rPr>
          <w:rFonts w:cs="Arial"/>
          <w:sz w:val="24"/>
          <w:lang w:val="hy-AM" w:eastAsia="en-US"/>
        </w:rPr>
        <w:t>ՀՀ քաղաքաշինության կոմիտե</w:t>
      </w:r>
      <w:bookmarkEnd w:id="292"/>
      <w:bookmarkEnd w:id="295"/>
    </w:p>
    <w:p w14:paraId="7EAAE9E8" w14:textId="0ADCF373" w:rsidR="006D24C5" w:rsidRPr="00A83C94" w:rsidRDefault="00FE5BF1" w:rsidP="00FE5BF1">
      <w:pPr>
        <w:spacing w:line="276" w:lineRule="auto"/>
        <w:rPr>
          <w:rFonts w:cs="Calibri"/>
          <w:b w:val="0"/>
          <w:iCs/>
          <w:szCs w:val="22"/>
          <w:lang w:val="hy-AM" w:eastAsia="en-GB"/>
        </w:rPr>
      </w:pPr>
      <w:r w:rsidRPr="00A83C94">
        <w:rPr>
          <w:rFonts w:cs="Calibri"/>
          <w:iCs/>
          <w:szCs w:val="22"/>
          <w:lang w:val="hy-AM" w:eastAsia="en-GB"/>
        </w:rPr>
        <w:t>Քաղաքաշինության և ճարտարապետության բնագավառում պետական քաղաքականության իրականացում և կանոնակարգում</w:t>
      </w:r>
      <w:r w:rsidRPr="00A83C94">
        <w:rPr>
          <w:rFonts w:cs="Calibri"/>
          <w:b w:val="0"/>
          <w:iCs/>
          <w:szCs w:val="22"/>
          <w:lang w:val="hy-AM" w:eastAsia="en-GB"/>
        </w:rPr>
        <w:t xml:space="preserve"> ծրագրի շրջանակներում 2022 թվականի համար նախատեսվել է շուրջ 1,585.</w:t>
      </w:r>
      <w:r w:rsidR="00FE2EED" w:rsidRPr="00A83C94">
        <w:rPr>
          <w:rFonts w:cs="Calibri"/>
          <w:b w:val="0"/>
          <w:iCs/>
          <w:szCs w:val="22"/>
          <w:lang w:val="hy-AM" w:eastAsia="en-GB"/>
        </w:rPr>
        <w:t>1</w:t>
      </w:r>
      <w:r w:rsidRPr="00A83C94">
        <w:rPr>
          <w:rFonts w:cs="Calibri"/>
          <w:b w:val="0"/>
          <w:iCs/>
          <w:szCs w:val="22"/>
          <w:lang w:val="hy-AM" w:eastAsia="en-GB"/>
        </w:rPr>
        <w:t xml:space="preserve"> մլն դրամ </w:t>
      </w:r>
      <w:r w:rsidR="00427D1F" w:rsidRPr="00A83C94">
        <w:rPr>
          <w:rFonts w:cs="Calibri"/>
          <w:b w:val="0"/>
          <w:iCs/>
          <w:szCs w:val="22"/>
          <w:lang w:val="hy-AM" w:eastAsia="en-GB"/>
        </w:rPr>
        <w:t>(ներառյալ կառավարման ապարատի պահպանման ծախսերը</w:t>
      </w:r>
      <w:r w:rsidR="006D24C5" w:rsidRPr="00A83C94">
        <w:rPr>
          <w:rFonts w:cs="Calibri"/>
          <w:b w:val="0"/>
          <w:iCs/>
          <w:szCs w:val="22"/>
          <w:lang w:val="hy-AM" w:eastAsia="en-GB"/>
        </w:rPr>
        <w:t>՝ 589,3 մլն դրամ</w:t>
      </w:r>
      <w:r w:rsidR="00427D1F" w:rsidRPr="00A83C94">
        <w:rPr>
          <w:rFonts w:cs="Calibri"/>
          <w:b w:val="0"/>
          <w:iCs/>
          <w:szCs w:val="22"/>
          <w:lang w:val="hy-AM" w:eastAsia="en-GB"/>
        </w:rPr>
        <w:t>)</w:t>
      </w:r>
      <w:r w:rsidRPr="00A83C94">
        <w:rPr>
          <w:rFonts w:cs="Calibri"/>
          <w:b w:val="0"/>
          <w:iCs/>
          <w:szCs w:val="22"/>
          <w:lang w:val="hy-AM" w:eastAsia="en-GB"/>
        </w:rPr>
        <w:t>։ Ծրագրի նպատակն է շարունակել քաղաքաշինական գործունեության պետական կարգավորման միջոց հանդիսացող նորմատիվ փաստաթղթերի մշակումն ու շարունա</w:t>
      </w:r>
      <w:r w:rsidRPr="00A83C94">
        <w:rPr>
          <w:rFonts w:cs="Calibri"/>
          <w:b w:val="0"/>
          <w:iCs/>
          <w:szCs w:val="22"/>
          <w:lang w:val="hy-AM" w:eastAsia="en-GB"/>
        </w:rPr>
        <w:softHyphen/>
        <w:t>կական արդիականացումը, դրանց ներդաշնակեցումը միջազգային նորմերին, տարածք</w:t>
      </w:r>
      <w:r w:rsidRPr="00A83C94">
        <w:rPr>
          <w:rFonts w:cs="Calibri"/>
          <w:b w:val="0"/>
          <w:iCs/>
          <w:szCs w:val="22"/>
          <w:lang w:val="hy-AM" w:eastAsia="en-GB"/>
        </w:rPr>
        <w:softHyphen/>
        <w:t>ների և բնակավայրերի կայուն քաղաքաշինական զարգացումն ու դրան նպաստող համայնքների համակցված տարածական պլանավորման փաստաթղթերի մշակումը: Նշված նպատակին հասնելու համար իրականացվելու են միկրոռեգիոնալ մակարդակի համակցված տարածական պլանավորման թվով 25 փաստաթղթերի</w:t>
      </w:r>
      <w:r w:rsidR="00E913F4" w:rsidRPr="00E913F4">
        <w:rPr>
          <w:rFonts w:cs="Calibri"/>
          <w:b w:val="0"/>
          <w:iCs/>
          <w:szCs w:val="22"/>
          <w:lang w:val="hy-AM" w:eastAsia="en-GB"/>
        </w:rPr>
        <w:t xml:space="preserve"> մշակման աշխատանքներ</w:t>
      </w:r>
      <w:r w:rsidRPr="00A83C94">
        <w:rPr>
          <w:rFonts w:cs="Calibri"/>
          <w:b w:val="0"/>
          <w:iCs/>
          <w:szCs w:val="22"/>
          <w:lang w:val="hy-AM" w:eastAsia="en-GB"/>
        </w:rPr>
        <w:t>, այդ թվում</w:t>
      </w:r>
      <w:r w:rsidR="001873ED" w:rsidRPr="00E913F4">
        <w:rPr>
          <w:rFonts w:cs="Calibri"/>
          <w:b w:val="0"/>
          <w:iCs/>
          <w:szCs w:val="22"/>
          <w:lang w:val="hy-AM" w:eastAsia="en-GB"/>
        </w:rPr>
        <w:t>՝</w:t>
      </w:r>
      <w:r w:rsidRPr="00A83C94">
        <w:rPr>
          <w:rFonts w:cs="Calibri"/>
          <w:b w:val="0"/>
          <w:iCs/>
          <w:szCs w:val="22"/>
          <w:lang w:val="hy-AM" w:eastAsia="en-GB"/>
        </w:rPr>
        <w:t xml:space="preserve"> ՀՀ Արագածոտնի մարզի թվով 7, Գեղարքունիքի մարզ (մասնակի) թվով 8</w:t>
      </w:r>
      <w:r w:rsidR="00E913F4" w:rsidRPr="00E913F4">
        <w:rPr>
          <w:rFonts w:cs="Calibri"/>
          <w:b w:val="0"/>
          <w:iCs/>
          <w:szCs w:val="22"/>
          <w:lang w:val="hy-AM" w:eastAsia="en-GB"/>
        </w:rPr>
        <w:t>,</w:t>
      </w:r>
      <w:r w:rsidRPr="00A83C94">
        <w:rPr>
          <w:rFonts w:cs="Calibri"/>
          <w:b w:val="0"/>
          <w:iCs/>
          <w:szCs w:val="22"/>
          <w:lang w:val="hy-AM" w:eastAsia="en-GB"/>
        </w:rPr>
        <w:t xml:space="preserve"> Շիրակի մարզ (մասնակի)</w:t>
      </w:r>
      <w:r w:rsidR="00E913F4" w:rsidRPr="00E913F4">
        <w:rPr>
          <w:rFonts w:cs="Calibri"/>
          <w:b w:val="0"/>
          <w:iCs/>
          <w:szCs w:val="22"/>
          <w:lang w:val="hy-AM" w:eastAsia="en-GB"/>
        </w:rPr>
        <w:t xml:space="preserve"> թվով</w:t>
      </w:r>
      <w:r w:rsidRPr="00A83C94">
        <w:rPr>
          <w:rFonts w:cs="Calibri"/>
          <w:b w:val="0"/>
          <w:iCs/>
          <w:szCs w:val="22"/>
          <w:lang w:val="hy-AM" w:eastAsia="en-GB"/>
        </w:rPr>
        <w:t xml:space="preserve"> 10 փաստաթղթեր</w:t>
      </w:r>
      <w:r w:rsidR="00E913F4" w:rsidRPr="00E913F4">
        <w:rPr>
          <w:rFonts w:cs="Calibri"/>
          <w:b w:val="0"/>
          <w:iCs/>
          <w:szCs w:val="22"/>
          <w:lang w:val="hy-AM" w:eastAsia="en-GB"/>
        </w:rPr>
        <w:t>:</w:t>
      </w:r>
      <w:r w:rsidRPr="00A83C94">
        <w:rPr>
          <w:rFonts w:cs="Calibri"/>
          <w:b w:val="0"/>
          <w:iCs/>
          <w:szCs w:val="22"/>
          <w:lang w:val="hy-AM" w:eastAsia="en-GB"/>
        </w:rPr>
        <w:t xml:space="preserve"> </w:t>
      </w:r>
      <w:r w:rsidR="00E913F4" w:rsidRPr="00E913F4">
        <w:rPr>
          <w:rFonts w:cs="Calibri"/>
          <w:b w:val="0"/>
          <w:iCs/>
          <w:szCs w:val="22"/>
          <w:lang w:val="hy-AM" w:eastAsia="en-GB"/>
        </w:rPr>
        <w:t>Մ</w:t>
      </w:r>
      <w:r w:rsidRPr="00A83C94">
        <w:rPr>
          <w:rFonts w:cs="Calibri"/>
          <w:b w:val="0"/>
          <w:iCs/>
          <w:szCs w:val="22"/>
          <w:lang w:val="hy-AM" w:eastAsia="en-GB"/>
        </w:rPr>
        <w:t>շակվելու և տեղայնացվելու են թվով 19 նորմատիվատեխնիկական փաստաթղթեր</w:t>
      </w:r>
      <w:r w:rsidR="006D24C5" w:rsidRPr="00A83C94">
        <w:rPr>
          <w:rFonts w:cs="Calibri"/>
          <w:b w:val="0"/>
          <w:iCs/>
          <w:szCs w:val="22"/>
          <w:lang w:val="hy-AM" w:eastAsia="en-GB"/>
        </w:rPr>
        <w:t>:</w:t>
      </w:r>
    </w:p>
    <w:p w14:paraId="799AD47B" w14:textId="78FDF104" w:rsidR="00FE5BF1" w:rsidRPr="00A83C94" w:rsidRDefault="006D24C5" w:rsidP="00FE5BF1">
      <w:pPr>
        <w:spacing w:line="276" w:lineRule="auto"/>
        <w:rPr>
          <w:rFonts w:cs="Calibri"/>
          <w:b w:val="0"/>
          <w:iCs/>
          <w:szCs w:val="22"/>
          <w:lang w:val="hy-AM" w:eastAsia="en-GB"/>
        </w:rPr>
      </w:pPr>
      <w:r w:rsidRPr="00A83C94">
        <w:rPr>
          <w:rFonts w:cs="Calibri"/>
          <w:b w:val="0"/>
          <w:iCs/>
          <w:szCs w:val="22"/>
          <w:lang w:val="hy-AM" w:eastAsia="en-GB"/>
        </w:rPr>
        <w:t>Բացի այդ կ</w:t>
      </w:r>
      <w:r w:rsidR="00FE5BF1" w:rsidRPr="00A83C94">
        <w:rPr>
          <w:rFonts w:cs="Calibri"/>
          <w:b w:val="0"/>
          <w:iCs/>
          <w:szCs w:val="22"/>
          <w:lang w:val="hy-AM" w:eastAsia="en-GB"/>
        </w:rPr>
        <w:t>շարունակ</w:t>
      </w:r>
      <w:r w:rsidRPr="00A83C94">
        <w:rPr>
          <w:rFonts w:cs="Calibri"/>
          <w:b w:val="0"/>
          <w:iCs/>
          <w:szCs w:val="22"/>
          <w:lang w:val="hy-AM" w:eastAsia="en-GB"/>
        </w:rPr>
        <w:t>վի</w:t>
      </w:r>
      <w:r w:rsidR="00FE5BF1" w:rsidRPr="00A83C94">
        <w:rPr>
          <w:rFonts w:cs="Calibri"/>
          <w:b w:val="0"/>
          <w:iCs/>
          <w:szCs w:val="22"/>
          <w:lang w:val="hy-AM" w:eastAsia="en-GB"/>
        </w:rPr>
        <w:t xml:space="preserve"> ՀՀ Սյունիքի մարզի սահմանամերձ Գորիս համայնքի Շուռնուխ բնակավայրում բնակելի թաղամասի կառուցման աշխատանքները: Այն իր մեջ ընդգրկում է թաղամասի (թվով 13 բնակելի տների) արտաքին ինժեներական ցանցերի (ջրամատա</w:t>
      </w:r>
      <w:r w:rsidR="00FE5BF1" w:rsidRPr="00A83C94">
        <w:rPr>
          <w:rFonts w:cs="Calibri"/>
          <w:b w:val="0"/>
          <w:iCs/>
          <w:szCs w:val="22"/>
          <w:lang w:val="hy-AM" w:eastAsia="en-GB"/>
        </w:rPr>
        <w:softHyphen/>
        <w:t>կարարման-ջրահեռացման), մաքրման կայանների, տարածքի ինժեներական նախապատ</w:t>
      </w:r>
      <w:r w:rsidR="00FE5BF1" w:rsidRPr="00A83C94">
        <w:rPr>
          <w:rFonts w:cs="Calibri"/>
          <w:b w:val="0"/>
          <w:iCs/>
          <w:szCs w:val="22"/>
          <w:lang w:val="hy-AM" w:eastAsia="en-GB"/>
        </w:rPr>
        <w:softHyphen/>
        <w:t xml:space="preserve">րաստման, արտաքին լուսավորության աշխատանքները։ </w:t>
      </w:r>
    </w:p>
    <w:p w14:paraId="43D65BF5" w14:textId="77777777" w:rsidR="00FE5BF1" w:rsidRPr="00A83C94" w:rsidRDefault="00FE5BF1" w:rsidP="00FE5BF1">
      <w:pPr>
        <w:spacing w:line="276" w:lineRule="auto"/>
        <w:rPr>
          <w:rFonts w:cs="Calibri"/>
          <w:iCs/>
          <w:szCs w:val="22"/>
          <w:lang w:val="hy-AM" w:eastAsia="en-GB"/>
        </w:rPr>
      </w:pPr>
    </w:p>
    <w:p w14:paraId="380FA691" w14:textId="22C88C98" w:rsidR="00EA7341" w:rsidRPr="00A83C94" w:rsidRDefault="00EA7341" w:rsidP="00427D1F">
      <w:pPr>
        <w:keepNext/>
        <w:spacing w:before="0" w:line="276" w:lineRule="auto"/>
        <w:ind w:firstLine="0"/>
        <w:contextualSpacing w:val="0"/>
        <w:jc w:val="center"/>
        <w:outlineLvl w:val="2"/>
        <w:rPr>
          <w:rFonts w:cs="Arial"/>
          <w:sz w:val="24"/>
          <w:lang w:val="af-ZA" w:eastAsia="en-US"/>
        </w:rPr>
      </w:pPr>
      <w:bookmarkStart w:id="296" w:name="_Toc83996388"/>
      <w:r w:rsidRPr="00A83C94">
        <w:rPr>
          <w:rFonts w:cs="Arial"/>
          <w:sz w:val="24"/>
          <w:lang w:val="hy-AM" w:eastAsia="en-US"/>
        </w:rPr>
        <w:t>Բարձրագույն դատական խորհուրդ</w:t>
      </w:r>
      <w:bookmarkEnd w:id="296"/>
    </w:p>
    <w:p w14:paraId="180B590D" w14:textId="1E26B6B8" w:rsidR="00EA7341" w:rsidRPr="00A83C94" w:rsidRDefault="00EA7341" w:rsidP="00EA7341">
      <w:pPr>
        <w:spacing w:before="0" w:line="276" w:lineRule="auto"/>
        <w:contextualSpacing w:val="0"/>
        <w:rPr>
          <w:b w:val="0"/>
          <w:szCs w:val="22"/>
          <w:lang w:val="af-ZA" w:eastAsia="en-US"/>
        </w:rPr>
      </w:pPr>
      <w:r w:rsidRPr="00A83C94">
        <w:rPr>
          <w:b w:val="0"/>
          <w:szCs w:val="22"/>
          <w:lang w:val="af-ZA" w:eastAsia="en-US"/>
        </w:rPr>
        <w:t xml:space="preserve">Անկախ, անաչառ, մատչելի, արդյունավետ ու հաշվետու արդարադատություն ունենալու համար Բարձրագույն դատական խորհրդի և դատարանների </w:t>
      </w:r>
      <w:r w:rsidRPr="00A83C94">
        <w:rPr>
          <w:szCs w:val="22"/>
          <w:lang w:val="af-ZA" w:eastAsia="en-US"/>
        </w:rPr>
        <w:t>Դատական իշխանության գործունեության ապահովում և իրականացում</w:t>
      </w:r>
      <w:r w:rsidRPr="00A83C94">
        <w:rPr>
          <w:b w:val="0"/>
          <w:szCs w:val="22"/>
          <w:lang w:val="af-ZA" w:eastAsia="en-US"/>
        </w:rPr>
        <w:t xml:space="preserve"> ծրագրի համար վերջնական արդյունքի ցուցանիշ է սահմանվել World Economic Forum-ի 2018 թվականի հաշվետվության մեջ ներառված «դատական համակարգի անկախությունը իշխանության այլ ճյուղերի, անհատների կամ ընկերությունների ազդեցությունից» ցուցանիշը: WEF վերոնշյալ ցուցանիշը տատանվում է 1-ից 7 միավորի սանդղակում (1=ընդհանրապես անկախ չէ, 7=լիովին անկախ է): Հայաստանի Հանրապետության «դատական համակարգի անկախությունը իշխանության այլ ճյուղերի, անհատների կամ ընկերությունների ազդեցությունից» ցուցանիշը 2018 թվականին եղել է 3.3: Որպես վերջնական արդյունքի թիրախի ցուցանիշ սահմանվել է 6.3, ժամկետ՝ 2024թ.:</w:t>
      </w:r>
    </w:p>
    <w:p w14:paraId="0664052B" w14:textId="70778ECE" w:rsidR="00EA7341" w:rsidRPr="00A83C94" w:rsidRDefault="00EA7341" w:rsidP="00EA7341">
      <w:pPr>
        <w:spacing w:before="0" w:line="276" w:lineRule="auto"/>
        <w:contextualSpacing w:val="0"/>
        <w:rPr>
          <w:b w:val="0"/>
          <w:szCs w:val="22"/>
          <w:lang w:val="af-ZA" w:eastAsia="en-US"/>
        </w:rPr>
      </w:pPr>
      <w:r w:rsidRPr="00A83C94">
        <w:rPr>
          <w:b w:val="0"/>
          <w:szCs w:val="22"/>
          <w:lang w:val="af-ZA" w:eastAsia="en-US"/>
        </w:rPr>
        <w:t>Ծրագրի միջոցառումների համար սահմանվել են նաև քանակական, որակական, գենդերազգայուն ոչ ֆինանսական արդյունքային ցուցանիշներ: Այսպես, ոչ ֆինանսական արդյունքային ցուցանիշներն են՝ ավարտված գործերի թիվը ստացված գործերի թվում (տոկոս), բեկանված դատական ակտերի թիվը կայացված դատական ակտերի թվում (տոկոս):</w:t>
      </w:r>
    </w:p>
    <w:p w14:paraId="64FC2050" w14:textId="4626F400" w:rsidR="00EA7341" w:rsidRPr="00A83C94" w:rsidRDefault="00EA7341" w:rsidP="00EA7341">
      <w:pPr>
        <w:spacing w:before="0" w:line="276" w:lineRule="auto"/>
        <w:contextualSpacing w:val="0"/>
        <w:rPr>
          <w:b w:val="0"/>
          <w:szCs w:val="22"/>
          <w:lang w:val="af-ZA" w:eastAsia="en-US"/>
        </w:rPr>
      </w:pPr>
      <w:r w:rsidRPr="00A83C94">
        <w:rPr>
          <w:b w:val="0"/>
          <w:szCs w:val="22"/>
          <w:lang w:val="af-ZA" w:eastAsia="en-US"/>
        </w:rPr>
        <w:t>Ավարտված գործերի թիվը ստացված գործերի թվում որակական ցուցանիշի սահմանումը նպատակ է հետապնդում ցույց տալ հանրությանը, որ այն տարեցտարի դրական դինամիկա պետք է ապահովի և տարեվերջյան անավարտ գործերի թիվը պետք է նվազի, իսկ բեկանված դատական ակտերի թիվը կայացված դատական ակտերի թվում ցուցանիշն ընդհակառակը՝ տարեցտարի պետք է նվազի:</w:t>
      </w:r>
    </w:p>
    <w:p w14:paraId="37534CD7" w14:textId="77777777" w:rsidR="00CF61FB" w:rsidRPr="00A83C94" w:rsidRDefault="00CF61FB" w:rsidP="007C65A5">
      <w:pPr>
        <w:spacing w:before="0" w:line="276" w:lineRule="auto"/>
        <w:contextualSpacing w:val="0"/>
        <w:rPr>
          <w:b w:val="0"/>
          <w:szCs w:val="22"/>
          <w:lang w:val="af-ZA" w:eastAsia="en-US"/>
        </w:rPr>
      </w:pPr>
    </w:p>
    <w:p w14:paraId="29DC2F0C" w14:textId="236CE35F" w:rsidR="00CF61FB" w:rsidRPr="00A83C94" w:rsidRDefault="00CF61FB" w:rsidP="00427D1F">
      <w:pPr>
        <w:keepNext/>
        <w:spacing w:before="0" w:line="276" w:lineRule="auto"/>
        <w:ind w:firstLine="0"/>
        <w:contextualSpacing w:val="0"/>
        <w:jc w:val="center"/>
        <w:outlineLvl w:val="2"/>
        <w:rPr>
          <w:rFonts w:cs="Arial"/>
          <w:sz w:val="24"/>
          <w:lang w:val="af-ZA" w:eastAsia="en-US"/>
        </w:rPr>
      </w:pPr>
      <w:bookmarkStart w:id="297" w:name="_Toc83996389"/>
      <w:r w:rsidRPr="00A83C94">
        <w:rPr>
          <w:rFonts w:cs="Arial"/>
          <w:sz w:val="24"/>
          <w:lang w:val="hy-AM" w:eastAsia="en-US"/>
        </w:rPr>
        <w:t>ՀՀ դատախազությ</w:t>
      </w:r>
      <w:r w:rsidRPr="00A83C94">
        <w:rPr>
          <w:rFonts w:cs="Arial"/>
          <w:sz w:val="24"/>
          <w:lang w:val="en-US" w:eastAsia="en-US"/>
        </w:rPr>
        <w:t>ուն</w:t>
      </w:r>
      <w:bookmarkEnd w:id="297"/>
    </w:p>
    <w:p w14:paraId="07F2E3D1" w14:textId="77777777"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«Դատավարական ղեկավարում և դատախազական հսկողություն» ծրագրի նպատակն է՝ ՀՀ-ում հանցավորության դեմ պայքարը, հանցագործության դեպքերի կանխարգելումը և կրճատումը, հանցագործության բոլոր դեպքերի առնչությամբ բազմակողմանի, լրիվ և օբյեկտիվ քննության ապահովումը:</w:t>
      </w:r>
    </w:p>
    <w:p w14:paraId="0C1A7271" w14:textId="77777777"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ՀՀ դատախազության գործունեության հիմնական ոլորտներն են՝</w:t>
      </w:r>
    </w:p>
    <w:p w14:paraId="6DA51548" w14:textId="6FDB39F6"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1)</w:t>
      </w:r>
      <w:r w:rsidRPr="00A83C94">
        <w:rPr>
          <w:b w:val="0"/>
          <w:szCs w:val="22"/>
          <w:lang w:val="af-ZA" w:eastAsia="en-US"/>
        </w:rPr>
        <w:tab/>
        <w:t xml:space="preserve"> Կոռուպցիայի և կազմակերպված հանցավորության դեմ պայքարի ոլորտ</w:t>
      </w:r>
    </w:p>
    <w:p w14:paraId="712E5D99" w14:textId="4AA32550"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2)</w:t>
      </w:r>
      <w:r w:rsidRPr="00A83C94">
        <w:rPr>
          <w:b w:val="0"/>
          <w:szCs w:val="22"/>
          <w:lang w:val="af-ZA" w:eastAsia="en-US"/>
        </w:rPr>
        <w:tab/>
        <w:t xml:space="preserve"> Քրեական հետապնդում հարուցելու ոլորտ</w:t>
      </w:r>
    </w:p>
    <w:p w14:paraId="1AC9A5DA" w14:textId="46B937EC"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3)</w:t>
      </w:r>
      <w:r w:rsidRPr="00A83C94">
        <w:rPr>
          <w:b w:val="0"/>
          <w:szCs w:val="22"/>
          <w:lang w:val="af-ZA" w:eastAsia="en-US"/>
        </w:rPr>
        <w:tab/>
        <w:t xml:space="preserve"> Հետաքննության և նախաքննության օրինականության նկատմամբ հսկողության իրականացման ոլորտ</w:t>
      </w:r>
    </w:p>
    <w:p w14:paraId="44EC6BFE" w14:textId="417F2B9F"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4)</w:t>
      </w:r>
      <w:r w:rsidRPr="00A83C94">
        <w:rPr>
          <w:b w:val="0"/>
          <w:szCs w:val="22"/>
          <w:lang w:val="af-ZA" w:eastAsia="en-US"/>
        </w:rPr>
        <w:tab/>
        <w:t xml:space="preserve"> Պատիժների և հարկադրանքի այլ միջոցների կիրառման օրինականության նկատմամբ հսկողության իրականացման ոլորտ</w:t>
      </w:r>
    </w:p>
    <w:p w14:paraId="3CF7DA46" w14:textId="446DC083"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5)</w:t>
      </w:r>
      <w:r w:rsidRPr="00A83C94">
        <w:rPr>
          <w:b w:val="0"/>
          <w:szCs w:val="22"/>
          <w:lang w:val="af-ZA" w:eastAsia="en-US"/>
        </w:rPr>
        <w:tab/>
        <w:t xml:space="preserve"> Դատարանում մեղադրանքի պաշտպանության և վճիռների, դատավճիռների և որոշումների բողոքարկման ոլորտներ</w:t>
      </w:r>
    </w:p>
    <w:p w14:paraId="0B7D7198" w14:textId="3F553F64"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6)</w:t>
      </w:r>
      <w:r w:rsidRPr="00A83C94">
        <w:rPr>
          <w:b w:val="0"/>
          <w:szCs w:val="22"/>
          <w:lang w:val="af-ZA" w:eastAsia="en-US"/>
        </w:rPr>
        <w:tab/>
        <w:t xml:space="preserve"> Պետական շահերի պաշտպանության ոլորտ</w:t>
      </w:r>
    </w:p>
    <w:p w14:paraId="667B969A" w14:textId="1FCABA2E"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7)</w:t>
      </w:r>
      <w:r w:rsidRPr="00A83C94">
        <w:rPr>
          <w:b w:val="0"/>
          <w:szCs w:val="22"/>
          <w:lang w:val="af-ZA" w:eastAsia="en-US"/>
        </w:rPr>
        <w:tab/>
        <w:t xml:space="preserve"> Ապօրինի ծագում ունեցող գույքի բռնագանձման ոլորտ:</w:t>
      </w:r>
    </w:p>
    <w:p w14:paraId="2E4D8F9A" w14:textId="77777777"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ab/>
        <w:t xml:space="preserve">«Փորձաքննության ծառայությունների տրամադրում» ծրագրի նպատակն է  քրեական հետապնդում և արդարադատություն իրականացնող մարմինների կողմից նշանակվող դատական փորձաքննությունների պատշաճ իրականացմամբ համապատասխան պատշաճ որակի և դատավարական ու մեթոդական ընթացակարգերի պահպանմամբ ապացույցների ձեռք բերման միջոցով օժանդակել մինչդատական և դատական քրեական վարույթի իրականացմանը, ինչպես նաև անձի, հասարակության և պետության պաշտպանությանը հանցագործություններից: </w:t>
      </w:r>
    </w:p>
    <w:p w14:paraId="4E960EB7" w14:textId="5A30DE3D"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 xml:space="preserve"> «Մասնագիտական ուսուցման և որակավորման բարձրացման» կազմակերպում» ծրագրի շրջանակներում նախատեսվում է իրականացնել փորձաքննությունների համար ելակետային տվյալներ ձեռք բերելու պարտականություններ և փորձաքննություններ նշանակելու լիազորություն ունեցող իրավասու մարմինների աշխատողների /նախաքննության, հետաքննության և այլ մարմինների աշխատակիցների/ ուսուցման, վերապատրաստման և որակավորման բարձրացման դասընթացների առավել որակյալ կազմակերպումը և իրականացումը:</w:t>
      </w:r>
    </w:p>
    <w:p w14:paraId="6104AA54" w14:textId="77777777" w:rsidR="002456B8" w:rsidRPr="00A83C94" w:rsidRDefault="002456B8" w:rsidP="002456B8">
      <w:pPr>
        <w:spacing w:before="0" w:line="276" w:lineRule="auto"/>
        <w:contextualSpacing w:val="0"/>
        <w:rPr>
          <w:b w:val="0"/>
          <w:szCs w:val="22"/>
          <w:lang w:val="af-ZA" w:eastAsia="en-US"/>
        </w:rPr>
      </w:pPr>
    </w:p>
    <w:p w14:paraId="2B05BD79" w14:textId="694BD143" w:rsidR="002456B8" w:rsidRPr="00A83C94" w:rsidRDefault="002456B8" w:rsidP="00832373">
      <w:pPr>
        <w:keepNext/>
        <w:spacing w:before="0" w:line="276" w:lineRule="auto"/>
        <w:ind w:firstLine="0"/>
        <w:contextualSpacing w:val="0"/>
        <w:jc w:val="center"/>
        <w:outlineLvl w:val="2"/>
        <w:rPr>
          <w:rFonts w:cs="Arial"/>
          <w:sz w:val="24"/>
          <w:lang w:val="af-ZA" w:eastAsia="en-US"/>
        </w:rPr>
      </w:pPr>
      <w:bookmarkStart w:id="298" w:name="_Toc83996390"/>
      <w:r w:rsidRPr="00A83C94">
        <w:rPr>
          <w:rFonts w:cs="Arial"/>
          <w:sz w:val="24"/>
          <w:lang w:val="hy-AM" w:eastAsia="en-US"/>
        </w:rPr>
        <w:t>ՀՀ քննչական կոմիտե</w:t>
      </w:r>
      <w:bookmarkEnd w:id="298"/>
    </w:p>
    <w:p w14:paraId="266D9424"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քննչական</w:t>
      </w:r>
      <w:r w:rsidRPr="00A83C94">
        <w:rPr>
          <w:b w:val="0"/>
          <w:szCs w:val="22"/>
          <w:lang w:val="af-ZA" w:eastAsia="en-US"/>
        </w:rPr>
        <w:t xml:space="preserve"> </w:t>
      </w:r>
      <w:r w:rsidRPr="00A83C94">
        <w:rPr>
          <w:b w:val="0"/>
          <w:szCs w:val="22"/>
          <w:lang w:val="en-US" w:eastAsia="en-US"/>
        </w:rPr>
        <w:t>կոմիտեի</w:t>
      </w:r>
      <w:r w:rsidRPr="00A83C94">
        <w:rPr>
          <w:b w:val="0"/>
          <w:szCs w:val="22"/>
          <w:lang w:val="af-ZA" w:eastAsia="en-US"/>
        </w:rPr>
        <w:t xml:space="preserve"> </w:t>
      </w:r>
      <w:r w:rsidRPr="00A83C94">
        <w:rPr>
          <w:b w:val="0"/>
          <w:szCs w:val="22"/>
          <w:lang w:val="en-US" w:eastAsia="en-US"/>
        </w:rPr>
        <w:t>հիմնական</w:t>
      </w:r>
      <w:r w:rsidRPr="00A83C94">
        <w:rPr>
          <w:b w:val="0"/>
          <w:szCs w:val="22"/>
          <w:lang w:val="af-ZA" w:eastAsia="en-US"/>
        </w:rPr>
        <w:t xml:space="preserve"> </w:t>
      </w:r>
      <w:r w:rsidRPr="00A83C94">
        <w:rPr>
          <w:b w:val="0"/>
          <w:szCs w:val="22"/>
          <w:lang w:val="en-US" w:eastAsia="en-US"/>
        </w:rPr>
        <w:t>նպատակը</w:t>
      </w:r>
      <w:r w:rsidRPr="00A83C94">
        <w:rPr>
          <w:b w:val="0"/>
          <w:szCs w:val="22"/>
          <w:lang w:val="af-ZA" w:eastAsia="en-US"/>
        </w:rPr>
        <w:t xml:space="preserve"> </w:t>
      </w: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օրենսդրությամբ</w:t>
      </w:r>
      <w:r w:rsidRPr="00A83C94">
        <w:rPr>
          <w:b w:val="0"/>
          <w:szCs w:val="22"/>
          <w:lang w:val="af-ZA" w:eastAsia="en-US"/>
        </w:rPr>
        <w:t xml:space="preserve"> </w:t>
      </w:r>
      <w:r w:rsidRPr="00A83C94">
        <w:rPr>
          <w:b w:val="0"/>
          <w:szCs w:val="22"/>
          <w:lang w:val="en-US" w:eastAsia="en-US"/>
        </w:rPr>
        <w:t>սահմանված</w:t>
      </w:r>
      <w:r w:rsidRPr="00A83C94">
        <w:rPr>
          <w:b w:val="0"/>
          <w:szCs w:val="22"/>
          <w:lang w:val="af-ZA" w:eastAsia="en-US"/>
        </w:rPr>
        <w:t xml:space="preserve">  </w:t>
      </w:r>
      <w:r w:rsidRPr="00A83C94">
        <w:rPr>
          <w:b w:val="0"/>
          <w:szCs w:val="22"/>
          <w:lang w:val="en-US" w:eastAsia="en-US"/>
        </w:rPr>
        <w:t>կարգով</w:t>
      </w:r>
      <w:r w:rsidRPr="00A83C94">
        <w:rPr>
          <w:b w:val="0"/>
          <w:szCs w:val="22"/>
          <w:lang w:val="af-ZA" w:eastAsia="en-US"/>
        </w:rPr>
        <w:t xml:space="preserve"> </w:t>
      </w:r>
      <w:r w:rsidRPr="00A83C94">
        <w:rPr>
          <w:b w:val="0"/>
          <w:szCs w:val="22"/>
          <w:lang w:val="en-US" w:eastAsia="en-US"/>
        </w:rPr>
        <w:t>հանցագործությունների</w:t>
      </w:r>
      <w:r w:rsidRPr="00A83C94">
        <w:rPr>
          <w:b w:val="0"/>
          <w:szCs w:val="22"/>
          <w:lang w:val="af-ZA" w:eastAsia="en-US"/>
        </w:rPr>
        <w:t xml:space="preserve"> </w:t>
      </w:r>
      <w:r w:rsidRPr="00A83C94">
        <w:rPr>
          <w:b w:val="0"/>
          <w:szCs w:val="22"/>
          <w:lang w:val="en-US" w:eastAsia="en-US"/>
        </w:rPr>
        <w:t>վերաբերյալ</w:t>
      </w:r>
      <w:r w:rsidRPr="00A83C94">
        <w:rPr>
          <w:b w:val="0"/>
          <w:szCs w:val="22"/>
          <w:lang w:val="af-ZA" w:eastAsia="en-US"/>
        </w:rPr>
        <w:t xml:space="preserve"> </w:t>
      </w:r>
      <w:r w:rsidRPr="00A83C94">
        <w:rPr>
          <w:b w:val="0"/>
          <w:szCs w:val="22"/>
          <w:lang w:val="en-US" w:eastAsia="en-US"/>
        </w:rPr>
        <w:t>օբյեկտիվ</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արդյունավետ</w:t>
      </w:r>
      <w:r w:rsidRPr="00A83C94">
        <w:rPr>
          <w:b w:val="0"/>
          <w:szCs w:val="22"/>
          <w:lang w:val="af-ZA" w:eastAsia="en-US"/>
        </w:rPr>
        <w:t xml:space="preserve"> </w:t>
      </w:r>
      <w:r w:rsidRPr="00A83C94">
        <w:rPr>
          <w:b w:val="0"/>
          <w:szCs w:val="22"/>
          <w:lang w:val="en-US" w:eastAsia="en-US"/>
        </w:rPr>
        <w:t>նախաքննության</w:t>
      </w:r>
      <w:r w:rsidRPr="00A83C94">
        <w:rPr>
          <w:b w:val="0"/>
          <w:szCs w:val="22"/>
          <w:lang w:val="af-ZA" w:eastAsia="en-US"/>
        </w:rPr>
        <w:t xml:space="preserve"> </w:t>
      </w:r>
      <w:r w:rsidRPr="00A83C94">
        <w:rPr>
          <w:b w:val="0"/>
          <w:szCs w:val="22"/>
          <w:lang w:val="en-US" w:eastAsia="en-US"/>
        </w:rPr>
        <w:t>իրականացումն</w:t>
      </w:r>
      <w:r w:rsidRPr="00A83C94">
        <w:rPr>
          <w:b w:val="0"/>
          <w:szCs w:val="22"/>
          <w:lang w:val="af-ZA" w:eastAsia="en-US"/>
        </w:rPr>
        <w:t xml:space="preserve"> </w:t>
      </w:r>
      <w:r w:rsidRPr="00A83C94">
        <w:rPr>
          <w:b w:val="0"/>
          <w:szCs w:val="22"/>
          <w:lang w:val="en-US" w:eastAsia="en-US"/>
        </w:rPr>
        <w:t>է</w:t>
      </w:r>
      <w:r w:rsidRPr="00A83C94">
        <w:rPr>
          <w:b w:val="0"/>
          <w:szCs w:val="22"/>
          <w:lang w:val="af-ZA" w:eastAsia="en-US"/>
        </w:rPr>
        <w:t xml:space="preserve">, </w:t>
      </w:r>
      <w:r w:rsidRPr="00A83C94">
        <w:rPr>
          <w:b w:val="0"/>
          <w:szCs w:val="22"/>
          <w:lang w:val="en-US" w:eastAsia="en-US"/>
        </w:rPr>
        <w:t>որի</w:t>
      </w:r>
      <w:r w:rsidRPr="00A83C94">
        <w:rPr>
          <w:b w:val="0"/>
          <w:szCs w:val="22"/>
          <w:lang w:val="af-ZA" w:eastAsia="en-US"/>
        </w:rPr>
        <w:t xml:space="preserve"> </w:t>
      </w:r>
      <w:r w:rsidRPr="00A83C94">
        <w:rPr>
          <w:b w:val="0"/>
          <w:szCs w:val="22"/>
          <w:lang w:val="en-US" w:eastAsia="en-US"/>
        </w:rPr>
        <w:t>իրագործման</w:t>
      </w:r>
      <w:r w:rsidRPr="00A83C94">
        <w:rPr>
          <w:b w:val="0"/>
          <w:szCs w:val="22"/>
          <w:lang w:val="af-ZA" w:eastAsia="en-US"/>
        </w:rPr>
        <w:t xml:space="preserve"> </w:t>
      </w:r>
      <w:r w:rsidRPr="00A83C94">
        <w:rPr>
          <w:b w:val="0"/>
          <w:szCs w:val="22"/>
          <w:lang w:val="en-US" w:eastAsia="en-US"/>
        </w:rPr>
        <w:t>համար</w:t>
      </w:r>
      <w:r w:rsidRPr="00A83C94">
        <w:rPr>
          <w:b w:val="0"/>
          <w:szCs w:val="22"/>
          <w:lang w:val="af-ZA" w:eastAsia="en-US"/>
        </w:rPr>
        <w:t xml:space="preserve"> </w:t>
      </w:r>
      <w:r w:rsidRPr="00A83C94">
        <w:rPr>
          <w:b w:val="0"/>
          <w:szCs w:val="22"/>
          <w:lang w:val="en-US" w:eastAsia="en-US"/>
        </w:rPr>
        <w:t>ակնկալվում</w:t>
      </w:r>
      <w:r w:rsidRPr="00A83C94">
        <w:rPr>
          <w:b w:val="0"/>
          <w:szCs w:val="22"/>
          <w:lang w:val="af-ZA" w:eastAsia="en-US"/>
        </w:rPr>
        <w:t xml:space="preserve"> </w:t>
      </w:r>
      <w:r w:rsidRPr="00A83C94">
        <w:rPr>
          <w:b w:val="0"/>
          <w:szCs w:val="22"/>
          <w:lang w:val="en-US" w:eastAsia="en-US"/>
        </w:rPr>
        <w:t>է</w:t>
      </w:r>
      <w:r w:rsidRPr="00A83C94">
        <w:rPr>
          <w:b w:val="0"/>
          <w:szCs w:val="22"/>
          <w:lang w:val="af-ZA" w:eastAsia="en-US"/>
        </w:rPr>
        <w:t>.</w:t>
      </w:r>
    </w:p>
    <w:p w14:paraId="54D8FA13"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1. </w:t>
      </w: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քրեական</w:t>
      </w:r>
      <w:r w:rsidRPr="00A83C94">
        <w:rPr>
          <w:b w:val="0"/>
          <w:szCs w:val="22"/>
          <w:lang w:val="af-ZA" w:eastAsia="en-US"/>
        </w:rPr>
        <w:t xml:space="preserve"> </w:t>
      </w:r>
      <w:r w:rsidRPr="00A83C94">
        <w:rPr>
          <w:b w:val="0"/>
          <w:szCs w:val="22"/>
          <w:lang w:val="en-US" w:eastAsia="en-US"/>
        </w:rPr>
        <w:t>դատավարության</w:t>
      </w:r>
      <w:r w:rsidRPr="00A83C94">
        <w:rPr>
          <w:b w:val="0"/>
          <w:szCs w:val="22"/>
          <w:lang w:val="af-ZA" w:eastAsia="en-US"/>
        </w:rPr>
        <w:t xml:space="preserve"> </w:t>
      </w:r>
      <w:r w:rsidRPr="00A83C94">
        <w:rPr>
          <w:b w:val="0"/>
          <w:szCs w:val="22"/>
          <w:lang w:val="en-US" w:eastAsia="en-US"/>
        </w:rPr>
        <w:t>օրենսգրքով</w:t>
      </w:r>
      <w:r w:rsidRPr="00A83C94">
        <w:rPr>
          <w:b w:val="0"/>
          <w:szCs w:val="22"/>
          <w:lang w:val="af-ZA" w:eastAsia="en-US"/>
        </w:rPr>
        <w:t xml:space="preserve"> </w:t>
      </w:r>
      <w:r w:rsidRPr="00A83C94">
        <w:rPr>
          <w:b w:val="0"/>
          <w:szCs w:val="22"/>
          <w:lang w:val="en-US" w:eastAsia="en-US"/>
        </w:rPr>
        <w:t>իր</w:t>
      </w:r>
      <w:r w:rsidRPr="00A83C94">
        <w:rPr>
          <w:b w:val="0"/>
          <w:szCs w:val="22"/>
          <w:lang w:val="af-ZA" w:eastAsia="en-US"/>
        </w:rPr>
        <w:t xml:space="preserve"> </w:t>
      </w:r>
      <w:r w:rsidRPr="00A83C94">
        <w:rPr>
          <w:b w:val="0"/>
          <w:szCs w:val="22"/>
          <w:lang w:val="en-US" w:eastAsia="en-US"/>
        </w:rPr>
        <w:t>իրավասությանը</w:t>
      </w:r>
      <w:r w:rsidRPr="00A83C94">
        <w:rPr>
          <w:b w:val="0"/>
          <w:szCs w:val="22"/>
          <w:lang w:val="af-ZA" w:eastAsia="en-US"/>
        </w:rPr>
        <w:t xml:space="preserve"> </w:t>
      </w:r>
      <w:r w:rsidRPr="00A83C94">
        <w:rPr>
          <w:b w:val="0"/>
          <w:szCs w:val="22"/>
          <w:lang w:val="en-US" w:eastAsia="en-US"/>
        </w:rPr>
        <w:t>վերապահված՝</w:t>
      </w:r>
      <w:r w:rsidRPr="00A83C94">
        <w:rPr>
          <w:b w:val="0"/>
          <w:szCs w:val="22"/>
          <w:lang w:val="af-ZA" w:eastAsia="en-US"/>
        </w:rPr>
        <w:t xml:space="preserve"> </w:t>
      </w:r>
      <w:r w:rsidRPr="00A83C94">
        <w:rPr>
          <w:b w:val="0"/>
          <w:szCs w:val="22"/>
          <w:lang w:val="en-US" w:eastAsia="en-US"/>
        </w:rPr>
        <w:t>ենթադրյալ</w:t>
      </w:r>
      <w:r w:rsidRPr="00A83C94">
        <w:rPr>
          <w:b w:val="0"/>
          <w:szCs w:val="22"/>
          <w:lang w:val="af-ZA" w:eastAsia="en-US"/>
        </w:rPr>
        <w:t xml:space="preserve"> </w:t>
      </w:r>
      <w:r w:rsidRPr="00A83C94">
        <w:rPr>
          <w:b w:val="0"/>
          <w:szCs w:val="22"/>
          <w:lang w:val="en-US" w:eastAsia="en-US"/>
        </w:rPr>
        <w:t>հանցագործությունների</w:t>
      </w:r>
      <w:r w:rsidRPr="00A83C94">
        <w:rPr>
          <w:b w:val="0"/>
          <w:szCs w:val="22"/>
          <w:lang w:val="af-ZA" w:eastAsia="en-US"/>
        </w:rPr>
        <w:t xml:space="preserve"> </w:t>
      </w:r>
      <w:r w:rsidRPr="00A83C94">
        <w:rPr>
          <w:b w:val="0"/>
          <w:szCs w:val="22"/>
          <w:lang w:val="en-US" w:eastAsia="en-US"/>
        </w:rPr>
        <w:t>կապակցությամբ</w:t>
      </w:r>
      <w:r w:rsidRPr="00A83C94">
        <w:rPr>
          <w:b w:val="0"/>
          <w:szCs w:val="22"/>
          <w:lang w:val="af-ZA" w:eastAsia="en-US"/>
        </w:rPr>
        <w:t xml:space="preserve"> </w:t>
      </w:r>
      <w:r w:rsidRPr="00A83C94">
        <w:rPr>
          <w:b w:val="0"/>
          <w:szCs w:val="22"/>
          <w:lang w:val="en-US" w:eastAsia="en-US"/>
        </w:rPr>
        <w:t>նախաքննության</w:t>
      </w:r>
      <w:r w:rsidRPr="00A83C94">
        <w:rPr>
          <w:b w:val="0"/>
          <w:szCs w:val="22"/>
          <w:lang w:val="af-ZA" w:eastAsia="en-US"/>
        </w:rPr>
        <w:t xml:space="preserve"> </w:t>
      </w:r>
      <w:r w:rsidRPr="00A83C94">
        <w:rPr>
          <w:b w:val="0"/>
          <w:szCs w:val="22"/>
          <w:lang w:val="en-US" w:eastAsia="en-US"/>
        </w:rPr>
        <w:t>կազմակերպումը</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իրականացումը</w:t>
      </w:r>
      <w:r w:rsidRPr="00A83C94">
        <w:rPr>
          <w:b w:val="0"/>
          <w:szCs w:val="22"/>
          <w:lang w:val="af-ZA" w:eastAsia="en-US"/>
        </w:rPr>
        <w:t>.</w:t>
      </w:r>
    </w:p>
    <w:p w14:paraId="22FE924E"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2. </w:t>
      </w:r>
      <w:r w:rsidRPr="00A83C94">
        <w:rPr>
          <w:b w:val="0"/>
          <w:szCs w:val="22"/>
          <w:lang w:val="en-US" w:eastAsia="en-US"/>
        </w:rPr>
        <w:t>ապահովել</w:t>
      </w:r>
      <w:r w:rsidRPr="00A83C94">
        <w:rPr>
          <w:b w:val="0"/>
          <w:szCs w:val="22"/>
          <w:lang w:val="af-ZA" w:eastAsia="en-US"/>
        </w:rPr>
        <w:t xml:space="preserve"> </w:t>
      </w:r>
      <w:r w:rsidRPr="00A83C94">
        <w:rPr>
          <w:b w:val="0"/>
          <w:szCs w:val="22"/>
          <w:lang w:val="en-US" w:eastAsia="en-US"/>
        </w:rPr>
        <w:t>առերևույթ</w:t>
      </w:r>
      <w:r w:rsidRPr="00A83C94">
        <w:rPr>
          <w:b w:val="0"/>
          <w:szCs w:val="22"/>
          <w:lang w:val="af-ZA" w:eastAsia="en-US"/>
        </w:rPr>
        <w:t xml:space="preserve"> </w:t>
      </w:r>
      <w:r w:rsidRPr="00A83C94">
        <w:rPr>
          <w:b w:val="0"/>
          <w:szCs w:val="22"/>
          <w:lang w:val="en-US" w:eastAsia="en-US"/>
        </w:rPr>
        <w:t>հանցանք</w:t>
      </w:r>
      <w:r w:rsidRPr="00A83C94">
        <w:rPr>
          <w:b w:val="0"/>
          <w:szCs w:val="22"/>
          <w:lang w:val="af-ZA" w:eastAsia="en-US"/>
        </w:rPr>
        <w:t xml:space="preserve"> </w:t>
      </w:r>
      <w:r w:rsidRPr="00A83C94">
        <w:rPr>
          <w:b w:val="0"/>
          <w:szCs w:val="22"/>
          <w:lang w:val="en-US" w:eastAsia="en-US"/>
        </w:rPr>
        <w:t>կատարած</w:t>
      </w:r>
      <w:r w:rsidRPr="00A83C94">
        <w:rPr>
          <w:b w:val="0"/>
          <w:szCs w:val="22"/>
          <w:lang w:val="af-ZA" w:eastAsia="en-US"/>
        </w:rPr>
        <w:t xml:space="preserve"> </w:t>
      </w:r>
      <w:r w:rsidRPr="00A83C94">
        <w:rPr>
          <w:b w:val="0"/>
          <w:szCs w:val="22"/>
          <w:lang w:val="en-US" w:eastAsia="en-US"/>
        </w:rPr>
        <w:t>յուրաքանչյուր</w:t>
      </w:r>
      <w:r w:rsidRPr="00A83C94">
        <w:rPr>
          <w:b w:val="0"/>
          <w:szCs w:val="22"/>
          <w:lang w:val="af-ZA" w:eastAsia="en-US"/>
        </w:rPr>
        <w:t xml:space="preserve"> </w:t>
      </w:r>
      <w:r w:rsidRPr="00A83C94">
        <w:rPr>
          <w:b w:val="0"/>
          <w:szCs w:val="22"/>
          <w:lang w:val="en-US" w:eastAsia="en-US"/>
        </w:rPr>
        <w:t>անձի</w:t>
      </w:r>
      <w:r w:rsidRPr="00A83C94">
        <w:rPr>
          <w:b w:val="0"/>
          <w:szCs w:val="22"/>
          <w:lang w:val="af-ZA" w:eastAsia="en-US"/>
        </w:rPr>
        <w:t xml:space="preserve"> </w:t>
      </w:r>
      <w:r w:rsidRPr="00A83C94">
        <w:rPr>
          <w:b w:val="0"/>
          <w:szCs w:val="22"/>
          <w:lang w:val="en-US" w:eastAsia="en-US"/>
        </w:rPr>
        <w:t>նկատմամբ</w:t>
      </w:r>
      <w:r w:rsidRPr="00A83C94">
        <w:rPr>
          <w:b w:val="0"/>
          <w:szCs w:val="22"/>
          <w:lang w:val="af-ZA" w:eastAsia="en-US"/>
        </w:rPr>
        <w:t xml:space="preserve"> </w:t>
      </w:r>
      <w:r w:rsidRPr="00A83C94">
        <w:rPr>
          <w:b w:val="0"/>
          <w:szCs w:val="22"/>
          <w:lang w:val="en-US" w:eastAsia="en-US"/>
        </w:rPr>
        <w:t>օրենքով</w:t>
      </w:r>
      <w:r w:rsidRPr="00A83C94">
        <w:rPr>
          <w:b w:val="0"/>
          <w:szCs w:val="22"/>
          <w:lang w:val="af-ZA" w:eastAsia="en-US"/>
        </w:rPr>
        <w:t xml:space="preserve"> </w:t>
      </w:r>
      <w:r w:rsidRPr="00A83C94">
        <w:rPr>
          <w:b w:val="0"/>
          <w:szCs w:val="22"/>
          <w:lang w:val="en-US" w:eastAsia="en-US"/>
        </w:rPr>
        <w:t>սահմանված</w:t>
      </w:r>
      <w:r w:rsidRPr="00A83C94">
        <w:rPr>
          <w:b w:val="0"/>
          <w:szCs w:val="22"/>
          <w:lang w:val="af-ZA" w:eastAsia="en-US"/>
        </w:rPr>
        <w:t xml:space="preserve"> </w:t>
      </w:r>
      <w:r w:rsidRPr="00A83C94">
        <w:rPr>
          <w:b w:val="0"/>
          <w:szCs w:val="22"/>
          <w:lang w:val="en-US" w:eastAsia="en-US"/>
        </w:rPr>
        <w:t>դեպքերում</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կարգով</w:t>
      </w:r>
      <w:r w:rsidRPr="00A83C94">
        <w:rPr>
          <w:b w:val="0"/>
          <w:szCs w:val="22"/>
          <w:lang w:val="af-ZA" w:eastAsia="en-US"/>
        </w:rPr>
        <w:t xml:space="preserve"> </w:t>
      </w:r>
      <w:r w:rsidRPr="00A83C94">
        <w:rPr>
          <w:b w:val="0"/>
          <w:szCs w:val="22"/>
          <w:lang w:val="en-US" w:eastAsia="en-US"/>
        </w:rPr>
        <w:t>քրեական</w:t>
      </w:r>
      <w:r w:rsidRPr="00A83C94">
        <w:rPr>
          <w:b w:val="0"/>
          <w:szCs w:val="22"/>
          <w:lang w:val="af-ZA" w:eastAsia="en-US"/>
        </w:rPr>
        <w:t xml:space="preserve"> </w:t>
      </w:r>
      <w:r w:rsidRPr="00A83C94">
        <w:rPr>
          <w:b w:val="0"/>
          <w:szCs w:val="22"/>
          <w:lang w:val="en-US" w:eastAsia="en-US"/>
        </w:rPr>
        <w:t>հետապնդման</w:t>
      </w:r>
      <w:r w:rsidRPr="00A83C94">
        <w:rPr>
          <w:b w:val="0"/>
          <w:szCs w:val="22"/>
          <w:lang w:val="af-ZA" w:eastAsia="en-US"/>
        </w:rPr>
        <w:t xml:space="preserve"> </w:t>
      </w:r>
      <w:r w:rsidRPr="00A83C94">
        <w:rPr>
          <w:b w:val="0"/>
          <w:szCs w:val="22"/>
          <w:lang w:val="en-US" w:eastAsia="en-US"/>
        </w:rPr>
        <w:t>հարուցումը</w:t>
      </w:r>
      <w:r w:rsidRPr="00A83C94">
        <w:rPr>
          <w:b w:val="0"/>
          <w:szCs w:val="22"/>
          <w:lang w:val="af-ZA" w:eastAsia="en-US"/>
        </w:rPr>
        <w:t>.</w:t>
      </w:r>
    </w:p>
    <w:p w14:paraId="1B3F874A"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3. </w:t>
      </w:r>
      <w:r w:rsidRPr="00A83C94">
        <w:rPr>
          <w:b w:val="0"/>
          <w:szCs w:val="22"/>
          <w:lang w:val="en-US" w:eastAsia="en-US"/>
        </w:rPr>
        <w:t>միջոցներ</w:t>
      </w:r>
      <w:r w:rsidRPr="00A83C94">
        <w:rPr>
          <w:b w:val="0"/>
          <w:szCs w:val="22"/>
          <w:lang w:val="af-ZA" w:eastAsia="en-US"/>
        </w:rPr>
        <w:t xml:space="preserve"> </w:t>
      </w:r>
      <w:r w:rsidRPr="00A83C94">
        <w:rPr>
          <w:b w:val="0"/>
          <w:szCs w:val="22"/>
          <w:lang w:val="en-US" w:eastAsia="en-US"/>
        </w:rPr>
        <w:t>ձեռնարկել</w:t>
      </w:r>
      <w:r w:rsidRPr="00A83C94">
        <w:rPr>
          <w:b w:val="0"/>
          <w:szCs w:val="22"/>
          <w:lang w:val="af-ZA" w:eastAsia="en-US"/>
        </w:rPr>
        <w:t xml:space="preserve"> </w:t>
      </w:r>
      <w:r w:rsidRPr="00A83C94">
        <w:rPr>
          <w:b w:val="0"/>
          <w:szCs w:val="22"/>
          <w:lang w:val="en-US" w:eastAsia="en-US"/>
        </w:rPr>
        <w:t>նախաքննության</w:t>
      </w:r>
      <w:r w:rsidRPr="00A83C94">
        <w:rPr>
          <w:b w:val="0"/>
          <w:szCs w:val="22"/>
          <w:lang w:val="af-ZA" w:eastAsia="en-US"/>
        </w:rPr>
        <w:t xml:space="preserve"> </w:t>
      </w:r>
      <w:r w:rsidRPr="00A83C94">
        <w:rPr>
          <w:b w:val="0"/>
          <w:szCs w:val="22"/>
          <w:lang w:val="en-US" w:eastAsia="en-US"/>
        </w:rPr>
        <w:t>ժամկետների</w:t>
      </w:r>
      <w:r w:rsidRPr="00A83C94">
        <w:rPr>
          <w:b w:val="0"/>
          <w:szCs w:val="22"/>
          <w:lang w:val="af-ZA" w:eastAsia="en-US"/>
        </w:rPr>
        <w:t xml:space="preserve"> </w:t>
      </w:r>
      <w:r w:rsidRPr="00A83C94">
        <w:rPr>
          <w:b w:val="0"/>
          <w:szCs w:val="22"/>
          <w:lang w:val="en-US" w:eastAsia="en-US"/>
        </w:rPr>
        <w:t>անհարկի</w:t>
      </w:r>
      <w:r w:rsidRPr="00A83C94">
        <w:rPr>
          <w:b w:val="0"/>
          <w:szCs w:val="22"/>
          <w:lang w:val="af-ZA" w:eastAsia="en-US"/>
        </w:rPr>
        <w:t xml:space="preserve"> </w:t>
      </w:r>
      <w:r w:rsidRPr="00A83C94">
        <w:rPr>
          <w:b w:val="0"/>
          <w:szCs w:val="22"/>
          <w:lang w:val="en-US" w:eastAsia="en-US"/>
        </w:rPr>
        <w:t>ձգձգումները</w:t>
      </w:r>
      <w:r w:rsidRPr="00A83C94">
        <w:rPr>
          <w:b w:val="0"/>
          <w:szCs w:val="22"/>
          <w:lang w:val="af-ZA" w:eastAsia="en-US"/>
        </w:rPr>
        <w:t xml:space="preserve"> </w:t>
      </w:r>
      <w:r w:rsidRPr="00A83C94">
        <w:rPr>
          <w:b w:val="0"/>
          <w:szCs w:val="22"/>
          <w:lang w:val="en-US" w:eastAsia="en-US"/>
        </w:rPr>
        <w:t>բացառելու</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w:t>
      </w:r>
    </w:p>
    <w:p w14:paraId="6F35EA43"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4. </w:t>
      </w:r>
      <w:r w:rsidRPr="00A83C94">
        <w:rPr>
          <w:b w:val="0"/>
          <w:szCs w:val="22"/>
          <w:lang w:val="en-US" w:eastAsia="en-US"/>
        </w:rPr>
        <w:t>միջոցներ</w:t>
      </w:r>
      <w:r w:rsidRPr="00A83C94">
        <w:rPr>
          <w:b w:val="0"/>
          <w:szCs w:val="22"/>
          <w:lang w:val="af-ZA" w:eastAsia="en-US"/>
        </w:rPr>
        <w:t xml:space="preserve"> </w:t>
      </w:r>
      <w:r w:rsidRPr="00A83C94">
        <w:rPr>
          <w:b w:val="0"/>
          <w:szCs w:val="22"/>
          <w:lang w:val="en-US" w:eastAsia="en-US"/>
        </w:rPr>
        <w:t>ձեռնարկել</w:t>
      </w:r>
      <w:r w:rsidRPr="00A83C94">
        <w:rPr>
          <w:b w:val="0"/>
          <w:szCs w:val="22"/>
          <w:lang w:val="af-ZA" w:eastAsia="en-US"/>
        </w:rPr>
        <w:t xml:space="preserve"> </w:t>
      </w:r>
      <w:r w:rsidRPr="00A83C94">
        <w:rPr>
          <w:b w:val="0"/>
          <w:szCs w:val="22"/>
          <w:lang w:val="en-US" w:eastAsia="en-US"/>
        </w:rPr>
        <w:t>պետությանը</w:t>
      </w:r>
      <w:r w:rsidRPr="00A83C94">
        <w:rPr>
          <w:b w:val="0"/>
          <w:szCs w:val="22"/>
          <w:lang w:val="af-ZA" w:eastAsia="en-US"/>
        </w:rPr>
        <w:t xml:space="preserve">, </w:t>
      </w:r>
      <w:r w:rsidRPr="00A83C94">
        <w:rPr>
          <w:b w:val="0"/>
          <w:szCs w:val="22"/>
          <w:lang w:val="en-US" w:eastAsia="en-US"/>
        </w:rPr>
        <w:t>ֆիզիկական</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իրավաբանական</w:t>
      </w:r>
      <w:r w:rsidRPr="00A83C94">
        <w:rPr>
          <w:b w:val="0"/>
          <w:szCs w:val="22"/>
          <w:lang w:val="af-ZA" w:eastAsia="en-US"/>
        </w:rPr>
        <w:t xml:space="preserve"> </w:t>
      </w:r>
      <w:r w:rsidRPr="00A83C94">
        <w:rPr>
          <w:b w:val="0"/>
          <w:szCs w:val="22"/>
          <w:lang w:val="en-US" w:eastAsia="en-US"/>
        </w:rPr>
        <w:t>անձանց</w:t>
      </w:r>
      <w:r w:rsidRPr="00A83C94">
        <w:rPr>
          <w:b w:val="0"/>
          <w:szCs w:val="22"/>
          <w:lang w:val="af-ZA" w:eastAsia="en-US"/>
        </w:rPr>
        <w:t xml:space="preserve"> </w:t>
      </w:r>
      <w:r w:rsidRPr="00A83C94">
        <w:rPr>
          <w:b w:val="0"/>
          <w:szCs w:val="22"/>
          <w:lang w:val="en-US" w:eastAsia="en-US"/>
        </w:rPr>
        <w:t>պատճառված</w:t>
      </w:r>
      <w:r w:rsidRPr="00A83C94">
        <w:rPr>
          <w:b w:val="0"/>
          <w:szCs w:val="22"/>
          <w:lang w:val="af-ZA" w:eastAsia="en-US"/>
        </w:rPr>
        <w:t xml:space="preserve"> </w:t>
      </w:r>
      <w:r w:rsidRPr="00A83C94">
        <w:rPr>
          <w:b w:val="0"/>
          <w:szCs w:val="22"/>
          <w:lang w:val="en-US" w:eastAsia="en-US"/>
        </w:rPr>
        <w:t>վնասի</w:t>
      </w:r>
      <w:r w:rsidRPr="00A83C94">
        <w:rPr>
          <w:b w:val="0"/>
          <w:szCs w:val="22"/>
          <w:lang w:val="af-ZA" w:eastAsia="en-US"/>
        </w:rPr>
        <w:t xml:space="preserve"> </w:t>
      </w:r>
      <w:r w:rsidRPr="00A83C94">
        <w:rPr>
          <w:b w:val="0"/>
          <w:szCs w:val="22"/>
          <w:lang w:val="en-US" w:eastAsia="en-US"/>
        </w:rPr>
        <w:t>վերականգնման</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w:t>
      </w:r>
    </w:p>
    <w:p w14:paraId="0268F804"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քննչական</w:t>
      </w:r>
      <w:r w:rsidRPr="00A83C94">
        <w:rPr>
          <w:b w:val="0"/>
          <w:szCs w:val="22"/>
          <w:lang w:val="af-ZA" w:eastAsia="en-US"/>
        </w:rPr>
        <w:t xml:space="preserve"> </w:t>
      </w:r>
      <w:r w:rsidRPr="00A83C94">
        <w:rPr>
          <w:b w:val="0"/>
          <w:szCs w:val="22"/>
          <w:lang w:val="en-US" w:eastAsia="en-US"/>
        </w:rPr>
        <w:t>կոմիտեի</w:t>
      </w:r>
      <w:r w:rsidRPr="00A83C94">
        <w:rPr>
          <w:b w:val="0"/>
          <w:szCs w:val="22"/>
          <w:lang w:val="af-ZA" w:eastAsia="en-US"/>
        </w:rPr>
        <w:t xml:space="preserve"> </w:t>
      </w:r>
      <w:r w:rsidRPr="00A83C94">
        <w:rPr>
          <w:b w:val="0"/>
          <w:szCs w:val="22"/>
          <w:lang w:val="en-US" w:eastAsia="en-US"/>
        </w:rPr>
        <w:t>նպատակների</w:t>
      </w:r>
      <w:r w:rsidRPr="00A83C94">
        <w:rPr>
          <w:b w:val="0"/>
          <w:szCs w:val="22"/>
          <w:lang w:val="af-ZA" w:eastAsia="en-US"/>
        </w:rPr>
        <w:t xml:space="preserve"> </w:t>
      </w:r>
      <w:r w:rsidRPr="00A83C94">
        <w:rPr>
          <w:b w:val="0"/>
          <w:szCs w:val="22"/>
          <w:lang w:val="en-US" w:eastAsia="en-US"/>
        </w:rPr>
        <w:t>իրականացման</w:t>
      </w:r>
      <w:r w:rsidRPr="00A83C94">
        <w:rPr>
          <w:b w:val="0"/>
          <w:szCs w:val="22"/>
          <w:lang w:val="af-ZA" w:eastAsia="en-US"/>
        </w:rPr>
        <w:t xml:space="preserve"> </w:t>
      </w:r>
      <w:r w:rsidRPr="00A83C94">
        <w:rPr>
          <w:b w:val="0"/>
          <w:szCs w:val="22"/>
          <w:lang w:val="en-US" w:eastAsia="en-US"/>
        </w:rPr>
        <w:t>շրջանակներում</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դեմ</w:t>
      </w:r>
      <w:r w:rsidRPr="00A83C94">
        <w:rPr>
          <w:b w:val="0"/>
          <w:szCs w:val="22"/>
          <w:lang w:val="af-ZA" w:eastAsia="en-US"/>
        </w:rPr>
        <w:t xml:space="preserve"> </w:t>
      </w:r>
      <w:r w:rsidRPr="00A83C94">
        <w:rPr>
          <w:b w:val="0"/>
          <w:szCs w:val="22"/>
          <w:lang w:val="en-US" w:eastAsia="en-US"/>
        </w:rPr>
        <w:t>պայքարի</w:t>
      </w:r>
      <w:r w:rsidRPr="00A83C94">
        <w:rPr>
          <w:b w:val="0"/>
          <w:szCs w:val="22"/>
          <w:lang w:val="af-ZA" w:eastAsia="en-US"/>
        </w:rPr>
        <w:t xml:space="preserve"> </w:t>
      </w:r>
      <w:r w:rsidRPr="00A83C94">
        <w:rPr>
          <w:b w:val="0"/>
          <w:szCs w:val="22"/>
          <w:lang w:val="en-US" w:eastAsia="en-US"/>
        </w:rPr>
        <w:t>ոլորտում</w:t>
      </w:r>
      <w:r w:rsidRPr="00A83C94">
        <w:rPr>
          <w:b w:val="0"/>
          <w:szCs w:val="22"/>
          <w:lang w:val="af-ZA" w:eastAsia="en-US"/>
        </w:rPr>
        <w:t xml:space="preserve"> </w:t>
      </w:r>
      <w:r w:rsidRPr="00A83C94">
        <w:rPr>
          <w:b w:val="0"/>
          <w:szCs w:val="22"/>
          <w:lang w:val="en-US" w:eastAsia="en-US"/>
        </w:rPr>
        <w:t>ակնկալվում</w:t>
      </w:r>
      <w:r w:rsidRPr="00A83C94">
        <w:rPr>
          <w:b w:val="0"/>
          <w:szCs w:val="22"/>
          <w:lang w:val="af-ZA" w:eastAsia="en-US"/>
        </w:rPr>
        <w:t xml:space="preserve"> </w:t>
      </w:r>
      <w:r w:rsidRPr="00A83C94">
        <w:rPr>
          <w:b w:val="0"/>
          <w:szCs w:val="22"/>
          <w:lang w:val="en-US" w:eastAsia="en-US"/>
        </w:rPr>
        <w:t>է</w:t>
      </w:r>
      <w:r w:rsidRPr="00A83C94">
        <w:rPr>
          <w:b w:val="0"/>
          <w:szCs w:val="22"/>
          <w:lang w:val="af-ZA" w:eastAsia="en-US"/>
        </w:rPr>
        <w:t>.</w:t>
      </w:r>
    </w:p>
    <w:p w14:paraId="0FFF65AE"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1. </w:t>
      </w:r>
      <w:r w:rsidRPr="00A83C94">
        <w:rPr>
          <w:b w:val="0"/>
          <w:szCs w:val="22"/>
          <w:lang w:val="en-US" w:eastAsia="en-US"/>
        </w:rPr>
        <w:t>իրականացնել</w:t>
      </w:r>
      <w:r w:rsidRPr="00A83C94">
        <w:rPr>
          <w:b w:val="0"/>
          <w:szCs w:val="22"/>
          <w:lang w:val="af-ZA" w:eastAsia="en-US"/>
        </w:rPr>
        <w:t xml:space="preserve"> </w:t>
      </w:r>
      <w:r w:rsidRPr="00A83C94">
        <w:rPr>
          <w:b w:val="0"/>
          <w:szCs w:val="22"/>
          <w:lang w:val="en-US" w:eastAsia="en-US"/>
        </w:rPr>
        <w:t>քննիչների</w:t>
      </w:r>
      <w:r w:rsidRPr="00A83C94">
        <w:rPr>
          <w:b w:val="0"/>
          <w:szCs w:val="22"/>
          <w:lang w:val="af-ZA" w:eastAsia="en-US"/>
        </w:rPr>
        <w:t xml:space="preserve"> </w:t>
      </w:r>
      <w:r w:rsidRPr="00A83C94">
        <w:rPr>
          <w:b w:val="0"/>
          <w:szCs w:val="22"/>
          <w:lang w:val="en-US" w:eastAsia="en-US"/>
        </w:rPr>
        <w:t>վերապատրաստումներ</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քննության</w:t>
      </w:r>
      <w:r w:rsidRPr="00A83C94">
        <w:rPr>
          <w:b w:val="0"/>
          <w:szCs w:val="22"/>
          <w:lang w:val="af-ZA" w:eastAsia="en-US"/>
        </w:rPr>
        <w:t xml:space="preserve"> </w:t>
      </w:r>
      <w:r w:rsidRPr="00A83C94">
        <w:rPr>
          <w:b w:val="0"/>
          <w:szCs w:val="22"/>
          <w:lang w:val="en-US" w:eastAsia="en-US"/>
        </w:rPr>
        <w:t>առանձնահատկությունների</w:t>
      </w:r>
      <w:r w:rsidRPr="00A83C94">
        <w:rPr>
          <w:b w:val="0"/>
          <w:szCs w:val="22"/>
          <w:lang w:val="af-ZA" w:eastAsia="en-US"/>
        </w:rPr>
        <w:t xml:space="preserve">, </w:t>
      </w:r>
      <w:r w:rsidRPr="00A83C94">
        <w:rPr>
          <w:b w:val="0"/>
          <w:szCs w:val="22"/>
          <w:lang w:val="en-US" w:eastAsia="en-US"/>
        </w:rPr>
        <w:t>բարձր</w:t>
      </w:r>
      <w:r w:rsidRPr="00A83C94">
        <w:rPr>
          <w:b w:val="0"/>
          <w:szCs w:val="22"/>
          <w:lang w:val="af-ZA" w:eastAsia="en-US"/>
        </w:rPr>
        <w:t xml:space="preserve"> </w:t>
      </w:r>
      <w:r w:rsidRPr="00A83C94">
        <w:rPr>
          <w:b w:val="0"/>
          <w:szCs w:val="22"/>
          <w:lang w:val="en-US" w:eastAsia="en-US"/>
        </w:rPr>
        <w:t>տեխնոլոգիաների</w:t>
      </w:r>
      <w:r w:rsidRPr="00A83C94">
        <w:rPr>
          <w:b w:val="0"/>
          <w:szCs w:val="22"/>
          <w:lang w:val="af-ZA" w:eastAsia="en-US"/>
        </w:rPr>
        <w:t xml:space="preserve"> </w:t>
      </w:r>
      <w:r w:rsidRPr="00A83C94">
        <w:rPr>
          <w:b w:val="0"/>
          <w:szCs w:val="22"/>
          <w:lang w:val="en-US" w:eastAsia="en-US"/>
        </w:rPr>
        <w:t>ոլորտում</w:t>
      </w:r>
      <w:r w:rsidRPr="00A83C94">
        <w:rPr>
          <w:b w:val="0"/>
          <w:szCs w:val="22"/>
          <w:lang w:val="af-ZA" w:eastAsia="en-US"/>
        </w:rPr>
        <w:t xml:space="preserve"> </w:t>
      </w:r>
      <w:r w:rsidRPr="00A83C94">
        <w:rPr>
          <w:b w:val="0"/>
          <w:szCs w:val="22"/>
          <w:lang w:val="en-US" w:eastAsia="en-US"/>
        </w:rPr>
        <w:t>հմտությունների</w:t>
      </w:r>
      <w:r w:rsidRPr="00A83C94">
        <w:rPr>
          <w:b w:val="0"/>
          <w:szCs w:val="22"/>
          <w:lang w:val="af-ZA" w:eastAsia="en-US"/>
        </w:rPr>
        <w:t xml:space="preserve"> </w:t>
      </w:r>
      <w:r w:rsidRPr="00A83C94">
        <w:rPr>
          <w:b w:val="0"/>
          <w:szCs w:val="22"/>
          <w:lang w:val="en-US" w:eastAsia="en-US"/>
        </w:rPr>
        <w:t>զարգացման</w:t>
      </w:r>
      <w:r w:rsidRPr="00A83C94">
        <w:rPr>
          <w:b w:val="0"/>
          <w:szCs w:val="22"/>
          <w:lang w:val="af-ZA" w:eastAsia="en-US"/>
        </w:rPr>
        <w:t xml:space="preserve">, </w:t>
      </w:r>
      <w:r w:rsidRPr="00A83C94">
        <w:rPr>
          <w:b w:val="0"/>
          <w:szCs w:val="22"/>
          <w:lang w:val="en-US" w:eastAsia="en-US"/>
        </w:rPr>
        <w:t>տեղեկատվության</w:t>
      </w:r>
      <w:r w:rsidRPr="00A83C94">
        <w:rPr>
          <w:b w:val="0"/>
          <w:szCs w:val="22"/>
          <w:lang w:val="af-ZA" w:eastAsia="en-US"/>
        </w:rPr>
        <w:t xml:space="preserve"> </w:t>
      </w:r>
      <w:r w:rsidRPr="00A83C94">
        <w:rPr>
          <w:b w:val="0"/>
          <w:szCs w:val="22"/>
          <w:lang w:val="en-US" w:eastAsia="en-US"/>
        </w:rPr>
        <w:t>անվտանգության</w:t>
      </w:r>
      <w:r w:rsidRPr="00A83C94">
        <w:rPr>
          <w:b w:val="0"/>
          <w:szCs w:val="22"/>
          <w:lang w:val="af-ZA" w:eastAsia="en-US"/>
        </w:rPr>
        <w:t xml:space="preserve">, </w:t>
      </w:r>
      <w:r w:rsidRPr="00A83C94">
        <w:rPr>
          <w:b w:val="0"/>
          <w:szCs w:val="22"/>
          <w:lang w:val="en-US" w:eastAsia="en-US"/>
        </w:rPr>
        <w:t>համակարգչային</w:t>
      </w:r>
      <w:r w:rsidRPr="00A83C94">
        <w:rPr>
          <w:b w:val="0"/>
          <w:szCs w:val="22"/>
          <w:lang w:val="af-ZA" w:eastAsia="en-US"/>
        </w:rPr>
        <w:t xml:space="preserve"> </w:t>
      </w:r>
      <w:r w:rsidRPr="00A83C94">
        <w:rPr>
          <w:b w:val="0"/>
          <w:szCs w:val="22"/>
          <w:lang w:val="en-US" w:eastAsia="en-US"/>
        </w:rPr>
        <w:t>համակարգերում</w:t>
      </w:r>
      <w:r w:rsidRPr="00A83C94">
        <w:rPr>
          <w:b w:val="0"/>
          <w:szCs w:val="22"/>
          <w:lang w:val="af-ZA" w:eastAsia="en-US"/>
        </w:rPr>
        <w:t xml:space="preserve"> </w:t>
      </w:r>
      <w:r w:rsidRPr="00A83C94">
        <w:rPr>
          <w:b w:val="0"/>
          <w:szCs w:val="22"/>
          <w:lang w:val="en-US" w:eastAsia="en-US"/>
        </w:rPr>
        <w:t>առկա</w:t>
      </w:r>
      <w:r w:rsidRPr="00A83C94">
        <w:rPr>
          <w:b w:val="0"/>
          <w:szCs w:val="22"/>
          <w:lang w:val="af-ZA" w:eastAsia="en-US"/>
        </w:rPr>
        <w:t xml:space="preserve"> </w:t>
      </w:r>
      <w:r w:rsidRPr="00A83C94">
        <w:rPr>
          <w:b w:val="0"/>
          <w:szCs w:val="22"/>
          <w:lang w:val="en-US" w:eastAsia="en-US"/>
        </w:rPr>
        <w:t>տեղեկատվության</w:t>
      </w:r>
      <w:r w:rsidRPr="00A83C94">
        <w:rPr>
          <w:b w:val="0"/>
          <w:szCs w:val="22"/>
          <w:lang w:val="af-ZA" w:eastAsia="en-US"/>
        </w:rPr>
        <w:t xml:space="preserve"> </w:t>
      </w:r>
      <w:r w:rsidRPr="00A83C94">
        <w:rPr>
          <w:b w:val="0"/>
          <w:szCs w:val="22"/>
          <w:lang w:val="en-US" w:eastAsia="en-US"/>
        </w:rPr>
        <w:t>հետազոտման</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 xml:space="preserve">, </w:t>
      </w:r>
      <w:r w:rsidRPr="00A83C94">
        <w:rPr>
          <w:b w:val="0"/>
          <w:szCs w:val="22"/>
          <w:lang w:val="en-US" w:eastAsia="en-US"/>
        </w:rPr>
        <w:t>էլեկտրոնային</w:t>
      </w:r>
      <w:r w:rsidRPr="00A83C94">
        <w:rPr>
          <w:b w:val="0"/>
          <w:szCs w:val="22"/>
          <w:lang w:val="af-ZA" w:eastAsia="en-US"/>
        </w:rPr>
        <w:t xml:space="preserve"> </w:t>
      </w:r>
      <w:r w:rsidRPr="00A83C94">
        <w:rPr>
          <w:b w:val="0"/>
          <w:szCs w:val="22"/>
          <w:lang w:val="en-US" w:eastAsia="en-US"/>
        </w:rPr>
        <w:t>ապացույցների</w:t>
      </w:r>
      <w:r w:rsidRPr="00A83C94">
        <w:rPr>
          <w:b w:val="0"/>
          <w:szCs w:val="22"/>
          <w:lang w:val="af-ZA" w:eastAsia="en-US"/>
        </w:rPr>
        <w:t xml:space="preserve"> </w:t>
      </w:r>
      <w:r w:rsidRPr="00A83C94">
        <w:rPr>
          <w:b w:val="0"/>
          <w:szCs w:val="22"/>
          <w:lang w:val="en-US" w:eastAsia="en-US"/>
        </w:rPr>
        <w:t>ձեռքբերման</w:t>
      </w:r>
      <w:r w:rsidRPr="00A83C94">
        <w:rPr>
          <w:b w:val="0"/>
          <w:szCs w:val="22"/>
          <w:lang w:val="af-ZA" w:eastAsia="en-US"/>
        </w:rPr>
        <w:t xml:space="preserve">, </w:t>
      </w:r>
      <w:r w:rsidRPr="00A83C94">
        <w:rPr>
          <w:b w:val="0"/>
          <w:szCs w:val="22"/>
          <w:lang w:val="en-US" w:eastAsia="en-US"/>
        </w:rPr>
        <w:t>ոլորտի</w:t>
      </w:r>
      <w:r w:rsidRPr="00A83C94">
        <w:rPr>
          <w:b w:val="0"/>
          <w:szCs w:val="22"/>
          <w:lang w:val="af-ZA" w:eastAsia="en-US"/>
        </w:rPr>
        <w:t xml:space="preserve"> </w:t>
      </w:r>
      <w:r w:rsidRPr="00A83C94">
        <w:rPr>
          <w:b w:val="0"/>
          <w:szCs w:val="22"/>
          <w:lang w:val="en-US" w:eastAsia="en-US"/>
        </w:rPr>
        <w:t>միջազգային</w:t>
      </w:r>
      <w:r w:rsidRPr="00A83C94">
        <w:rPr>
          <w:b w:val="0"/>
          <w:szCs w:val="22"/>
          <w:lang w:val="af-ZA" w:eastAsia="en-US"/>
        </w:rPr>
        <w:t xml:space="preserve"> </w:t>
      </w:r>
      <w:r w:rsidRPr="00A83C94">
        <w:rPr>
          <w:b w:val="0"/>
          <w:szCs w:val="22"/>
          <w:lang w:val="en-US" w:eastAsia="en-US"/>
        </w:rPr>
        <w:t>կարգավորումներին</w:t>
      </w:r>
      <w:r w:rsidRPr="00A83C94">
        <w:rPr>
          <w:b w:val="0"/>
          <w:szCs w:val="22"/>
          <w:lang w:val="af-ZA" w:eastAsia="en-US"/>
        </w:rPr>
        <w:t xml:space="preserve">, </w:t>
      </w:r>
      <w:r w:rsidRPr="00A83C94">
        <w:rPr>
          <w:b w:val="0"/>
          <w:szCs w:val="22"/>
          <w:lang w:val="en-US" w:eastAsia="en-US"/>
        </w:rPr>
        <w:t>չափանիշներին</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առաջատար</w:t>
      </w:r>
      <w:r w:rsidRPr="00A83C94">
        <w:rPr>
          <w:b w:val="0"/>
          <w:szCs w:val="22"/>
          <w:lang w:val="af-ZA" w:eastAsia="en-US"/>
        </w:rPr>
        <w:t xml:space="preserve"> </w:t>
      </w:r>
      <w:r w:rsidRPr="00A83C94">
        <w:rPr>
          <w:b w:val="0"/>
          <w:szCs w:val="22"/>
          <w:lang w:val="en-US" w:eastAsia="en-US"/>
        </w:rPr>
        <w:t>փորձին</w:t>
      </w:r>
      <w:r w:rsidRPr="00A83C94">
        <w:rPr>
          <w:b w:val="0"/>
          <w:szCs w:val="22"/>
          <w:lang w:val="af-ZA" w:eastAsia="en-US"/>
        </w:rPr>
        <w:t xml:space="preserve"> </w:t>
      </w:r>
      <w:r w:rsidRPr="00A83C94">
        <w:rPr>
          <w:b w:val="0"/>
          <w:szCs w:val="22"/>
          <w:lang w:val="en-US" w:eastAsia="en-US"/>
        </w:rPr>
        <w:t>ծանոթանալու</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հետաքրքրություն</w:t>
      </w:r>
      <w:r w:rsidRPr="00A83C94">
        <w:rPr>
          <w:b w:val="0"/>
          <w:szCs w:val="22"/>
          <w:lang w:val="af-ZA" w:eastAsia="en-US"/>
        </w:rPr>
        <w:t xml:space="preserve"> </w:t>
      </w:r>
      <w:r w:rsidRPr="00A83C94">
        <w:rPr>
          <w:b w:val="0"/>
          <w:szCs w:val="22"/>
          <w:lang w:val="en-US" w:eastAsia="en-US"/>
        </w:rPr>
        <w:t>ու</w:t>
      </w:r>
      <w:r w:rsidRPr="00A83C94">
        <w:rPr>
          <w:b w:val="0"/>
          <w:szCs w:val="22"/>
          <w:lang w:val="af-ZA" w:eastAsia="en-US"/>
        </w:rPr>
        <w:t xml:space="preserve"> </w:t>
      </w:r>
      <w:r w:rsidRPr="00A83C94">
        <w:rPr>
          <w:b w:val="0"/>
          <w:szCs w:val="22"/>
          <w:lang w:val="en-US" w:eastAsia="en-US"/>
        </w:rPr>
        <w:t>կարևորություն</w:t>
      </w:r>
      <w:r w:rsidRPr="00A83C94">
        <w:rPr>
          <w:b w:val="0"/>
          <w:szCs w:val="22"/>
          <w:lang w:val="af-ZA" w:eastAsia="en-US"/>
        </w:rPr>
        <w:t xml:space="preserve"> </w:t>
      </w:r>
      <w:r w:rsidRPr="00A83C94">
        <w:rPr>
          <w:b w:val="0"/>
          <w:szCs w:val="22"/>
          <w:lang w:val="en-US" w:eastAsia="en-US"/>
        </w:rPr>
        <w:t>ներկայացնող</w:t>
      </w:r>
      <w:r w:rsidRPr="00A83C94">
        <w:rPr>
          <w:b w:val="0"/>
          <w:szCs w:val="22"/>
          <w:lang w:val="af-ZA" w:eastAsia="en-US"/>
        </w:rPr>
        <w:t xml:space="preserve"> </w:t>
      </w:r>
      <w:r w:rsidRPr="00A83C94">
        <w:rPr>
          <w:b w:val="0"/>
          <w:szCs w:val="22"/>
          <w:lang w:val="en-US" w:eastAsia="en-US"/>
        </w:rPr>
        <w:t>այլ</w:t>
      </w:r>
      <w:r w:rsidRPr="00A83C94">
        <w:rPr>
          <w:b w:val="0"/>
          <w:szCs w:val="22"/>
          <w:lang w:val="af-ZA" w:eastAsia="en-US"/>
        </w:rPr>
        <w:t xml:space="preserve"> </w:t>
      </w:r>
      <w:r w:rsidRPr="00A83C94">
        <w:rPr>
          <w:b w:val="0"/>
          <w:szCs w:val="22"/>
          <w:lang w:val="en-US" w:eastAsia="en-US"/>
        </w:rPr>
        <w:t>թեմաներով</w:t>
      </w:r>
      <w:r w:rsidRPr="00A83C94">
        <w:rPr>
          <w:b w:val="0"/>
          <w:szCs w:val="22"/>
          <w:lang w:val="af-ZA" w:eastAsia="en-US"/>
        </w:rPr>
        <w:t>.</w:t>
      </w:r>
    </w:p>
    <w:p w14:paraId="2318C4B8" w14:textId="53EC8ED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2. </w:t>
      </w:r>
      <w:r w:rsidRPr="00A83C94">
        <w:rPr>
          <w:b w:val="0"/>
          <w:szCs w:val="22"/>
          <w:lang w:val="en-US" w:eastAsia="en-US"/>
        </w:rPr>
        <w:t>իրականացնել</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վերաբերյալ</w:t>
      </w:r>
      <w:r w:rsidRPr="00A83C94">
        <w:rPr>
          <w:b w:val="0"/>
          <w:szCs w:val="22"/>
          <w:lang w:val="af-ZA" w:eastAsia="en-US"/>
        </w:rPr>
        <w:t xml:space="preserve"> </w:t>
      </w:r>
      <w:r w:rsidRPr="00A83C94">
        <w:rPr>
          <w:b w:val="0"/>
          <w:szCs w:val="22"/>
          <w:lang w:val="en-US" w:eastAsia="en-US"/>
        </w:rPr>
        <w:t>բոլոր</w:t>
      </w:r>
      <w:r w:rsidRPr="00A83C94">
        <w:rPr>
          <w:b w:val="0"/>
          <w:szCs w:val="22"/>
          <w:lang w:val="af-ZA" w:eastAsia="en-US"/>
        </w:rPr>
        <w:t xml:space="preserve"> </w:t>
      </w:r>
      <w:r w:rsidRPr="00A83C94">
        <w:rPr>
          <w:b w:val="0"/>
          <w:szCs w:val="22"/>
          <w:lang w:val="en-US" w:eastAsia="en-US"/>
        </w:rPr>
        <w:t>քրեական</w:t>
      </w:r>
      <w:r w:rsidRPr="00A83C94">
        <w:rPr>
          <w:b w:val="0"/>
          <w:szCs w:val="22"/>
          <w:lang w:val="af-ZA" w:eastAsia="en-US"/>
        </w:rPr>
        <w:t xml:space="preserve"> </w:t>
      </w:r>
      <w:r w:rsidRPr="00A83C94">
        <w:rPr>
          <w:b w:val="0"/>
          <w:szCs w:val="22"/>
          <w:lang w:val="en-US" w:eastAsia="en-US"/>
        </w:rPr>
        <w:t>գործերի</w:t>
      </w:r>
      <w:r w:rsidRPr="00A83C94">
        <w:rPr>
          <w:b w:val="0"/>
          <w:szCs w:val="22"/>
          <w:lang w:val="af-ZA" w:eastAsia="en-US"/>
        </w:rPr>
        <w:t xml:space="preserve"> </w:t>
      </w:r>
      <w:r w:rsidRPr="00A83C94">
        <w:rPr>
          <w:b w:val="0"/>
          <w:szCs w:val="22"/>
          <w:lang w:val="en-US" w:eastAsia="en-US"/>
        </w:rPr>
        <w:t>հաշվառում</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համակարգում</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քրեագիտական</w:t>
      </w:r>
      <w:r w:rsidRPr="00A83C94">
        <w:rPr>
          <w:b w:val="0"/>
          <w:szCs w:val="22"/>
          <w:lang w:val="af-ZA" w:eastAsia="en-US"/>
        </w:rPr>
        <w:t xml:space="preserve"> </w:t>
      </w:r>
      <w:r w:rsidRPr="00A83C94">
        <w:rPr>
          <w:b w:val="0"/>
          <w:szCs w:val="22"/>
          <w:lang w:val="en-US" w:eastAsia="en-US"/>
        </w:rPr>
        <w:t>շտեմարան</w:t>
      </w:r>
      <w:r w:rsidRPr="00A83C94">
        <w:rPr>
          <w:b w:val="0"/>
          <w:szCs w:val="22"/>
          <w:lang w:val="af-ZA" w:eastAsia="en-US"/>
        </w:rPr>
        <w:t>),</w:t>
      </w:r>
      <w:r w:rsidRPr="00A83C94">
        <w:rPr>
          <w:b w:val="0"/>
          <w:szCs w:val="22"/>
          <w:lang w:val="en-US" w:eastAsia="en-US"/>
        </w:rPr>
        <w:t>որը</w:t>
      </w:r>
      <w:r w:rsidRPr="00A83C94">
        <w:rPr>
          <w:b w:val="0"/>
          <w:szCs w:val="22"/>
          <w:lang w:val="af-ZA" w:eastAsia="en-US"/>
        </w:rPr>
        <w:t xml:space="preserve"> </w:t>
      </w:r>
      <w:r w:rsidRPr="00A83C94">
        <w:rPr>
          <w:b w:val="0"/>
          <w:szCs w:val="22"/>
          <w:lang w:val="en-US" w:eastAsia="en-US"/>
        </w:rPr>
        <w:t>օգտակար</w:t>
      </w:r>
      <w:r w:rsidRPr="00A83C94">
        <w:rPr>
          <w:b w:val="0"/>
          <w:szCs w:val="22"/>
          <w:lang w:val="af-ZA" w:eastAsia="en-US"/>
        </w:rPr>
        <w:t xml:space="preserve"> </w:t>
      </w:r>
      <w:r w:rsidRPr="00A83C94">
        <w:rPr>
          <w:b w:val="0"/>
          <w:szCs w:val="22"/>
          <w:lang w:val="en-US" w:eastAsia="en-US"/>
        </w:rPr>
        <w:t>դերակատարում</w:t>
      </w:r>
      <w:r w:rsidRPr="00A83C94">
        <w:rPr>
          <w:b w:val="0"/>
          <w:szCs w:val="22"/>
          <w:lang w:val="af-ZA" w:eastAsia="en-US"/>
        </w:rPr>
        <w:t xml:space="preserve"> </w:t>
      </w:r>
      <w:r w:rsidRPr="00A83C94">
        <w:rPr>
          <w:b w:val="0"/>
          <w:szCs w:val="22"/>
          <w:lang w:val="en-US" w:eastAsia="en-US"/>
        </w:rPr>
        <w:t>կունենա</w:t>
      </w:r>
      <w:r w:rsidRPr="00A83C94">
        <w:rPr>
          <w:b w:val="0"/>
          <w:szCs w:val="22"/>
          <w:lang w:val="af-ZA" w:eastAsia="en-US"/>
        </w:rPr>
        <w:t xml:space="preserve"> </w:t>
      </w:r>
      <w:r w:rsidRPr="00A83C94">
        <w:rPr>
          <w:b w:val="0"/>
          <w:szCs w:val="22"/>
          <w:lang w:val="en-US" w:eastAsia="en-US"/>
        </w:rPr>
        <w:t>հանցագործությունների</w:t>
      </w:r>
      <w:r w:rsidRPr="00A83C94">
        <w:rPr>
          <w:b w:val="0"/>
          <w:szCs w:val="22"/>
          <w:lang w:val="af-ZA" w:eastAsia="en-US"/>
        </w:rPr>
        <w:t xml:space="preserve"> </w:t>
      </w:r>
      <w:r w:rsidRPr="00A83C94">
        <w:rPr>
          <w:b w:val="0"/>
          <w:szCs w:val="22"/>
          <w:lang w:val="en-US" w:eastAsia="en-US"/>
        </w:rPr>
        <w:t>բացահայտման</w:t>
      </w:r>
      <w:r w:rsidRPr="00A83C94">
        <w:rPr>
          <w:b w:val="0"/>
          <w:szCs w:val="22"/>
          <w:lang w:val="af-ZA" w:eastAsia="en-US"/>
        </w:rPr>
        <w:t xml:space="preserve"> </w:t>
      </w:r>
      <w:r w:rsidRPr="00A83C94">
        <w:rPr>
          <w:b w:val="0"/>
          <w:szCs w:val="22"/>
          <w:lang w:val="en-US" w:eastAsia="en-US"/>
        </w:rPr>
        <w:t>համար</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կգործի</w:t>
      </w:r>
      <w:r w:rsidRPr="00A83C94">
        <w:rPr>
          <w:b w:val="0"/>
          <w:szCs w:val="22"/>
          <w:lang w:val="af-ZA" w:eastAsia="en-US"/>
        </w:rPr>
        <w:t xml:space="preserve"> </w:t>
      </w:r>
      <w:r w:rsidRPr="00A83C94">
        <w:rPr>
          <w:b w:val="0"/>
          <w:szCs w:val="22"/>
          <w:lang w:val="en-US" w:eastAsia="en-US"/>
        </w:rPr>
        <w:t>համապատասխան</w:t>
      </w:r>
      <w:r w:rsidRPr="00A83C94">
        <w:rPr>
          <w:b w:val="0"/>
          <w:szCs w:val="22"/>
          <w:lang w:val="af-ZA" w:eastAsia="en-US"/>
        </w:rPr>
        <w:t xml:space="preserve"> </w:t>
      </w:r>
      <w:r w:rsidRPr="00A83C94">
        <w:rPr>
          <w:b w:val="0"/>
          <w:szCs w:val="22"/>
          <w:lang w:val="en-US" w:eastAsia="en-US"/>
        </w:rPr>
        <w:t>ծրագրային</w:t>
      </w:r>
      <w:r w:rsidRPr="00A83C94">
        <w:rPr>
          <w:b w:val="0"/>
          <w:szCs w:val="22"/>
          <w:lang w:val="af-ZA" w:eastAsia="en-US"/>
        </w:rPr>
        <w:t xml:space="preserve"> </w:t>
      </w:r>
      <w:r w:rsidRPr="00A83C94">
        <w:rPr>
          <w:b w:val="0"/>
          <w:szCs w:val="22"/>
          <w:lang w:val="en-US" w:eastAsia="en-US"/>
        </w:rPr>
        <w:t>ապահովման</w:t>
      </w:r>
      <w:r w:rsidRPr="00A83C94">
        <w:rPr>
          <w:b w:val="0"/>
          <w:szCs w:val="22"/>
          <w:lang w:val="af-ZA" w:eastAsia="en-US"/>
        </w:rPr>
        <w:t xml:space="preserve"> </w:t>
      </w:r>
      <w:r w:rsidRPr="00A83C94">
        <w:rPr>
          <w:b w:val="0"/>
          <w:szCs w:val="22"/>
          <w:lang w:val="en-US" w:eastAsia="en-US"/>
        </w:rPr>
        <w:t>միջոցով՝</w:t>
      </w:r>
      <w:r w:rsidRPr="00A83C94">
        <w:rPr>
          <w:b w:val="0"/>
          <w:szCs w:val="22"/>
          <w:lang w:val="af-ZA" w:eastAsia="en-US"/>
        </w:rPr>
        <w:t xml:space="preserve"> </w:t>
      </w:r>
      <w:r w:rsidRPr="00A83C94">
        <w:rPr>
          <w:b w:val="0"/>
          <w:szCs w:val="22"/>
          <w:lang w:val="en-US" w:eastAsia="en-US"/>
        </w:rPr>
        <w:t>բացահայտման</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 xml:space="preserve"> </w:t>
      </w:r>
      <w:r w:rsidRPr="00A83C94">
        <w:rPr>
          <w:b w:val="0"/>
          <w:szCs w:val="22"/>
          <w:lang w:val="en-US" w:eastAsia="en-US"/>
        </w:rPr>
        <w:t>աշխատանքներն</w:t>
      </w:r>
      <w:r w:rsidRPr="00A83C94">
        <w:rPr>
          <w:b w:val="0"/>
          <w:szCs w:val="22"/>
          <w:lang w:val="af-ZA" w:eastAsia="en-US"/>
        </w:rPr>
        <w:t xml:space="preserve"> </w:t>
      </w:r>
      <w:r w:rsidRPr="00A83C94">
        <w:rPr>
          <w:b w:val="0"/>
          <w:szCs w:val="22"/>
          <w:lang w:val="en-US" w:eastAsia="en-US"/>
        </w:rPr>
        <w:t>էլ</w:t>
      </w:r>
      <w:r w:rsidRPr="00A83C94">
        <w:rPr>
          <w:b w:val="0"/>
          <w:szCs w:val="22"/>
          <w:lang w:val="af-ZA" w:eastAsia="en-US"/>
        </w:rPr>
        <w:t xml:space="preserve"> </w:t>
      </w:r>
      <w:r w:rsidRPr="00A83C94">
        <w:rPr>
          <w:b w:val="0"/>
          <w:szCs w:val="22"/>
          <w:lang w:val="en-US" w:eastAsia="en-US"/>
        </w:rPr>
        <w:t>ավելի</w:t>
      </w:r>
      <w:r w:rsidRPr="00A83C94">
        <w:rPr>
          <w:b w:val="0"/>
          <w:szCs w:val="22"/>
          <w:lang w:val="af-ZA" w:eastAsia="en-US"/>
        </w:rPr>
        <w:t xml:space="preserve"> </w:t>
      </w:r>
      <w:r w:rsidRPr="00A83C94">
        <w:rPr>
          <w:b w:val="0"/>
          <w:szCs w:val="22"/>
          <w:lang w:val="en-US" w:eastAsia="en-US"/>
        </w:rPr>
        <w:t>արդյունավետ</w:t>
      </w:r>
      <w:r w:rsidRPr="00A83C94">
        <w:rPr>
          <w:b w:val="0"/>
          <w:szCs w:val="22"/>
          <w:lang w:val="af-ZA" w:eastAsia="en-US"/>
        </w:rPr>
        <w:t xml:space="preserve"> </w:t>
      </w:r>
      <w:r w:rsidRPr="00A83C94">
        <w:rPr>
          <w:b w:val="0"/>
          <w:szCs w:val="22"/>
          <w:lang w:val="en-US" w:eastAsia="en-US"/>
        </w:rPr>
        <w:t>ու</w:t>
      </w:r>
      <w:r w:rsidRPr="00A83C94">
        <w:rPr>
          <w:b w:val="0"/>
          <w:szCs w:val="22"/>
          <w:lang w:val="af-ZA" w:eastAsia="en-US"/>
        </w:rPr>
        <w:t xml:space="preserve"> </w:t>
      </w:r>
      <w:r w:rsidRPr="00A83C94">
        <w:rPr>
          <w:b w:val="0"/>
          <w:szCs w:val="22"/>
          <w:lang w:val="en-US" w:eastAsia="en-US"/>
        </w:rPr>
        <w:t>ինստիտուցիոնալ</w:t>
      </w:r>
      <w:r w:rsidRPr="00A83C94">
        <w:rPr>
          <w:b w:val="0"/>
          <w:szCs w:val="22"/>
          <w:lang w:val="af-ZA" w:eastAsia="en-US"/>
        </w:rPr>
        <w:t xml:space="preserve"> </w:t>
      </w:r>
      <w:r w:rsidRPr="00A83C94">
        <w:rPr>
          <w:b w:val="0"/>
          <w:szCs w:val="22"/>
          <w:lang w:val="en-US" w:eastAsia="en-US"/>
        </w:rPr>
        <w:t>առումով</w:t>
      </w:r>
      <w:r w:rsidRPr="00A83C94">
        <w:rPr>
          <w:b w:val="0"/>
          <w:szCs w:val="22"/>
          <w:lang w:val="af-ZA" w:eastAsia="en-US"/>
        </w:rPr>
        <w:t xml:space="preserve"> </w:t>
      </w:r>
      <w:r w:rsidRPr="00A83C94">
        <w:rPr>
          <w:b w:val="0"/>
          <w:szCs w:val="22"/>
          <w:lang w:val="en-US" w:eastAsia="en-US"/>
        </w:rPr>
        <w:t>առավել</w:t>
      </w:r>
      <w:r w:rsidRPr="00A83C94">
        <w:rPr>
          <w:b w:val="0"/>
          <w:szCs w:val="22"/>
          <w:lang w:val="af-ZA" w:eastAsia="en-US"/>
        </w:rPr>
        <w:t xml:space="preserve"> </w:t>
      </w:r>
      <w:r w:rsidRPr="00A83C94">
        <w:rPr>
          <w:b w:val="0"/>
          <w:szCs w:val="22"/>
          <w:lang w:val="en-US" w:eastAsia="en-US"/>
        </w:rPr>
        <w:t>համակարգված</w:t>
      </w:r>
      <w:r w:rsidRPr="00A83C94">
        <w:rPr>
          <w:b w:val="0"/>
          <w:szCs w:val="22"/>
          <w:lang w:val="af-ZA" w:eastAsia="en-US"/>
        </w:rPr>
        <w:t xml:space="preserve"> </w:t>
      </w:r>
      <w:r w:rsidRPr="00A83C94">
        <w:rPr>
          <w:b w:val="0"/>
          <w:szCs w:val="22"/>
          <w:lang w:val="en-US" w:eastAsia="en-US"/>
        </w:rPr>
        <w:t>դարձնելու</w:t>
      </w:r>
      <w:r w:rsidRPr="00A83C94">
        <w:rPr>
          <w:b w:val="0"/>
          <w:szCs w:val="22"/>
          <w:lang w:val="af-ZA" w:eastAsia="en-US"/>
        </w:rPr>
        <w:t xml:space="preserve"> </w:t>
      </w:r>
      <w:r w:rsidRPr="00A83C94">
        <w:rPr>
          <w:b w:val="0"/>
          <w:szCs w:val="22"/>
          <w:lang w:val="en-US" w:eastAsia="en-US"/>
        </w:rPr>
        <w:t>համար</w:t>
      </w:r>
      <w:r w:rsidRPr="00A83C94">
        <w:rPr>
          <w:b w:val="0"/>
          <w:szCs w:val="22"/>
          <w:lang w:val="af-ZA" w:eastAsia="en-US"/>
        </w:rPr>
        <w:t>:</w:t>
      </w:r>
    </w:p>
    <w:p w14:paraId="289CE92C" w14:textId="15DAA207" w:rsidR="002456B8" w:rsidRPr="00A83C94" w:rsidRDefault="002456B8" w:rsidP="002456B8">
      <w:pPr>
        <w:spacing w:before="0" w:line="276" w:lineRule="auto"/>
        <w:contextualSpacing w:val="0"/>
        <w:rPr>
          <w:b w:val="0"/>
          <w:szCs w:val="22"/>
          <w:lang w:val="hy-AM" w:eastAsia="en-US"/>
        </w:rPr>
      </w:pPr>
      <w:r w:rsidRPr="00A83C94">
        <w:rPr>
          <w:b w:val="0"/>
          <w:szCs w:val="22"/>
          <w:lang w:val="hy-AM" w:eastAsia="en-US"/>
        </w:rPr>
        <w:t xml:space="preserve">ՀՀ քննչական կոմիտեն 2022 թվականին իրականացնելու է մեկ ծրագիր՝ ՀՀ քննչական ծառայություններ և հինգ միջոցառում: </w:t>
      </w:r>
    </w:p>
    <w:p w14:paraId="6521C1E1" w14:textId="26A9F40F" w:rsidR="002456B8" w:rsidRPr="00A83C94" w:rsidRDefault="002456B8" w:rsidP="002456B8">
      <w:pPr>
        <w:spacing w:before="0" w:line="276" w:lineRule="auto"/>
        <w:contextualSpacing w:val="0"/>
        <w:rPr>
          <w:b w:val="0"/>
          <w:szCs w:val="22"/>
          <w:lang w:val="hy-AM" w:eastAsia="en-US"/>
        </w:rPr>
      </w:pPr>
      <w:r w:rsidRPr="00A83C94">
        <w:rPr>
          <w:b w:val="0"/>
          <w:szCs w:val="22"/>
          <w:lang w:val="hy-AM" w:eastAsia="en-US"/>
        </w:rPr>
        <w:t>Ծրագրի նպատակն է` ՀՀ քրեական դատավարության օրենսգրքով ՀՀ քննչական կոմիտեի իրավասությանը վերապահված ենթադրյալ հանցագործությունների կապակցությամբ նախաքննության կազմակերպում և իրականացում, ինչպես նաև ՀՀ գլխավոր դատախազի կողմից քննչական այլ մարմինների վարույթից ՀՀ քննչական կոմիտեի վարույթ հանձնված քրեական գործերով նախաքննության իրականացում: Քննված քրեական գործերով հանցագործությունների կատարմանը նպաստող պատճառների ու պայմանների պարզումը և դրանք վերացնելու և կանխելու ուղղված միջոցների ձեռնարկելու նպատակով` համապատասխան մարմիններին միջնորդագրերի ներկայացնելը, հանցագործությունների քննության մեթոդիկայի ուսումնասիրությունը, քննության դրական փորձի ներդրումը քննչական պրակտիկայում, ստացված դիմումների և բողոքների քննարկումն ու լուծումը, ինչը վերջնական արդյունքում ձգտում է՝ քննության որակի, բազմակողմանիության, լրիվության, օբեկտիվության և արդյունավետության ապահովում, մարդու և քաղաքացու իրավունքների, հիմնարար ազատությունների, անձնական անձեռնմխելիության և մյուս իրավունքների պաշտպանության ապահովում, նախաքնության ժամկետների անհարկի ձգձգումների բացառում, պետությանը և քաղաքացիններին պատճառված վնասի վերականգնման ապահովում, ՀՀ միջազգային պայմանագրերով նախատեսված քրեական գործերով իրավական օգնություն ցույց տալու հարցերի լուծում, կոռուպցիոն երևույթների ծագման, դրանց պատճառների և նպաստող պայմանների բացահայտման ու դրանց կանխմանն ուղղված գործուղությունների իրականացում:</w:t>
      </w:r>
    </w:p>
    <w:p w14:paraId="741A433F" w14:textId="77777777" w:rsidR="00DC35CC" w:rsidRPr="00A83C94" w:rsidRDefault="00DC35CC" w:rsidP="00DC35CC">
      <w:pPr>
        <w:spacing w:before="0" w:line="276" w:lineRule="auto"/>
        <w:contextualSpacing w:val="0"/>
        <w:rPr>
          <w:b w:val="0"/>
          <w:szCs w:val="22"/>
          <w:lang w:val="hy-AM" w:eastAsia="en-US"/>
        </w:rPr>
      </w:pPr>
      <w:r w:rsidRPr="00A83C94">
        <w:rPr>
          <w:b w:val="0"/>
          <w:szCs w:val="22"/>
          <w:lang w:val="hy-AM" w:eastAsia="en-US"/>
        </w:rPr>
        <w:t>Ծրագրային վերոնշյալ դրույթներն առավել արդյունավետ իրականացնելուն է միտված աշխատանքային պայմանների բարելավումը: Այդ նպատակով նախատեսվում է սկսել և ավարտին հասցնել Կոմիտեի թվով 2 վարչական շենքերի պայմանների բարելավման աշխատանքները:</w:t>
      </w:r>
    </w:p>
    <w:p w14:paraId="200AC13C" w14:textId="77777777" w:rsidR="00832373" w:rsidRPr="00A83C94" w:rsidRDefault="00832373" w:rsidP="00DC35CC">
      <w:pPr>
        <w:spacing w:before="0" w:line="276" w:lineRule="auto"/>
        <w:contextualSpacing w:val="0"/>
        <w:rPr>
          <w:b w:val="0"/>
          <w:szCs w:val="22"/>
          <w:lang w:val="hy-AM" w:eastAsia="en-US"/>
        </w:rPr>
      </w:pPr>
    </w:p>
    <w:p w14:paraId="2D72EF7E" w14:textId="16A78B0A" w:rsidR="006C76BB" w:rsidRPr="00A83C94" w:rsidRDefault="006C76BB" w:rsidP="00832373">
      <w:pPr>
        <w:keepNext/>
        <w:spacing w:before="0" w:line="276" w:lineRule="auto"/>
        <w:ind w:firstLine="0"/>
        <w:contextualSpacing w:val="0"/>
        <w:jc w:val="center"/>
        <w:outlineLvl w:val="2"/>
        <w:rPr>
          <w:rFonts w:cs="Arial"/>
          <w:sz w:val="24"/>
          <w:lang w:val="hy-AM" w:eastAsia="en-US"/>
        </w:rPr>
      </w:pPr>
      <w:bookmarkStart w:id="299" w:name="_Toc83996391"/>
      <w:r w:rsidRPr="00A83C94">
        <w:rPr>
          <w:rFonts w:cs="Arial"/>
          <w:sz w:val="24"/>
          <w:lang w:val="hy-AM" w:eastAsia="en-US"/>
        </w:rPr>
        <w:t>ՀՀ պետական վերահսկողական ծառայություն</w:t>
      </w:r>
      <w:bookmarkEnd w:id="299"/>
    </w:p>
    <w:p w14:paraId="160A4EA4" w14:textId="7777777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ՀՀ պետական վերահսկողական ծառայությունը (այսուհետ՝ Ծառայություն), համաձայն «Պետական վերահսկողական ծառայության մասին» ՀՀ օրենքի, պետական վերահսկողության ոլորտում գործող վարչապետին ենթակա մարմին է, որն իրականացնում է օրենքով իրեն վերապահված վերահսկողական լիազորություններ: </w:t>
      </w:r>
    </w:p>
    <w:p w14:paraId="2477A9CB" w14:textId="7777777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Ծառայության գործունեության նպատակը Հայաստանի Հանրապետության վարչապետին Հայաստանի Հանրապետության Սահմանադրությամբ և օրենքներով վերապահված վերահսկողական լիազորությունների իրականացումն ապահովելն է: </w:t>
      </w:r>
    </w:p>
    <w:p w14:paraId="1DB99DC6" w14:textId="7777777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2019թ. ընթացքում իրականացվել է շուրջ 90 վերահսկողություն, վերահսկողության ընթացքում ՀՀ վարչապետին է ներկայացվել խախտումների, խնդիրների, դրանց պատճառների և հետևանքների վերաբերյալ թվով 85 վերլուծություն, դրանց վերաբերյալ տեղեկանքներ և զեկույցներ, մշակվել և ներկայացվել են թվով 12 իրավական ակտերի նախագծեր, իսկ դիմումների և բողոքների հիման վրա կատարվող ուսումնասիրությունների թիվը ստացված տեղեկատվության մեջ կազմել է շուրջ 4 տոկոս:</w:t>
      </w:r>
    </w:p>
    <w:p w14:paraId="05043B63" w14:textId="74E6844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 2020թ. ընթացքում Ծառայությունը կատարված ուսումնասիրությունների և մշտադիտարկումների վերաբերյալ ՀՀ վարչապետին է ներկայացրել շուրջ 80 տեղեկանք, վերջիններիս իրականացման արդյունքում իրավապահ մարմիններին է ուղարկվել 30 տեղեկանք, ուսումնասիրությունների և մշտադիտարկումների արդյունքներով պայմանավորված տվյալ ոլորտի արդյունավետության բարձրացման վերաբերյալ ներկայացվել են թվով 30 առաջարկություններ:</w:t>
      </w:r>
    </w:p>
    <w:p w14:paraId="21BB8415" w14:textId="2F591E88"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Ծառայությունն իր գործառույթների իրականացման շրջանակներում 2022 թվականի ընթացքում ապահովելու է ՀՀ վարչապետին ՀՀ Սահմանադրությամբ և օրենքներով վերապահված վերահսկողական լիազորությունների իրականացումը։ </w:t>
      </w:r>
    </w:p>
    <w:p w14:paraId="4A6D7F58" w14:textId="31C6E515"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Վերջնական արդյունքը, որին ձգտում է Ծառայությունը՝ ՀՀ պետական միջոցների կառավարման, ձևավորման և օգտագործման արդյունավետության և օրինականության բարձրացումն է:</w:t>
      </w:r>
    </w:p>
    <w:p w14:paraId="1D71CE00" w14:textId="258A4F8B" w:rsidR="00EA7341" w:rsidRPr="00A83C94" w:rsidRDefault="00EA7341" w:rsidP="00832373">
      <w:pPr>
        <w:keepNext/>
        <w:spacing w:before="0" w:line="276" w:lineRule="auto"/>
        <w:ind w:firstLine="0"/>
        <w:contextualSpacing w:val="0"/>
        <w:jc w:val="center"/>
        <w:outlineLvl w:val="2"/>
        <w:rPr>
          <w:rFonts w:cs="Arial"/>
          <w:sz w:val="24"/>
          <w:lang w:val="hy-AM" w:eastAsia="en-US"/>
        </w:rPr>
      </w:pPr>
      <w:bookmarkStart w:id="300" w:name="_Toc83996392"/>
      <w:r w:rsidRPr="00A83C94">
        <w:rPr>
          <w:rFonts w:cs="Arial"/>
          <w:sz w:val="24"/>
          <w:lang w:val="hy-AM" w:eastAsia="en-US"/>
        </w:rPr>
        <w:t>Հեռուստատեսության և ռադիոյի հանձնաժողով</w:t>
      </w:r>
      <w:bookmarkEnd w:id="300"/>
    </w:p>
    <w:p w14:paraId="00AB8AF4" w14:textId="7160EBD0" w:rsidR="00EA7341" w:rsidRPr="00A83C94" w:rsidRDefault="00EA7341" w:rsidP="006C76BB">
      <w:pPr>
        <w:spacing w:before="0" w:line="276" w:lineRule="auto"/>
        <w:contextualSpacing w:val="0"/>
        <w:rPr>
          <w:b w:val="0"/>
          <w:szCs w:val="22"/>
          <w:lang w:val="hy-AM" w:eastAsia="en-US"/>
        </w:rPr>
      </w:pPr>
      <w:r w:rsidRPr="00A83C94">
        <w:rPr>
          <w:b w:val="0"/>
          <w:szCs w:val="22"/>
          <w:lang w:val="hy-AM" w:eastAsia="en-US"/>
        </w:rPr>
        <w:t xml:space="preserve">Հեռուստատեսության և ռադիոյի հանձնաժողովի 2022 թվականի պետական բյուջեի նախագծով նախատեսված ծախսերն ուղղված են Հանձնաժողովի  </w:t>
      </w:r>
      <w:r w:rsidRPr="00A83C94">
        <w:rPr>
          <w:szCs w:val="22"/>
          <w:lang w:val="hy-AM" w:eastAsia="en-US"/>
        </w:rPr>
        <w:t>Տեսալսողական մեդիայի ոլորտի կանոնակարգում</w:t>
      </w:r>
      <w:r w:rsidRPr="00A83C94">
        <w:rPr>
          <w:b w:val="0"/>
          <w:szCs w:val="22"/>
          <w:lang w:val="hy-AM" w:eastAsia="en-US"/>
        </w:rPr>
        <w:t xml:space="preserve"> ծրագրին, որի նպատակն է հեռարձակվող լրատվության միջոցների ազատության, անկախության և բազմազանության ապահովումը, տեսալսողական ոլորտի վերահսկումը և կարգավորումը, և որն էլ ուղղված է վերջնական արդյունքի՝ հեռարձակվող լրատվության միջոցների ազատության, անկախության և բազմազանության բարձր մակարդակի, մրցակցային հավասար պայմանների, տեսալսողական ոլորտում օրինախախտումների նվազեցման, հեղինակային իրավունքի պահպանության, ոլորտի համաչափ զարգացման ապահովմանը։</w:t>
      </w:r>
    </w:p>
    <w:p w14:paraId="08F511F7" w14:textId="77777777" w:rsidR="00F17A4A" w:rsidRPr="00A83C94" w:rsidRDefault="00F17A4A" w:rsidP="006C76BB">
      <w:pPr>
        <w:spacing w:before="0" w:line="276" w:lineRule="auto"/>
        <w:contextualSpacing w:val="0"/>
        <w:rPr>
          <w:b w:val="0"/>
          <w:szCs w:val="22"/>
          <w:lang w:val="hy-AM" w:eastAsia="en-US"/>
        </w:rPr>
      </w:pPr>
    </w:p>
    <w:p w14:paraId="04EA4ECE" w14:textId="02A83B4F" w:rsidR="00AD03E5" w:rsidRPr="00A83C94" w:rsidRDefault="005A7E7A" w:rsidP="00832373">
      <w:pPr>
        <w:keepNext/>
        <w:spacing w:before="0" w:line="276" w:lineRule="auto"/>
        <w:ind w:firstLine="0"/>
        <w:contextualSpacing w:val="0"/>
        <w:jc w:val="center"/>
        <w:outlineLvl w:val="2"/>
        <w:rPr>
          <w:rFonts w:cs="Arial"/>
          <w:sz w:val="24"/>
          <w:lang w:val="hy-AM" w:eastAsia="en-US"/>
        </w:rPr>
      </w:pPr>
      <w:bookmarkStart w:id="301" w:name="_Toc83996393"/>
      <w:r w:rsidRPr="00A83C94">
        <w:rPr>
          <w:rFonts w:cs="Arial"/>
          <w:sz w:val="24"/>
          <w:lang w:val="hy-AM" w:eastAsia="en-US"/>
        </w:rPr>
        <w:t xml:space="preserve">Հանրային </w:t>
      </w:r>
      <w:r w:rsidR="00C6276C" w:rsidRPr="00A83C94">
        <w:rPr>
          <w:rFonts w:cs="Arial"/>
          <w:sz w:val="24"/>
          <w:lang w:val="hy-AM" w:eastAsia="en-US"/>
        </w:rPr>
        <w:t>հեռարձակողի</w:t>
      </w:r>
      <w:r w:rsidR="00AD03E5" w:rsidRPr="00A83C94">
        <w:rPr>
          <w:rFonts w:cs="Arial"/>
          <w:sz w:val="24"/>
          <w:lang w:val="hy-AM" w:eastAsia="en-US"/>
        </w:rPr>
        <w:t xml:space="preserve"> խորհուրդ</w:t>
      </w:r>
      <w:bookmarkEnd w:id="301"/>
    </w:p>
    <w:p w14:paraId="60011B0F" w14:textId="77777777" w:rsidR="001A2353" w:rsidRPr="00A83C94" w:rsidRDefault="00437B7A" w:rsidP="001A2353">
      <w:pPr>
        <w:numPr>
          <w:ilvl w:val="12"/>
          <w:numId w:val="0"/>
        </w:numPr>
        <w:tabs>
          <w:tab w:val="left" w:pos="851"/>
        </w:tabs>
        <w:spacing w:line="276" w:lineRule="auto"/>
        <w:ind w:left="-142" w:firstLine="540"/>
        <w:rPr>
          <w:b w:val="0"/>
          <w:noProof/>
          <w:color w:val="FF0000"/>
          <w:szCs w:val="22"/>
          <w:lang w:val="af-ZA"/>
        </w:rPr>
      </w:pPr>
      <w:r w:rsidRPr="00A83C94">
        <w:rPr>
          <w:noProof/>
          <w:szCs w:val="22"/>
          <w:lang w:val="hy-AM"/>
        </w:rPr>
        <w:t>Ռադիո</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հեռուստահաղորդումների</w:t>
      </w:r>
      <w:r w:rsidRPr="00A83C94">
        <w:rPr>
          <w:noProof/>
          <w:szCs w:val="22"/>
          <w:lang w:val="af-ZA"/>
        </w:rPr>
        <w:t xml:space="preserve"> </w:t>
      </w:r>
      <w:r w:rsidRPr="00A83C94">
        <w:rPr>
          <w:noProof/>
          <w:szCs w:val="22"/>
          <w:lang w:val="hy-AM"/>
        </w:rPr>
        <w:t>հեռարձակում</w:t>
      </w:r>
      <w:r w:rsidRPr="00A83C94">
        <w:rPr>
          <w:noProof/>
          <w:szCs w:val="22"/>
          <w:lang w:val="af-ZA"/>
        </w:rPr>
        <w:t xml:space="preserve"> </w:t>
      </w:r>
      <w:r w:rsidRPr="00A83C94">
        <w:rPr>
          <w:b w:val="0"/>
          <w:noProof/>
          <w:szCs w:val="22"/>
          <w:lang w:val="hy-AM"/>
        </w:rPr>
        <w:t>ծրագրի 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w:t>
      </w:r>
      <w:r w:rsidRPr="00A83C94">
        <w:rPr>
          <w:b w:val="0"/>
          <w:noProof/>
          <w:szCs w:val="22"/>
          <w:lang w:val="af-ZA"/>
        </w:rPr>
        <w:t xml:space="preserve"> </w:t>
      </w:r>
      <w:r w:rsidRPr="00A83C94">
        <w:rPr>
          <w:b w:val="0"/>
          <w:noProof/>
          <w:szCs w:val="22"/>
          <w:lang w:val="hy-AM"/>
        </w:rPr>
        <w:t>բազմազան</w:t>
      </w:r>
      <w:r w:rsidRPr="00A83C94">
        <w:rPr>
          <w:b w:val="0"/>
          <w:noProof/>
          <w:szCs w:val="22"/>
          <w:lang w:val="af-ZA"/>
        </w:rPr>
        <w:t xml:space="preserve"> </w:t>
      </w:r>
      <w:r w:rsidRPr="00A83C94">
        <w:rPr>
          <w:b w:val="0"/>
          <w:noProof/>
          <w:szCs w:val="22"/>
          <w:lang w:val="hy-AM"/>
        </w:rPr>
        <w:t>տեղեկատվական</w:t>
      </w:r>
      <w:r w:rsidRPr="00A83C94">
        <w:rPr>
          <w:b w:val="0"/>
          <w:noProof/>
          <w:szCs w:val="22"/>
          <w:lang w:val="af-ZA"/>
        </w:rPr>
        <w:t xml:space="preserve">, </w:t>
      </w:r>
      <w:r w:rsidRPr="00A83C94">
        <w:rPr>
          <w:b w:val="0"/>
          <w:noProof/>
          <w:szCs w:val="22"/>
          <w:lang w:val="hy-AM"/>
        </w:rPr>
        <w:t>ճանաչողական</w:t>
      </w:r>
      <w:r w:rsidRPr="00A83C94">
        <w:rPr>
          <w:b w:val="0"/>
          <w:noProof/>
          <w:szCs w:val="22"/>
          <w:lang w:val="af-ZA"/>
        </w:rPr>
        <w:t xml:space="preserve">, </w:t>
      </w:r>
      <w:r w:rsidRPr="00A83C94">
        <w:rPr>
          <w:b w:val="0"/>
          <w:noProof/>
          <w:szCs w:val="22"/>
          <w:lang w:val="hy-AM"/>
        </w:rPr>
        <w:t>կրթական</w:t>
      </w:r>
      <w:r w:rsidRPr="00A83C94">
        <w:rPr>
          <w:b w:val="0"/>
          <w:noProof/>
          <w:szCs w:val="22"/>
          <w:lang w:val="af-ZA"/>
        </w:rPr>
        <w:t xml:space="preserve">, </w:t>
      </w:r>
      <w:r w:rsidRPr="00A83C94">
        <w:rPr>
          <w:b w:val="0"/>
          <w:noProof/>
          <w:szCs w:val="22"/>
          <w:lang w:val="hy-AM"/>
        </w:rPr>
        <w:t>ժամանցային</w:t>
      </w:r>
      <w:r w:rsidRPr="00A83C94">
        <w:rPr>
          <w:b w:val="0"/>
          <w:noProof/>
          <w:szCs w:val="22"/>
          <w:lang w:val="af-ZA"/>
        </w:rPr>
        <w:t xml:space="preserve"> </w:t>
      </w:r>
      <w:r w:rsidRPr="00A83C94">
        <w:rPr>
          <w:b w:val="0"/>
          <w:noProof/>
          <w:szCs w:val="22"/>
          <w:lang w:val="hy-AM"/>
        </w:rPr>
        <w:t>հեռուստատեսային</w:t>
      </w:r>
      <w:r w:rsidR="00F17A4A" w:rsidRPr="00A83C94">
        <w:rPr>
          <w:b w:val="0"/>
          <w:noProof/>
          <w:szCs w:val="22"/>
          <w:lang w:val="hy-AM"/>
        </w:rPr>
        <w:t xml:space="preserve"> </w:t>
      </w:r>
      <w:r w:rsidR="00676164" w:rsidRPr="00A83C94">
        <w:rPr>
          <w:b w:val="0"/>
          <w:noProof/>
          <w:szCs w:val="22"/>
          <w:lang w:val="hy-AM"/>
        </w:rPr>
        <w:t>և ռադիո հաղորդումների արտադրությունը և հեռարձակումը</w:t>
      </w:r>
      <w:r w:rsidR="00676164" w:rsidRPr="00A83C94">
        <w:rPr>
          <w:b w:val="0"/>
          <w:noProof/>
          <w:szCs w:val="22"/>
          <w:lang w:val="af-ZA"/>
        </w:rPr>
        <w:t>:</w:t>
      </w:r>
    </w:p>
    <w:p w14:paraId="657BA716" w14:textId="1CD2FB48" w:rsidR="00437B7A" w:rsidRPr="00A83C94" w:rsidRDefault="001A2353" w:rsidP="007C65A5">
      <w:pPr>
        <w:numPr>
          <w:ilvl w:val="12"/>
          <w:numId w:val="0"/>
        </w:numPr>
        <w:tabs>
          <w:tab w:val="left" w:pos="851"/>
        </w:tabs>
        <w:spacing w:line="276" w:lineRule="auto"/>
        <w:ind w:left="-142" w:firstLine="540"/>
        <w:rPr>
          <w:b w:val="0"/>
          <w:noProof/>
          <w:szCs w:val="22"/>
          <w:lang w:val="af-ZA"/>
        </w:rPr>
      </w:pPr>
      <w:r w:rsidRPr="00A83C94">
        <w:rPr>
          <w:b w:val="0"/>
          <w:color w:val="000000"/>
          <w:szCs w:val="22"/>
          <w:lang w:val="hy-AM" w:eastAsia="en-US"/>
        </w:rPr>
        <w:t xml:space="preserve">ՀՀ 2022 թվականի պետական բյուջեի նախագծով Հանրային հեռարձակողի խորհրդի գծով նախատեսվում է 7,634.7 մլն դրամի ծախսեր </w:t>
      </w:r>
      <w:r w:rsidR="006460D8" w:rsidRPr="00A83C94">
        <w:rPr>
          <w:rFonts w:cs="Calibri"/>
          <w:b w:val="0"/>
          <w:iCs/>
          <w:szCs w:val="22"/>
          <w:lang w:val="hy-AM" w:eastAsia="en-GB"/>
        </w:rPr>
        <w:t>(ներառյալ կառավարման ապարատի պահպանման ծախսերը)</w:t>
      </w:r>
      <w:r w:rsidRPr="00A83C94">
        <w:rPr>
          <w:b w:val="0"/>
          <w:color w:val="000000"/>
          <w:szCs w:val="22"/>
          <w:lang w:val="af-ZA" w:eastAsia="en-US"/>
        </w:rPr>
        <w:t xml:space="preserve">` </w:t>
      </w:r>
      <w:r w:rsidR="00437B7A" w:rsidRPr="00A83C94">
        <w:rPr>
          <w:b w:val="0"/>
          <w:noProof/>
          <w:szCs w:val="22"/>
          <w:lang w:val="hy-AM"/>
        </w:rPr>
        <w:t>ՀՀ</w:t>
      </w:r>
      <w:r w:rsidR="00437B7A" w:rsidRPr="00A83C94">
        <w:rPr>
          <w:b w:val="0"/>
          <w:noProof/>
          <w:szCs w:val="22"/>
          <w:lang w:val="af-ZA"/>
        </w:rPr>
        <w:t xml:space="preserve"> 20</w:t>
      </w:r>
      <w:r w:rsidR="00437B7A" w:rsidRPr="00A83C94">
        <w:rPr>
          <w:b w:val="0"/>
          <w:noProof/>
          <w:szCs w:val="22"/>
          <w:lang w:val="hy-AM"/>
        </w:rPr>
        <w:t>21</w:t>
      </w:r>
      <w:r w:rsidR="00437B7A" w:rsidRPr="00A83C94">
        <w:rPr>
          <w:b w:val="0"/>
          <w:noProof/>
          <w:szCs w:val="22"/>
          <w:lang w:val="af-ZA"/>
        </w:rPr>
        <w:t xml:space="preserve"> </w:t>
      </w:r>
      <w:r w:rsidR="00437B7A" w:rsidRPr="00A83C94">
        <w:rPr>
          <w:b w:val="0"/>
          <w:noProof/>
          <w:szCs w:val="22"/>
          <w:lang w:val="hy-AM"/>
        </w:rPr>
        <w:t>թվականի</w:t>
      </w:r>
      <w:r w:rsidR="00437B7A" w:rsidRPr="00A83C94">
        <w:rPr>
          <w:b w:val="0"/>
          <w:noProof/>
          <w:szCs w:val="22"/>
          <w:lang w:val="af-ZA"/>
        </w:rPr>
        <w:t xml:space="preserve"> </w:t>
      </w:r>
      <w:r w:rsidR="00437B7A" w:rsidRPr="00A83C94">
        <w:rPr>
          <w:b w:val="0"/>
          <w:noProof/>
          <w:szCs w:val="22"/>
          <w:lang w:val="hy-AM"/>
        </w:rPr>
        <w:t>պետական</w:t>
      </w:r>
      <w:r w:rsidR="00437B7A" w:rsidRPr="00A83C94">
        <w:rPr>
          <w:b w:val="0"/>
          <w:noProof/>
          <w:szCs w:val="22"/>
          <w:lang w:val="af-ZA"/>
        </w:rPr>
        <w:t xml:space="preserve"> </w:t>
      </w:r>
      <w:r w:rsidR="00437B7A" w:rsidRPr="00A83C94">
        <w:rPr>
          <w:b w:val="0"/>
          <w:noProof/>
          <w:szCs w:val="22"/>
          <w:lang w:val="hy-AM"/>
        </w:rPr>
        <w:t>բյուջեով</w:t>
      </w:r>
      <w:r w:rsidR="00437B7A" w:rsidRPr="00A83C94">
        <w:rPr>
          <w:b w:val="0"/>
          <w:noProof/>
          <w:szCs w:val="22"/>
          <w:lang w:val="af-ZA"/>
        </w:rPr>
        <w:t xml:space="preserve"> </w:t>
      </w:r>
      <w:r w:rsidR="00437B7A" w:rsidRPr="00A83C94">
        <w:rPr>
          <w:b w:val="0"/>
          <w:noProof/>
          <w:szCs w:val="22"/>
          <w:lang w:val="hy-AM"/>
        </w:rPr>
        <w:t>հաստատված</w:t>
      </w:r>
      <w:r w:rsidR="00437B7A" w:rsidRPr="00A83C94">
        <w:rPr>
          <w:b w:val="0"/>
          <w:noProof/>
          <w:szCs w:val="22"/>
          <w:lang w:val="af-ZA"/>
        </w:rPr>
        <w:t xml:space="preserve"> </w:t>
      </w:r>
      <w:r w:rsidRPr="00A83C94">
        <w:rPr>
          <w:b w:val="0"/>
          <w:noProof/>
          <w:szCs w:val="22"/>
          <w:lang w:val="hy-AM"/>
        </w:rPr>
        <w:t>7</w:t>
      </w:r>
      <w:r w:rsidR="00437B7A" w:rsidRPr="00A83C94">
        <w:rPr>
          <w:b w:val="0"/>
          <w:noProof/>
          <w:szCs w:val="22"/>
          <w:lang w:val="af-ZA"/>
        </w:rPr>
        <w:t>,</w:t>
      </w:r>
      <w:r w:rsidRPr="00A83C94">
        <w:rPr>
          <w:b w:val="0"/>
          <w:noProof/>
          <w:szCs w:val="22"/>
          <w:lang w:val="hy-AM"/>
        </w:rPr>
        <w:t>051</w:t>
      </w:r>
      <w:r w:rsidR="00437B7A" w:rsidRPr="00A83C94">
        <w:rPr>
          <w:b w:val="0"/>
          <w:noProof/>
          <w:szCs w:val="22"/>
          <w:lang w:val="af-ZA"/>
        </w:rPr>
        <w:t>.</w:t>
      </w:r>
      <w:r w:rsidRPr="00A83C94">
        <w:rPr>
          <w:b w:val="0"/>
          <w:noProof/>
          <w:szCs w:val="22"/>
          <w:lang w:val="hy-AM"/>
        </w:rPr>
        <w:t>2</w:t>
      </w:r>
      <w:r w:rsidR="00437B7A" w:rsidRPr="00A83C94">
        <w:rPr>
          <w:b w:val="0"/>
          <w:noProof/>
          <w:szCs w:val="22"/>
          <w:lang w:val="af-ZA"/>
        </w:rPr>
        <w:t xml:space="preserve"> </w:t>
      </w:r>
      <w:r w:rsidR="00437B7A" w:rsidRPr="00A83C94">
        <w:rPr>
          <w:b w:val="0"/>
          <w:noProof/>
          <w:szCs w:val="22"/>
          <w:lang w:val="hy-AM"/>
        </w:rPr>
        <w:t>մլն</w:t>
      </w:r>
      <w:r w:rsidR="00437B7A" w:rsidRPr="00A83C94">
        <w:rPr>
          <w:b w:val="0"/>
          <w:noProof/>
          <w:szCs w:val="22"/>
          <w:lang w:val="af-ZA"/>
        </w:rPr>
        <w:t xml:space="preserve"> </w:t>
      </w:r>
      <w:r w:rsidR="00437B7A" w:rsidRPr="00A83C94">
        <w:rPr>
          <w:b w:val="0"/>
          <w:noProof/>
          <w:szCs w:val="22"/>
          <w:lang w:val="hy-AM"/>
        </w:rPr>
        <w:t>դրամի</w:t>
      </w:r>
      <w:r w:rsidR="00437B7A" w:rsidRPr="00A83C94">
        <w:rPr>
          <w:b w:val="0"/>
          <w:noProof/>
          <w:szCs w:val="22"/>
          <w:lang w:val="af-ZA"/>
        </w:rPr>
        <w:t xml:space="preserve"> </w:t>
      </w:r>
      <w:r w:rsidR="00437B7A" w:rsidRPr="00A83C94">
        <w:rPr>
          <w:b w:val="0"/>
          <w:noProof/>
          <w:szCs w:val="22"/>
          <w:lang w:val="hy-AM"/>
        </w:rPr>
        <w:t>դիմաց</w:t>
      </w:r>
      <w:r w:rsidR="00437B7A" w:rsidRPr="00A83C94">
        <w:rPr>
          <w:b w:val="0"/>
          <w:noProof/>
          <w:szCs w:val="22"/>
          <w:lang w:val="af-ZA"/>
        </w:rPr>
        <w:t xml:space="preserve">: </w:t>
      </w:r>
      <w:r w:rsidR="00437B7A" w:rsidRPr="00A83C94">
        <w:rPr>
          <w:b w:val="0"/>
          <w:noProof/>
          <w:szCs w:val="22"/>
        </w:rPr>
        <w:t>Ծախսերն</w:t>
      </w:r>
      <w:r w:rsidR="00437B7A" w:rsidRPr="00A83C94">
        <w:rPr>
          <w:b w:val="0"/>
          <w:noProof/>
          <w:szCs w:val="22"/>
          <w:lang w:val="af-ZA"/>
        </w:rPr>
        <w:t xml:space="preserve"> </w:t>
      </w:r>
      <w:r w:rsidR="00437B7A" w:rsidRPr="00A83C94">
        <w:rPr>
          <w:b w:val="0"/>
          <w:noProof/>
          <w:szCs w:val="22"/>
        </w:rPr>
        <w:t>աճել</w:t>
      </w:r>
      <w:r w:rsidR="00437B7A" w:rsidRPr="00A83C94">
        <w:rPr>
          <w:b w:val="0"/>
          <w:noProof/>
          <w:szCs w:val="22"/>
          <w:lang w:val="af-ZA"/>
        </w:rPr>
        <w:t xml:space="preserve"> </w:t>
      </w:r>
      <w:r w:rsidR="00437B7A" w:rsidRPr="00A83C94">
        <w:rPr>
          <w:b w:val="0"/>
          <w:noProof/>
          <w:szCs w:val="22"/>
        </w:rPr>
        <w:t>են</w:t>
      </w:r>
      <w:r w:rsidR="00437B7A" w:rsidRPr="00A83C94">
        <w:rPr>
          <w:b w:val="0"/>
          <w:noProof/>
          <w:szCs w:val="22"/>
          <w:lang w:val="af-ZA"/>
        </w:rPr>
        <w:t xml:space="preserve"> 58</w:t>
      </w:r>
      <w:r w:rsidRPr="00A83C94">
        <w:rPr>
          <w:b w:val="0"/>
          <w:noProof/>
          <w:szCs w:val="22"/>
          <w:lang w:val="af-ZA"/>
        </w:rPr>
        <w:t>3</w:t>
      </w:r>
      <w:r w:rsidR="00437B7A" w:rsidRPr="00A83C94">
        <w:rPr>
          <w:b w:val="0"/>
          <w:noProof/>
          <w:szCs w:val="22"/>
          <w:lang w:val="af-ZA"/>
        </w:rPr>
        <w:t>.</w:t>
      </w:r>
      <w:r w:rsidRPr="00A83C94">
        <w:rPr>
          <w:b w:val="0"/>
          <w:noProof/>
          <w:szCs w:val="22"/>
          <w:lang w:val="af-ZA"/>
        </w:rPr>
        <w:t>5</w:t>
      </w:r>
      <w:r w:rsidR="00437B7A" w:rsidRPr="00A83C94">
        <w:rPr>
          <w:b w:val="0"/>
          <w:noProof/>
          <w:szCs w:val="22"/>
          <w:lang w:val="af-ZA"/>
        </w:rPr>
        <w:t xml:space="preserve"> </w:t>
      </w:r>
      <w:r w:rsidR="00437B7A" w:rsidRPr="00A83C94">
        <w:rPr>
          <w:b w:val="0"/>
          <w:noProof/>
          <w:szCs w:val="22"/>
        </w:rPr>
        <w:t>մլն</w:t>
      </w:r>
      <w:r w:rsidR="00437B7A" w:rsidRPr="00A83C94">
        <w:rPr>
          <w:b w:val="0"/>
          <w:noProof/>
          <w:szCs w:val="22"/>
          <w:lang w:val="af-ZA"/>
        </w:rPr>
        <w:t xml:space="preserve"> </w:t>
      </w:r>
      <w:r w:rsidR="00437B7A" w:rsidRPr="00A83C94">
        <w:rPr>
          <w:b w:val="0"/>
          <w:noProof/>
          <w:szCs w:val="22"/>
        </w:rPr>
        <w:t>դրամով</w:t>
      </w:r>
      <w:r w:rsidR="00437B7A" w:rsidRPr="00A83C94">
        <w:rPr>
          <w:b w:val="0"/>
          <w:noProof/>
          <w:szCs w:val="22"/>
          <w:lang w:val="af-ZA"/>
        </w:rPr>
        <w:t xml:space="preserve">, </w:t>
      </w:r>
      <w:r w:rsidR="00437B7A" w:rsidRPr="00A83C94">
        <w:rPr>
          <w:b w:val="0"/>
          <w:noProof/>
          <w:szCs w:val="22"/>
        </w:rPr>
        <w:t>կամ</w:t>
      </w:r>
      <w:r w:rsidR="00437B7A" w:rsidRPr="00A83C94">
        <w:rPr>
          <w:b w:val="0"/>
          <w:noProof/>
          <w:szCs w:val="22"/>
          <w:lang w:val="af-ZA"/>
        </w:rPr>
        <w:t xml:space="preserve"> </w:t>
      </w:r>
      <w:r w:rsidR="002C26F9" w:rsidRPr="00A83C94">
        <w:rPr>
          <w:b w:val="0"/>
          <w:noProof/>
          <w:szCs w:val="22"/>
          <w:lang w:val="af-ZA"/>
        </w:rPr>
        <w:t>8</w:t>
      </w:r>
      <w:r w:rsidR="00437B7A" w:rsidRPr="00A83C94">
        <w:rPr>
          <w:b w:val="0"/>
          <w:noProof/>
          <w:szCs w:val="22"/>
          <w:lang w:val="af-ZA"/>
        </w:rPr>
        <w:t>.</w:t>
      </w:r>
      <w:r w:rsidR="002C26F9" w:rsidRPr="00A83C94">
        <w:rPr>
          <w:b w:val="0"/>
          <w:noProof/>
          <w:szCs w:val="22"/>
          <w:lang w:val="af-ZA"/>
        </w:rPr>
        <w:t>3</w:t>
      </w:r>
      <w:r w:rsidR="00437B7A" w:rsidRPr="00A83C94">
        <w:rPr>
          <w:b w:val="0"/>
          <w:noProof/>
          <w:szCs w:val="22"/>
          <w:lang w:val="af-ZA"/>
        </w:rPr>
        <w:t xml:space="preserve"> </w:t>
      </w:r>
      <w:r w:rsidR="00437B7A" w:rsidRPr="00A83C94">
        <w:rPr>
          <w:b w:val="0"/>
          <w:noProof/>
          <w:szCs w:val="22"/>
        </w:rPr>
        <w:t>տոկոսով</w:t>
      </w:r>
      <w:r w:rsidR="00437B7A" w:rsidRPr="00A83C94">
        <w:rPr>
          <w:b w:val="0"/>
          <w:noProof/>
          <w:szCs w:val="22"/>
          <w:lang w:val="af-ZA"/>
        </w:rPr>
        <w:t xml:space="preserve">, </w:t>
      </w:r>
      <w:r w:rsidR="00437B7A" w:rsidRPr="00A83C94">
        <w:rPr>
          <w:b w:val="0"/>
          <w:noProof/>
          <w:szCs w:val="22"/>
        </w:rPr>
        <w:t>որը</w:t>
      </w:r>
      <w:r w:rsidR="00437B7A" w:rsidRPr="00A83C94">
        <w:rPr>
          <w:b w:val="0"/>
          <w:noProof/>
          <w:szCs w:val="22"/>
          <w:lang w:val="af-ZA"/>
        </w:rPr>
        <w:t xml:space="preserve"> </w:t>
      </w:r>
      <w:r w:rsidR="00437B7A" w:rsidRPr="00A83C94">
        <w:rPr>
          <w:b w:val="0"/>
          <w:noProof/>
          <w:szCs w:val="22"/>
        </w:rPr>
        <w:t>պայմանավորված</w:t>
      </w:r>
      <w:r w:rsidR="00437B7A" w:rsidRPr="00A83C94">
        <w:rPr>
          <w:b w:val="0"/>
          <w:noProof/>
          <w:szCs w:val="22"/>
          <w:lang w:val="af-ZA"/>
        </w:rPr>
        <w:t xml:space="preserve"> </w:t>
      </w:r>
      <w:r w:rsidR="00437B7A" w:rsidRPr="00A83C94">
        <w:rPr>
          <w:b w:val="0"/>
          <w:noProof/>
          <w:szCs w:val="22"/>
        </w:rPr>
        <w:t>է</w:t>
      </w:r>
      <w:r w:rsidR="00437B7A" w:rsidRPr="00A83C94">
        <w:rPr>
          <w:b w:val="0"/>
          <w:noProof/>
          <w:szCs w:val="22"/>
          <w:lang w:val="af-ZA"/>
        </w:rPr>
        <w:t>.</w:t>
      </w:r>
    </w:p>
    <w:p w14:paraId="53C5DA32" w14:textId="77777777" w:rsidR="00437B7A" w:rsidRPr="00A83C94" w:rsidRDefault="00437B7A" w:rsidP="007C65A5">
      <w:pPr>
        <w:numPr>
          <w:ilvl w:val="12"/>
          <w:numId w:val="0"/>
        </w:numPr>
        <w:tabs>
          <w:tab w:val="left" w:pos="851"/>
        </w:tabs>
        <w:spacing w:line="276" w:lineRule="auto"/>
        <w:ind w:left="-142" w:firstLine="540"/>
        <w:rPr>
          <w:b w:val="0"/>
          <w:noProof/>
          <w:szCs w:val="22"/>
          <w:lang w:val="af-ZA"/>
        </w:rPr>
      </w:pPr>
      <w:r w:rsidRPr="00A83C94">
        <w:rPr>
          <w:b w:val="0"/>
          <w:noProof/>
          <w:szCs w:val="22"/>
          <w:lang w:val="af-ZA"/>
        </w:rPr>
        <w:t>- </w:t>
      </w:r>
      <w:r w:rsidRPr="00A83C94">
        <w:rPr>
          <w:b w:val="0"/>
          <w:noProof/>
          <w:szCs w:val="22"/>
        </w:rPr>
        <w:t>Հեռուստատեսային</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640.0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հեռուստաընկերություն</w:t>
      </w:r>
      <w:r w:rsidRPr="00A83C94">
        <w:rPr>
          <w:b w:val="0"/>
          <w:noProof/>
          <w:szCs w:val="22"/>
          <w:lang w:val="af-ZA"/>
        </w:rPr>
        <w:t xml:space="preserve">» </w:t>
      </w:r>
      <w:r w:rsidRPr="00A83C94">
        <w:rPr>
          <w:b w:val="0"/>
          <w:noProof/>
          <w:szCs w:val="22"/>
        </w:rPr>
        <w:t>փակ</w:t>
      </w:r>
      <w:r w:rsidRPr="00A83C94">
        <w:rPr>
          <w:b w:val="0"/>
          <w:noProof/>
          <w:szCs w:val="22"/>
          <w:lang w:val="af-ZA"/>
        </w:rPr>
        <w:t xml:space="preserve"> </w:t>
      </w:r>
      <w:r w:rsidRPr="00A83C94">
        <w:rPr>
          <w:b w:val="0"/>
          <w:noProof/>
          <w:szCs w:val="22"/>
        </w:rPr>
        <w:t>բաժնետիրական</w:t>
      </w:r>
      <w:r w:rsidRPr="00A83C94">
        <w:rPr>
          <w:b w:val="0"/>
          <w:noProof/>
          <w:szCs w:val="22"/>
          <w:lang w:val="af-ZA"/>
        </w:rPr>
        <w:t xml:space="preserve"> </w:t>
      </w:r>
      <w:r w:rsidRPr="00A83C94">
        <w:rPr>
          <w:b w:val="0"/>
          <w:noProof/>
          <w:szCs w:val="22"/>
        </w:rPr>
        <w:t>ընկերության</w:t>
      </w:r>
      <w:r w:rsidRPr="00A83C94">
        <w:rPr>
          <w:b w:val="0"/>
          <w:noProof/>
          <w:szCs w:val="22"/>
          <w:lang w:val="af-ZA"/>
        </w:rPr>
        <w:t xml:space="preserve"> </w:t>
      </w:r>
      <w:r w:rsidRPr="00A83C94">
        <w:rPr>
          <w:b w:val="0"/>
          <w:noProof/>
          <w:szCs w:val="22"/>
        </w:rPr>
        <w:t>մայրաքաղաքային</w:t>
      </w:r>
      <w:r w:rsidRPr="00A83C94">
        <w:rPr>
          <w:b w:val="0"/>
          <w:noProof/>
          <w:szCs w:val="22"/>
          <w:lang w:val="af-ZA"/>
        </w:rPr>
        <w:t xml:space="preserve"> </w:t>
      </w:r>
      <w:r w:rsidRPr="00A83C94">
        <w:rPr>
          <w:b w:val="0"/>
          <w:noProof/>
          <w:szCs w:val="22"/>
        </w:rPr>
        <w:t>սփռման</w:t>
      </w:r>
      <w:r w:rsidRPr="00A83C94">
        <w:rPr>
          <w:b w:val="0"/>
          <w:noProof/>
          <w:szCs w:val="22"/>
          <w:lang w:val="af-ZA"/>
        </w:rPr>
        <w:t xml:space="preserve"> 24-</w:t>
      </w:r>
      <w:r w:rsidRPr="00A83C94">
        <w:rPr>
          <w:b w:val="0"/>
          <w:noProof/>
          <w:szCs w:val="22"/>
        </w:rPr>
        <w:t>ժամյա</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նոր</w:t>
      </w:r>
      <w:r w:rsidRPr="00A83C94">
        <w:rPr>
          <w:b w:val="0"/>
          <w:noProof/>
          <w:szCs w:val="22"/>
          <w:lang w:val="af-ZA"/>
        </w:rPr>
        <w:t xml:space="preserve"> </w:t>
      </w:r>
      <w:r w:rsidRPr="00A83C94">
        <w:rPr>
          <w:b w:val="0"/>
          <w:noProof/>
          <w:szCs w:val="22"/>
        </w:rPr>
        <w:t>հեռուստաալիքի</w:t>
      </w:r>
      <w:r w:rsidRPr="00A83C94">
        <w:rPr>
          <w:b w:val="0"/>
          <w:noProof/>
          <w:szCs w:val="22"/>
          <w:lang w:val="af-ZA"/>
        </w:rPr>
        <w:t xml:space="preserve"> </w:t>
      </w:r>
      <w:r w:rsidRPr="00A83C94">
        <w:rPr>
          <w:b w:val="0"/>
          <w:noProof/>
          <w:szCs w:val="22"/>
        </w:rPr>
        <w:t>գործարկում</w:t>
      </w:r>
      <w:r w:rsidRPr="00A83C94">
        <w:rPr>
          <w:b w:val="0"/>
          <w:noProof/>
          <w:szCs w:val="22"/>
          <w:lang w:val="af-ZA"/>
        </w:rPr>
        <w:t xml:space="preserve">):  </w:t>
      </w:r>
    </w:p>
    <w:p w14:paraId="730D24F0" w14:textId="77777777" w:rsidR="00B62797" w:rsidRPr="00A83C94" w:rsidRDefault="00437B7A" w:rsidP="00553C7A">
      <w:pPr>
        <w:numPr>
          <w:ilvl w:val="12"/>
          <w:numId w:val="0"/>
        </w:numPr>
        <w:tabs>
          <w:tab w:val="left" w:pos="851"/>
        </w:tabs>
        <w:spacing w:line="276" w:lineRule="auto"/>
        <w:ind w:left="-142" w:firstLine="540"/>
        <w:rPr>
          <w:b w:val="0"/>
          <w:noProof/>
          <w:szCs w:val="22"/>
          <w:lang w:val="hy-AM"/>
        </w:rPr>
      </w:pPr>
      <w:r w:rsidRPr="00A83C94">
        <w:rPr>
          <w:b w:val="0"/>
          <w:noProof/>
          <w:szCs w:val="22"/>
        </w:rPr>
        <w:t>Տեղեկատվական</w:t>
      </w:r>
      <w:r w:rsidRPr="00A83C94">
        <w:rPr>
          <w:b w:val="0"/>
          <w:noProof/>
          <w:szCs w:val="22"/>
          <w:lang w:val="af-ZA"/>
        </w:rPr>
        <w:t xml:space="preserve"> </w:t>
      </w:r>
      <w:r w:rsidRPr="00A83C94">
        <w:rPr>
          <w:b w:val="0"/>
          <w:noProof/>
          <w:szCs w:val="22"/>
        </w:rPr>
        <w:t>հոսքերի</w:t>
      </w:r>
      <w:r w:rsidRPr="00A83C94">
        <w:rPr>
          <w:b w:val="0"/>
          <w:noProof/>
          <w:szCs w:val="22"/>
          <w:lang w:val="af-ZA"/>
        </w:rPr>
        <w:t xml:space="preserve"> </w:t>
      </w:r>
      <w:r w:rsidRPr="00A83C94">
        <w:rPr>
          <w:b w:val="0"/>
          <w:noProof/>
          <w:szCs w:val="22"/>
        </w:rPr>
        <w:t>սրընթաց</w:t>
      </w:r>
      <w:r w:rsidRPr="00A83C94">
        <w:rPr>
          <w:b w:val="0"/>
          <w:noProof/>
          <w:szCs w:val="22"/>
          <w:lang w:val="af-ZA"/>
        </w:rPr>
        <w:t xml:space="preserve"> </w:t>
      </w:r>
      <w:r w:rsidRPr="00A83C94">
        <w:rPr>
          <w:b w:val="0"/>
          <w:noProof/>
          <w:szCs w:val="22"/>
        </w:rPr>
        <w:t>զարգացման</w:t>
      </w:r>
      <w:r w:rsidRPr="00A83C94">
        <w:rPr>
          <w:b w:val="0"/>
          <w:noProof/>
          <w:szCs w:val="22"/>
          <w:lang w:val="af-ZA"/>
        </w:rPr>
        <w:t xml:space="preserve"> </w:t>
      </w:r>
      <w:r w:rsidRPr="00A83C94">
        <w:rPr>
          <w:b w:val="0"/>
          <w:noProof/>
          <w:szCs w:val="22"/>
        </w:rPr>
        <w:t>պայմաններում</w:t>
      </w:r>
      <w:r w:rsidRPr="00A83C94">
        <w:rPr>
          <w:b w:val="0"/>
          <w:noProof/>
          <w:szCs w:val="22"/>
          <w:lang w:val="af-ZA"/>
        </w:rPr>
        <w:t xml:space="preserve"> </w:t>
      </w:r>
      <w:r w:rsidRPr="00A83C94">
        <w:rPr>
          <w:b w:val="0"/>
          <w:noProof/>
          <w:szCs w:val="22"/>
        </w:rPr>
        <w:t>Ընկերության</w:t>
      </w:r>
      <w:r w:rsidRPr="00A83C94">
        <w:rPr>
          <w:b w:val="0"/>
          <w:noProof/>
          <w:szCs w:val="22"/>
          <w:lang w:val="af-ZA"/>
        </w:rPr>
        <w:t xml:space="preserve"> </w:t>
      </w:r>
      <w:r w:rsidRPr="00A83C94">
        <w:rPr>
          <w:b w:val="0"/>
          <w:noProof/>
          <w:szCs w:val="22"/>
        </w:rPr>
        <w:t>կողմից</w:t>
      </w:r>
      <w:r w:rsidRPr="00A83C94">
        <w:rPr>
          <w:b w:val="0"/>
          <w:noProof/>
          <w:szCs w:val="22"/>
          <w:lang w:val="af-ZA"/>
        </w:rPr>
        <w:t xml:space="preserve"> </w:t>
      </w:r>
      <w:r w:rsidRPr="00A83C94">
        <w:rPr>
          <w:b w:val="0"/>
          <w:noProof/>
          <w:szCs w:val="22"/>
        </w:rPr>
        <w:t>լրատվության</w:t>
      </w:r>
      <w:r w:rsidRPr="00A83C94">
        <w:rPr>
          <w:b w:val="0"/>
          <w:noProof/>
          <w:szCs w:val="22"/>
          <w:lang w:val="af-ZA"/>
        </w:rPr>
        <w:t xml:space="preserve"> </w:t>
      </w:r>
      <w:r w:rsidRPr="00A83C94">
        <w:rPr>
          <w:b w:val="0"/>
          <w:noProof/>
          <w:szCs w:val="22"/>
        </w:rPr>
        <w:t>մատուցումը</w:t>
      </w:r>
      <w:r w:rsidRPr="00A83C94">
        <w:rPr>
          <w:b w:val="0"/>
          <w:noProof/>
          <w:szCs w:val="22"/>
          <w:lang w:val="af-ZA"/>
        </w:rPr>
        <w:t xml:space="preserve"> </w:t>
      </w:r>
      <w:r w:rsidRPr="00A83C94">
        <w:rPr>
          <w:b w:val="0"/>
          <w:noProof/>
          <w:szCs w:val="22"/>
        </w:rPr>
        <w:t>առանձին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թողարկումների</w:t>
      </w:r>
      <w:r w:rsidRPr="00A83C94">
        <w:rPr>
          <w:b w:val="0"/>
          <w:noProof/>
          <w:szCs w:val="22"/>
          <w:lang w:val="af-ZA"/>
        </w:rPr>
        <w:t xml:space="preserve"> </w:t>
      </w:r>
      <w:r w:rsidRPr="00A83C94">
        <w:rPr>
          <w:b w:val="0"/>
          <w:noProof/>
          <w:szCs w:val="22"/>
        </w:rPr>
        <w:t>տեսքով</w:t>
      </w:r>
      <w:r w:rsidRPr="00A83C94">
        <w:rPr>
          <w:b w:val="0"/>
          <w:noProof/>
          <w:szCs w:val="22"/>
          <w:lang w:val="af-ZA"/>
        </w:rPr>
        <w:t xml:space="preserve"> </w:t>
      </w:r>
      <w:r w:rsidRPr="00A83C94">
        <w:rPr>
          <w:b w:val="0"/>
          <w:noProof/>
          <w:szCs w:val="22"/>
        </w:rPr>
        <w:t>շատ</w:t>
      </w:r>
      <w:r w:rsidRPr="00A83C94">
        <w:rPr>
          <w:b w:val="0"/>
          <w:noProof/>
          <w:szCs w:val="22"/>
          <w:lang w:val="af-ZA"/>
        </w:rPr>
        <w:t xml:space="preserve"> </w:t>
      </w:r>
      <w:r w:rsidRPr="00A83C94">
        <w:rPr>
          <w:b w:val="0"/>
          <w:noProof/>
          <w:szCs w:val="22"/>
        </w:rPr>
        <w:t>հաճախ</w:t>
      </w:r>
      <w:r w:rsidRPr="00A83C94">
        <w:rPr>
          <w:b w:val="0"/>
          <w:noProof/>
          <w:szCs w:val="22"/>
          <w:lang w:val="af-ZA"/>
        </w:rPr>
        <w:t xml:space="preserve"> </w:t>
      </w:r>
      <w:r w:rsidRPr="00A83C94">
        <w:rPr>
          <w:b w:val="0"/>
          <w:noProof/>
          <w:szCs w:val="22"/>
        </w:rPr>
        <w:t>չի</w:t>
      </w:r>
      <w:r w:rsidRPr="00A83C94">
        <w:rPr>
          <w:b w:val="0"/>
          <w:noProof/>
          <w:szCs w:val="22"/>
          <w:lang w:val="af-ZA"/>
        </w:rPr>
        <w:t xml:space="preserve"> </w:t>
      </w:r>
      <w:r w:rsidRPr="00A83C94">
        <w:rPr>
          <w:b w:val="0"/>
          <w:noProof/>
          <w:szCs w:val="22"/>
        </w:rPr>
        <w:t>ապահովում</w:t>
      </w:r>
      <w:r w:rsidRPr="00A83C94">
        <w:rPr>
          <w:b w:val="0"/>
          <w:noProof/>
          <w:szCs w:val="22"/>
          <w:lang w:val="af-ZA"/>
        </w:rPr>
        <w:t xml:space="preserve"> </w:t>
      </w:r>
      <w:r w:rsidRPr="00A83C94">
        <w:rPr>
          <w:b w:val="0"/>
          <w:noProof/>
          <w:szCs w:val="22"/>
        </w:rPr>
        <w:t>լուրերի</w:t>
      </w:r>
      <w:r w:rsidRPr="00A83C94">
        <w:rPr>
          <w:b w:val="0"/>
          <w:noProof/>
          <w:szCs w:val="22"/>
          <w:lang w:val="af-ZA"/>
        </w:rPr>
        <w:t xml:space="preserve"> </w:t>
      </w:r>
      <w:r w:rsidRPr="00A83C94">
        <w:rPr>
          <w:b w:val="0"/>
          <w:noProof/>
          <w:szCs w:val="22"/>
        </w:rPr>
        <w:t>տարածման</w:t>
      </w:r>
      <w:r w:rsidRPr="00A83C94">
        <w:rPr>
          <w:b w:val="0"/>
          <w:noProof/>
          <w:szCs w:val="22"/>
          <w:lang w:val="af-ZA"/>
        </w:rPr>
        <w:t xml:space="preserve"> </w:t>
      </w:r>
      <w:r w:rsidRPr="00A83C94">
        <w:rPr>
          <w:b w:val="0"/>
          <w:noProof/>
          <w:szCs w:val="22"/>
        </w:rPr>
        <w:t>օպերատիվությունը</w:t>
      </w:r>
      <w:r w:rsidRPr="00A83C94">
        <w:rPr>
          <w:b w:val="0"/>
          <w:noProof/>
          <w:szCs w:val="22"/>
          <w:lang w:val="af-ZA"/>
        </w:rPr>
        <w:t xml:space="preserve">, </w:t>
      </w:r>
      <w:r w:rsidRPr="00A83C94">
        <w:rPr>
          <w:b w:val="0"/>
          <w:noProof/>
          <w:szCs w:val="22"/>
        </w:rPr>
        <w:t>քանի</w:t>
      </w:r>
      <w:r w:rsidRPr="00A83C94">
        <w:rPr>
          <w:b w:val="0"/>
          <w:noProof/>
          <w:szCs w:val="22"/>
          <w:lang w:val="af-ZA"/>
        </w:rPr>
        <w:t xml:space="preserve"> </w:t>
      </w:r>
      <w:r w:rsidRPr="00A83C94">
        <w:rPr>
          <w:b w:val="0"/>
          <w:noProof/>
          <w:szCs w:val="22"/>
        </w:rPr>
        <w:t>որ</w:t>
      </w:r>
      <w:r w:rsidRPr="00A83C94">
        <w:rPr>
          <w:b w:val="0"/>
          <w:noProof/>
          <w:szCs w:val="22"/>
          <w:lang w:val="af-ZA"/>
        </w:rPr>
        <w:t xml:space="preserve"> </w:t>
      </w:r>
      <w:r w:rsidRPr="00A83C94">
        <w:rPr>
          <w:b w:val="0"/>
          <w:noProof/>
          <w:szCs w:val="22"/>
        </w:rPr>
        <w:t>տվյալ</w:t>
      </w:r>
      <w:r w:rsidRPr="00A83C94">
        <w:rPr>
          <w:b w:val="0"/>
          <w:noProof/>
          <w:szCs w:val="22"/>
          <w:lang w:val="af-ZA"/>
        </w:rPr>
        <w:t xml:space="preserve"> </w:t>
      </w:r>
      <w:r w:rsidRPr="00A83C94">
        <w:rPr>
          <w:b w:val="0"/>
          <w:noProof/>
          <w:szCs w:val="22"/>
        </w:rPr>
        <w:t>դեպքում</w:t>
      </w:r>
      <w:r w:rsidRPr="00A83C94">
        <w:rPr>
          <w:b w:val="0"/>
          <w:noProof/>
          <w:szCs w:val="22"/>
          <w:lang w:val="af-ZA"/>
        </w:rPr>
        <w:t xml:space="preserve"> </w:t>
      </w:r>
      <w:r w:rsidRPr="00A83C94">
        <w:rPr>
          <w:b w:val="0"/>
          <w:noProof/>
          <w:szCs w:val="22"/>
        </w:rPr>
        <w:t>հեռուստադիտողն</w:t>
      </w:r>
      <w:r w:rsidRPr="00A83C94">
        <w:rPr>
          <w:b w:val="0"/>
          <w:noProof/>
          <w:szCs w:val="22"/>
          <w:lang w:val="af-ZA"/>
        </w:rPr>
        <w:t xml:space="preserve"> </w:t>
      </w:r>
      <w:r w:rsidRPr="00A83C94">
        <w:rPr>
          <w:b w:val="0"/>
          <w:noProof/>
          <w:szCs w:val="22"/>
        </w:rPr>
        <w:t>իր</w:t>
      </w:r>
      <w:r w:rsidRPr="00A83C94">
        <w:rPr>
          <w:b w:val="0"/>
          <w:noProof/>
          <w:szCs w:val="22"/>
          <w:lang w:val="af-ZA"/>
        </w:rPr>
        <w:t xml:space="preserve"> </w:t>
      </w:r>
      <w:r w:rsidRPr="00A83C94">
        <w:rPr>
          <w:b w:val="0"/>
          <w:noProof/>
          <w:szCs w:val="22"/>
        </w:rPr>
        <w:t>պահանջմունքները</w:t>
      </w:r>
      <w:r w:rsidRPr="00A83C94">
        <w:rPr>
          <w:b w:val="0"/>
          <w:noProof/>
          <w:szCs w:val="22"/>
          <w:lang w:val="af-ZA"/>
        </w:rPr>
        <w:t xml:space="preserve"> </w:t>
      </w:r>
      <w:r w:rsidRPr="00A83C94">
        <w:rPr>
          <w:b w:val="0"/>
          <w:noProof/>
          <w:szCs w:val="22"/>
        </w:rPr>
        <w:t>բավարարում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հեռուստաալիքների</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առցանց</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կայքերի</w:t>
      </w:r>
      <w:r w:rsidRPr="00A83C94">
        <w:rPr>
          <w:b w:val="0"/>
          <w:noProof/>
          <w:szCs w:val="22"/>
          <w:lang w:val="af-ZA"/>
        </w:rPr>
        <w:t xml:space="preserve"> </w:t>
      </w:r>
      <w:r w:rsidRPr="00A83C94">
        <w:rPr>
          <w:b w:val="0"/>
          <w:noProof/>
          <w:szCs w:val="22"/>
        </w:rPr>
        <w:t>կողմից</w:t>
      </w:r>
      <w:r w:rsidRPr="00A83C94">
        <w:rPr>
          <w:b w:val="0"/>
          <w:noProof/>
          <w:szCs w:val="22"/>
          <w:lang w:val="af-ZA"/>
        </w:rPr>
        <w:t xml:space="preserve"> </w:t>
      </w:r>
      <w:r w:rsidRPr="00A83C94">
        <w:rPr>
          <w:b w:val="0"/>
          <w:noProof/>
          <w:szCs w:val="22"/>
        </w:rPr>
        <w:t>տարածվող</w:t>
      </w:r>
      <w:r w:rsidRPr="00A83C94">
        <w:rPr>
          <w:b w:val="0"/>
          <w:noProof/>
          <w:szCs w:val="22"/>
          <w:lang w:val="af-ZA"/>
        </w:rPr>
        <w:t xml:space="preserve"> </w:t>
      </w:r>
      <w:r w:rsidRPr="00A83C94">
        <w:rPr>
          <w:b w:val="0"/>
          <w:noProof/>
          <w:szCs w:val="22"/>
        </w:rPr>
        <w:t>շուրջօրյա</w:t>
      </w:r>
      <w:r w:rsidRPr="00A83C94">
        <w:rPr>
          <w:b w:val="0"/>
          <w:noProof/>
          <w:szCs w:val="22"/>
          <w:lang w:val="af-ZA"/>
        </w:rPr>
        <w:t xml:space="preserve"> </w:t>
      </w:r>
      <w:r w:rsidRPr="00A83C94">
        <w:rPr>
          <w:b w:val="0"/>
          <w:noProof/>
          <w:szCs w:val="22"/>
        </w:rPr>
        <w:t>տեղեկատվությամբ։</w:t>
      </w:r>
      <w:r w:rsidRPr="00A83C94">
        <w:rPr>
          <w:b w:val="0"/>
          <w:noProof/>
          <w:szCs w:val="22"/>
          <w:lang w:val="af-ZA"/>
        </w:rPr>
        <w:t xml:space="preserve"> </w:t>
      </w:r>
      <w:r w:rsidRPr="00A83C94">
        <w:rPr>
          <w:b w:val="0"/>
          <w:noProof/>
          <w:szCs w:val="22"/>
        </w:rPr>
        <w:t>Ելնելով</w:t>
      </w:r>
      <w:r w:rsidRPr="00A83C94">
        <w:rPr>
          <w:b w:val="0"/>
          <w:noProof/>
          <w:szCs w:val="22"/>
          <w:lang w:val="af-ZA"/>
        </w:rPr>
        <w:t xml:space="preserve"> </w:t>
      </w:r>
      <w:r w:rsidRPr="00A83C94">
        <w:rPr>
          <w:b w:val="0"/>
          <w:noProof/>
          <w:szCs w:val="22"/>
        </w:rPr>
        <w:t>վերոհիշյալից</w:t>
      </w:r>
      <w:r w:rsidRPr="00A83C94">
        <w:rPr>
          <w:b w:val="0"/>
          <w:noProof/>
          <w:szCs w:val="22"/>
          <w:lang w:val="af-ZA"/>
        </w:rPr>
        <w:t xml:space="preserve">, </w:t>
      </w:r>
      <w:r w:rsidRPr="00A83C94">
        <w:rPr>
          <w:b w:val="0"/>
          <w:noProof/>
          <w:szCs w:val="22"/>
        </w:rPr>
        <w:t>Ընկերության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ծառայության</w:t>
      </w:r>
      <w:r w:rsidRPr="00A83C94">
        <w:rPr>
          <w:b w:val="0"/>
          <w:noProof/>
          <w:szCs w:val="22"/>
          <w:lang w:val="af-ZA"/>
        </w:rPr>
        <w:t xml:space="preserve"> </w:t>
      </w:r>
      <w:r w:rsidRPr="00A83C94">
        <w:rPr>
          <w:b w:val="0"/>
          <w:noProof/>
          <w:szCs w:val="22"/>
        </w:rPr>
        <w:t>հիմքի</w:t>
      </w:r>
      <w:r w:rsidRPr="00A83C94">
        <w:rPr>
          <w:b w:val="0"/>
          <w:noProof/>
          <w:szCs w:val="22"/>
          <w:lang w:val="af-ZA"/>
        </w:rPr>
        <w:t xml:space="preserve"> </w:t>
      </w:r>
      <w:r w:rsidRPr="00A83C94">
        <w:rPr>
          <w:b w:val="0"/>
          <w:noProof/>
          <w:szCs w:val="22"/>
        </w:rPr>
        <w:t>վրա</w:t>
      </w:r>
      <w:r w:rsidRPr="00A83C94">
        <w:rPr>
          <w:b w:val="0"/>
          <w:noProof/>
          <w:szCs w:val="22"/>
          <w:lang w:val="af-ZA"/>
        </w:rPr>
        <w:t xml:space="preserve"> </w:t>
      </w:r>
      <w:r w:rsidRPr="00A83C94">
        <w:rPr>
          <w:b w:val="0"/>
          <w:noProof/>
          <w:szCs w:val="22"/>
        </w:rPr>
        <w:t>ստեղծվել</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առանձին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հեռուստաալիք</w:t>
      </w:r>
      <w:r w:rsidRPr="00A83C94">
        <w:rPr>
          <w:b w:val="0"/>
          <w:noProof/>
          <w:szCs w:val="22"/>
          <w:lang w:val="af-ZA"/>
        </w:rPr>
        <w:t xml:space="preserve">, </w:t>
      </w:r>
      <w:r w:rsidRPr="00A83C94">
        <w:rPr>
          <w:b w:val="0"/>
          <w:noProof/>
          <w:szCs w:val="22"/>
        </w:rPr>
        <w:t>որի</w:t>
      </w:r>
      <w:r w:rsidRPr="00A83C94">
        <w:rPr>
          <w:b w:val="0"/>
          <w:noProof/>
          <w:szCs w:val="22"/>
          <w:lang w:val="af-ZA"/>
        </w:rPr>
        <w:t xml:space="preserve"> </w:t>
      </w:r>
      <w:r w:rsidRPr="00A83C94">
        <w:rPr>
          <w:b w:val="0"/>
          <w:noProof/>
          <w:szCs w:val="22"/>
        </w:rPr>
        <w:t>հիմնական</w:t>
      </w:r>
      <w:r w:rsidRPr="00A83C94">
        <w:rPr>
          <w:b w:val="0"/>
          <w:noProof/>
          <w:szCs w:val="22"/>
          <w:lang w:val="af-ZA"/>
        </w:rPr>
        <w:t xml:space="preserve"> </w:t>
      </w:r>
      <w:r w:rsidRPr="00A83C94">
        <w:rPr>
          <w:b w:val="0"/>
          <w:noProof/>
          <w:szCs w:val="22"/>
        </w:rPr>
        <w:t>նպատակը</w:t>
      </w:r>
      <w:r w:rsidRPr="00A83C94">
        <w:rPr>
          <w:b w:val="0"/>
          <w:noProof/>
          <w:szCs w:val="22"/>
          <w:lang w:val="af-ZA"/>
        </w:rPr>
        <w:t xml:space="preserve"> 24-</w:t>
      </w:r>
      <w:r w:rsidRPr="00A83C94">
        <w:rPr>
          <w:b w:val="0"/>
          <w:noProof/>
          <w:szCs w:val="22"/>
        </w:rPr>
        <w:t>ժամյա</w:t>
      </w:r>
      <w:r w:rsidRPr="00A83C94">
        <w:rPr>
          <w:b w:val="0"/>
          <w:noProof/>
          <w:szCs w:val="22"/>
          <w:lang w:val="af-ZA"/>
        </w:rPr>
        <w:t xml:space="preserve"> </w:t>
      </w:r>
      <w:r w:rsidRPr="00A83C94">
        <w:rPr>
          <w:b w:val="0"/>
          <w:noProof/>
          <w:szCs w:val="22"/>
        </w:rPr>
        <w:t>ռեժիմով</w:t>
      </w:r>
      <w:r w:rsidRPr="00A83C94">
        <w:rPr>
          <w:b w:val="0"/>
          <w:noProof/>
          <w:szCs w:val="22"/>
          <w:lang w:val="af-ZA"/>
        </w:rPr>
        <w:t xml:space="preserve"> </w:t>
      </w:r>
      <w:r w:rsidRPr="00A83C94">
        <w:rPr>
          <w:b w:val="0"/>
          <w:noProof/>
          <w:szCs w:val="22"/>
        </w:rPr>
        <w:t>օպերատիվ</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անաչառ</w:t>
      </w:r>
      <w:r w:rsidRPr="00A83C94">
        <w:rPr>
          <w:b w:val="0"/>
          <w:noProof/>
          <w:szCs w:val="22"/>
          <w:lang w:val="af-ZA"/>
        </w:rPr>
        <w:t xml:space="preserve"> </w:t>
      </w:r>
      <w:r w:rsidRPr="00A83C94">
        <w:rPr>
          <w:b w:val="0"/>
          <w:noProof/>
          <w:szCs w:val="22"/>
        </w:rPr>
        <w:t>լրատվության</w:t>
      </w:r>
      <w:r w:rsidRPr="00A83C94">
        <w:rPr>
          <w:b w:val="0"/>
          <w:noProof/>
          <w:szCs w:val="22"/>
          <w:lang w:val="af-ZA"/>
        </w:rPr>
        <w:t xml:space="preserve"> </w:t>
      </w:r>
      <w:r w:rsidRPr="00A83C94">
        <w:rPr>
          <w:b w:val="0"/>
          <w:noProof/>
          <w:szCs w:val="22"/>
        </w:rPr>
        <w:t>մատուցումն</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ինչը</w:t>
      </w:r>
      <w:r w:rsidRPr="00A83C94">
        <w:rPr>
          <w:b w:val="0"/>
          <w:noProof/>
          <w:szCs w:val="22"/>
          <w:lang w:val="af-ZA"/>
        </w:rPr>
        <w:t xml:space="preserve"> </w:t>
      </w:r>
      <w:r w:rsidRPr="00A83C94">
        <w:rPr>
          <w:b w:val="0"/>
          <w:noProof/>
          <w:szCs w:val="22"/>
        </w:rPr>
        <w:t>միևնույն</w:t>
      </w:r>
      <w:r w:rsidRPr="00A83C94">
        <w:rPr>
          <w:b w:val="0"/>
          <w:noProof/>
          <w:szCs w:val="22"/>
          <w:lang w:val="af-ZA"/>
        </w:rPr>
        <w:t xml:space="preserve"> </w:t>
      </w:r>
      <w:r w:rsidRPr="00A83C94">
        <w:rPr>
          <w:b w:val="0"/>
          <w:noProof/>
          <w:szCs w:val="22"/>
        </w:rPr>
        <w:t>ժամանակ</w:t>
      </w:r>
      <w:r w:rsidRPr="00A83C94">
        <w:rPr>
          <w:b w:val="0"/>
          <w:noProof/>
          <w:szCs w:val="22"/>
          <w:lang w:val="af-ZA"/>
        </w:rPr>
        <w:t xml:space="preserve"> </w:t>
      </w:r>
      <w:r w:rsidRPr="00A83C94">
        <w:rPr>
          <w:b w:val="0"/>
          <w:noProof/>
          <w:szCs w:val="22"/>
        </w:rPr>
        <w:t>ապահովում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հեռուստադիտողի</w:t>
      </w:r>
      <w:r w:rsidRPr="00A83C94">
        <w:rPr>
          <w:b w:val="0"/>
          <w:noProof/>
          <w:szCs w:val="22"/>
          <w:lang w:val="af-ZA"/>
        </w:rPr>
        <w:t xml:space="preserve"> </w:t>
      </w:r>
      <w:r w:rsidRPr="00A83C94">
        <w:rPr>
          <w:b w:val="0"/>
          <w:noProof/>
          <w:szCs w:val="22"/>
        </w:rPr>
        <w:t>շուրջօրյա</w:t>
      </w:r>
      <w:r w:rsidRPr="00A83C94">
        <w:rPr>
          <w:b w:val="0"/>
          <w:noProof/>
          <w:szCs w:val="22"/>
          <w:lang w:val="af-ZA"/>
        </w:rPr>
        <w:t xml:space="preserve"> </w:t>
      </w:r>
      <w:r w:rsidRPr="00A83C94">
        <w:rPr>
          <w:b w:val="0"/>
          <w:noProof/>
          <w:szCs w:val="22"/>
        </w:rPr>
        <w:t>լրատվության</w:t>
      </w:r>
      <w:r w:rsidRPr="00A83C94">
        <w:rPr>
          <w:b w:val="0"/>
          <w:noProof/>
          <w:szCs w:val="22"/>
          <w:lang w:val="af-ZA"/>
        </w:rPr>
        <w:t xml:space="preserve"> </w:t>
      </w:r>
      <w:r w:rsidRPr="00A83C94">
        <w:rPr>
          <w:b w:val="0"/>
          <w:noProof/>
          <w:szCs w:val="22"/>
        </w:rPr>
        <w:t>ստացման</w:t>
      </w:r>
      <w:r w:rsidRPr="00A83C94">
        <w:rPr>
          <w:b w:val="0"/>
          <w:noProof/>
          <w:szCs w:val="22"/>
          <w:lang w:val="af-ZA"/>
        </w:rPr>
        <w:t xml:space="preserve"> </w:t>
      </w:r>
      <w:r w:rsidRPr="00A83C94">
        <w:rPr>
          <w:b w:val="0"/>
          <w:noProof/>
          <w:szCs w:val="22"/>
        </w:rPr>
        <w:t>հիմնարար</w:t>
      </w:r>
      <w:r w:rsidRPr="00A83C94">
        <w:rPr>
          <w:b w:val="0"/>
          <w:noProof/>
          <w:szCs w:val="22"/>
          <w:lang w:val="af-ZA"/>
        </w:rPr>
        <w:t xml:space="preserve"> </w:t>
      </w:r>
      <w:r w:rsidRPr="00A83C94">
        <w:rPr>
          <w:b w:val="0"/>
          <w:noProof/>
          <w:szCs w:val="22"/>
        </w:rPr>
        <w:t>իրավունքները։</w:t>
      </w:r>
      <w:r w:rsidRPr="00A83C94">
        <w:rPr>
          <w:b w:val="0"/>
          <w:noProof/>
          <w:szCs w:val="22"/>
          <w:lang w:val="af-ZA"/>
        </w:rPr>
        <w:t xml:space="preserve"> </w:t>
      </w:r>
      <w:r w:rsidRPr="00A83C94">
        <w:rPr>
          <w:b w:val="0"/>
          <w:noProof/>
          <w:szCs w:val="22"/>
        </w:rPr>
        <w:t>Մասնավորապես</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հեռուստաալիքի</w:t>
      </w:r>
      <w:r w:rsidRPr="00A83C94">
        <w:rPr>
          <w:b w:val="0"/>
          <w:noProof/>
          <w:szCs w:val="22"/>
          <w:lang w:val="af-ZA"/>
        </w:rPr>
        <w:t xml:space="preserve"> </w:t>
      </w:r>
      <w:r w:rsidRPr="00A83C94">
        <w:rPr>
          <w:b w:val="0"/>
          <w:noProof/>
          <w:szCs w:val="22"/>
        </w:rPr>
        <w:t>շուրջօրյա</w:t>
      </w:r>
      <w:r w:rsidRPr="00A83C94">
        <w:rPr>
          <w:b w:val="0"/>
          <w:noProof/>
          <w:szCs w:val="22"/>
          <w:lang w:val="af-ZA"/>
        </w:rPr>
        <w:t xml:space="preserve"> </w:t>
      </w:r>
      <w:r w:rsidRPr="00A83C94">
        <w:rPr>
          <w:b w:val="0"/>
          <w:noProof/>
          <w:szCs w:val="22"/>
        </w:rPr>
        <w:t>եթերում</w:t>
      </w:r>
      <w:r w:rsidRPr="00A83C94">
        <w:rPr>
          <w:b w:val="0"/>
          <w:noProof/>
          <w:szCs w:val="22"/>
          <w:lang w:val="af-ZA"/>
        </w:rPr>
        <w:t xml:space="preserve"> </w:t>
      </w:r>
      <w:r w:rsidRPr="00A83C94">
        <w:rPr>
          <w:b w:val="0"/>
          <w:noProof/>
          <w:szCs w:val="22"/>
        </w:rPr>
        <w:t>ավելացվել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բնույթի</w:t>
      </w:r>
      <w:r w:rsidRPr="00A83C94">
        <w:rPr>
          <w:b w:val="0"/>
          <w:noProof/>
          <w:szCs w:val="22"/>
          <w:lang w:val="af-ZA"/>
        </w:rPr>
        <w:t xml:space="preserve"> </w:t>
      </w:r>
      <w:r w:rsidRPr="00A83C94">
        <w:rPr>
          <w:b w:val="0"/>
          <w:noProof/>
          <w:szCs w:val="22"/>
        </w:rPr>
        <w:t>հաղորդումների</w:t>
      </w:r>
      <w:r w:rsidRPr="00A83C94">
        <w:rPr>
          <w:b w:val="0"/>
          <w:noProof/>
          <w:szCs w:val="22"/>
          <w:lang w:val="af-ZA"/>
        </w:rPr>
        <w:t xml:space="preserve"> </w:t>
      </w:r>
      <w:r w:rsidRPr="00A83C94">
        <w:rPr>
          <w:b w:val="0"/>
          <w:noProof/>
          <w:szCs w:val="22"/>
        </w:rPr>
        <w:t>շրջանակներն</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ծավալները</w:t>
      </w:r>
      <w:r w:rsidRPr="00A83C94">
        <w:rPr>
          <w:b w:val="0"/>
          <w:noProof/>
          <w:szCs w:val="22"/>
          <w:lang w:val="af-ZA"/>
        </w:rPr>
        <w:t xml:space="preserve">, </w:t>
      </w:r>
      <w:r w:rsidRPr="00A83C94">
        <w:rPr>
          <w:b w:val="0"/>
          <w:noProof/>
          <w:szCs w:val="22"/>
        </w:rPr>
        <w:t>հեռարձակվում</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տարբեր</w:t>
      </w:r>
      <w:r w:rsidRPr="00A83C94">
        <w:rPr>
          <w:b w:val="0"/>
          <w:noProof/>
          <w:szCs w:val="22"/>
          <w:lang w:val="af-ZA"/>
        </w:rPr>
        <w:t xml:space="preserve"> </w:t>
      </w:r>
      <w:r w:rsidRPr="00A83C94">
        <w:rPr>
          <w:b w:val="0"/>
          <w:noProof/>
          <w:szCs w:val="22"/>
        </w:rPr>
        <w:t>թեմատիկ</w:t>
      </w:r>
      <w:r w:rsidRPr="00A83C94">
        <w:rPr>
          <w:b w:val="0"/>
          <w:noProof/>
          <w:szCs w:val="22"/>
          <w:lang w:val="af-ZA"/>
        </w:rPr>
        <w:t xml:space="preserve"> </w:t>
      </w:r>
      <w:r w:rsidRPr="00A83C94">
        <w:rPr>
          <w:b w:val="0"/>
          <w:noProof/>
          <w:szCs w:val="22"/>
        </w:rPr>
        <w:t>ուղղվածությունների</w:t>
      </w:r>
      <w:r w:rsidRPr="00A83C94">
        <w:rPr>
          <w:b w:val="0"/>
          <w:noProof/>
          <w:szCs w:val="22"/>
          <w:lang w:val="af-ZA"/>
        </w:rPr>
        <w:t xml:space="preserve"> (</w:t>
      </w:r>
      <w:r w:rsidRPr="00A83C94">
        <w:rPr>
          <w:b w:val="0"/>
          <w:noProof/>
          <w:szCs w:val="22"/>
        </w:rPr>
        <w:t>քաղաքական</w:t>
      </w:r>
      <w:r w:rsidRPr="00A83C94">
        <w:rPr>
          <w:b w:val="0"/>
          <w:noProof/>
          <w:szCs w:val="22"/>
          <w:lang w:val="af-ZA"/>
        </w:rPr>
        <w:t xml:space="preserve">, </w:t>
      </w:r>
      <w:r w:rsidRPr="00A83C94">
        <w:rPr>
          <w:b w:val="0"/>
          <w:noProof/>
          <w:szCs w:val="22"/>
        </w:rPr>
        <w:t>սոցիալ</w:t>
      </w:r>
      <w:r w:rsidRPr="00A83C94">
        <w:rPr>
          <w:b w:val="0"/>
          <w:noProof/>
          <w:szCs w:val="22"/>
          <w:lang w:val="af-ZA"/>
        </w:rPr>
        <w:t>-</w:t>
      </w:r>
      <w:r w:rsidRPr="00A83C94">
        <w:rPr>
          <w:b w:val="0"/>
          <w:noProof/>
          <w:szCs w:val="22"/>
        </w:rPr>
        <w:t>տնտեսական</w:t>
      </w:r>
      <w:r w:rsidRPr="00A83C94">
        <w:rPr>
          <w:b w:val="0"/>
          <w:noProof/>
          <w:szCs w:val="22"/>
          <w:lang w:val="af-ZA"/>
        </w:rPr>
        <w:t xml:space="preserve">, </w:t>
      </w:r>
      <w:r w:rsidRPr="00A83C94">
        <w:rPr>
          <w:b w:val="0"/>
          <w:noProof/>
          <w:szCs w:val="22"/>
        </w:rPr>
        <w:t>կրթական</w:t>
      </w:r>
      <w:r w:rsidRPr="00A83C94">
        <w:rPr>
          <w:b w:val="0"/>
          <w:noProof/>
          <w:szCs w:val="22"/>
          <w:lang w:val="af-ZA"/>
        </w:rPr>
        <w:t xml:space="preserve">, </w:t>
      </w:r>
      <w:r w:rsidRPr="00A83C94">
        <w:rPr>
          <w:b w:val="0"/>
          <w:noProof/>
          <w:szCs w:val="22"/>
        </w:rPr>
        <w:t>գիտության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սպորտի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առողջապահական</w:t>
      </w:r>
      <w:r w:rsidRPr="00A83C94">
        <w:rPr>
          <w:b w:val="0"/>
          <w:noProof/>
          <w:szCs w:val="22"/>
          <w:lang w:val="af-ZA"/>
        </w:rPr>
        <w:t xml:space="preserve">, </w:t>
      </w:r>
      <w:r w:rsidRPr="00A83C94">
        <w:rPr>
          <w:b w:val="0"/>
          <w:noProof/>
          <w:szCs w:val="22"/>
        </w:rPr>
        <w:t>պաշտպանության</w:t>
      </w:r>
      <w:r w:rsidRPr="00A83C94">
        <w:rPr>
          <w:b w:val="0"/>
          <w:noProof/>
          <w:szCs w:val="22"/>
          <w:lang w:val="af-ZA"/>
        </w:rPr>
        <w:t xml:space="preserve">, </w:t>
      </w:r>
      <w:r w:rsidRPr="00A83C94">
        <w:rPr>
          <w:b w:val="0"/>
          <w:noProof/>
          <w:szCs w:val="22"/>
        </w:rPr>
        <w:t>տեղեկատվական</w:t>
      </w:r>
      <w:r w:rsidRPr="00A83C94">
        <w:rPr>
          <w:b w:val="0"/>
          <w:noProof/>
          <w:szCs w:val="22"/>
          <w:lang w:val="af-ZA"/>
        </w:rPr>
        <w:t xml:space="preserve"> </w:t>
      </w:r>
      <w:r w:rsidRPr="00A83C94">
        <w:rPr>
          <w:b w:val="0"/>
          <w:noProof/>
          <w:szCs w:val="22"/>
        </w:rPr>
        <w:t>տեխնոլոգիաների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այլն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վերլուծական</w:t>
      </w:r>
      <w:r w:rsidRPr="00A83C94">
        <w:rPr>
          <w:b w:val="0"/>
          <w:noProof/>
          <w:szCs w:val="22"/>
          <w:lang w:val="af-ZA"/>
        </w:rPr>
        <w:t xml:space="preserve"> </w:t>
      </w:r>
      <w:r w:rsidRPr="00A83C94">
        <w:rPr>
          <w:b w:val="0"/>
          <w:noProof/>
          <w:szCs w:val="22"/>
        </w:rPr>
        <w:t>հաղորդումներ</w:t>
      </w:r>
      <w:r w:rsidRPr="00A83C94">
        <w:rPr>
          <w:b w:val="0"/>
          <w:noProof/>
          <w:szCs w:val="22"/>
          <w:lang w:val="af-ZA"/>
        </w:rPr>
        <w:t xml:space="preserve">, </w:t>
      </w:r>
      <w:r w:rsidRPr="00A83C94">
        <w:rPr>
          <w:b w:val="0"/>
          <w:noProof/>
          <w:szCs w:val="22"/>
        </w:rPr>
        <w:t>հարզացրույցներ</w:t>
      </w:r>
      <w:r w:rsidRPr="00A83C94">
        <w:rPr>
          <w:b w:val="0"/>
          <w:noProof/>
          <w:szCs w:val="22"/>
          <w:lang w:val="af-ZA"/>
        </w:rPr>
        <w:t xml:space="preserve">, </w:t>
      </w:r>
      <w:r w:rsidRPr="00A83C94">
        <w:rPr>
          <w:b w:val="0"/>
          <w:noProof/>
          <w:szCs w:val="22"/>
        </w:rPr>
        <w:t>փաստագրական</w:t>
      </w:r>
      <w:r w:rsidRPr="00A83C94">
        <w:rPr>
          <w:b w:val="0"/>
          <w:noProof/>
          <w:szCs w:val="22"/>
          <w:lang w:val="af-ZA"/>
        </w:rPr>
        <w:t xml:space="preserve"> </w:t>
      </w:r>
      <w:r w:rsidRPr="00A83C94">
        <w:rPr>
          <w:b w:val="0"/>
          <w:noProof/>
          <w:szCs w:val="22"/>
        </w:rPr>
        <w:t>հեռուստահաղորդումներ</w:t>
      </w:r>
      <w:r w:rsidRPr="00A83C94">
        <w:rPr>
          <w:b w:val="0"/>
          <w:noProof/>
          <w:szCs w:val="22"/>
          <w:lang w:val="af-ZA"/>
        </w:rPr>
        <w:t xml:space="preserve">, </w:t>
      </w:r>
      <w:r w:rsidRPr="00A83C94">
        <w:rPr>
          <w:b w:val="0"/>
          <w:noProof/>
          <w:szCs w:val="22"/>
        </w:rPr>
        <w:t>քաղաքական</w:t>
      </w:r>
      <w:r w:rsidRPr="00A83C94">
        <w:rPr>
          <w:b w:val="0"/>
          <w:noProof/>
          <w:szCs w:val="22"/>
          <w:lang w:val="af-ZA"/>
        </w:rPr>
        <w:t xml:space="preserve"> </w:t>
      </w:r>
      <w:r w:rsidRPr="00A83C94">
        <w:rPr>
          <w:b w:val="0"/>
          <w:noProof/>
          <w:szCs w:val="22"/>
        </w:rPr>
        <w:t>երկխոսություններ</w:t>
      </w:r>
      <w:r w:rsidRPr="00A83C94">
        <w:rPr>
          <w:b w:val="0"/>
          <w:noProof/>
          <w:szCs w:val="22"/>
          <w:lang w:val="af-ZA"/>
        </w:rPr>
        <w:t xml:space="preserve">, </w:t>
      </w:r>
      <w:r w:rsidRPr="00A83C94">
        <w:rPr>
          <w:b w:val="0"/>
          <w:noProof/>
          <w:szCs w:val="22"/>
        </w:rPr>
        <w:t>բանավեճեր</w:t>
      </w:r>
      <w:r w:rsidRPr="00A83C94">
        <w:rPr>
          <w:b w:val="0"/>
          <w:noProof/>
          <w:szCs w:val="22"/>
          <w:lang w:val="af-ZA"/>
        </w:rPr>
        <w:t xml:space="preserve">, </w:t>
      </w:r>
      <w:r w:rsidRPr="00A83C94">
        <w:rPr>
          <w:b w:val="0"/>
          <w:noProof/>
          <w:szCs w:val="22"/>
        </w:rPr>
        <w:t>ԱԺ</w:t>
      </w:r>
      <w:r w:rsidRPr="00A83C94">
        <w:rPr>
          <w:b w:val="0"/>
          <w:noProof/>
          <w:szCs w:val="22"/>
          <w:lang w:val="af-ZA"/>
        </w:rPr>
        <w:t xml:space="preserve"> </w:t>
      </w:r>
      <w:r w:rsidRPr="00A83C94">
        <w:rPr>
          <w:b w:val="0"/>
          <w:noProof/>
          <w:szCs w:val="22"/>
        </w:rPr>
        <w:t>նիստերի</w:t>
      </w:r>
      <w:r w:rsidRPr="00A83C94">
        <w:rPr>
          <w:b w:val="0"/>
          <w:noProof/>
          <w:szCs w:val="22"/>
          <w:lang w:val="af-ZA"/>
        </w:rPr>
        <w:t xml:space="preserve"> </w:t>
      </w:r>
      <w:r w:rsidRPr="00A83C94">
        <w:rPr>
          <w:b w:val="0"/>
          <w:noProof/>
          <w:szCs w:val="22"/>
        </w:rPr>
        <w:t>համաժամանակյա</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բազմակողմանի</w:t>
      </w:r>
      <w:r w:rsidRPr="00A83C94">
        <w:rPr>
          <w:b w:val="0"/>
          <w:noProof/>
          <w:szCs w:val="22"/>
          <w:lang w:val="af-ZA"/>
        </w:rPr>
        <w:t xml:space="preserve"> </w:t>
      </w:r>
      <w:r w:rsidRPr="00A83C94">
        <w:rPr>
          <w:b w:val="0"/>
          <w:noProof/>
          <w:szCs w:val="22"/>
        </w:rPr>
        <w:t>լուսաբանում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այլն</w:t>
      </w:r>
      <w:r w:rsidRPr="00A83C94">
        <w:rPr>
          <w:b w:val="0"/>
          <w:noProof/>
          <w:szCs w:val="22"/>
          <w:lang w:val="af-ZA"/>
        </w:rPr>
        <w:t xml:space="preserve">: </w:t>
      </w:r>
      <w:r w:rsidRPr="00A83C94">
        <w:rPr>
          <w:b w:val="0"/>
          <w:noProof/>
          <w:szCs w:val="22"/>
        </w:rPr>
        <w:t>Այս</w:t>
      </w:r>
      <w:r w:rsidRPr="00A83C94">
        <w:rPr>
          <w:b w:val="0"/>
          <w:noProof/>
          <w:szCs w:val="22"/>
          <w:lang w:val="af-ZA"/>
        </w:rPr>
        <w:t xml:space="preserve"> </w:t>
      </w:r>
      <w:r w:rsidRPr="00A83C94">
        <w:rPr>
          <w:b w:val="0"/>
          <w:noProof/>
          <w:szCs w:val="22"/>
        </w:rPr>
        <w:t>ամենին</w:t>
      </w:r>
      <w:r w:rsidRPr="00A83C94">
        <w:rPr>
          <w:b w:val="0"/>
          <w:noProof/>
          <w:szCs w:val="22"/>
          <w:lang w:val="af-ZA"/>
        </w:rPr>
        <w:t xml:space="preserve"> </w:t>
      </w:r>
      <w:r w:rsidRPr="00A83C94">
        <w:rPr>
          <w:b w:val="0"/>
          <w:noProof/>
          <w:szCs w:val="22"/>
        </w:rPr>
        <w:t>զուգընթաց</w:t>
      </w:r>
      <w:r w:rsidRPr="00A83C94">
        <w:rPr>
          <w:b w:val="0"/>
          <w:noProof/>
          <w:szCs w:val="22"/>
          <w:lang w:val="af-ZA"/>
        </w:rPr>
        <w:t xml:space="preserve"> </w:t>
      </w:r>
      <w:r w:rsidRPr="00A83C94">
        <w:rPr>
          <w:b w:val="0"/>
          <w:noProof/>
          <w:szCs w:val="22"/>
        </w:rPr>
        <w:t>ապահովվում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նաև</w:t>
      </w:r>
      <w:r w:rsidRPr="00A83C94">
        <w:rPr>
          <w:b w:val="0"/>
          <w:noProof/>
          <w:szCs w:val="22"/>
          <w:lang w:val="af-ZA"/>
        </w:rPr>
        <w:t xml:space="preserve"> </w:t>
      </w:r>
      <w:r w:rsidRPr="00A83C94">
        <w:rPr>
          <w:b w:val="0"/>
          <w:noProof/>
          <w:szCs w:val="22"/>
        </w:rPr>
        <w:t>առցանց</w:t>
      </w:r>
      <w:r w:rsidRPr="00A83C94">
        <w:rPr>
          <w:b w:val="0"/>
          <w:noProof/>
          <w:szCs w:val="22"/>
          <w:lang w:val="af-ZA"/>
        </w:rPr>
        <w:t xml:space="preserve"> </w:t>
      </w:r>
      <w:r w:rsidRPr="00A83C94">
        <w:rPr>
          <w:b w:val="0"/>
          <w:noProof/>
          <w:szCs w:val="22"/>
        </w:rPr>
        <w:t>հարթակներով</w:t>
      </w:r>
      <w:r w:rsidRPr="00A83C94">
        <w:rPr>
          <w:b w:val="0"/>
          <w:noProof/>
          <w:szCs w:val="22"/>
          <w:lang w:val="af-ZA"/>
        </w:rPr>
        <w:t xml:space="preserve"> </w:t>
      </w:r>
      <w:r w:rsidRPr="00A83C94">
        <w:rPr>
          <w:b w:val="0"/>
          <w:noProof/>
          <w:szCs w:val="22"/>
        </w:rPr>
        <w:t>տեղեկատվության</w:t>
      </w:r>
      <w:r w:rsidRPr="00A83C94">
        <w:rPr>
          <w:b w:val="0"/>
          <w:noProof/>
          <w:szCs w:val="22"/>
          <w:lang w:val="af-ZA"/>
        </w:rPr>
        <w:t xml:space="preserve"> </w:t>
      </w:r>
      <w:r w:rsidRPr="00A83C94">
        <w:rPr>
          <w:b w:val="0"/>
          <w:noProof/>
          <w:szCs w:val="22"/>
        </w:rPr>
        <w:t>տարածումը</w:t>
      </w:r>
      <w:r w:rsidRPr="00A83C94">
        <w:rPr>
          <w:b w:val="0"/>
          <w:noProof/>
          <w:szCs w:val="22"/>
          <w:lang w:val="af-ZA"/>
        </w:rPr>
        <w:t>:</w:t>
      </w:r>
      <w:r w:rsidR="00553C7A" w:rsidRPr="00A83C94">
        <w:rPr>
          <w:b w:val="0"/>
          <w:noProof/>
          <w:szCs w:val="22"/>
          <w:lang w:val="hy-AM"/>
        </w:rPr>
        <w:t xml:space="preserve"> </w:t>
      </w:r>
    </w:p>
    <w:p w14:paraId="10924160" w14:textId="722B1823" w:rsidR="00437B7A" w:rsidRPr="00A83C94" w:rsidRDefault="00437B7A" w:rsidP="00553C7A">
      <w:pPr>
        <w:numPr>
          <w:ilvl w:val="12"/>
          <w:numId w:val="0"/>
        </w:numPr>
        <w:tabs>
          <w:tab w:val="left" w:pos="851"/>
        </w:tabs>
        <w:spacing w:line="276" w:lineRule="auto"/>
        <w:ind w:left="-142" w:firstLine="540"/>
        <w:rPr>
          <w:b w:val="0"/>
          <w:noProof/>
          <w:szCs w:val="22"/>
          <w:lang w:val="af-ZA"/>
        </w:rPr>
      </w:pPr>
      <w:r w:rsidRPr="00A83C94">
        <w:rPr>
          <w:b w:val="0"/>
          <w:noProof/>
          <w:szCs w:val="22"/>
          <w:lang w:val="hy-AM"/>
        </w:rPr>
        <w:t>Միաժամանակ</w:t>
      </w:r>
      <w:r w:rsidRPr="00A83C94">
        <w:rPr>
          <w:b w:val="0"/>
          <w:noProof/>
          <w:szCs w:val="22"/>
          <w:lang w:val="af-ZA"/>
        </w:rPr>
        <w:t xml:space="preserve">, </w:t>
      </w:r>
      <w:r w:rsidRPr="00A83C94">
        <w:rPr>
          <w:b w:val="0"/>
          <w:noProof/>
          <w:szCs w:val="22"/>
          <w:lang w:val="hy-AM"/>
        </w:rPr>
        <w:t>ծախսերը</w:t>
      </w:r>
      <w:r w:rsidRPr="00A83C94">
        <w:rPr>
          <w:b w:val="0"/>
          <w:noProof/>
          <w:szCs w:val="22"/>
          <w:lang w:val="af-ZA"/>
        </w:rPr>
        <w:t xml:space="preserve"> </w:t>
      </w:r>
      <w:r w:rsidRPr="00A83C94">
        <w:rPr>
          <w:b w:val="0"/>
          <w:noProof/>
          <w:szCs w:val="22"/>
          <w:lang w:val="hy-AM"/>
        </w:rPr>
        <w:t>նվազել</w:t>
      </w:r>
      <w:r w:rsidRPr="00A83C94">
        <w:rPr>
          <w:b w:val="0"/>
          <w:noProof/>
          <w:szCs w:val="22"/>
          <w:lang w:val="af-ZA"/>
        </w:rPr>
        <w:t xml:space="preserve"> </w:t>
      </w:r>
      <w:r w:rsidRPr="00A83C94">
        <w:rPr>
          <w:b w:val="0"/>
          <w:noProof/>
          <w:szCs w:val="22"/>
          <w:lang w:val="hy-AM"/>
        </w:rPr>
        <w:t>են</w:t>
      </w:r>
      <w:r w:rsidRPr="00A83C94">
        <w:rPr>
          <w:b w:val="0"/>
          <w:noProof/>
          <w:szCs w:val="22"/>
          <w:lang w:val="af-ZA"/>
        </w:rPr>
        <w:t xml:space="preserve"> 5</w:t>
      </w:r>
      <w:r w:rsidR="00B62797" w:rsidRPr="00A83C94">
        <w:rPr>
          <w:b w:val="0"/>
          <w:noProof/>
          <w:szCs w:val="22"/>
          <w:lang w:val="hy-AM"/>
        </w:rPr>
        <w:t>6</w:t>
      </w:r>
      <w:r w:rsidRPr="00A83C94">
        <w:rPr>
          <w:b w:val="0"/>
          <w:noProof/>
          <w:szCs w:val="22"/>
          <w:lang w:val="af-ZA"/>
        </w:rPr>
        <w:t>.</w:t>
      </w:r>
      <w:r w:rsidR="00B62797" w:rsidRPr="00A83C94">
        <w:rPr>
          <w:b w:val="0"/>
          <w:noProof/>
          <w:szCs w:val="22"/>
          <w:lang w:val="hy-AM"/>
        </w:rPr>
        <w:t>5</w:t>
      </w:r>
      <w:r w:rsidRPr="00A83C94">
        <w:rPr>
          <w:b w:val="0"/>
          <w:noProof/>
          <w:szCs w:val="22"/>
          <w:lang w:val="af-ZA"/>
        </w:rPr>
        <w:t xml:space="preserve"> </w:t>
      </w:r>
      <w:r w:rsidRPr="00A83C94">
        <w:rPr>
          <w:b w:val="0"/>
          <w:noProof/>
          <w:szCs w:val="22"/>
          <w:lang w:val="hy-AM"/>
        </w:rPr>
        <w:t>մլն</w:t>
      </w:r>
      <w:r w:rsidRPr="00A83C94">
        <w:rPr>
          <w:b w:val="0"/>
          <w:noProof/>
          <w:szCs w:val="22"/>
          <w:lang w:val="af-ZA"/>
        </w:rPr>
        <w:t xml:space="preserve"> </w:t>
      </w:r>
      <w:r w:rsidRPr="00A83C94">
        <w:rPr>
          <w:b w:val="0"/>
          <w:noProof/>
          <w:szCs w:val="22"/>
          <w:lang w:val="hy-AM"/>
        </w:rPr>
        <w:t>դրամով</w:t>
      </w:r>
      <w:r w:rsidRPr="00A83C94">
        <w:rPr>
          <w:b w:val="0"/>
          <w:noProof/>
          <w:szCs w:val="22"/>
          <w:lang w:val="af-ZA"/>
        </w:rPr>
        <w:t>:</w:t>
      </w:r>
    </w:p>
    <w:p w14:paraId="55E2BA3E" w14:textId="77777777" w:rsidR="00437B7A" w:rsidRPr="00A83C94" w:rsidRDefault="00437B7A" w:rsidP="007C65A5">
      <w:pPr>
        <w:numPr>
          <w:ilvl w:val="12"/>
          <w:numId w:val="0"/>
        </w:numPr>
        <w:tabs>
          <w:tab w:val="left" w:pos="851"/>
        </w:tabs>
        <w:spacing w:line="276" w:lineRule="auto"/>
        <w:ind w:firstLine="540"/>
        <w:rPr>
          <w:b w:val="0"/>
          <w:noProof/>
          <w:szCs w:val="22"/>
          <w:lang w:val="af-ZA"/>
        </w:rPr>
      </w:pPr>
      <w:r w:rsidRPr="00A83C94">
        <w:rPr>
          <w:b w:val="0"/>
          <w:noProof/>
          <w:szCs w:val="22"/>
        </w:rPr>
        <w:t>Բացի</w:t>
      </w:r>
      <w:r w:rsidRPr="00A83C94">
        <w:rPr>
          <w:b w:val="0"/>
          <w:noProof/>
          <w:szCs w:val="22"/>
          <w:lang w:val="af-ZA"/>
        </w:rPr>
        <w:t xml:space="preserve"> </w:t>
      </w:r>
      <w:r w:rsidRPr="00A83C94">
        <w:rPr>
          <w:b w:val="0"/>
          <w:noProof/>
          <w:szCs w:val="22"/>
        </w:rPr>
        <w:t>այդ</w:t>
      </w:r>
      <w:r w:rsidRPr="00A83C94">
        <w:rPr>
          <w:b w:val="0"/>
          <w:noProof/>
          <w:szCs w:val="22"/>
          <w:lang w:val="af-ZA"/>
        </w:rPr>
        <w:t>, </w:t>
      </w:r>
      <w:r w:rsidRPr="00A83C94">
        <w:rPr>
          <w:b w:val="0"/>
          <w:noProof/>
          <w:szCs w:val="22"/>
        </w:rPr>
        <w:t>Միջազգային</w:t>
      </w:r>
      <w:r w:rsidRPr="00A83C94">
        <w:rPr>
          <w:b w:val="0"/>
          <w:noProof/>
          <w:szCs w:val="22"/>
          <w:lang w:val="af-ZA"/>
        </w:rPr>
        <w:t xml:space="preserve"> </w:t>
      </w:r>
      <w:r w:rsidRPr="00A83C94">
        <w:rPr>
          <w:b w:val="0"/>
          <w:noProof/>
          <w:szCs w:val="22"/>
        </w:rPr>
        <w:t>կազմակերպություններին</w:t>
      </w:r>
      <w:r w:rsidRPr="00A83C94">
        <w:rPr>
          <w:b w:val="0"/>
          <w:noProof/>
          <w:szCs w:val="22"/>
          <w:lang w:val="af-ZA"/>
        </w:rPr>
        <w:t xml:space="preserve"> </w:t>
      </w:r>
      <w:r w:rsidRPr="00A83C94">
        <w:rPr>
          <w:b w:val="0"/>
          <w:noProof/>
          <w:szCs w:val="22"/>
        </w:rPr>
        <w:t>անդամակցություն</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վերաբաշխվել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Հեռուստատեսային</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Ռադիո</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միջոցառումներին</w:t>
      </w:r>
      <w:r w:rsidRPr="00A83C94">
        <w:rPr>
          <w:b w:val="0"/>
          <w:noProof/>
          <w:szCs w:val="22"/>
          <w:lang w:val="af-ZA"/>
        </w:rPr>
        <w:t xml:space="preserve">, </w:t>
      </w:r>
      <w:r w:rsidRPr="00A83C94">
        <w:rPr>
          <w:b w:val="0"/>
          <w:noProof/>
          <w:szCs w:val="22"/>
        </w:rPr>
        <w:t>համապատասխանաբար՝</w:t>
      </w:r>
      <w:r w:rsidRPr="00A83C94">
        <w:rPr>
          <w:b w:val="0"/>
          <w:noProof/>
          <w:szCs w:val="22"/>
          <w:lang w:val="af-ZA"/>
        </w:rPr>
        <w:t xml:space="preserve"> 35.4 </w:t>
      </w:r>
      <w:r w:rsidRPr="00A83C94">
        <w:rPr>
          <w:b w:val="0"/>
          <w:noProof/>
          <w:szCs w:val="22"/>
        </w:rPr>
        <w:t>և</w:t>
      </w:r>
      <w:r w:rsidRPr="00A83C94">
        <w:rPr>
          <w:b w:val="0"/>
          <w:noProof/>
          <w:szCs w:val="22"/>
          <w:lang w:val="af-ZA"/>
        </w:rPr>
        <w:t xml:space="preserve"> 14.8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չափով</w:t>
      </w:r>
      <w:r w:rsidRPr="00A83C94">
        <w:rPr>
          <w:b w:val="0"/>
          <w:noProof/>
          <w:szCs w:val="22"/>
          <w:lang w:val="af-ZA"/>
        </w:rPr>
        <w:t xml:space="preserve">, </w:t>
      </w:r>
      <w:r w:rsidRPr="00A83C94">
        <w:rPr>
          <w:b w:val="0"/>
          <w:noProof/>
          <w:szCs w:val="22"/>
        </w:rPr>
        <w:t>նկատի</w:t>
      </w:r>
      <w:r w:rsidRPr="00A83C94">
        <w:rPr>
          <w:b w:val="0"/>
          <w:noProof/>
          <w:szCs w:val="22"/>
          <w:lang w:val="af-ZA"/>
        </w:rPr>
        <w:t xml:space="preserve"> </w:t>
      </w:r>
      <w:r w:rsidRPr="00A83C94">
        <w:rPr>
          <w:b w:val="0"/>
          <w:noProof/>
          <w:szCs w:val="22"/>
        </w:rPr>
        <w:t>ունենալով</w:t>
      </w:r>
      <w:r w:rsidRPr="00A83C94">
        <w:rPr>
          <w:b w:val="0"/>
          <w:noProof/>
          <w:szCs w:val="22"/>
          <w:lang w:val="af-ZA"/>
        </w:rPr>
        <w:t xml:space="preserve">, </w:t>
      </w:r>
      <w:r w:rsidRPr="00A83C94">
        <w:rPr>
          <w:b w:val="0"/>
          <w:noProof/>
          <w:szCs w:val="22"/>
        </w:rPr>
        <w:t>որ</w:t>
      </w:r>
      <w:r w:rsidRPr="00A83C94">
        <w:rPr>
          <w:b w:val="0"/>
          <w:noProof/>
          <w:szCs w:val="22"/>
          <w:lang w:val="af-ZA"/>
        </w:rPr>
        <w:t xml:space="preserve"> </w:t>
      </w:r>
      <w:r w:rsidRPr="00A83C94">
        <w:rPr>
          <w:b w:val="0"/>
          <w:noProof/>
          <w:szCs w:val="22"/>
        </w:rPr>
        <w:t>Եվրոպական</w:t>
      </w:r>
      <w:r w:rsidRPr="00A83C94">
        <w:rPr>
          <w:b w:val="0"/>
          <w:noProof/>
          <w:szCs w:val="22"/>
          <w:lang w:val="af-ZA"/>
        </w:rPr>
        <w:t xml:space="preserve"> </w:t>
      </w:r>
      <w:r w:rsidRPr="00A83C94">
        <w:rPr>
          <w:b w:val="0"/>
          <w:noProof/>
          <w:szCs w:val="22"/>
        </w:rPr>
        <w:t>հեռարձակողի</w:t>
      </w:r>
      <w:r w:rsidRPr="00A83C94">
        <w:rPr>
          <w:b w:val="0"/>
          <w:noProof/>
          <w:szCs w:val="22"/>
          <w:lang w:val="af-ZA"/>
        </w:rPr>
        <w:t xml:space="preserve"> </w:t>
      </w:r>
      <w:r w:rsidRPr="00A83C94">
        <w:rPr>
          <w:b w:val="0"/>
          <w:noProof/>
          <w:szCs w:val="22"/>
        </w:rPr>
        <w:t>միության</w:t>
      </w:r>
      <w:r w:rsidRPr="00A83C94">
        <w:rPr>
          <w:b w:val="0"/>
          <w:noProof/>
          <w:szCs w:val="22"/>
          <w:lang w:val="af-ZA"/>
        </w:rPr>
        <w:t xml:space="preserve"> (EBU) </w:t>
      </w:r>
      <w:r w:rsidRPr="00A83C94">
        <w:rPr>
          <w:b w:val="0"/>
          <w:noProof/>
          <w:szCs w:val="22"/>
        </w:rPr>
        <w:t>ակտիվ</w:t>
      </w:r>
      <w:r w:rsidRPr="00A83C94">
        <w:rPr>
          <w:b w:val="0"/>
          <w:noProof/>
          <w:szCs w:val="22"/>
          <w:lang w:val="af-ZA"/>
        </w:rPr>
        <w:t xml:space="preserve"> </w:t>
      </w:r>
      <w:r w:rsidRPr="00A83C94">
        <w:rPr>
          <w:b w:val="0"/>
          <w:noProof/>
          <w:szCs w:val="22"/>
        </w:rPr>
        <w:t>անդամ</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հանդիսանում</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հեռուստաընկերությունը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ռադիոընկերությունը</w:t>
      </w:r>
      <w:r w:rsidRPr="00A83C94">
        <w:rPr>
          <w:b w:val="0"/>
          <w:noProof/>
          <w:szCs w:val="22"/>
          <w:lang w:val="af-ZA"/>
        </w:rPr>
        <w:t xml:space="preserve"> (</w:t>
      </w:r>
      <w:r w:rsidRPr="00A83C94">
        <w:rPr>
          <w:b w:val="0"/>
          <w:noProof/>
          <w:szCs w:val="22"/>
        </w:rPr>
        <w:t>նախկինում</w:t>
      </w:r>
      <w:r w:rsidRPr="00A83C94">
        <w:rPr>
          <w:b w:val="0"/>
          <w:noProof/>
          <w:szCs w:val="22"/>
          <w:lang w:val="af-ZA"/>
        </w:rPr>
        <w:t xml:space="preserve"> </w:t>
      </w:r>
      <w:r w:rsidRPr="00A83C94">
        <w:rPr>
          <w:b w:val="0"/>
          <w:noProof/>
          <w:szCs w:val="22"/>
        </w:rPr>
        <w:t>նշված</w:t>
      </w:r>
      <w:r w:rsidRPr="00A83C94">
        <w:rPr>
          <w:b w:val="0"/>
          <w:noProof/>
          <w:szCs w:val="22"/>
          <w:lang w:val="af-ZA"/>
        </w:rPr>
        <w:t xml:space="preserve">  </w:t>
      </w:r>
      <w:r w:rsidRPr="00A83C94">
        <w:rPr>
          <w:b w:val="0"/>
          <w:noProof/>
          <w:szCs w:val="22"/>
        </w:rPr>
        <w:t>գումարը</w:t>
      </w:r>
      <w:r w:rsidRPr="00A83C94">
        <w:rPr>
          <w:b w:val="0"/>
          <w:noProof/>
          <w:szCs w:val="22"/>
          <w:lang w:val="af-ZA"/>
        </w:rPr>
        <w:t xml:space="preserve"> </w:t>
      </w:r>
      <w:r w:rsidRPr="00A83C94">
        <w:rPr>
          <w:b w:val="0"/>
          <w:noProof/>
          <w:szCs w:val="22"/>
        </w:rPr>
        <w:t>վճարում</w:t>
      </w:r>
      <w:r w:rsidRPr="00A83C94">
        <w:rPr>
          <w:b w:val="0"/>
          <w:noProof/>
          <w:szCs w:val="22"/>
          <w:lang w:val="af-ZA"/>
        </w:rPr>
        <w:t xml:space="preserve"> </w:t>
      </w:r>
      <w:r w:rsidRPr="00A83C94">
        <w:rPr>
          <w:b w:val="0"/>
          <w:noProof/>
          <w:szCs w:val="22"/>
        </w:rPr>
        <w:t>էր</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հեռարձակողի</w:t>
      </w:r>
      <w:r w:rsidRPr="00A83C94">
        <w:rPr>
          <w:b w:val="0"/>
          <w:noProof/>
          <w:szCs w:val="22"/>
          <w:lang w:val="af-ZA"/>
        </w:rPr>
        <w:t xml:space="preserve"> </w:t>
      </w:r>
      <w:r w:rsidRPr="00A83C94">
        <w:rPr>
          <w:b w:val="0"/>
          <w:noProof/>
          <w:szCs w:val="22"/>
        </w:rPr>
        <w:t>խորհուրդը</w:t>
      </w:r>
      <w:r w:rsidRPr="00A83C94">
        <w:rPr>
          <w:b w:val="0"/>
          <w:noProof/>
          <w:szCs w:val="22"/>
          <w:lang w:val="af-ZA"/>
        </w:rPr>
        <w:t>):</w:t>
      </w:r>
    </w:p>
    <w:p w14:paraId="0AF7F79B" w14:textId="77777777" w:rsidR="00A93A45" w:rsidRPr="00A83C94" w:rsidRDefault="00A93A45" w:rsidP="00661F3D">
      <w:pPr>
        <w:spacing w:line="276" w:lineRule="auto"/>
        <w:rPr>
          <w:b w:val="0"/>
          <w:szCs w:val="22"/>
          <w:lang w:val="af-ZA"/>
        </w:rPr>
      </w:pPr>
    </w:p>
    <w:p w14:paraId="5BEC7631" w14:textId="77777777" w:rsidR="00FC7885" w:rsidRPr="00A83C94" w:rsidRDefault="00FC7885" w:rsidP="00832373">
      <w:pPr>
        <w:keepNext/>
        <w:spacing w:before="0" w:line="276" w:lineRule="auto"/>
        <w:ind w:firstLine="0"/>
        <w:contextualSpacing w:val="0"/>
        <w:jc w:val="center"/>
        <w:outlineLvl w:val="2"/>
        <w:rPr>
          <w:rFonts w:cs="Arial"/>
          <w:sz w:val="24"/>
          <w:lang w:val="hy-AM" w:eastAsia="en-US"/>
        </w:rPr>
      </w:pPr>
      <w:bookmarkStart w:id="302" w:name="_Toc83996394"/>
      <w:r w:rsidRPr="00A83C94">
        <w:rPr>
          <w:rFonts w:cs="Arial"/>
          <w:sz w:val="24"/>
          <w:lang w:val="hy-AM" w:eastAsia="en-US"/>
        </w:rPr>
        <w:t>ՀՀ մրցակցության պաշտպանության հանձնաժողով</w:t>
      </w:r>
      <w:bookmarkEnd w:id="302"/>
    </w:p>
    <w:p w14:paraId="197F2BBE" w14:textId="77777777" w:rsidR="00FC7885" w:rsidRPr="00A83C94" w:rsidRDefault="00FC7885" w:rsidP="00FC7885">
      <w:pPr>
        <w:spacing w:line="276" w:lineRule="auto"/>
        <w:rPr>
          <w:b w:val="0"/>
          <w:lang w:val="hy-AM"/>
        </w:rPr>
      </w:pPr>
      <w:r w:rsidRPr="00A83C94">
        <w:rPr>
          <w:b w:val="0"/>
          <w:lang w:val="hy-AM"/>
        </w:rPr>
        <w:t xml:space="preserve">Հայաստանի Հանրապետության մրցակցության պաշտպանության հանձնաժողովի (այսուհետ՝ Հանձնաժողով) գործունեությունն ուղղված է ազատ տնտեսական մրցակցության պաշտպանությանը և խրախուսմանը, ձեռնարկատիրության զարգացման և սպառողների շահերի պաշտպանությանը նպաստելուն, բարեխիղճ մրցակցության համար անհրաժեշտ միջավայրի ապահովմանը Հայաստանի Հանրապետությունում։ </w:t>
      </w:r>
    </w:p>
    <w:p w14:paraId="3EBDC7C1" w14:textId="77777777" w:rsidR="00FC7885" w:rsidRPr="00A83C94" w:rsidRDefault="00FC7885" w:rsidP="00FC7885">
      <w:pPr>
        <w:spacing w:line="276" w:lineRule="auto"/>
        <w:rPr>
          <w:b w:val="0"/>
          <w:lang w:val="hy-AM"/>
        </w:rPr>
      </w:pPr>
      <w:r w:rsidRPr="00A83C94">
        <w:rPr>
          <w:b w:val="0"/>
          <w:lang w:val="hy-AM"/>
        </w:rPr>
        <w:t>Հանձնաժողովն իր գործառույթների շրջանակներում իրականացնում է ոլորտային ուսումնասիրություններ որևէ ոլորտում կամ ապրանքային շուկայում մրցակցային իրավիճակը, տնտեսական մրցակցության կանխման, սահմանափակման կամ արգելման կամ սպառողների շահերի վնասման դեպքերը պարզելու, մրցակցային իրավիճակի վրա ազդող այլ պայմանները բացահայտելու նպատակով։</w:t>
      </w:r>
    </w:p>
    <w:p w14:paraId="11A505A4" w14:textId="77777777" w:rsidR="00FC7885" w:rsidRPr="00A83C94" w:rsidRDefault="00FC7885" w:rsidP="00FC7885">
      <w:pPr>
        <w:spacing w:line="276" w:lineRule="auto"/>
        <w:rPr>
          <w:b w:val="0"/>
          <w:lang w:val="hy-AM"/>
        </w:rPr>
      </w:pPr>
      <w:r w:rsidRPr="00A83C94">
        <w:rPr>
          <w:b w:val="0"/>
          <w:lang w:val="hy-AM"/>
        </w:rPr>
        <w:t>Ոլորտային ուսումնասիրության շրջանակում Հանձնաժողովը կարող է սահմանել ապրանքային շուկան, ուսումնասիրել ապրանքային շուկայի կառուցվածքը, կենտրոնացվածության աստիճանը, ոլորտի կամ շուկայի դինամիկան, հայտնաբերել անձանց խումբ հանդիսացող տնտեսվարող սուբյեկտներին, ուսումնասիրել ոլորտի կամ շուկայի իրավակարգավորումները և վեր հանել խնդիրները, այդ թվում՝ օրենսդրական բացերը և սողանցքները, բացահայտել շուկայում ինքնակարգավորման մեխանիզմները, պարզել օրենքի հնարավոր խախտման հատկանիշները, եզրահանգումներ կատարել մրցակցային իրավիճակի վերաբերյալ, կազմել վերլուծական հաշվետվություն:</w:t>
      </w:r>
    </w:p>
    <w:p w14:paraId="02D625D8" w14:textId="77777777" w:rsidR="00FC7885" w:rsidRPr="00A83C94" w:rsidRDefault="00FC7885" w:rsidP="00FC7885">
      <w:pPr>
        <w:spacing w:line="276" w:lineRule="auto"/>
        <w:rPr>
          <w:b w:val="0"/>
          <w:lang w:val="hy-AM"/>
        </w:rPr>
      </w:pPr>
      <w:r w:rsidRPr="00A83C94">
        <w:rPr>
          <w:b w:val="0"/>
          <w:lang w:val="hy-AM"/>
        </w:rPr>
        <w:t xml:space="preserve">Հայաստանի Հանրապետությունում արդյունավետ մրցակցային միջավայրի ձևավորման և տնտեսական մրցակցության պաշտպանության օրենսդրության դրույթների պահպանման նկատմամբ հսկողություն սահմանելու նպատակով Հանձնաժողովը յուրաքանչյուր տարի իրականացնում է լայն սպառում ունեցող պարենային և ոչ պարենային նշանակության ապրանքների և ծառայությունների 5 ոլորտի/շուկայի ուսումնասիրություն, որոնց արդյունքում բացահայտվում են առկա խնդիրները և առաջարկվում լուծումներ շուկայի ուղղակի կամ անուղղակի կարգավորման համար։ 5 տարվա ընթացքում ուսումնասիրելով լայն սպառում ունեցող պարենային և ոչ պարենային նշանակության ապրանքների և ծառայությունների 25 ապրանքային շուկա, Հանձնաժողովը հաջորդ տարիներին նույն հերթականությամբ անդրադառնում է նույն ապրանքային շուկաներին՝ տնտեսության մրցակցային վիճակի բարելավման և Հանձնաժողովի գործունեության արդյունավետության գնահատման նպատակով։ </w:t>
      </w:r>
    </w:p>
    <w:p w14:paraId="6C768AF6" w14:textId="77777777" w:rsidR="00FC7885" w:rsidRPr="00A83C94" w:rsidRDefault="00FC7885" w:rsidP="00FC7885">
      <w:pPr>
        <w:spacing w:line="276" w:lineRule="auto"/>
        <w:rPr>
          <w:b w:val="0"/>
          <w:lang w:val="hy-AM"/>
        </w:rPr>
      </w:pPr>
      <w:r w:rsidRPr="00A83C94">
        <w:rPr>
          <w:b w:val="0"/>
          <w:lang w:val="hy-AM"/>
        </w:rPr>
        <w:t>Տնտեսական մրցակցության ընթացիկ իրավիճակը գնահատելու նպատակով Հանձնաժողովը յուրաքանչյուր տարի իրականացնում է 100 հատ ուսումնասիրություններ մրցակցային ընթացիկ խնդիրների բացահայտման և կանխարգելման նպատակով։ 2020 թվականին Հանձնաժողովը փաստացի իրականացրել է 116 հատ ուսումնասիրություն։</w:t>
      </w:r>
    </w:p>
    <w:p w14:paraId="345FD7F4" w14:textId="77777777" w:rsidR="00FC7885" w:rsidRPr="00A83C94" w:rsidRDefault="00FC7885" w:rsidP="00FC7885">
      <w:pPr>
        <w:tabs>
          <w:tab w:val="left" w:pos="993"/>
        </w:tabs>
        <w:spacing w:before="0" w:line="276" w:lineRule="auto"/>
        <w:rPr>
          <w:b w:val="0"/>
          <w:szCs w:val="22"/>
          <w:lang w:val="af-ZA"/>
        </w:rPr>
      </w:pPr>
    </w:p>
    <w:p w14:paraId="4C9FF83A" w14:textId="77777777" w:rsidR="00FC7885" w:rsidRPr="00A83C94" w:rsidRDefault="00FC7885" w:rsidP="00832373">
      <w:pPr>
        <w:keepNext/>
        <w:spacing w:before="0" w:line="276" w:lineRule="auto"/>
        <w:ind w:firstLine="0"/>
        <w:contextualSpacing w:val="0"/>
        <w:jc w:val="center"/>
        <w:outlineLvl w:val="2"/>
        <w:rPr>
          <w:rFonts w:cs="Arial"/>
          <w:sz w:val="24"/>
          <w:lang w:val="af-ZA" w:eastAsia="en-US"/>
        </w:rPr>
      </w:pPr>
      <w:bookmarkStart w:id="303" w:name="_Toc83996395"/>
      <w:r w:rsidRPr="00A83C94">
        <w:rPr>
          <w:rFonts w:cs="Arial"/>
          <w:sz w:val="24"/>
          <w:lang w:val="hy-AM" w:eastAsia="en-US"/>
        </w:rPr>
        <w:t>ՀՀ կոռուպցիայի կանխարգելման հանձնաժողով</w:t>
      </w:r>
      <w:bookmarkEnd w:id="303"/>
      <w:r w:rsidRPr="00A83C94">
        <w:rPr>
          <w:rFonts w:cs="Arial"/>
          <w:sz w:val="24"/>
          <w:lang w:val="af-ZA" w:eastAsia="en-US"/>
        </w:rPr>
        <w:t xml:space="preserve"> </w:t>
      </w:r>
    </w:p>
    <w:p w14:paraId="3002A2B0"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Կոռուպցիայի կանխարգելումը հանդիսանում է ՀՀ Կառավարության հակակոռուպցիոն քաղաքականության գերակա ոլորտներից մեկը, և իր ամրագրումն է ստացել ներպետական քաղաքականության փաստաթղթերում, ինչպես նաև միջազգային հարաբերություններից ստանձնած մի շարք պարտավորություններում։ </w:t>
      </w:r>
    </w:p>
    <w:p w14:paraId="7027F6B4"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2019 թվականի նոյեմբերի 19-ին ձևավորվել է Կոռուպցիայի կանխարգելման հանձնաժողովը, որին վերապահվել են ընդլայնված լիազորություններ: Կոռուպցիայի կանխարգելման մասին ՀՀ օրենքի, Դատական օրենսգիրք ՀՀ Սահմանադրական օրենքի, Դատախազության մասին ՀՀ օրենքի, Հանրային ծառայության մասին ՀՀ օրենքի և մի շարք այլ օրենքների փոփոխություններով Կոռուպցիայի կանխարգելման հանձնաժողովի առկա գործառույթներ զգալիորեն ավելացել են, որն իրենից ենթադրում է լրացուցիչ մարդկային և ֆինանսական ռեսուրսների ներգրավում, որի մի մասը նախորդ տարիներին և ներկայումս ստանձնել են միջազգային դոնոր կազմակերպությունները: </w:t>
      </w:r>
    </w:p>
    <w:p w14:paraId="48303D25" w14:textId="66309C33" w:rsidR="00FC7885" w:rsidRPr="00A83C94" w:rsidRDefault="00FC7885" w:rsidP="00FC7885">
      <w:pPr>
        <w:spacing w:line="276" w:lineRule="auto"/>
        <w:ind w:firstLine="426"/>
        <w:rPr>
          <w:b w:val="0"/>
          <w:szCs w:val="22"/>
          <w:lang w:val="hy-AM"/>
        </w:rPr>
      </w:pPr>
      <w:r w:rsidRPr="00A83C94">
        <w:rPr>
          <w:b w:val="0"/>
          <w:szCs w:val="22"/>
          <w:lang w:val="hy-AM"/>
        </w:rPr>
        <w:t xml:space="preserve">Կոռուպցիայի կանխարգելման հանձնաժողովը 2022 թվականին իրականացնելու է </w:t>
      </w:r>
      <w:r w:rsidRPr="00A83C94">
        <w:rPr>
          <w:szCs w:val="22"/>
          <w:lang w:val="hy-AM"/>
        </w:rPr>
        <w:t>Կոռուպցիայի կանխարգելմա</w:t>
      </w:r>
      <w:r w:rsidR="00E70F6D" w:rsidRPr="00A83C94">
        <w:rPr>
          <w:szCs w:val="22"/>
          <w:lang w:val="hy-AM"/>
        </w:rPr>
        <w:t>ն համակարգի զարգացման ապահովում</w:t>
      </w:r>
      <w:r w:rsidRPr="00A83C94">
        <w:rPr>
          <w:b w:val="0"/>
          <w:szCs w:val="22"/>
          <w:lang w:val="hy-AM"/>
        </w:rPr>
        <w:t xml:space="preserve"> ծրագիրը իր 2 միջոցառումներով՝ «Կոռուպցիայի կանխարգելում և բարեվարքության համակարգի զարգացում» (պահպանման ընթացիկ ծախսերի գծով) և «Հանձնաժողովի կարողությունների զարգացում» (պահպանման կապիտալ ծախսերի գծով) միջոցառումները: </w:t>
      </w:r>
    </w:p>
    <w:p w14:paraId="7DA6818A" w14:textId="2E4C0F69" w:rsidR="00FC7885" w:rsidRPr="00A83C94" w:rsidRDefault="00E70F6D" w:rsidP="00FC7885">
      <w:pPr>
        <w:spacing w:line="276" w:lineRule="auto"/>
        <w:ind w:firstLine="426"/>
        <w:rPr>
          <w:b w:val="0"/>
          <w:szCs w:val="22"/>
          <w:lang w:val="hy-AM"/>
        </w:rPr>
      </w:pPr>
      <w:r w:rsidRPr="00A83C94">
        <w:rPr>
          <w:b w:val="0"/>
          <w:szCs w:val="22"/>
          <w:lang w:val="hy-AM"/>
        </w:rPr>
        <w:t>Ծրագրի</w:t>
      </w:r>
      <w:r w:rsidR="00FC7885" w:rsidRPr="00A83C94">
        <w:rPr>
          <w:b w:val="0"/>
          <w:szCs w:val="22"/>
          <w:lang w:val="hy-AM"/>
        </w:rPr>
        <w:t xml:space="preserve"> նպատակն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 Ծրագրի վերջնական արդյունքը հաշվետու ժամանակաշրջանում միտված է`</w:t>
      </w:r>
    </w:p>
    <w:p w14:paraId="77C487CF" w14:textId="77777777" w:rsidR="00FC7885" w:rsidRPr="00A83C94" w:rsidRDefault="00FC7885" w:rsidP="00FC7885">
      <w:pPr>
        <w:spacing w:line="276" w:lineRule="auto"/>
        <w:ind w:firstLine="426"/>
        <w:rPr>
          <w:b w:val="0"/>
          <w:szCs w:val="22"/>
          <w:lang w:val="hy-AM"/>
        </w:rPr>
      </w:pPr>
      <w:r w:rsidRPr="00A83C94">
        <w:rPr>
          <w:b w:val="0"/>
          <w:szCs w:val="22"/>
          <w:lang w:val="hy-AM"/>
        </w:rPr>
        <w:t>1.</w:t>
      </w:r>
      <w:r w:rsidRPr="00A83C94">
        <w:rPr>
          <w:b w:val="0"/>
          <w:szCs w:val="22"/>
          <w:lang w:val="hy-AM"/>
        </w:rPr>
        <w:tab/>
        <w:t>պետական կառավարման համակարգում բարեվարքության, կոռուպցիոն ռիսկերի գնահատման համակարգերի ներդրմանը</w:t>
      </w:r>
    </w:p>
    <w:p w14:paraId="499B19FE" w14:textId="77777777" w:rsidR="00FC7885" w:rsidRPr="00A83C94" w:rsidRDefault="00FC7885" w:rsidP="00FC7885">
      <w:pPr>
        <w:spacing w:line="276" w:lineRule="auto"/>
        <w:ind w:firstLine="426"/>
        <w:rPr>
          <w:b w:val="0"/>
          <w:szCs w:val="22"/>
          <w:lang w:val="hy-AM"/>
        </w:rPr>
      </w:pPr>
      <w:r w:rsidRPr="00A83C94">
        <w:rPr>
          <w:b w:val="0"/>
          <w:szCs w:val="22"/>
          <w:lang w:val="hy-AM"/>
        </w:rPr>
        <w:t>2.</w:t>
      </w:r>
      <w:r w:rsidRPr="00A83C94">
        <w:rPr>
          <w:b w:val="0"/>
          <w:szCs w:val="22"/>
          <w:lang w:val="hy-AM"/>
        </w:rPr>
        <w:tab/>
        <w:t>հայտարարագրերի ռիսկային ցուցիչների վրա հիմնված վերլուծության մեթոդաբանության գործարկմանը</w:t>
      </w:r>
    </w:p>
    <w:p w14:paraId="5E41009C" w14:textId="77777777" w:rsidR="00FC7885" w:rsidRPr="00A83C94" w:rsidRDefault="00FC7885" w:rsidP="00FC7885">
      <w:pPr>
        <w:spacing w:line="276" w:lineRule="auto"/>
        <w:ind w:firstLine="426"/>
        <w:rPr>
          <w:b w:val="0"/>
          <w:szCs w:val="22"/>
          <w:lang w:val="hy-AM"/>
        </w:rPr>
      </w:pPr>
      <w:r w:rsidRPr="00A83C94">
        <w:rPr>
          <w:b w:val="0"/>
          <w:szCs w:val="22"/>
          <w:lang w:val="hy-AM"/>
        </w:rPr>
        <w:t>3.</w:t>
      </w:r>
      <w:r w:rsidRPr="00A83C94">
        <w:rPr>
          <w:b w:val="0"/>
          <w:szCs w:val="22"/>
          <w:lang w:val="hy-AM"/>
        </w:rPr>
        <w:tab/>
        <w:t xml:space="preserve"> «Հանրային ծառայության մասին» ՀՀ օրենքի համաձայն պետական պաշտոնի նշանակման ենթակա անձանց բարեվարքության ամբողջական ստուգմանը</w:t>
      </w:r>
    </w:p>
    <w:p w14:paraId="7EC14A9E" w14:textId="77777777" w:rsidR="00FC7885" w:rsidRPr="00A83C94" w:rsidRDefault="00FC7885" w:rsidP="00FC7885">
      <w:pPr>
        <w:spacing w:line="276" w:lineRule="auto"/>
        <w:ind w:firstLine="426"/>
        <w:rPr>
          <w:b w:val="0"/>
          <w:szCs w:val="22"/>
          <w:lang w:val="hy-AM"/>
        </w:rPr>
      </w:pPr>
      <w:r w:rsidRPr="00A83C94">
        <w:rPr>
          <w:b w:val="0"/>
          <w:szCs w:val="22"/>
          <w:lang w:val="hy-AM"/>
        </w:rPr>
        <w:t>4.</w:t>
      </w:r>
      <w:r w:rsidRPr="00A83C94">
        <w:rPr>
          <w:b w:val="0"/>
          <w:szCs w:val="22"/>
          <w:lang w:val="hy-AM"/>
        </w:rPr>
        <w:tab/>
        <w:t>հակակոռուպցիոն երեք կրթական ծրագրերի ներդրմանը</w:t>
      </w:r>
    </w:p>
    <w:p w14:paraId="58588975" w14:textId="77777777" w:rsidR="00FC7885" w:rsidRPr="00A83C94" w:rsidRDefault="00FC7885" w:rsidP="00FC7885">
      <w:pPr>
        <w:spacing w:line="276" w:lineRule="auto"/>
        <w:ind w:firstLine="426"/>
        <w:rPr>
          <w:b w:val="0"/>
          <w:szCs w:val="22"/>
          <w:lang w:val="hy-AM"/>
        </w:rPr>
      </w:pPr>
      <w:r w:rsidRPr="00A83C94">
        <w:rPr>
          <w:b w:val="0"/>
          <w:szCs w:val="22"/>
          <w:lang w:val="hy-AM"/>
        </w:rPr>
        <w:t>5.</w:t>
      </w:r>
      <w:r w:rsidRPr="00A83C94">
        <w:rPr>
          <w:b w:val="0"/>
          <w:szCs w:val="22"/>
          <w:lang w:val="hy-AM"/>
        </w:rPr>
        <w:tab/>
        <w:t xml:space="preserve"> կոռուպցիայի կանխարգելման վերաբերյալ հանրային իրազեկման երկու ծրագրերի ներդրմանը</w:t>
      </w:r>
    </w:p>
    <w:p w14:paraId="579E234C" w14:textId="77777777" w:rsidR="00FC7885" w:rsidRPr="00A83C94" w:rsidRDefault="00FC7885" w:rsidP="00FC7885">
      <w:pPr>
        <w:spacing w:line="276" w:lineRule="auto"/>
        <w:ind w:firstLine="426"/>
        <w:rPr>
          <w:b w:val="0"/>
          <w:szCs w:val="22"/>
          <w:lang w:val="hy-AM"/>
        </w:rPr>
      </w:pPr>
      <w:r w:rsidRPr="00A83C94">
        <w:rPr>
          <w:b w:val="0"/>
          <w:szCs w:val="22"/>
          <w:lang w:val="hy-AM"/>
        </w:rPr>
        <w:t>6.</w:t>
      </w:r>
      <w:r w:rsidRPr="00A83C94">
        <w:rPr>
          <w:b w:val="0"/>
          <w:szCs w:val="22"/>
          <w:lang w:val="hy-AM"/>
        </w:rPr>
        <w:tab/>
        <w:t>միջազգային համագործակցության ծրագրի ներդրմանը:</w:t>
      </w:r>
    </w:p>
    <w:p w14:paraId="68BCF39F" w14:textId="0B3248E6" w:rsidR="00FC7885" w:rsidRPr="00A83C94" w:rsidRDefault="00E70F6D" w:rsidP="00FC7885">
      <w:pPr>
        <w:spacing w:line="276" w:lineRule="auto"/>
        <w:ind w:firstLine="426"/>
        <w:rPr>
          <w:b w:val="0"/>
          <w:szCs w:val="22"/>
          <w:lang w:val="hy-AM"/>
        </w:rPr>
      </w:pPr>
      <w:r w:rsidRPr="00A83C94">
        <w:rPr>
          <w:b w:val="0"/>
          <w:szCs w:val="22"/>
          <w:lang w:val="hy-AM"/>
        </w:rPr>
        <w:t>Ծրագիրը</w:t>
      </w:r>
      <w:r w:rsidR="00FC7885" w:rsidRPr="00A83C94">
        <w:rPr>
          <w:b w:val="0"/>
          <w:szCs w:val="22"/>
          <w:lang w:val="hy-AM"/>
        </w:rPr>
        <w:t xml:space="preserve"> իրենից ներկայացնում է Հանձնաժողովի պահպանման ծախսերը և միտված է Հանձնաժողովի կանոնադրական գործառույթների իրականացմանը: 2021 թվականի համեմատությամբ 2022 թվականի պետական բյուջեով հատկացվող միջոցների ծավալը </w:t>
      </w:r>
      <w:r w:rsidRPr="00A83C94">
        <w:rPr>
          <w:b w:val="0"/>
          <w:szCs w:val="22"/>
          <w:lang w:val="hy-AM"/>
        </w:rPr>
        <w:t>միջոցառման մասով աճել է</w:t>
      </w:r>
      <w:r w:rsidR="00FC7885" w:rsidRPr="00A83C94">
        <w:rPr>
          <w:b w:val="0"/>
          <w:szCs w:val="22"/>
          <w:lang w:val="hy-AM"/>
        </w:rPr>
        <w:t xml:space="preserve">` գործառույթների ընդլայնմամբ, հետևաբար նաև հաստիքների թվաքանակի և դրանց հետ կապված ծախսերի ավելացմամբ պայմանավորված: </w:t>
      </w:r>
    </w:p>
    <w:p w14:paraId="766FD55E" w14:textId="0B1D4B2B" w:rsidR="00FC7885" w:rsidRPr="00A83C94" w:rsidRDefault="00FC7885" w:rsidP="00FC7885">
      <w:pPr>
        <w:spacing w:line="276" w:lineRule="auto"/>
        <w:ind w:firstLine="426"/>
        <w:rPr>
          <w:b w:val="0"/>
          <w:szCs w:val="22"/>
          <w:lang w:val="hy-AM"/>
        </w:rPr>
      </w:pPr>
      <w:r w:rsidRPr="00A83C94">
        <w:rPr>
          <w:b w:val="0"/>
          <w:szCs w:val="22"/>
          <w:lang w:val="hy-AM"/>
        </w:rPr>
        <w:t xml:space="preserve">2021 թվականի և նախորդ տարիների բյուջեներով նախատեսված և Հանձնաժողովի կողմից իրականացվող միջոցառումներից ՀՀ 2022 թվականից «Կոռուպցիայի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աշխատանքներ» միջոցառումը 2022 թվականից վերաբաշխվել է </w:t>
      </w:r>
      <w:r w:rsidR="00E70F6D" w:rsidRPr="00A83C94">
        <w:rPr>
          <w:b w:val="0"/>
          <w:szCs w:val="22"/>
          <w:lang w:val="hy-AM"/>
        </w:rPr>
        <w:t>Ծ</w:t>
      </w:r>
      <w:r w:rsidRPr="00A83C94">
        <w:rPr>
          <w:b w:val="0"/>
          <w:szCs w:val="22"/>
          <w:lang w:val="hy-AM"/>
        </w:rPr>
        <w:t>րագրի «Կոռուպցիայի կանխարգելում և բարեվարքության համակարգի զարգացում» (պահպանման ընթացիկ ծախսերի գծով) միջոցառման մեջ:</w:t>
      </w:r>
    </w:p>
    <w:p w14:paraId="3B59679E" w14:textId="77777777" w:rsidR="00FC7885" w:rsidRPr="00A83C94" w:rsidRDefault="00FC7885" w:rsidP="00FC7885">
      <w:pPr>
        <w:spacing w:line="276" w:lineRule="auto"/>
        <w:ind w:firstLine="426"/>
        <w:rPr>
          <w:b w:val="0"/>
          <w:szCs w:val="22"/>
          <w:lang w:val="hy-AM"/>
        </w:rPr>
      </w:pPr>
      <w:r w:rsidRPr="00A83C94">
        <w:rPr>
          <w:b w:val="0"/>
          <w:szCs w:val="22"/>
          <w:lang w:val="hy-AM"/>
        </w:rPr>
        <w:t>Կոռուպցիայի կանխարգելման հանձնաժողովի ծախսային ծրագրային գերակայությունները բխում են Հանձնաժողովի գործունեության հիմնական նպատակից, այն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w:t>
      </w:r>
    </w:p>
    <w:p w14:paraId="6FE8E499" w14:textId="77777777" w:rsidR="00FC7885" w:rsidRPr="00A83C94" w:rsidRDefault="00FC7885" w:rsidP="00FC7885">
      <w:pPr>
        <w:spacing w:line="276" w:lineRule="auto"/>
        <w:ind w:firstLine="426"/>
        <w:rPr>
          <w:b w:val="0"/>
          <w:szCs w:val="22"/>
          <w:lang w:val="hy-AM"/>
        </w:rPr>
      </w:pPr>
    </w:p>
    <w:p w14:paraId="253FD189" w14:textId="77777777" w:rsidR="00FC7885" w:rsidRPr="00A83C94" w:rsidRDefault="00FC7885" w:rsidP="00832373">
      <w:pPr>
        <w:keepNext/>
        <w:spacing w:before="0" w:line="276" w:lineRule="auto"/>
        <w:ind w:firstLine="0"/>
        <w:contextualSpacing w:val="0"/>
        <w:jc w:val="center"/>
        <w:outlineLvl w:val="2"/>
        <w:rPr>
          <w:rFonts w:cs="Arial"/>
          <w:sz w:val="24"/>
          <w:lang w:val="af-ZA" w:eastAsia="en-US"/>
        </w:rPr>
      </w:pPr>
      <w:bookmarkStart w:id="304" w:name="_Toc83996396"/>
      <w:r w:rsidRPr="00A83C94">
        <w:rPr>
          <w:rFonts w:cs="Arial"/>
          <w:sz w:val="24"/>
          <w:lang w:val="hy-AM" w:eastAsia="en-US"/>
        </w:rPr>
        <w:t>ՀՀ մարդու իրավունքների պաշտպանի աշխատակազմ</w:t>
      </w:r>
      <w:bookmarkEnd w:id="304"/>
      <w:r w:rsidRPr="00A83C94">
        <w:rPr>
          <w:rFonts w:cs="Arial"/>
          <w:sz w:val="24"/>
          <w:lang w:val="af-ZA" w:eastAsia="en-US"/>
        </w:rPr>
        <w:t xml:space="preserve"> </w:t>
      </w:r>
    </w:p>
    <w:p w14:paraId="1C5629D0" w14:textId="77777777" w:rsidR="00FC7885" w:rsidRPr="00A83C94" w:rsidRDefault="00FC7885" w:rsidP="00FC7885">
      <w:pPr>
        <w:spacing w:line="276" w:lineRule="auto"/>
        <w:ind w:firstLine="426"/>
        <w:rPr>
          <w:b w:val="0"/>
          <w:szCs w:val="22"/>
          <w:lang w:val="hy-AM"/>
        </w:rPr>
      </w:pPr>
      <w:r w:rsidRPr="00A83C94">
        <w:rPr>
          <w:b w:val="0"/>
          <w:szCs w:val="22"/>
          <w:lang w:val="hy-AM"/>
        </w:rPr>
        <w:t>ՀՀ մարդու իրավունքների պաշտպանի աշխատակազմի գործունեությունը բաղկացած է երկու հիմնական ուղղություններից՝ անհատական դեպքերի քննարկում և համակարգային խնդիրների լուծմանն ուղղված քայլեր: Վերջինն իր հերթին հետապնդում է նաև կանխարգելիչ նպատակ՝ բացառելու ապագայում իրավունքների խախտման դեպքերը:</w:t>
      </w:r>
    </w:p>
    <w:p w14:paraId="308ECBDF" w14:textId="77777777" w:rsidR="00FC7885" w:rsidRPr="00A83C94" w:rsidRDefault="00FC7885" w:rsidP="00FC7885">
      <w:pPr>
        <w:spacing w:line="276" w:lineRule="auto"/>
        <w:ind w:firstLine="426"/>
        <w:rPr>
          <w:b w:val="0"/>
          <w:szCs w:val="22"/>
          <w:lang w:val="hy-AM"/>
        </w:rPr>
      </w:pPr>
      <w:r w:rsidRPr="00A83C94">
        <w:rPr>
          <w:b w:val="0"/>
          <w:szCs w:val="22"/>
          <w:lang w:val="hy-AM"/>
        </w:rPr>
        <w:t>Անհատական դեպքերի վերաբերյալ քննարկումներն իրականացվում են «Մարդու իրավունքների պաշտպանի մասին» սահմանադրական օրենքով նախատեսված երկու ուղղությամբ՝ բողոքի և սեփական նախաձեռնությամբ հարցի քննարկման ընթացակարգերով: Այս առումով անհրաժեշտ է արձանագրել, որ վերջին տարիներին էականորեն աճել են Պաշտպանին ներկայացվող դիմումների ու բողոքների թիվը: Դրանց համեմատական պատկերը ցույց է տալիս, որ 2019 թվականին, նախորդ տարվա համեմատ, դիմում-բողոքների թիվն ավելացել է՝ 22%-ով կամ 2396-ով, դառնալով՝ 13.140 դիմում-բողոք: 2020 թվականին կրկին արձանագրվել է դիմումների ու բողոքների աճ: Այսպես, 2020 թվականին դիմումների ու բողոքների թիվն կազմել է 14.780 դիմում-բողոք: Ինչպես երևում է դիմում-բողոքների աճը կրում է շարունակական բնույթ:</w:t>
      </w:r>
    </w:p>
    <w:p w14:paraId="712FE7CA" w14:textId="77777777" w:rsidR="00FC7885" w:rsidRPr="00A83C94" w:rsidRDefault="00FC7885" w:rsidP="00FC7885">
      <w:pPr>
        <w:spacing w:line="276" w:lineRule="auto"/>
        <w:ind w:firstLine="426"/>
        <w:rPr>
          <w:b w:val="0"/>
          <w:szCs w:val="22"/>
          <w:lang w:val="hy-AM"/>
        </w:rPr>
      </w:pPr>
      <w:r w:rsidRPr="00A83C94">
        <w:rPr>
          <w:b w:val="0"/>
          <w:szCs w:val="22"/>
          <w:lang w:val="hy-AM"/>
        </w:rPr>
        <w:t>2019 թվականի հետ համեմատ` 2020 թվականին գրեթե կրկնակի աճել են Պաշտպանի աշխատակազմում շուրջօրյա գործող թեժ գիծ հեռախոսահամարներին ստացված զանգերը: Այսպես, եթե 2019 թվականին թեժ գծին ստացվել է 6210 զանգ, ապա 2020 թվականին՝ 11.735 զանգ: Ստացված զանգերի հիման վրա անձանց տրամադրվել է իրավախորհրդատվություն` իրենց իրավունքների ու ազատությունների, դրանց արդյունավետ պաշտպանության իրավական միջոցների և ընթացակարգերի վերաբերյալ, ինչպես նաև արագ արձագանքման շրջանակներում կատարվել են անհետաձգելի այցեր:</w:t>
      </w:r>
    </w:p>
    <w:p w14:paraId="55DC144C" w14:textId="77777777" w:rsidR="00FC7885" w:rsidRPr="00A83C94" w:rsidRDefault="00FC7885" w:rsidP="00FC7885">
      <w:pPr>
        <w:spacing w:line="276" w:lineRule="auto"/>
        <w:ind w:firstLine="426"/>
        <w:rPr>
          <w:b w:val="0"/>
          <w:szCs w:val="22"/>
          <w:lang w:val="hy-AM"/>
        </w:rPr>
      </w:pPr>
      <w:r w:rsidRPr="00A83C94">
        <w:rPr>
          <w:b w:val="0"/>
          <w:szCs w:val="22"/>
          <w:lang w:val="hy-AM"/>
        </w:rPr>
        <w:t>Պաշտպանի աշխատակազմի գործունեության երկրորդ հիմնարար ուղղությունը համակարգային խնդիրների վերհանումն ու դրանց լուծման համար անհրաժեշտ ուղիների նախանշումն է: Հարկ է ընդգծել, որ անհատական դիմումներից բացի, համակարգային խնդիրների վերհանման աղբյուր են հանդիսանում նաև Պաշտպանի կոնվենցիոն մանդատների շրջանակում իրականացվող գործողությունները</w:t>
      </w:r>
      <w:r w:rsidRPr="00A83C94">
        <w:rPr>
          <w:b w:val="0"/>
          <w:sz w:val="24"/>
          <w:vertAlign w:val="superscript"/>
          <w:lang w:val="hy-AM" w:eastAsia="en-US"/>
        </w:rPr>
        <w:footnoteReference w:id="23"/>
      </w:r>
      <w:r w:rsidRPr="00A83C94">
        <w:rPr>
          <w:b w:val="0"/>
          <w:szCs w:val="22"/>
          <w:lang w:val="hy-AM"/>
        </w:rPr>
        <w:t>: Ոլորտային մշտադիտարկումների շնորհիվ բազմիցս արձանագրվել են խորքային խնդիրներ, որոնք պահանջում են օրենսդրական կամ այլ ինստիտուցիոնալ մոտեցում:</w:t>
      </w:r>
    </w:p>
    <w:p w14:paraId="77039D05" w14:textId="77777777" w:rsidR="00FC7885" w:rsidRPr="00A83C94" w:rsidRDefault="00FC7885" w:rsidP="00FC7885">
      <w:pPr>
        <w:spacing w:line="276" w:lineRule="auto"/>
        <w:ind w:firstLine="426"/>
        <w:rPr>
          <w:b w:val="0"/>
          <w:szCs w:val="22"/>
          <w:lang w:val="hy-AM"/>
        </w:rPr>
      </w:pPr>
      <w:r w:rsidRPr="00A83C94">
        <w:rPr>
          <w:b w:val="0"/>
          <w:szCs w:val="22"/>
          <w:lang w:val="hy-AM"/>
        </w:rPr>
        <w:t>Մարդու իրավունքների պաշտպանի գործունեությունն իր բնույթով պետք է լինի նաև կանխարգելիչ: Անհատական դիմումների քննարկումից և օրենքով վերապահված այլ գործառույթների իրականացումից վերհանված խնդիրներին հաճախ կարիք է լինում ցուցաբերել ինստիտուցիոնալ մոտեցում: Այդ առումով Պաշտպանի գործառույթները կարելի է դասակարգել հետևյալ հիմնական ուղղությունների՝</w:t>
      </w:r>
    </w:p>
    <w:p w14:paraId="60ABBADB" w14:textId="77777777" w:rsidR="00FC7885" w:rsidRPr="00A83C94" w:rsidRDefault="00FC7885" w:rsidP="00FC7885">
      <w:pPr>
        <w:spacing w:line="276" w:lineRule="auto"/>
        <w:ind w:firstLine="426"/>
        <w:rPr>
          <w:b w:val="0"/>
          <w:szCs w:val="22"/>
          <w:lang w:val="hy-AM"/>
        </w:rPr>
      </w:pPr>
      <w:r w:rsidRPr="00A83C94">
        <w:rPr>
          <w:b w:val="0"/>
          <w:szCs w:val="22"/>
          <w:lang w:val="hy-AM"/>
        </w:rPr>
        <w:t>1.</w:t>
      </w:r>
      <w:r w:rsidRPr="00A83C94">
        <w:rPr>
          <w:b w:val="0"/>
          <w:szCs w:val="22"/>
          <w:lang w:val="hy-AM"/>
        </w:rPr>
        <w:tab/>
        <w:t>օրենքների և ենթաօրենսդրական ակտերի նախագծերի մշակում.</w:t>
      </w:r>
    </w:p>
    <w:p w14:paraId="372C4EEF" w14:textId="77777777" w:rsidR="00FC7885" w:rsidRPr="00A83C94" w:rsidRDefault="00FC7885" w:rsidP="00FC7885">
      <w:pPr>
        <w:spacing w:line="276" w:lineRule="auto"/>
        <w:ind w:firstLine="426"/>
        <w:rPr>
          <w:b w:val="0"/>
          <w:szCs w:val="22"/>
          <w:lang w:val="hy-AM"/>
        </w:rPr>
      </w:pPr>
      <w:r w:rsidRPr="00A83C94">
        <w:rPr>
          <w:b w:val="0"/>
          <w:szCs w:val="22"/>
          <w:lang w:val="hy-AM"/>
        </w:rPr>
        <w:t>2.</w:t>
      </w:r>
      <w:r w:rsidRPr="00A83C94">
        <w:rPr>
          <w:b w:val="0"/>
          <w:szCs w:val="22"/>
          <w:lang w:val="hy-AM"/>
        </w:rPr>
        <w:tab/>
        <w:t>օրենքների, Ազգային ժողովի որոշումների, Հանրապետության նախագահի հրամանագրերի և կարգադրությունների, Կառավարության և վարչապետի որոշումների, ենթաօրենսդրական նորմատիվ իրավական ակտերի Սահմանադրության 2-րդ գլխի դրույթներին համապատասխանության հարցերով Սահմանադրական դատարան դիմումի հասցեագրում.</w:t>
      </w:r>
    </w:p>
    <w:p w14:paraId="39DCE577" w14:textId="77777777" w:rsidR="00FC7885" w:rsidRPr="00A83C94" w:rsidRDefault="00FC7885" w:rsidP="00FC7885">
      <w:pPr>
        <w:spacing w:line="276" w:lineRule="auto"/>
        <w:ind w:firstLine="426"/>
        <w:rPr>
          <w:b w:val="0"/>
          <w:szCs w:val="22"/>
          <w:lang w:val="hy-AM"/>
        </w:rPr>
      </w:pPr>
      <w:r w:rsidRPr="00A83C94">
        <w:rPr>
          <w:b w:val="0"/>
          <w:szCs w:val="22"/>
          <w:lang w:val="hy-AM"/>
        </w:rPr>
        <w:t>3.</w:t>
      </w:r>
      <w:r w:rsidRPr="00A83C94">
        <w:rPr>
          <w:b w:val="0"/>
          <w:szCs w:val="22"/>
          <w:lang w:val="hy-AM"/>
        </w:rPr>
        <w:tab/>
        <w:t>մինչև մարդու իրավունքներին և ազատություններին վերաբերող նորմատիվ իրավական ակտերի նախագծերի ընդունումը դրանց վերաբերյալ իրավասու մարմին գրավոր կարծիքների տրամադրում.</w:t>
      </w:r>
    </w:p>
    <w:p w14:paraId="6A5BDA5F" w14:textId="77777777" w:rsidR="00FC7885" w:rsidRPr="00A83C94" w:rsidRDefault="00FC7885" w:rsidP="00FC7885">
      <w:pPr>
        <w:spacing w:line="276" w:lineRule="auto"/>
        <w:ind w:firstLine="426"/>
        <w:rPr>
          <w:b w:val="0"/>
          <w:szCs w:val="22"/>
          <w:lang w:val="hy-AM"/>
        </w:rPr>
      </w:pPr>
      <w:r w:rsidRPr="00A83C94">
        <w:rPr>
          <w:b w:val="0"/>
          <w:szCs w:val="22"/>
          <w:lang w:val="hy-AM"/>
        </w:rPr>
        <w:t>4.</w:t>
      </w:r>
      <w:r w:rsidRPr="00A83C94">
        <w:rPr>
          <w:b w:val="0"/>
          <w:szCs w:val="22"/>
          <w:lang w:val="hy-AM"/>
        </w:rPr>
        <w:tab/>
        <w:t>Սահմանադրական դատարանում քննվող՝ Սահմանադրության 2-րդ գլխի դրույթներին հակասությանը վերաբերող դիմումների վերաբերյալ հատուկ կարծիքների ներկայացում:</w:t>
      </w:r>
    </w:p>
    <w:p w14:paraId="60D56E0A"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Այս հիմնական ուղղություններով աշխատանքն իրականացվում է Պաշտպանի՝ նորմատիվ իրավական ակտերի կատարելագործմանն առնչվող սահմանադրական լիազորության շրջանակում: Սա թույլ է տալիս ոչ միայն նպաստել ներպետական օրենսդրության զարգացմանը, այլ նաև անհատական դիմումներից, մշտադիտարկումներից և այլ աղբյուրներից վերհանված խնդիրների լուծմանն ուղղված քայլեր ձեռնարկել: </w:t>
      </w:r>
    </w:p>
    <w:p w14:paraId="76EB5550" w14:textId="77777777" w:rsidR="00FC7885" w:rsidRPr="00A83C94" w:rsidRDefault="00FC7885" w:rsidP="00FC7885">
      <w:pPr>
        <w:spacing w:line="276" w:lineRule="auto"/>
        <w:ind w:firstLine="426"/>
        <w:rPr>
          <w:b w:val="0"/>
          <w:szCs w:val="22"/>
          <w:lang w:val="hy-AM"/>
        </w:rPr>
      </w:pPr>
      <w:r w:rsidRPr="00A83C94">
        <w:rPr>
          <w:b w:val="0"/>
          <w:szCs w:val="22"/>
          <w:lang w:val="hy-AM"/>
        </w:rPr>
        <w:t>1. Օրենքների և ենթաօրենսդրական ակտերի նախագծերի մշակում</w:t>
      </w:r>
    </w:p>
    <w:p w14:paraId="3D34DC8B"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Վերջին տարիներին գործադրվել է նոր պրակտիկա, որը ենթադրում է, որ մարդու իրավունքներին առնչվող համակարգային խնդիրների լուծման ուղղությամբ Պաշտպանի աշխատակազմում մշակվում են օրենսդրական նախագծեր, դրանք շրջանառվում են իրավասու պետական մարմինների, ինչպես նաև համապատասխան հասարակական կազմակերպությունների շրջանակներում և ներկայացվում կառավարության և խորհրդարանի քննարկմանը: </w:t>
      </w:r>
    </w:p>
    <w:p w14:paraId="2FFD8B5A" w14:textId="77777777" w:rsidR="00FC7885" w:rsidRPr="00A83C94" w:rsidRDefault="00FC7885" w:rsidP="00FC7885">
      <w:pPr>
        <w:spacing w:line="276" w:lineRule="auto"/>
        <w:ind w:firstLine="426"/>
        <w:rPr>
          <w:b w:val="0"/>
          <w:szCs w:val="22"/>
          <w:lang w:val="hy-AM"/>
        </w:rPr>
      </w:pPr>
      <w:r w:rsidRPr="00A83C94">
        <w:rPr>
          <w:b w:val="0"/>
          <w:szCs w:val="22"/>
          <w:lang w:val="hy-AM"/>
        </w:rPr>
        <w:t>2. Իրավական ակտերի Սահմանադրության համապատասխանության հարցերով Սահմանադրական դատարան դիմումի հասցեագրում</w:t>
      </w:r>
    </w:p>
    <w:p w14:paraId="2CD7C0C8"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Նորմատիվ իրավական ակտերի կատարելագործման սահմանադրական գործառույթի իրականացման կարևոր ուղղություններից է նաև Սահմանադրական դատարան դիմումների ներկայացումը: Դրանցով վիճարկվում են օրենսդրական կոնկրետ կարգավորումների հակասությունը Սահմանադրության 2-րդ գլխով նախատեսված դրույթներին: </w:t>
      </w:r>
    </w:p>
    <w:p w14:paraId="6C0B7E43" w14:textId="77777777" w:rsidR="00FC7885" w:rsidRPr="00A83C94" w:rsidRDefault="00FC7885" w:rsidP="00FC7885">
      <w:pPr>
        <w:spacing w:line="276" w:lineRule="auto"/>
        <w:ind w:firstLine="426"/>
        <w:rPr>
          <w:b w:val="0"/>
          <w:szCs w:val="22"/>
          <w:lang w:val="hy-AM"/>
        </w:rPr>
      </w:pPr>
      <w:r w:rsidRPr="00A83C94">
        <w:rPr>
          <w:b w:val="0"/>
          <w:szCs w:val="22"/>
          <w:lang w:val="hy-AM"/>
        </w:rPr>
        <w:t>3. Մարդու իրավունքներին և ազատություններին վերաբերող նորմատիվ իրավական ակտերի նախագծերի վերաբերյալ գրավոր կարծիքի տրամադրում</w:t>
      </w:r>
    </w:p>
    <w:p w14:paraId="0FF7C6BB"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Պաշտպանն իր՝ նորմատիվ իրավական ակտերի կատարելագործման գործառույթի շրջանակներում 2022 թվականին շարունակելու է տրամադրել դիրքորոշումներ իրավասու մարմինների ներկայացրած փոփոխություններին ու  առաջարկություններին: </w:t>
      </w:r>
    </w:p>
    <w:p w14:paraId="2F8FA71C" w14:textId="77777777" w:rsidR="00FC7885" w:rsidRPr="00A83C94" w:rsidRDefault="00FC7885" w:rsidP="00FC7885">
      <w:pPr>
        <w:spacing w:line="276" w:lineRule="auto"/>
        <w:ind w:firstLine="426"/>
        <w:rPr>
          <w:b w:val="0"/>
          <w:szCs w:val="22"/>
          <w:lang w:val="hy-AM"/>
        </w:rPr>
      </w:pPr>
      <w:r w:rsidRPr="00A83C94">
        <w:rPr>
          <w:b w:val="0"/>
          <w:szCs w:val="22"/>
          <w:lang w:val="hy-AM"/>
        </w:rPr>
        <w:t>4. Սահմանադրական դատարանում քննվող դիմումների վերաբերյալ հատուկ կարծիքների ներկայացում</w:t>
      </w:r>
    </w:p>
    <w:p w14:paraId="350AB956"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Պաշտպանը մշտական ներկայացուցիչ ունի նաև ՀՀ սահմանադրական դատարանում: Նշված գործառույթը հատկապես կարևորվում է նրանով, որ Պաշտպանը դատարանին ուղղված՝ Սահմանադրության 2-րդ գլխի դրույթներին վերաբերող դիմումների վերաբերյալ ներկայացնում է հատուկ դիրքորոշում (amicus brief): </w:t>
      </w:r>
    </w:p>
    <w:p w14:paraId="7774DBC0" w14:textId="77777777" w:rsidR="00FC7885" w:rsidRPr="00A83C94" w:rsidRDefault="00FC7885" w:rsidP="00FC7885">
      <w:pPr>
        <w:spacing w:line="276" w:lineRule="auto"/>
        <w:ind w:firstLine="426"/>
        <w:rPr>
          <w:b w:val="0"/>
          <w:szCs w:val="22"/>
          <w:lang w:val="hy-AM"/>
        </w:rPr>
      </w:pPr>
      <w:r w:rsidRPr="00A83C94">
        <w:rPr>
          <w:b w:val="0"/>
          <w:szCs w:val="22"/>
          <w:lang w:val="hy-AM"/>
        </w:rPr>
        <w:t>Վերոգրյալի հետ մեկտեղ՝ «Իրավահավասարության ապահովման մասին» օրենքի նախագծով նախատեսվում է երաշխավորել ՀՀ-ում յուրաքանչյուր անձի իրավունքների ու ազատությունների իրականացման հավասար հնարավորությունները, կատարելագործել խտրականության դեմ պայքարի բնագավառի օրենսդրությունը, ապահովել խտրականության կանխարգելման, դրանից իրավական և դատական պաշտպանության իրավական հիմքերը: Օրենսդրական փաթեթում ներառված է նաև ««Մարդու իրավունքների պաշտպանի մասին» սահմանադրական օրենքում լրացումներ կատարելու մասին» սահմանադրական օրենքի նախագիծը, որով հստակ կարգավորված են Պաշտպանի՝ իրավահավասարության ապահովման հարցում լիազորությունները, ինչպես նաև այդ լիազորությունների իրականացմանն ուղղված նոր իրավական գործիքները:</w:t>
      </w:r>
    </w:p>
    <w:p w14:paraId="2013DCF2" w14:textId="285F6CB1" w:rsidR="00FC7885" w:rsidRPr="00A83C94" w:rsidRDefault="00FC7885" w:rsidP="00FC7885">
      <w:pPr>
        <w:spacing w:line="276" w:lineRule="auto"/>
        <w:ind w:firstLine="426"/>
        <w:rPr>
          <w:b w:val="0"/>
          <w:szCs w:val="22"/>
          <w:lang w:val="hy-AM"/>
        </w:rPr>
      </w:pPr>
    </w:p>
    <w:p w14:paraId="1EC5B884" w14:textId="78B11BE6" w:rsidR="007A3170" w:rsidRPr="00A83C94" w:rsidRDefault="007A3170" w:rsidP="007A3170">
      <w:pPr>
        <w:keepNext/>
        <w:spacing w:before="0" w:line="276" w:lineRule="auto"/>
        <w:ind w:firstLine="0"/>
        <w:contextualSpacing w:val="0"/>
        <w:jc w:val="center"/>
        <w:outlineLvl w:val="2"/>
        <w:rPr>
          <w:b w:val="0"/>
          <w:sz w:val="24"/>
          <w:lang w:val="hy-AM"/>
        </w:rPr>
      </w:pPr>
      <w:bookmarkStart w:id="305" w:name="_Toc83996397"/>
      <w:r w:rsidRPr="00A83C94">
        <w:rPr>
          <w:rFonts w:cs="Arial"/>
          <w:sz w:val="24"/>
          <w:lang w:val="hy-AM" w:eastAsia="en-US"/>
        </w:rPr>
        <w:t>ՀՀ հաշվեքննիչ պալատ</w:t>
      </w:r>
      <w:bookmarkEnd w:id="305"/>
    </w:p>
    <w:p w14:paraId="18D67976" w14:textId="77777777" w:rsidR="007A3170" w:rsidRPr="00A83C94" w:rsidRDefault="007A3170" w:rsidP="007A3170">
      <w:pPr>
        <w:spacing w:line="276" w:lineRule="auto"/>
        <w:ind w:firstLine="426"/>
        <w:rPr>
          <w:b w:val="0"/>
          <w:szCs w:val="22"/>
          <w:lang w:val="hy-AM"/>
        </w:rPr>
      </w:pPr>
      <w:r w:rsidRPr="00A83C94">
        <w:rPr>
          <w:b w:val="0"/>
          <w:szCs w:val="22"/>
          <w:lang w:val="hy-AM"/>
        </w:rPr>
        <w:t>Հաշվեքննիչ պալատի գործունեության նպատակն է հանրային ֆինանսների և սեփականության ոլորտում պետական և համայնքային բյուջեների միջոցների, ստացած փոխառությունների և վարկերի, պետական և համայնքային սեփականության օգտագործման օրինականության և արդյունավետության վերաբերյալ Ազգային ժողովին և հանրությանը ժամանակին, մասնագիտական և անկողմնակալ տեղեկատվություն ներկայացնելը:</w:t>
      </w:r>
    </w:p>
    <w:p w14:paraId="76FE52B2" w14:textId="77777777" w:rsidR="007A3170" w:rsidRPr="00A83C94" w:rsidRDefault="007A3170" w:rsidP="007A3170">
      <w:pPr>
        <w:spacing w:line="276" w:lineRule="auto"/>
        <w:ind w:firstLine="426"/>
        <w:rPr>
          <w:b w:val="0"/>
          <w:szCs w:val="22"/>
          <w:lang w:val="hy-AM"/>
        </w:rPr>
      </w:pPr>
      <w:r w:rsidRPr="00A83C94">
        <w:rPr>
          <w:b w:val="0"/>
          <w:szCs w:val="22"/>
          <w:lang w:val="hy-AM"/>
        </w:rPr>
        <w:t>Նպատակային թիրախներն ապահովելու համար Հաշվեքննիչ պալատը ձգտում է մինչև 2024 թվականը հասնել վերջնական արդյունքների՝ հետևյալ ուղղություններում.</w:t>
      </w:r>
    </w:p>
    <w:p w14:paraId="15B764A9" w14:textId="0366F90E" w:rsidR="007A3170" w:rsidRPr="00A83C94" w:rsidRDefault="007A3170" w:rsidP="007A3170">
      <w:pPr>
        <w:spacing w:line="276" w:lineRule="auto"/>
        <w:ind w:firstLine="426"/>
        <w:rPr>
          <w:b w:val="0"/>
          <w:szCs w:val="22"/>
          <w:lang w:val="hy-AM"/>
        </w:rPr>
      </w:pPr>
      <w:r w:rsidRPr="00A83C94">
        <w:rPr>
          <w:b w:val="0"/>
          <w:szCs w:val="22"/>
          <w:lang w:val="hy-AM"/>
        </w:rPr>
        <w:t>- Արտաքին պետական հաշվեքննության ոլորտի վերաբերյալ ՀՀ օրենսդրության բարելավում՝ նկատի ունենալով INTOSAI ստանդարտներով  սահմանված ֆինանսական, գործառնական և կազմակերպչական անկախության հարցերը,</w:t>
      </w:r>
    </w:p>
    <w:p w14:paraId="379D73BF" w14:textId="7061E8F1" w:rsidR="007A3170" w:rsidRPr="00A83C94" w:rsidRDefault="007A3170" w:rsidP="007A3170">
      <w:pPr>
        <w:spacing w:line="276" w:lineRule="auto"/>
        <w:ind w:firstLine="426"/>
        <w:rPr>
          <w:b w:val="0"/>
          <w:szCs w:val="22"/>
          <w:lang w:val="hy-AM"/>
        </w:rPr>
      </w:pPr>
      <w:r w:rsidRPr="00A83C94">
        <w:rPr>
          <w:b w:val="0"/>
          <w:szCs w:val="22"/>
          <w:lang w:val="hy-AM"/>
        </w:rPr>
        <w:t>- Հաշվեքննության գործընթացի որակի բարձրացում՝ նկատի ունենալով նաև Հաշվեքննիչ պալատի ՏՏ ենթակառուցվածքների զարգացման հարցերը:</w:t>
      </w:r>
    </w:p>
    <w:p w14:paraId="2E6E43C0" w14:textId="385A8F57" w:rsidR="007A3170" w:rsidRPr="00A83C94" w:rsidRDefault="007A3170" w:rsidP="007A3170">
      <w:pPr>
        <w:spacing w:line="276" w:lineRule="auto"/>
        <w:ind w:firstLine="426"/>
        <w:rPr>
          <w:b w:val="0"/>
          <w:szCs w:val="22"/>
          <w:lang w:val="hy-AM"/>
        </w:rPr>
      </w:pPr>
      <w:r w:rsidRPr="00A83C94">
        <w:rPr>
          <w:b w:val="0"/>
          <w:szCs w:val="22"/>
          <w:lang w:val="hy-AM"/>
        </w:rPr>
        <w:t>- Հաշվեքննիչ պալատում մասնագիտական կարողություների շարունակական զարգացում:</w:t>
      </w:r>
    </w:p>
    <w:p w14:paraId="5729DCAA" w14:textId="4C4FBA63" w:rsidR="007A3170" w:rsidRPr="00A83C94" w:rsidRDefault="007A3170" w:rsidP="007A3170">
      <w:pPr>
        <w:spacing w:line="276" w:lineRule="auto"/>
        <w:ind w:firstLine="426"/>
        <w:rPr>
          <w:b w:val="0"/>
          <w:szCs w:val="22"/>
          <w:lang w:val="hy-AM"/>
        </w:rPr>
      </w:pPr>
      <w:r w:rsidRPr="00A83C94">
        <w:rPr>
          <w:b w:val="0"/>
          <w:szCs w:val="22"/>
          <w:lang w:val="hy-AM"/>
        </w:rPr>
        <w:t xml:space="preserve">- Ազգային ժողովի, կառավարության և այլ շահառուների հետ համագործակցության զարգացում՝ հատկապես նկատի ունենալով հաշվեքննությունից հետո տարվող աշխատանքները՝ follow-up գործընթաց: </w:t>
      </w:r>
    </w:p>
    <w:p w14:paraId="7C033D45" w14:textId="77777777" w:rsidR="007A3170" w:rsidRPr="00A83C94" w:rsidRDefault="007A3170" w:rsidP="007A3170">
      <w:pPr>
        <w:spacing w:line="276" w:lineRule="auto"/>
        <w:ind w:firstLine="426"/>
        <w:rPr>
          <w:b w:val="0"/>
          <w:szCs w:val="22"/>
          <w:lang w:val="hy-AM"/>
        </w:rPr>
      </w:pPr>
      <w:r w:rsidRPr="00A83C94">
        <w:rPr>
          <w:b w:val="0"/>
          <w:szCs w:val="22"/>
          <w:lang w:val="hy-AM"/>
        </w:rPr>
        <w:t xml:space="preserve"> Իր նպատակներին հասնելու համար Հաշվեքննիչ պալատը իրականացնում է գործառույթներ, որոնց վերջնական արդյունքի վերբերյալ գնահատական կարող է հանդիսանալ Հաշվեքննիչ պալատի կատարողականի ինքնագնահատումը:</w:t>
      </w:r>
    </w:p>
    <w:p w14:paraId="23528644" w14:textId="77777777" w:rsidR="007A3170" w:rsidRPr="00A83C94" w:rsidRDefault="007A3170" w:rsidP="007A3170">
      <w:pPr>
        <w:spacing w:line="276" w:lineRule="auto"/>
        <w:ind w:firstLine="426"/>
        <w:rPr>
          <w:b w:val="0"/>
          <w:szCs w:val="22"/>
          <w:lang w:val="hy-AM"/>
        </w:rPr>
      </w:pPr>
      <w:r w:rsidRPr="00A83C94">
        <w:rPr>
          <w:b w:val="0"/>
          <w:szCs w:val="22"/>
          <w:lang w:val="hy-AM"/>
        </w:rPr>
        <w:t>Համաձայն INTOSAI կողմից սահմանված պահանջների, Աուդիտի բարձրագույն մարմինների կատարողականի գնահատումն իրականացվում է 3-5 տարին մեկ:</w:t>
      </w:r>
    </w:p>
    <w:p w14:paraId="2FF59E78" w14:textId="77777777" w:rsidR="007A3170" w:rsidRPr="00A83C94" w:rsidRDefault="007A3170" w:rsidP="007A3170">
      <w:pPr>
        <w:spacing w:line="240" w:lineRule="auto"/>
        <w:rPr>
          <w:rFonts w:cs="Sylfaen"/>
          <w:kern w:val="16"/>
          <w:lang w:val="hy-AM"/>
        </w:rPr>
      </w:pPr>
    </w:p>
    <w:p w14:paraId="3F87BE36" w14:textId="77777777" w:rsidR="00FC7885" w:rsidRPr="00A83C94" w:rsidRDefault="00FC7885" w:rsidP="00832373">
      <w:pPr>
        <w:keepNext/>
        <w:spacing w:before="0" w:line="276" w:lineRule="auto"/>
        <w:ind w:firstLine="0"/>
        <w:contextualSpacing w:val="0"/>
        <w:jc w:val="center"/>
        <w:outlineLvl w:val="2"/>
        <w:rPr>
          <w:rFonts w:cs="Arial"/>
          <w:sz w:val="24"/>
          <w:lang w:val="af-ZA" w:eastAsia="en-US"/>
        </w:rPr>
      </w:pPr>
      <w:bookmarkStart w:id="306" w:name="_Toc83996398"/>
      <w:r w:rsidRPr="00A83C94">
        <w:rPr>
          <w:rFonts w:cs="Arial"/>
          <w:sz w:val="24"/>
          <w:lang w:val="hy-AM" w:eastAsia="en-US"/>
        </w:rPr>
        <w:t>ՀՀ կենտրոնական ընտրական հանձնաժողով</w:t>
      </w:r>
      <w:bookmarkEnd w:id="306"/>
      <w:r w:rsidRPr="00A83C94">
        <w:rPr>
          <w:rFonts w:cs="Arial"/>
          <w:sz w:val="24"/>
          <w:lang w:val="af-ZA" w:eastAsia="en-US"/>
        </w:rPr>
        <w:t xml:space="preserve"> </w:t>
      </w:r>
    </w:p>
    <w:p w14:paraId="5598E313"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Հայաստանի Հանրապետության կենտրոնական ընտրական հանձնաժողովը սահմանադրական կարգավիճակով օժտված անկախ պետական մարմին է, որը կազմակերպում է Ազգային ժողովի և տեղական ինքնակառավարման մարմինների ընտրությունները, հանրաքվեները, ինչպես նաև վերահսկողություն է իրականացնում դրանց օրինականության նկատմամբ: Հանձնաժողովի աշխատանքներն ուղղված են ընտրական գործընթացների պատշաճ կազմակերպմանն ու անցկացմանը, դրանց բարելավմանն ու կատարելագործմանը, ընտրական իրավունքի և ընտրական գործընթացների վերաբերյալ ուսուցումների և դասընթացների կազմակերպմանը, դասավանդման նոր մեթոդաբանության, ուսուցման նոր հարթակների մշակմանն ու ներդրմանը և ընտրական գործընթացների վերաբերյալ հանրային իրազեկման ապահովմանն ու ընդլայնմանը։ Հանձմաժողովը իրականցնում է Ընտրական  գործընթացների  համակարգում,  նախապատրաստում,  հաշվետվական  համակարգի կազմակերպում, վերլուծություն, ընտրական   պաշտոնների վերապատրաստում, քաղաքացիների դիմումների և բողոքների քննարկում: Հանձնաժողովը անդամակցում է Եվրոպայի ընտրական իշխանությունների ասոցիացիա  (ACEEEO) կազմակերպությանը: Գոյություն ունեցող ծախսային պարտավորությունների ապահովման համար իրականացվում են վերլուծություններ, ուսումնասիրություններ, կազմակերպվում են Հանձնաժողովի անդամների և Հանձնաժողովի աշխատակիցների վերապատրաստումներ, անցկացվում են սեմինարներ, կոնֆերանսներ, ապահովվում են շփումներ շահագրգիռ մասնակիցների հետ (կուսակցությունների ներկայացուցիչներ, հասարակական կազմակերպություններ, զանգվածային լրատվության միջոցների ներկայացուցիչներ, տարածքային ընտրական հանձնաժողովներ և այլն)։  </w:t>
      </w:r>
    </w:p>
    <w:p w14:paraId="310F8068" w14:textId="77777777" w:rsidR="00D1245D" w:rsidRPr="00A83C94" w:rsidRDefault="00832373" w:rsidP="00D1245D">
      <w:pPr>
        <w:spacing w:line="276" w:lineRule="auto"/>
        <w:ind w:firstLine="426"/>
        <w:rPr>
          <w:b w:val="0"/>
          <w:szCs w:val="22"/>
          <w:lang w:val="hy-AM"/>
        </w:rPr>
      </w:pPr>
      <w:r w:rsidRPr="00A83C94">
        <w:rPr>
          <w:b w:val="0"/>
          <w:szCs w:val="22"/>
          <w:lang w:val="hy-AM"/>
        </w:rPr>
        <w:t xml:space="preserve">Ընտրական գործընթացների համակարգում, կանոնակարգում և տեղեկատվության տրամադրում ծրագրի շրջանակներում 2022 թվականի համար նախատեսվել է շուրջ 1,268.4 մլն դրամ </w:t>
      </w:r>
      <w:r w:rsidR="00D1245D" w:rsidRPr="00D1245D">
        <w:rPr>
          <w:b w:val="0"/>
          <w:szCs w:val="22"/>
          <w:lang w:val="hy-AM"/>
        </w:rPr>
        <w:t>(ներառյալ կառավարման ապարատի պահպանման ծախսերը)։</w:t>
      </w:r>
      <w:r w:rsidR="00D1245D" w:rsidRPr="00A83C94">
        <w:rPr>
          <w:b w:val="0"/>
          <w:szCs w:val="22"/>
          <w:lang w:val="hy-AM"/>
        </w:rPr>
        <w:t xml:space="preserve"> Ծրագրի նպատակն է օրինական և թափանցիկ ընտրական գործընթացների կազմակերպումը և ապահովումը:</w:t>
      </w:r>
    </w:p>
    <w:p w14:paraId="3ABDF29E" w14:textId="4F5197E7" w:rsidR="00D1245D" w:rsidRPr="00B46595" w:rsidRDefault="00D1245D" w:rsidP="00D1245D">
      <w:pPr>
        <w:spacing w:line="276" w:lineRule="auto"/>
        <w:ind w:firstLine="426"/>
        <w:rPr>
          <w:b w:val="0"/>
          <w:szCs w:val="22"/>
          <w:lang w:val="hy-AM"/>
        </w:rPr>
      </w:pPr>
      <w:r w:rsidRPr="00A83C94">
        <w:rPr>
          <w:b w:val="0"/>
          <w:szCs w:val="22"/>
          <w:lang w:val="hy-AM"/>
        </w:rPr>
        <w:t xml:space="preserve">Ծրագրի շրջանակներում՝ տեղական ինքնակառավարման մարմինների ընտրությունների կազմակերպման նպատակով 2022 թվականի համար նախատեսվել է 827.5 մլն դրամ: Ընտրությունների վրա կատարվող ծախսը մեկ ընտրողի հաշվով կազմում է  1069 դրամ, իսկ առանց ՏԸՀ աշխատավարձերի 188 </w:t>
      </w:r>
      <w:r w:rsidRPr="00D1245D">
        <w:rPr>
          <w:b w:val="0"/>
          <w:szCs w:val="22"/>
          <w:lang w:val="hy-AM"/>
        </w:rPr>
        <w:t>դրամ:</w:t>
      </w:r>
    </w:p>
    <w:p w14:paraId="4A85C847" w14:textId="73DAEEFE" w:rsidR="0028499B" w:rsidRPr="00D1245D" w:rsidRDefault="0028499B" w:rsidP="00D1245D">
      <w:pPr>
        <w:spacing w:line="276" w:lineRule="auto"/>
        <w:ind w:firstLine="426"/>
        <w:rPr>
          <w:lang w:val="hy-AM"/>
        </w:rPr>
      </w:pPr>
    </w:p>
    <w:p w14:paraId="41574C89" w14:textId="316836E0" w:rsidR="00DE47A7" w:rsidRPr="00A30EDC" w:rsidRDefault="0028499B" w:rsidP="00A30EDC">
      <w:pPr>
        <w:pStyle w:val="Heading1"/>
        <w:rPr>
          <w:szCs w:val="28"/>
          <w:lang w:val="hy-AM"/>
        </w:rPr>
      </w:pPr>
      <w:r w:rsidRPr="00EB774C">
        <w:rPr>
          <w:szCs w:val="22"/>
          <w:lang w:val="hy-AM"/>
        </w:rPr>
        <w:br w:type="page"/>
      </w:r>
      <w:bookmarkStart w:id="307" w:name="_Toc83996399"/>
      <w:r w:rsidR="00DE47A7" w:rsidRPr="00EB774C">
        <w:rPr>
          <w:lang w:val="hy-AM"/>
        </w:rPr>
        <w:t>ՎԵՐԼՈՒԾՈՒԹՅՈՒՆՆԵՐ</w:t>
      </w:r>
      <w:bookmarkEnd w:id="307"/>
    </w:p>
    <w:p w14:paraId="060E05D9" w14:textId="77777777" w:rsidR="00EC60AF" w:rsidRPr="00A30EDC" w:rsidRDefault="00EC60AF" w:rsidP="004A39B9">
      <w:pPr>
        <w:spacing w:before="0" w:line="276" w:lineRule="auto"/>
        <w:ind w:firstLine="0"/>
        <w:contextualSpacing w:val="0"/>
        <w:jc w:val="center"/>
        <w:rPr>
          <w:sz w:val="28"/>
          <w:szCs w:val="28"/>
          <w:lang w:val="hy-AM"/>
        </w:rPr>
      </w:pPr>
    </w:p>
    <w:p w14:paraId="4D1FFD88" w14:textId="77777777" w:rsidR="00E81B58" w:rsidRPr="00A83C94" w:rsidRDefault="003342DF" w:rsidP="002F7255">
      <w:pPr>
        <w:pStyle w:val="Heading3"/>
      </w:pPr>
      <w:bookmarkStart w:id="308" w:name="_Toc83996400"/>
      <w:r w:rsidRPr="00A83C94">
        <w:t xml:space="preserve">1. </w:t>
      </w:r>
      <w:r w:rsidR="00E81B58" w:rsidRPr="00A83C94">
        <w:t>ՀԱՅԱՍՏԱՆԻ ՀԱՆՐԱՊԵՏՈՒԹՅԱՆ ՊԵՏԱԿԱՆ ՊԱՐՏՔԸ</w:t>
      </w:r>
      <w:bookmarkEnd w:id="308"/>
    </w:p>
    <w:p w14:paraId="5F4E3B79" w14:textId="77777777" w:rsidR="00DE47A7" w:rsidRPr="00A83C94" w:rsidRDefault="00DE47A7" w:rsidP="007730AA">
      <w:pPr>
        <w:spacing w:before="0" w:line="276" w:lineRule="auto"/>
        <w:rPr>
          <w:szCs w:val="22"/>
          <w:lang w:val="af-ZA" w:eastAsia="en-US"/>
        </w:rPr>
      </w:pPr>
    </w:p>
    <w:p w14:paraId="06CD6489" w14:textId="335B8F46" w:rsidR="003310B6" w:rsidRDefault="003310B6" w:rsidP="003310B6">
      <w:pPr>
        <w:shd w:val="clear" w:color="auto" w:fill="FFFFFF"/>
        <w:spacing w:before="0" w:line="276" w:lineRule="auto"/>
        <w:ind w:firstLine="720"/>
        <w:contextualSpacing w:val="0"/>
        <w:rPr>
          <w:rFonts w:eastAsiaTheme="minorHAnsi" w:cstheme="minorBidi"/>
          <w:b w:val="0"/>
          <w:szCs w:val="22"/>
          <w:lang w:val="hy-AM" w:eastAsia="en-US"/>
        </w:rPr>
      </w:pPr>
      <w:r w:rsidRPr="00F76AE2">
        <w:rPr>
          <w:rFonts w:eastAsiaTheme="minorHAnsi" w:cstheme="minorBidi"/>
          <w:b w:val="0"/>
          <w:szCs w:val="22"/>
          <w:lang w:val="hy-AM" w:eastAsia="en-US"/>
        </w:rPr>
        <w:t>ՀՀ 2022թ. պետական բյուջեի հիմքում դրված կանխատեսումների համաձայն` 2021 թվականի դեկտեմբերի 31-ի դրությամբ պետական պարտքը կկազմի 4,509 մլրդ դրամ կամ ՀՆԱ-ի 64.1%-ը, իսկ 2022 թվականի տարեվերջին այն կկազմի 4,991 մլրդ դրամ կամ ՀՆԱ-ի 63.4%-ը:</w:t>
      </w:r>
    </w:p>
    <w:p w14:paraId="5A944446" w14:textId="77777777" w:rsidR="00CB73F3" w:rsidRPr="00F76AE2" w:rsidRDefault="00CB73F3" w:rsidP="003310B6">
      <w:pPr>
        <w:shd w:val="clear" w:color="auto" w:fill="FFFFFF"/>
        <w:spacing w:before="0" w:line="276" w:lineRule="auto"/>
        <w:ind w:firstLine="720"/>
        <w:contextualSpacing w:val="0"/>
        <w:rPr>
          <w:rFonts w:eastAsiaTheme="minorHAnsi" w:cstheme="minorBidi"/>
          <w:b w:val="0"/>
          <w:szCs w:val="22"/>
          <w:lang w:val="hy-AM" w:eastAsia="en-US"/>
        </w:rPr>
      </w:pPr>
    </w:p>
    <w:tbl>
      <w:tblPr>
        <w:tblStyle w:val="LightShading-Accent19"/>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1770"/>
        <w:gridCol w:w="1770"/>
        <w:gridCol w:w="1770"/>
      </w:tblGrid>
      <w:tr w:rsidR="003310B6" w:rsidRPr="00F76AE2" w14:paraId="40D77DDA" w14:textId="77777777" w:rsidTr="00603B06">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top w:val="none" w:sz="0" w:space="0" w:color="auto"/>
              <w:left w:val="none" w:sz="0" w:space="0" w:color="auto"/>
              <w:bottom w:val="none" w:sz="0" w:space="0" w:color="auto"/>
              <w:right w:val="none" w:sz="0" w:space="0" w:color="auto"/>
            </w:tcBorders>
            <w:hideMark/>
          </w:tcPr>
          <w:p w14:paraId="10968270" w14:textId="77777777" w:rsidR="003310B6" w:rsidRPr="00F76AE2" w:rsidRDefault="003310B6" w:rsidP="00603B06">
            <w:pPr>
              <w:spacing w:before="0" w:line="276" w:lineRule="auto"/>
              <w:ind w:firstLine="0"/>
              <w:contextualSpacing w:val="0"/>
              <w:jc w:val="center"/>
              <w:rPr>
                <w:b/>
                <w:szCs w:val="22"/>
                <w:lang w:val="hy-AM" w:eastAsia="en-US"/>
              </w:rPr>
            </w:pPr>
            <w:r w:rsidRPr="00F76AE2">
              <w:rPr>
                <w:rFonts w:ascii="Courier New" w:hAnsi="Courier New" w:cs="Courier New"/>
                <w:szCs w:val="22"/>
                <w:lang w:val="hy-AM" w:eastAsia="en-US"/>
              </w:rPr>
              <w:t> </w:t>
            </w:r>
          </w:p>
        </w:tc>
        <w:tc>
          <w:tcPr>
            <w:tcW w:w="1770" w:type="dxa"/>
            <w:tcBorders>
              <w:top w:val="none" w:sz="0" w:space="0" w:color="auto"/>
              <w:left w:val="none" w:sz="0" w:space="0" w:color="auto"/>
              <w:bottom w:val="none" w:sz="0" w:space="0" w:color="auto"/>
              <w:right w:val="none" w:sz="0" w:space="0" w:color="auto"/>
            </w:tcBorders>
            <w:hideMark/>
          </w:tcPr>
          <w:p w14:paraId="7916ABAC"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color w:val="auto"/>
                <w:szCs w:val="22"/>
                <w:lang w:val="en-US" w:eastAsia="en-US"/>
              </w:rPr>
            </w:pPr>
            <w:r w:rsidRPr="00F76AE2">
              <w:rPr>
                <w:color w:val="auto"/>
                <w:szCs w:val="22"/>
                <w:lang w:eastAsia="en-US"/>
              </w:rPr>
              <w:t>ա</w:t>
            </w:r>
            <w:r w:rsidRPr="00F76AE2">
              <w:rPr>
                <w:color w:val="auto"/>
                <w:szCs w:val="22"/>
                <w:lang w:val="en-US" w:eastAsia="en-US"/>
              </w:rPr>
              <w:t>ռ 31.12.20</w:t>
            </w:r>
            <w:r w:rsidRPr="00F76AE2">
              <w:rPr>
                <w:color w:val="auto"/>
                <w:szCs w:val="22"/>
                <w:lang w:val="hy-AM" w:eastAsia="en-US"/>
              </w:rPr>
              <w:t>20</w:t>
            </w:r>
            <w:r w:rsidRPr="00F76AE2">
              <w:rPr>
                <w:color w:val="auto"/>
                <w:szCs w:val="22"/>
                <w:lang w:val="en-US" w:eastAsia="en-US"/>
              </w:rPr>
              <w:t>թ.</w:t>
            </w:r>
          </w:p>
        </w:tc>
        <w:tc>
          <w:tcPr>
            <w:tcW w:w="1770" w:type="dxa"/>
            <w:tcBorders>
              <w:top w:val="none" w:sz="0" w:space="0" w:color="auto"/>
              <w:left w:val="none" w:sz="0" w:space="0" w:color="auto"/>
              <w:bottom w:val="none" w:sz="0" w:space="0" w:color="auto"/>
              <w:right w:val="none" w:sz="0" w:space="0" w:color="auto"/>
            </w:tcBorders>
            <w:hideMark/>
          </w:tcPr>
          <w:p w14:paraId="75C4CD08"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color w:val="auto"/>
                <w:szCs w:val="22"/>
                <w:lang w:val="en-US" w:eastAsia="en-US"/>
              </w:rPr>
            </w:pPr>
            <w:r w:rsidRPr="00F76AE2">
              <w:rPr>
                <w:color w:val="auto"/>
                <w:szCs w:val="22"/>
                <w:lang w:val="en-US" w:eastAsia="en-US"/>
              </w:rPr>
              <w:t>առ 31.12.202</w:t>
            </w:r>
            <w:r w:rsidRPr="00F76AE2">
              <w:rPr>
                <w:color w:val="auto"/>
                <w:szCs w:val="22"/>
                <w:lang w:val="hy-AM" w:eastAsia="en-US"/>
              </w:rPr>
              <w:t>1</w:t>
            </w:r>
            <w:r w:rsidRPr="00F76AE2">
              <w:rPr>
                <w:color w:val="auto"/>
                <w:szCs w:val="22"/>
                <w:lang w:val="en-US" w:eastAsia="en-US"/>
              </w:rPr>
              <w:t>թ.</w:t>
            </w:r>
          </w:p>
        </w:tc>
        <w:tc>
          <w:tcPr>
            <w:tcW w:w="1770" w:type="dxa"/>
            <w:tcBorders>
              <w:top w:val="none" w:sz="0" w:space="0" w:color="auto"/>
              <w:left w:val="none" w:sz="0" w:space="0" w:color="auto"/>
              <w:bottom w:val="none" w:sz="0" w:space="0" w:color="auto"/>
              <w:right w:val="none" w:sz="0" w:space="0" w:color="auto"/>
            </w:tcBorders>
            <w:hideMark/>
          </w:tcPr>
          <w:p w14:paraId="19FAAD4F"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color w:val="auto"/>
                <w:szCs w:val="22"/>
                <w:lang w:val="en-US" w:eastAsia="en-US"/>
              </w:rPr>
            </w:pPr>
            <w:r w:rsidRPr="00F76AE2">
              <w:rPr>
                <w:color w:val="auto"/>
                <w:szCs w:val="22"/>
                <w:lang w:val="en-US" w:eastAsia="en-US"/>
              </w:rPr>
              <w:t>առ 31.12.202</w:t>
            </w:r>
            <w:r w:rsidRPr="00F76AE2">
              <w:rPr>
                <w:color w:val="auto"/>
                <w:szCs w:val="22"/>
                <w:lang w:val="hy-AM" w:eastAsia="en-US"/>
              </w:rPr>
              <w:t>2</w:t>
            </w:r>
            <w:r w:rsidRPr="00F76AE2">
              <w:rPr>
                <w:color w:val="auto"/>
                <w:szCs w:val="22"/>
                <w:lang w:val="en-US" w:eastAsia="en-US"/>
              </w:rPr>
              <w:t>թ.</w:t>
            </w:r>
          </w:p>
        </w:tc>
      </w:tr>
      <w:tr w:rsidR="003310B6" w:rsidRPr="00F76AE2" w14:paraId="1562DC5C" w14:textId="77777777" w:rsidTr="00603B0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tcPr>
          <w:p w14:paraId="2603D8FB" w14:textId="77777777" w:rsidR="003310B6" w:rsidRPr="00F76AE2" w:rsidRDefault="003310B6" w:rsidP="00603B06">
            <w:pPr>
              <w:spacing w:before="0" w:line="276" w:lineRule="auto"/>
              <w:ind w:firstLine="0"/>
              <w:contextualSpacing w:val="0"/>
              <w:jc w:val="center"/>
              <w:rPr>
                <w:rFonts w:ascii="Courier New" w:hAnsi="Courier New" w:cs="Courier New"/>
                <w:i/>
                <w:color w:val="auto"/>
                <w:szCs w:val="22"/>
                <w:lang w:val="hy-AM" w:eastAsia="en-US"/>
              </w:rPr>
            </w:pPr>
            <w:r w:rsidRPr="00F76AE2">
              <w:rPr>
                <w:i/>
                <w:iCs/>
                <w:color w:val="auto"/>
                <w:szCs w:val="22"/>
                <w:lang w:val="en-US" w:eastAsia="en-US"/>
              </w:rPr>
              <w:t>մլրդ դրամ</w:t>
            </w:r>
          </w:p>
        </w:tc>
        <w:tc>
          <w:tcPr>
            <w:tcW w:w="1770" w:type="dxa"/>
            <w:tcBorders>
              <w:left w:val="none" w:sz="0" w:space="0" w:color="auto"/>
              <w:right w:val="none" w:sz="0" w:space="0" w:color="auto"/>
            </w:tcBorders>
          </w:tcPr>
          <w:p w14:paraId="7CA7E547" w14:textId="77777777" w:rsidR="003310B6" w:rsidRPr="00F76AE2" w:rsidRDefault="003310B6" w:rsidP="00603B06">
            <w:pPr>
              <w:spacing w:before="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 w:val="0"/>
                <w:bCs/>
                <w:szCs w:val="22"/>
                <w:lang w:val="en-US" w:eastAsia="en-US"/>
              </w:rPr>
            </w:pPr>
            <w:r w:rsidRPr="00F76AE2">
              <w:rPr>
                <w:rFonts w:ascii="Calibri" w:hAnsi="Calibri" w:cs="Calibri"/>
                <w:b w:val="0"/>
                <w:bCs/>
                <w:szCs w:val="22"/>
                <w:lang w:val="en-US" w:eastAsia="en-US"/>
              </w:rPr>
              <w:t> </w:t>
            </w:r>
          </w:p>
        </w:tc>
        <w:tc>
          <w:tcPr>
            <w:tcW w:w="1770" w:type="dxa"/>
            <w:tcBorders>
              <w:left w:val="none" w:sz="0" w:space="0" w:color="auto"/>
              <w:right w:val="none" w:sz="0" w:space="0" w:color="auto"/>
            </w:tcBorders>
            <w:vAlign w:val="bottom"/>
          </w:tcPr>
          <w:p w14:paraId="5013DBAA" w14:textId="77777777" w:rsidR="003310B6" w:rsidRPr="00F76AE2" w:rsidRDefault="003310B6" w:rsidP="00603B06">
            <w:pPr>
              <w:spacing w:line="276" w:lineRule="auto"/>
              <w:jc w:val="center"/>
              <w:cnfStyle w:val="000000100000" w:firstRow="0" w:lastRow="0" w:firstColumn="0" w:lastColumn="0" w:oddVBand="0" w:evenVBand="0" w:oddHBand="1" w:evenHBand="0" w:firstRowFirstColumn="0" w:firstRowLastColumn="0" w:lastRowFirstColumn="0" w:lastRowLastColumn="0"/>
              <w:rPr>
                <w:b w:val="0"/>
                <w:bCs/>
                <w:szCs w:val="22"/>
                <w:lang w:val="en-US" w:eastAsia="en-US"/>
              </w:rPr>
            </w:pPr>
          </w:p>
        </w:tc>
        <w:tc>
          <w:tcPr>
            <w:tcW w:w="1770" w:type="dxa"/>
            <w:tcBorders>
              <w:left w:val="none" w:sz="0" w:space="0" w:color="auto"/>
              <w:right w:val="none" w:sz="0" w:space="0" w:color="auto"/>
            </w:tcBorders>
            <w:vAlign w:val="bottom"/>
          </w:tcPr>
          <w:p w14:paraId="24DEE0CD" w14:textId="77777777" w:rsidR="003310B6" w:rsidRPr="00F76AE2" w:rsidRDefault="003310B6" w:rsidP="00603B06">
            <w:pPr>
              <w:spacing w:line="276" w:lineRule="auto"/>
              <w:cnfStyle w:val="000000100000" w:firstRow="0" w:lastRow="0" w:firstColumn="0" w:lastColumn="0" w:oddVBand="0" w:evenVBand="0" w:oddHBand="1" w:evenHBand="0" w:firstRowFirstColumn="0" w:firstRowLastColumn="0" w:lastRowFirstColumn="0" w:lastRowLastColumn="0"/>
              <w:rPr>
                <w:b w:val="0"/>
                <w:bCs/>
                <w:szCs w:val="22"/>
                <w:lang w:val="en-US" w:eastAsia="en-US"/>
              </w:rPr>
            </w:pPr>
          </w:p>
        </w:tc>
      </w:tr>
      <w:tr w:rsidR="003310B6" w:rsidRPr="00F76AE2" w14:paraId="793E757A" w14:textId="77777777" w:rsidTr="00603B0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0CAC7EA1" w14:textId="77777777" w:rsidR="003310B6" w:rsidRPr="00F76AE2" w:rsidRDefault="003310B6" w:rsidP="00603B06">
            <w:pPr>
              <w:spacing w:before="0" w:line="276" w:lineRule="auto"/>
              <w:ind w:firstLine="0"/>
              <w:contextualSpacing w:val="0"/>
              <w:jc w:val="left"/>
              <w:rPr>
                <w:b/>
                <w:color w:val="auto"/>
                <w:szCs w:val="22"/>
                <w:lang w:val="en-US" w:eastAsia="en-US"/>
              </w:rPr>
            </w:pPr>
            <w:r w:rsidRPr="00F76AE2">
              <w:rPr>
                <w:color w:val="auto"/>
                <w:szCs w:val="22"/>
                <w:lang w:val="en-US" w:eastAsia="en-US"/>
              </w:rPr>
              <w:t>ՀՀ պետական պարտք</w:t>
            </w:r>
          </w:p>
        </w:tc>
        <w:tc>
          <w:tcPr>
            <w:tcW w:w="1770" w:type="dxa"/>
            <w:vAlign w:val="center"/>
          </w:tcPr>
          <w:p w14:paraId="5082ABB9"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color w:val="002060"/>
                <w:szCs w:val="22"/>
              </w:rPr>
            </w:pPr>
            <w:r w:rsidRPr="00F76AE2">
              <w:rPr>
                <w:color w:val="002060"/>
                <w:szCs w:val="22"/>
              </w:rPr>
              <w:t xml:space="preserve">4,164 </w:t>
            </w:r>
          </w:p>
        </w:tc>
        <w:tc>
          <w:tcPr>
            <w:tcW w:w="1770" w:type="dxa"/>
            <w:vAlign w:val="center"/>
          </w:tcPr>
          <w:p w14:paraId="4002ABC1"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color w:val="002060"/>
                <w:szCs w:val="22"/>
              </w:rPr>
            </w:pPr>
            <w:r w:rsidRPr="00F76AE2">
              <w:rPr>
                <w:color w:val="002060"/>
                <w:szCs w:val="22"/>
              </w:rPr>
              <w:t xml:space="preserve">4,509 </w:t>
            </w:r>
          </w:p>
        </w:tc>
        <w:tc>
          <w:tcPr>
            <w:tcW w:w="1770" w:type="dxa"/>
            <w:vAlign w:val="center"/>
          </w:tcPr>
          <w:p w14:paraId="4183D2E5"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color w:val="002060"/>
                <w:szCs w:val="22"/>
              </w:rPr>
            </w:pPr>
            <w:r w:rsidRPr="00F76AE2">
              <w:rPr>
                <w:color w:val="002060"/>
                <w:szCs w:val="22"/>
              </w:rPr>
              <w:t xml:space="preserve">4,991 </w:t>
            </w:r>
          </w:p>
        </w:tc>
      </w:tr>
      <w:tr w:rsidR="003310B6" w:rsidRPr="00F76AE2" w14:paraId="2E3C28BE" w14:textId="77777777" w:rsidTr="00603B0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6C2DC4CD" w14:textId="77777777" w:rsidR="003310B6" w:rsidRPr="00F76AE2" w:rsidRDefault="003310B6" w:rsidP="00603B06">
            <w:pPr>
              <w:spacing w:before="0" w:line="276" w:lineRule="auto"/>
              <w:ind w:firstLine="0"/>
              <w:contextualSpacing w:val="0"/>
              <w:jc w:val="center"/>
              <w:rPr>
                <w:i/>
                <w:color w:val="auto"/>
                <w:szCs w:val="22"/>
                <w:lang w:val="en-US" w:eastAsia="en-US"/>
              </w:rPr>
            </w:pPr>
            <w:r w:rsidRPr="00F76AE2">
              <w:rPr>
                <w:i/>
                <w:color w:val="auto"/>
                <w:szCs w:val="22"/>
                <w:lang w:val="en-US" w:eastAsia="en-US"/>
              </w:rPr>
              <w:t>այդ թվում`</w:t>
            </w:r>
          </w:p>
        </w:tc>
        <w:tc>
          <w:tcPr>
            <w:tcW w:w="1770" w:type="dxa"/>
            <w:tcBorders>
              <w:left w:val="none" w:sz="0" w:space="0" w:color="auto"/>
              <w:right w:val="none" w:sz="0" w:space="0" w:color="auto"/>
            </w:tcBorders>
            <w:vAlign w:val="center"/>
          </w:tcPr>
          <w:p w14:paraId="32E3D380"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r w:rsidRPr="00F76AE2">
              <w:rPr>
                <w:rFonts w:ascii="Courier New" w:hAnsi="Courier New" w:cs="Courier New"/>
                <w:color w:val="002060"/>
                <w:szCs w:val="22"/>
              </w:rPr>
              <w:t> </w:t>
            </w:r>
          </w:p>
        </w:tc>
        <w:tc>
          <w:tcPr>
            <w:tcW w:w="1770" w:type="dxa"/>
            <w:tcBorders>
              <w:left w:val="none" w:sz="0" w:space="0" w:color="auto"/>
              <w:right w:val="none" w:sz="0" w:space="0" w:color="auto"/>
            </w:tcBorders>
            <w:vAlign w:val="center"/>
          </w:tcPr>
          <w:p w14:paraId="6935A60C"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r w:rsidRPr="00F76AE2">
              <w:rPr>
                <w:rFonts w:ascii="Courier New" w:hAnsi="Courier New" w:cs="Courier New"/>
                <w:color w:val="002060"/>
                <w:szCs w:val="22"/>
              </w:rPr>
              <w:t> </w:t>
            </w:r>
          </w:p>
        </w:tc>
        <w:tc>
          <w:tcPr>
            <w:tcW w:w="1770" w:type="dxa"/>
            <w:tcBorders>
              <w:left w:val="none" w:sz="0" w:space="0" w:color="auto"/>
              <w:right w:val="none" w:sz="0" w:space="0" w:color="auto"/>
            </w:tcBorders>
            <w:vAlign w:val="center"/>
          </w:tcPr>
          <w:p w14:paraId="4A2FFE50"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p>
        </w:tc>
      </w:tr>
      <w:tr w:rsidR="003310B6" w:rsidRPr="00F76AE2" w14:paraId="4B5BA614" w14:textId="77777777" w:rsidTr="00603B0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54F3C728" w14:textId="77777777" w:rsidR="003310B6" w:rsidRPr="00F76AE2" w:rsidRDefault="003310B6" w:rsidP="00603B06">
            <w:pPr>
              <w:spacing w:before="0" w:line="276" w:lineRule="auto"/>
              <w:ind w:firstLineChars="100" w:firstLine="220"/>
              <w:contextualSpacing w:val="0"/>
              <w:jc w:val="left"/>
              <w:rPr>
                <w:color w:val="auto"/>
                <w:szCs w:val="22"/>
                <w:lang w:val="en-US" w:eastAsia="en-US"/>
              </w:rPr>
            </w:pPr>
            <w:r w:rsidRPr="00F76AE2">
              <w:rPr>
                <w:color w:val="auto"/>
                <w:szCs w:val="22"/>
                <w:lang w:val="en-US" w:eastAsia="en-US"/>
              </w:rPr>
              <w:t>արտաքին պետական պարտք</w:t>
            </w:r>
          </w:p>
        </w:tc>
        <w:tc>
          <w:tcPr>
            <w:tcW w:w="1770" w:type="dxa"/>
            <w:vAlign w:val="center"/>
          </w:tcPr>
          <w:p w14:paraId="272C23F9"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3,167 </w:t>
            </w:r>
          </w:p>
        </w:tc>
        <w:tc>
          <w:tcPr>
            <w:tcW w:w="1770" w:type="dxa"/>
            <w:vAlign w:val="center"/>
          </w:tcPr>
          <w:p w14:paraId="636CC426"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3,300 </w:t>
            </w:r>
          </w:p>
        </w:tc>
        <w:tc>
          <w:tcPr>
            <w:tcW w:w="1770" w:type="dxa"/>
            <w:vAlign w:val="center"/>
          </w:tcPr>
          <w:p w14:paraId="5EADC496"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3,522 </w:t>
            </w:r>
          </w:p>
        </w:tc>
      </w:tr>
      <w:tr w:rsidR="003310B6" w:rsidRPr="00F76AE2" w14:paraId="5E96396C" w14:textId="77777777" w:rsidTr="00603B0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15FF2336" w14:textId="77777777" w:rsidR="003310B6" w:rsidRPr="00F76AE2" w:rsidRDefault="003310B6" w:rsidP="00603B06">
            <w:pPr>
              <w:spacing w:before="0" w:line="276" w:lineRule="auto"/>
              <w:ind w:firstLineChars="300" w:firstLine="660"/>
              <w:contextualSpacing w:val="0"/>
              <w:jc w:val="left"/>
              <w:rPr>
                <w:i/>
                <w:iCs/>
                <w:color w:val="auto"/>
                <w:szCs w:val="22"/>
                <w:lang w:eastAsia="en-US"/>
              </w:rPr>
            </w:pPr>
            <w:r w:rsidRPr="00F76AE2">
              <w:rPr>
                <w:i/>
                <w:iCs/>
                <w:color w:val="auto"/>
                <w:szCs w:val="22"/>
                <w:lang w:val="en-US" w:eastAsia="en-US"/>
              </w:rPr>
              <w:t>որից</w:t>
            </w:r>
            <w:r w:rsidRPr="00F76AE2">
              <w:rPr>
                <w:i/>
                <w:iCs/>
                <w:color w:val="auto"/>
                <w:szCs w:val="22"/>
                <w:lang w:eastAsia="en-US"/>
              </w:rPr>
              <w:t xml:space="preserve">` </w:t>
            </w:r>
            <w:r w:rsidRPr="00F76AE2">
              <w:rPr>
                <w:i/>
                <w:iCs/>
                <w:color w:val="auto"/>
                <w:szCs w:val="22"/>
                <w:lang w:val="en-US" w:eastAsia="en-US"/>
              </w:rPr>
              <w:t>ՀՀ</w:t>
            </w:r>
            <w:r w:rsidRPr="00F76AE2">
              <w:rPr>
                <w:i/>
                <w:iCs/>
                <w:color w:val="auto"/>
                <w:szCs w:val="22"/>
                <w:lang w:eastAsia="en-US"/>
              </w:rPr>
              <w:t xml:space="preserve"> </w:t>
            </w:r>
            <w:r w:rsidRPr="00F76AE2">
              <w:rPr>
                <w:i/>
                <w:iCs/>
                <w:color w:val="auto"/>
                <w:szCs w:val="22"/>
                <w:lang w:val="en-US" w:eastAsia="en-US"/>
              </w:rPr>
              <w:t>կենտրոնական</w:t>
            </w:r>
            <w:r w:rsidRPr="00F76AE2">
              <w:rPr>
                <w:i/>
                <w:iCs/>
                <w:color w:val="auto"/>
                <w:szCs w:val="22"/>
                <w:lang w:eastAsia="en-US"/>
              </w:rPr>
              <w:t xml:space="preserve"> </w:t>
            </w:r>
            <w:r w:rsidRPr="00F76AE2">
              <w:rPr>
                <w:i/>
                <w:iCs/>
                <w:color w:val="auto"/>
                <w:szCs w:val="22"/>
                <w:lang w:val="en-US" w:eastAsia="en-US"/>
              </w:rPr>
              <w:t>բանկի</w:t>
            </w:r>
            <w:r w:rsidRPr="00F76AE2">
              <w:rPr>
                <w:i/>
                <w:iCs/>
                <w:color w:val="auto"/>
                <w:szCs w:val="22"/>
                <w:lang w:eastAsia="en-US"/>
              </w:rPr>
              <w:t xml:space="preserve"> </w:t>
            </w:r>
            <w:r w:rsidRPr="00F76AE2">
              <w:rPr>
                <w:i/>
                <w:iCs/>
                <w:color w:val="auto"/>
                <w:szCs w:val="22"/>
                <w:lang w:val="en-US" w:eastAsia="en-US"/>
              </w:rPr>
              <w:t>պարտք</w:t>
            </w:r>
            <w:r w:rsidRPr="00F76AE2">
              <w:rPr>
                <w:i/>
                <w:iCs/>
                <w:color w:val="auto"/>
                <w:szCs w:val="22"/>
                <w:lang w:eastAsia="en-US"/>
              </w:rPr>
              <w:t xml:space="preserve"> </w:t>
            </w:r>
          </w:p>
        </w:tc>
        <w:tc>
          <w:tcPr>
            <w:tcW w:w="1770" w:type="dxa"/>
            <w:tcBorders>
              <w:left w:val="none" w:sz="0" w:space="0" w:color="auto"/>
              <w:right w:val="none" w:sz="0" w:space="0" w:color="auto"/>
            </w:tcBorders>
            <w:vAlign w:val="center"/>
          </w:tcPr>
          <w:p w14:paraId="77F68F34"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i/>
                <w:iCs/>
                <w:color w:val="002060"/>
                <w:szCs w:val="22"/>
              </w:rPr>
            </w:pPr>
            <w:r w:rsidRPr="00F76AE2">
              <w:rPr>
                <w:b w:val="0"/>
                <w:i/>
                <w:iCs/>
                <w:color w:val="002060"/>
                <w:szCs w:val="22"/>
              </w:rPr>
              <w:t xml:space="preserve">240 </w:t>
            </w:r>
          </w:p>
        </w:tc>
        <w:tc>
          <w:tcPr>
            <w:tcW w:w="1770" w:type="dxa"/>
            <w:tcBorders>
              <w:left w:val="none" w:sz="0" w:space="0" w:color="auto"/>
              <w:right w:val="none" w:sz="0" w:space="0" w:color="auto"/>
            </w:tcBorders>
            <w:vAlign w:val="center"/>
          </w:tcPr>
          <w:p w14:paraId="48E0ADC2"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i/>
                <w:color w:val="002060"/>
                <w:szCs w:val="22"/>
              </w:rPr>
            </w:pPr>
            <w:r w:rsidRPr="00F76AE2">
              <w:rPr>
                <w:b w:val="0"/>
                <w:i/>
                <w:color w:val="002060"/>
                <w:szCs w:val="22"/>
              </w:rPr>
              <w:t xml:space="preserve">236 </w:t>
            </w:r>
          </w:p>
        </w:tc>
        <w:tc>
          <w:tcPr>
            <w:tcW w:w="1770" w:type="dxa"/>
            <w:tcBorders>
              <w:left w:val="none" w:sz="0" w:space="0" w:color="auto"/>
              <w:right w:val="none" w:sz="0" w:space="0" w:color="auto"/>
            </w:tcBorders>
            <w:vAlign w:val="center"/>
          </w:tcPr>
          <w:p w14:paraId="6E76CCA8"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i/>
                <w:color w:val="002060"/>
                <w:szCs w:val="22"/>
              </w:rPr>
            </w:pPr>
            <w:r w:rsidRPr="00F76AE2">
              <w:rPr>
                <w:b w:val="0"/>
                <w:i/>
                <w:color w:val="002060"/>
                <w:szCs w:val="22"/>
              </w:rPr>
              <w:t xml:space="preserve">250 </w:t>
            </w:r>
          </w:p>
        </w:tc>
      </w:tr>
      <w:tr w:rsidR="003310B6" w:rsidRPr="00F76AE2" w14:paraId="22C78C2A" w14:textId="77777777" w:rsidTr="00603B0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4425CFC2" w14:textId="77777777" w:rsidR="003310B6" w:rsidRPr="00F76AE2" w:rsidRDefault="003310B6" w:rsidP="00603B06">
            <w:pPr>
              <w:spacing w:before="0" w:line="276" w:lineRule="auto"/>
              <w:ind w:firstLineChars="100" w:firstLine="220"/>
              <w:contextualSpacing w:val="0"/>
              <w:jc w:val="left"/>
              <w:rPr>
                <w:color w:val="auto"/>
                <w:szCs w:val="22"/>
                <w:lang w:val="en-US" w:eastAsia="en-US"/>
              </w:rPr>
            </w:pPr>
            <w:r w:rsidRPr="00F76AE2">
              <w:rPr>
                <w:color w:val="auto"/>
                <w:szCs w:val="22"/>
                <w:lang w:val="en-US" w:eastAsia="en-US"/>
              </w:rPr>
              <w:t>ներքին պետական պարտք</w:t>
            </w:r>
          </w:p>
        </w:tc>
        <w:tc>
          <w:tcPr>
            <w:tcW w:w="1770" w:type="dxa"/>
            <w:vAlign w:val="center"/>
          </w:tcPr>
          <w:p w14:paraId="79A0120D"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998 </w:t>
            </w:r>
          </w:p>
        </w:tc>
        <w:tc>
          <w:tcPr>
            <w:tcW w:w="1770" w:type="dxa"/>
            <w:vAlign w:val="center"/>
          </w:tcPr>
          <w:p w14:paraId="0CE16EFE"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1,209 </w:t>
            </w:r>
          </w:p>
        </w:tc>
        <w:tc>
          <w:tcPr>
            <w:tcW w:w="1770" w:type="dxa"/>
            <w:vAlign w:val="center"/>
          </w:tcPr>
          <w:p w14:paraId="3F6BB9E6"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1,469 </w:t>
            </w:r>
          </w:p>
        </w:tc>
      </w:tr>
      <w:tr w:rsidR="003310B6" w:rsidRPr="00F76AE2" w14:paraId="5B2DAC4E" w14:textId="77777777" w:rsidTr="00603B0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tcPr>
          <w:p w14:paraId="5C58F867" w14:textId="77777777" w:rsidR="003310B6" w:rsidRPr="00F76AE2" w:rsidRDefault="003310B6" w:rsidP="00603B06">
            <w:pPr>
              <w:spacing w:before="0" w:line="276" w:lineRule="auto"/>
              <w:ind w:firstLineChars="100" w:firstLine="220"/>
              <w:contextualSpacing w:val="0"/>
              <w:jc w:val="center"/>
              <w:rPr>
                <w:i/>
                <w:color w:val="auto"/>
                <w:szCs w:val="22"/>
                <w:lang w:val="en-US" w:eastAsia="en-US"/>
              </w:rPr>
            </w:pPr>
            <w:r w:rsidRPr="00F76AE2">
              <w:rPr>
                <w:i/>
                <w:color w:val="auto"/>
                <w:szCs w:val="22"/>
                <w:lang w:val="en-US" w:eastAsia="en-US"/>
              </w:rPr>
              <w:t>տոկոսներով ՀՆԱ-ի նկատմամբ</w:t>
            </w:r>
          </w:p>
        </w:tc>
        <w:tc>
          <w:tcPr>
            <w:tcW w:w="1770" w:type="dxa"/>
            <w:tcBorders>
              <w:left w:val="none" w:sz="0" w:space="0" w:color="auto"/>
              <w:right w:val="none" w:sz="0" w:space="0" w:color="auto"/>
            </w:tcBorders>
            <w:vAlign w:val="center"/>
          </w:tcPr>
          <w:p w14:paraId="5C3E7CC1"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Cs/>
                <w:color w:val="002060"/>
                <w:szCs w:val="22"/>
              </w:rPr>
            </w:pPr>
            <w:r w:rsidRPr="00F76AE2">
              <w:rPr>
                <w:rFonts w:ascii="Courier New" w:hAnsi="Courier New" w:cs="Courier New"/>
                <w:b w:val="0"/>
                <w:bCs/>
                <w:color w:val="002060"/>
                <w:szCs w:val="22"/>
              </w:rPr>
              <w:t> </w:t>
            </w:r>
          </w:p>
        </w:tc>
        <w:tc>
          <w:tcPr>
            <w:tcW w:w="1770" w:type="dxa"/>
            <w:tcBorders>
              <w:left w:val="none" w:sz="0" w:space="0" w:color="auto"/>
              <w:right w:val="none" w:sz="0" w:space="0" w:color="auto"/>
            </w:tcBorders>
            <w:vAlign w:val="center"/>
          </w:tcPr>
          <w:p w14:paraId="6444E32F"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p>
        </w:tc>
        <w:tc>
          <w:tcPr>
            <w:tcW w:w="1770" w:type="dxa"/>
            <w:tcBorders>
              <w:left w:val="none" w:sz="0" w:space="0" w:color="auto"/>
              <w:right w:val="none" w:sz="0" w:space="0" w:color="auto"/>
            </w:tcBorders>
            <w:vAlign w:val="center"/>
          </w:tcPr>
          <w:p w14:paraId="41CC7191"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p>
        </w:tc>
      </w:tr>
      <w:tr w:rsidR="003310B6" w:rsidRPr="00F76AE2" w14:paraId="51E7872E" w14:textId="77777777" w:rsidTr="00603B0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02380402" w14:textId="77777777" w:rsidR="003310B6" w:rsidRPr="00F76AE2" w:rsidRDefault="003310B6" w:rsidP="00603B06">
            <w:pPr>
              <w:spacing w:before="0" w:line="276" w:lineRule="auto"/>
              <w:ind w:firstLine="0"/>
              <w:contextualSpacing w:val="0"/>
              <w:jc w:val="left"/>
              <w:rPr>
                <w:b/>
                <w:color w:val="auto"/>
                <w:szCs w:val="22"/>
                <w:lang w:val="en-US" w:eastAsia="en-US"/>
              </w:rPr>
            </w:pPr>
            <w:r w:rsidRPr="00F76AE2">
              <w:rPr>
                <w:color w:val="auto"/>
                <w:szCs w:val="22"/>
                <w:lang w:val="en-US" w:eastAsia="en-US"/>
              </w:rPr>
              <w:t>ՀՀ պետական պարտք</w:t>
            </w:r>
          </w:p>
        </w:tc>
        <w:tc>
          <w:tcPr>
            <w:tcW w:w="1770" w:type="dxa"/>
            <w:vAlign w:val="center"/>
          </w:tcPr>
          <w:p w14:paraId="39FE61C5"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color w:val="002060"/>
                <w:szCs w:val="22"/>
              </w:rPr>
            </w:pPr>
            <w:r w:rsidRPr="00F76AE2">
              <w:rPr>
                <w:color w:val="002060"/>
                <w:szCs w:val="22"/>
              </w:rPr>
              <w:t xml:space="preserve">67.4 </w:t>
            </w:r>
          </w:p>
        </w:tc>
        <w:tc>
          <w:tcPr>
            <w:tcW w:w="1770" w:type="dxa"/>
            <w:vAlign w:val="center"/>
          </w:tcPr>
          <w:p w14:paraId="6EF9A060"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color w:val="002060"/>
                <w:szCs w:val="22"/>
              </w:rPr>
            </w:pPr>
            <w:r w:rsidRPr="00F76AE2">
              <w:rPr>
                <w:color w:val="002060"/>
                <w:szCs w:val="22"/>
              </w:rPr>
              <w:t xml:space="preserve">64.1 </w:t>
            </w:r>
          </w:p>
        </w:tc>
        <w:tc>
          <w:tcPr>
            <w:tcW w:w="1770" w:type="dxa"/>
            <w:vAlign w:val="center"/>
          </w:tcPr>
          <w:p w14:paraId="798A8399"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color w:val="002060"/>
                <w:szCs w:val="22"/>
              </w:rPr>
            </w:pPr>
            <w:r w:rsidRPr="00F76AE2">
              <w:rPr>
                <w:color w:val="002060"/>
                <w:szCs w:val="22"/>
              </w:rPr>
              <w:t xml:space="preserve">63.4 </w:t>
            </w:r>
          </w:p>
        </w:tc>
      </w:tr>
      <w:tr w:rsidR="003310B6" w:rsidRPr="00F76AE2" w14:paraId="133CB377" w14:textId="77777777" w:rsidTr="00603B0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3A39E0A1" w14:textId="77777777" w:rsidR="003310B6" w:rsidRPr="00F76AE2" w:rsidRDefault="003310B6" w:rsidP="00603B06">
            <w:pPr>
              <w:spacing w:before="0" w:line="276" w:lineRule="auto"/>
              <w:ind w:firstLine="0"/>
              <w:contextualSpacing w:val="0"/>
              <w:jc w:val="center"/>
              <w:rPr>
                <w:i/>
                <w:color w:val="auto"/>
                <w:szCs w:val="22"/>
                <w:lang w:val="en-US" w:eastAsia="en-US"/>
              </w:rPr>
            </w:pPr>
            <w:r w:rsidRPr="00F76AE2">
              <w:rPr>
                <w:i/>
                <w:color w:val="auto"/>
                <w:szCs w:val="22"/>
                <w:lang w:val="en-US" w:eastAsia="en-US"/>
              </w:rPr>
              <w:t>այդ թվում`</w:t>
            </w:r>
          </w:p>
        </w:tc>
        <w:tc>
          <w:tcPr>
            <w:tcW w:w="1770" w:type="dxa"/>
            <w:tcBorders>
              <w:left w:val="none" w:sz="0" w:space="0" w:color="auto"/>
              <w:right w:val="none" w:sz="0" w:space="0" w:color="auto"/>
            </w:tcBorders>
            <w:vAlign w:val="center"/>
          </w:tcPr>
          <w:p w14:paraId="596B5010"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r w:rsidRPr="00F76AE2">
              <w:rPr>
                <w:rFonts w:ascii="Courier New" w:hAnsi="Courier New" w:cs="Courier New"/>
                <w:color w:val="002060"/>
                <w:szCs w:val="22"/>
              </w:rPr>
              <w:t> </w:t>
            </w:r>
          </w:p>
        </w:tc>
        <w:tc>
          <w:tcPr>
            <w:tcW w:w="1770" w:type="dxa"/>
            <w:tcBorders>
              <w:left w:val="none" w:sz="0" w:space="0" w:color="auto"/>
              <w:right w:val="none" w:sz="0" w:space="0" w:color="auto"/>
            </w:tcBorders>
            <w:vAlign w:val="center"/>
          </w:tcPr>
          <w:p w14:paraId="04EB4BE9"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r w:rsidRPr="00F76AE2">
              <w:rPr>
                <w:rFonts w:ascii="Courier New" w:hAnsi="Courier New" w:cs="Courier New"/>
                <w:color w:val="002060"/>
                <w:szCs w:val="22"/>
              </w:rPr>
              <w:t> </w:t>
            </w:r>
          </w:p>
        </w:tc>
        <w:tc>
          <w:tcPr>
            <w:tcW w:w="1770" w:type="dxa"/>
            <w:tcBorders>
              <w:left w:val="none" w:sz="0" w:space="0" w:color="auto"/>
              <w:right w:val="none" w:sz="0" w:space="0" w:color="auto"/>
            </w:tcBorders>
            <w:vAlign w:val="center"/>
          </w:tcPr>
          <w:p w14:paraId="51CBD1CE"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color w:val="002060"/>
                <w:szCs w:val="22"/>
              </w:rPr>
            </w:pPr>
          </w:p>
        </w:tc>
      </w:tr>
      <w:tr w:rsidR="003310B6" w:rsidRPr="00F76AE2" w14:paraId="484278F3" w14:textId="77777777" w:rsidTr="00603B0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1ABD97BA" w14:textId="77777777" w:rsidR="003310B6" w:rsidRPr="00F76AE2" w:rsidRDefault="003310B6" w:rsidP="00603B06">
            <w:pPr>
              <w:spacing w:before="0" w:line="276" w:lineRule="auto"/>
              <w:ind w:firstLineChars="100" w:firstLine="220"/>
              <w:contextualSpacing w:val="0"/>
              <w:jc w:val="left"/>
              <w:rPr>
                <w:color w:val="auto"/>
                <w:szCs w:val="22"/>
                <w:lang w:val="en-US" w:eastAsia="en-US"/>
              </w:rPr>
            </w:pPr>
            <w:r w:rsidRPr="00F76AE2">
              <w:rPr>
                <w:color w:val="auto"/>
                <w:szCs w:val="22"/>
                <w:lang w:val="en-US" w:eastAsia="en-US"/>
              </w:rPr>
              <w:t>արտաքին պետական պարտք</w:t>
            </w:r>
          </w:p>
        </w:tc>
        <w:tc>
          <w:tcPr>
            <w:tcW w:w="1770" w:type="dxa"/>
            <w:vAlign w:val="center"/>
          </w:tcPr>
          <w:p w14:paraId="76727696"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51.2 </w:t>
            </w:r>
          </w:p>
        </w:tc>
        <w:tc>
          <w:tcPr>
            <w:tcW w:w="1770" w:type="dxa"/>
            <w:vAlign w:val="center"/>
          </w:tcPr>
          <w:p w14:paraId="203C454A"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46.9 </w:t>
            </w:r>
          </w:p>
        </w:tc>
        <w:tc>
          <w:tcPr>
            <w:tcW w:w="1770" w:type="dxa"/>
            <w:vAlign w:val="center"/>
          </w:tcPr>
          <w:p w14:paraId="433AF7D5"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44.8 </w:t>
            </w:r>
          </w:p>
        </w:tc>
      </w:tr>
      <w:tr w:rsidR="003310B6" w:rsidRPr="00F76AE2" w14:paraId="08666EED" w14:textId="77777777" w:rsidTr="00603B0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3926E290" w14:textId="77777777" w:rsidR="003310B6" w:rsidRPr="00F76AE2" w:rsidRDefault="003310B6" w:rsidP="00603B06">
            <w:pPr>
              <w:spacing w:before="0" w:line="276" w:lineRule="auto"/>
              <w:ind w:firstLineChars="300" w:firstLine="660"/>
              <w:contextualSpacing w:val="0"/>
              <w:jc w:val="left"/>
              <w:rPr>
                <w:i/>
                <w:iCs/>
                <w:color w:val="auto"/>
                <w:szCs w:val="22"/>
                <w:lang w:eastAsia="en-US"/>
              </w:rPr>
            </w:pPr>
            <w:r w:rsidRPr="00F76AE2">
              <w:rPr>
                <w:i/>
                <w:iCs/>
                <w:color w:val="auto"/>
                <w:szCs w:val="22"/>
                <w:lang w:val="en-US" w:eastAsia="en-US"/>
              </w:rPr>
              <w:t>որից</w:t>
            </w:r>
            <w:r w:rsidRPr="00F76AE2">
              <w:rPr>
                <w:i/>
                <w:iCs/>
                <w:color w:val="auto"/>
                <w:szCs w:val="22"/>
                <w:lang w:eastAsia="en-US"/>
              </w:rPr>
              <w:t xml:space="preserve">` </w:t>
            </w:r>
            <w:r w:rsidRPr="00F76AE2">
              <w:rPr>
                <w:i/>
                <w:iCs/>
                <w:color w:val="auto"/>
                <w:szCs w:val="22"/>
                <w:lang w:val="en-US" w:eastAsia="en-US"/>
              </w:rPr>
              <w:t>ՀՀ</w:t>
            </w:r>
            <w:r w:rsidRPr="00F76AE2">
              <w:rPr>
                <w:i/>
                <w:iCs/>
                <w:color w:val="auto"/>
                <w:szCs w:val="22"/>
                <w:lang w:eastAsia="en-US"/>
              </w:rPr>
              <w:t xml:space="preserve"> </w:t>
            </w:r>
            <w:r w:rsidRPr="00F76AE2">
              <w:rPr>
                <w:i/>
                <w:iCs/>
                <w:color w:val="auto"/>
                <w:szCs w:val="22"/>
                <w:lang w:val="en-US" w:eastAsia="en-US"/>
              </w:rPr>
              <w:t>կենտրոնական</w:t>
            </w:r>
            <w:r w:rsidRPr="00F76AE2">
              <w:rPr>
                <w:i/>
                <w:iCs/>
                <w:color w:val="auto"/>
                <w:szCs w:val="22"/>
                <w:lang w:eastAsia="en-US"/>
              </w:rPr>
              <w:t xml:space="preserve"> </w:t>
            </w:r>
            <w:r w:rsidRPr="00F76AE2">
              <w:rPr>
                <w:i/>
                <w:iCs/>
                <w:color w:val="auto"/>
                <w:szCs w:val="22"/>
                <w:lang w:val="en-US" w:eastAsia="en-US"/>
              </w:rPr>
              <w:t>բանկի</w:t>
            </w:r>
            <w:r w:rsidRPr="00F76AE2">
              <w:rPr>
                <w:i/>
                <w:iCs/>
                <w:color w:val="auto"/>
                <w:szCs w:val="22"/>
                <w:lang w:eastAsia="en-US"/>
              </w:rPr>
              <w:t xml:space="preserve"> </w:t>
            </w:r>
            <w:r w:rsidRPr="00F76AE2">
              <w:rPr>
                <w:i/>
                <w:iCs/>
                <w:color w:val="auto"/>
                <w:szCs w:val="22"/>
                <w:lang w:val="en-US" w:eastAsia="en-US"/>
              </w:rPr>
              <w:t>պարտք</w:t>
            </w:r>
            <w:r w:rsidRPr="00F76AE2">
              <w:rPr>
                <w:i/>
                <w:iCs/>
                <w:color w:val="auto"/>
                <w:szCs w:val="22"/>
                <w:lang w:eastAsia="en-US"/>
              </w:rPr>
              <w:t xml:space="preserve"> </w:t>
            </w:r>
          </w:p>
        </w:tc>
        <w:tc>
          <w:tcPr>
            <w:tcW w:w="1770" w:type="dxa"/>
            <w:tcBorders>
              <w:left w:val="none" w:sz="0" w:space="0" w:color="auto"/>
              <w:right w:val="none" w:sz="0" w:space="0" w:color="auto"/>
            </w:tcBorders>
            <w:vAlign w:val="center"/>
          </w:tcPr>
          <w:p w14:paraId="23CE7173"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i/>
                <w:iCs/>
                <w:color w:val="002060"/>
                <w:szCs w:val="22"/>
              </w:rPr>
            </w:pPr>
            <w:r w:rsidRPr="00F76AE2">
              <w:rPr>
                <w:b w:val="0"/>
                <w:i/>
                <w:iCs/>
                <w:color w:val="002060"/>
                <w:szCs w:val="22"/>
              </w:rPr>
              <w:t xml:space="preserve">3.9 </w:t>
            </w:r>
          </w:p>
        </w:tc>
        <w:tc>
          <w:tcPr>
            <w:tcW w:w="1770" w:type="dxa"/>
            <w:tcBorders>
              <w:left w:val="none" w:sz="0" w:space="0" w:color="auto"/>
              <w:right w:val="none" w:sz="0" w:space="0" w:color="auto"/>
            </w:tcBorders>
            <w:vAlign w:val="center"/>
          </w:tcPr>
          <w:p w14:paraId="41E31907"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i/>
                <w:color w:val="002060"/>
                <w:szCs w:val="22"/>
              </w:rPr>
            </w:pPr>
            <w:r w:rsidRPr="00F76AE2">
              <w:rPr>
                <w:b w:val="0"/>
                <w:i/>
                <w:color w:val="002060"/>
                <w:szCs w:val="22"/>
              </w:rPr>
              <w:t xml:space="preserve">3.3 </w:t>
            </w:r>
          </w:p>
        </w:tc>
        <w:tc>
          <w:tcPr>
            <w:tcW w:w="1770" w:type="dxa"/>
            <w:tcBorders>
              <w:left w:val="none" w:sz="0" w:space="0" w:color="auto"/>
              <w:right w:val="none" w:sz="0" w:space="0" w:color="auto"/>
            </w:tcBorders>
            <w:vAlign w:val="center"/>
          </w:tcPr>
          <w:p w14:paraId="4043E9A0"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i/>
                <w:color w:val="002060"/>
                <w:szCs w:val="22"/>
              </w:rPr>
            </w:pPr>
            <w:r w:rsidRPr="00F76AE2">
              <w:rPr>
                <w:b w:val="0"/>
                <w:i/>
                <w:color w:val="002060"/>
                <w:szCs w:val="22"/>
              </w:rPr>
              <w:t xml:space="preserve">3.2 </w:t>
            </w:r>
          </w:p>
        </w:tc>
      </w:tr>
      <w:tr w:rsidR="003310B6" w:rsidRPr="00F76AE2" w14:paraId="6E700FF3" w14:textId="77777777" w:rsidTr="00603B06">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5CBA3EBB" w14:textId="77777777" w:rsidR="003310B6" w:rsidRPr="00F76AE2" w:rsidRDefault="003310B6" w:rsidP="00603B06">
            <w:pPr>
              <w:spacing w:before="0" w:line="276" w:lineRule="auto"/>
              <w:ind w:firstLineChars="100" w:firstLine="220"/>
              <w:contextualSpacing w:val="0"/>
              <w:jc w:val="left"/>
              <w:rPr>
                <w:color w:val="auto"/>
                <w:szCs w:val="22"/>
                <w:lang w:val="en-US" w:eastAsia="en-US"/>
              </w:rPr>
            </w:pPr>
            <w:r w:rsidRPr="00F76AE2">
              <w:rPr>
                <w:color w:val="auto"/>
                <w:szCs w:val="22"/>
                <w:lang w:val="en-US" w:eastAsia="en-US"/>
              </w:rPr>
              <w:t>ներքին պետական պարտք</w:t>
            </w:r>
          </w:p>
        </w:tc>
        <w:tc>
          <w:tcPr>
            <w:tcW w:w="1770" w:type="dxa"/>
            <w:vAlign w:val="center"/>
          </w:tcPr>
          <w:p w14:paraId="70057475"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16.1 </w:t>
            </w:r>
          </w:p>
        </w:tc>
        <w:tc>
          <w:tcPr>
            <w:tcW w:w="1770" w:type="dxa"/>
            <w:vAlign w:val="center"/>
          </w:tcPr>
          <w:p w14:paraId="1C519542"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17.2 </w:t>
            </w:r>
          </w:p>
        </w:tc>
        <w:tc>
          <w:tcPr>
            <w:tcW w:w="1770" w:type="dxa"/>
            <w:vAlign w:val="center"/>
          </w:tcPr>
          <w:p w14:paraId="00D7B60F"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002060"/>
                <w:szCs w:val="22"/>
              </w:rPr>
            </w:pPr>
            <w:r w:rsidRPr="00F76AE2">
              <w:rPr>
                <w:b w:val="0"/>
                <w:color w:val="002060"/>
                <w:szCs w:val="22"/>
              </w:rPr>
              <w:t xml:space="preserve">18.7 </w:t>
            </w:r>
          </w:p>
        </w:tc>
      </w:tr>
    </w:tbl>
    <w:p w14:paraId="5C20C773" w14:textId="77777777" w:rsidR="003310B6" w:rsidRPr="00F76AE2" w:rsidRDefault="003310B6" w:rsidP="003310B6">
      <w:pPr>
        <w:spacing w:before="0" w:after="200" w:line="276" w:lineRule="auto"/>
        <w:ind w:firstLine="0"/>
        <w:contextualSpacing w:val="0"/>
        <w:jc w:val="left"/>
        <w:rPr>
          <w:rFonts w:eastAsiaTheme="minorHAnsi" w:cs="Sylfaen"/>
          <w:szCs w:val="22"/>
          <w:u w:val="single"/>
          <w:lang w:eastAsia="en-US"/>
        </w:rPr>
      </w:pPr>
    </w:p>
    <w:p w14:paraId="70907AFD" w14:textId="77777777" w:rsidR="003310B6" w:rsidRPr="00F76AE2" w:rsidRDefault="003310B6" w:rsidP="003310B6">
      <w:pPr>
        <w:pStyle w:val="Heading3"/>
        <w:spacing w:line="276" w:lineRule="auto"/>
        <w:rPr>
          <w:sz w:val="22"/>
          <w:szCs w:val="22"/>
        </w:rPr>
      </w:pPr>
      <w:bookmarkStart w:id="309" w:name="_Toc83996401"/>
      <w:r w:rsidRPr="00F76AE2">
        <w:rPr>
          <w:sz w:val="22"/>
          <w:szCs w:val="22"/>
        </w:rPr>
        <w:t>ՀԱՅԱՍՏԱՆԻ ՀԱՆՐԱՊԵՏՈՒԹՅԱՆ ԿԱՌԱՎԱՐՈՒԹՅԱՆ ՊԱՐՏՔԸ</w:t>
      </w:r>
      <w:bookmarkEnd w:id="309"/>
    </w:p>
    <w:p w14:paraId="71CB318B" w14:textId="77777777" w:rsidR="003310B6" w:rsidRPr="00F76AE2" w:rsidRDefault="003310B6" w:rsidP="003310B6">
      <w:pPr>
        <w:shd w:val="clear" w:color="auto" w:fill="FFFFFF"/>
        <w:spacing w:before="0" w:line="276" w:lineRule="auto"/>
        <w:ind w:firstLine="720"/>
        <w:contextualSpacing w:val="0"/>
        <w:rPr>
          <w:rFonts w:eastAsiaTheme="minorHAnsi" w:cs="Arial"/>
          <w:b w:val="0"/>
          <w:szCs w:val="22"/>
          <w:lang w:val="af-ZA" w:eastAsia="en-US"/>
        </w:rPr>
      </w:pPr>
      <w:r w:rsidRPr="00F76AE2">
        <w:rPr>
          <w:rFonts w:eastAsiaTheme="minorHAnsi" w:cs="Arial"/>
          <w:b w:val="0"/>
          <w:szCs w:val="22"/>
          <w:lang w:val="hy-AM" w:eastAsia="en-US"/>
        </w:rPr>
        <w:t>Կառավարության</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պարտքի</w:t>
      </w:r>
      <w:r w:rsidRPr="00F76AE2">
        <w:rPr>
          <w:rFonts w:eastAsiaTheme="minorHAnsi" w:cs="Arial"/>
          <w:b w:val="0"/>
          <w:szCs w:val="22"/>
          <w:lang w:val="af-ZA" w:eastAsia="en-US"/>
        </w:rPr>
        <w:t xml:space="preserve"> 202</w:t>
      </w:r>
      <w:r w:rsidRPr="00F76AE2">
        <w:rPr>
          <w:rFonts w:eastAsiaTheme="minorHAnsi" w:cs="Arial"/>
          <w:b w:val="0"/>
          <w:szCs w:val="22"/>
          <w:lang w:val="hy-AM" w:eastAsia="en-US"/>
        </w:rPr>
        <w:t>1</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և</w:t>
      </w:r>
      <w:r w:rsidRPr="00F76AE2">
        <w:rPr>
          <w:rFonts w:eastAsiaTheme="minorHAnsi" w:cs="Arial"/>
          <w:b w:val="0"/>
          <w:szCs w:val="22"/>
          <w:lang w:val="af-ZA" w:eastAsia="en-US"/>
        </w:rPr>
        <w:t xml:space="preserve"> 202</w:t>
      </w:r>
      <w:r w:rsidRPr="00F76AE2">
        <w:rPr>
          <w:rFonts w:eastAsiaTheme="minorHAnsi" w:cs="Arial"/>
          <w:b w:val="0"/>
          <w:szCs w:val="22"/>
          <w:lang w:val="hy-AM" w:eastAsia="en-US"/>
        </w:rPr>
        <w:t>2</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թվականների</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կանխատեսումները</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կատարվել</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են</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հիմք</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ընդունելով</w:t>
      </w:r>
      <w:r w:rsidRPr="00F76AE2">
        <w:rPr>
          <w:rFonts w:eastAsiaTheme="minorHAnsi" w:cs="Arial"/>
          <w:b w:val="0"/>
          <w:szCs w:val="22"/>
          <w:lang w:val="af-ZA" w:eastAsia="en-US"/>
        </w:rPr>
        <w:t xml:space="preserve"> </w:t>
      </w:r>
      <w:r w:rsidRPr="00F76AE2">
        <w:rPr>
          <w:rFonts w:eastAsiaTheme="minorHAnsi" w:cs="Arial"/>
          <w:b w:val="0"/>
          <w:szCs w:val="22"/>
          <w:lang w:val="hy-AM" w:eastAsia="en-US"/>
        </w:rPr>
        <w:t>հետևյալը</w:t>
      </w:r>
      <w:r w:rsidRPr="00F76AE2">
        <w:rPr>
          <w:rFonts w:eastAsiaTheme="minorHAnsi" w:cs="Arial"/>
          <w:b w:val="0"/>
          <w:szCs w:val="22"/>
          <w:lang w:val="af-ZA" w:eastAsia="en-US"/>
        </w:rPr>
        <w:t>.</w:t>
      </w:r>
    </w:p>
    <w:p w14:paraId="1B38A898" w14:textId="77777777" w:rsidR="003310B6" w:rsidRPr="00F76AE2" w:rsidRDefault="003310B6" w:rsidP="003310B6">
      <w:pPr>
        <w:pStyle w:val="ListParagraph"/>
        <w:numPr>
          <w:ilvl w:val="0"/>
          <w:numId w:val="14"/>
        </w:numPr>
        <w:shd w:val="clear" w:color="auto" w:fill="FFFFFF"/>
        <w:spacing w:before="0" w:after="120" w:line="276" w:lineRule="auto"/>
        <w:ind w:left="426" w:hanging="284"/>
        <w:contextualSpacing w:val="0"/>
        <w:rPr>
          <w:rFonts w:eastAsiaTheme="minorHAnsi" w:cstheme="minorBidi"/>
          <w:b w:val="0"/>
          <w:szCs w:val="22"/>
          <w:lang w:val="af-ZA" w:eastAsia="en-US"/>
        </w:rPr>
      </w:pPr>
      <w:r w:rsidRPr="00F76AE2">
        <w:rPr>
          <w:rFonts w:eastAsiaTheme="minorHAnsi" w:cstheme="minorBidi"/>
          <w:b w:val="0"/>
          <w:szCs w:val="22"/>
          <w:lang w:eastAsia="en-US"/>
        </w:rPr>
        <w:t>ՀՀ</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1</w:t>
      </w:r>
      <w:r w:rsidRPr="00F76AE2">
        <w:rPr>
          <w:rFonts w:eastAsiaTheme="minorHAnsi" w:cstheme="minorBidi"/>
          <w:b w:val="0"/>
          <w:szCs w:val="22"/>
          <w:lang w:val="en-US" w:eastAsia="en-US"/>
        </w:rPr>
        <w:t>թ</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բյուջեի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պակասուրդի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զուտ</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ֆինանսավորումը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պարտքային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գործիքների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հաշվին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կիրականացվի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56</w:t>
      </w:r>
      <w:r w:rsidRPr="00F76AE2">
        <w:rPr>
          <w:rFonts w:eastAsiaTheme="minorHAnsi" w:cstheme="minorBidi"/>
          <w:b w:val="0"/>
          <w:szCs w:val="22"/>
          <w:lang w:val="af-ZA" w:eastAsia="en-US"/>
        </w:rPr>
        <w:t xml:space="preserve">3.8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չափով</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որից</w:t>
      </w:r>
      <w:r w:rsidRPr="00F76AE2">
        <w:rPr>
          <w:rFonts w:eastAsiaTheme="minorHAnsi" w:cstheme="minorBidi"/>
          <w:b w:val="0"/>
          <w:szCs w:val="22"/>
          <w:lang w:val="af-ZA" w:eastAsia="en-US"/>
        </w:rPr>
        <w:t>.</w:t>
      </w:r>
    </w:p>
    <w:p w14:paraId="67A895E0" w14:textId="77777777" w:rsidR="003310B6" w:rsidRPr="00F76AE2" w:rsidRDefault="003310B6" w:rsidP="003310B6">
      <w:pPr>
        <w:pStyle w:val="ListParagraph"/>
        <w:numPr>
          <w:ilvl w:val="0"/>
          <w:numId w:val="49"/>
        </w:numPr>
        <w:shd w:val="clear" w:color="auto" w:fill="FFFFFF"/>
        <w:spacing w:before="0" w:after="120" w:line="276" w:lineRule="auto"/>
        <w:ind w:left="990"/>
        <w:contextualSpacing w:val="0"/>
        <w:rPr>
          <w:rFonts w:eastAsiaTheme="minorHAnsi" w:cstheme="minorBidi"/>
          <w:b w:val="0"/>
          <w:szCs w:val="22"/>
          <w:lang w:val="af-ZA" w:eastAsia="en-US"/>
        </w:rPr>
      </w:pPr>
      <w:r w:rsidRPr="00F76AE2">
        <w:rPr>
          <w:rFonts w:eastAsiaTheme="minorHAnsi" w:cstheme="minorBidi"/>
          <w:b w:val="0"/>
          <w:szCs w:val="22"/>
          <w:lang w:val="hy-AM" w:eastAsia="en-US"/>
        </w:rPr>
        <w:t>203.6</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գանձապետական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պարտատոմսերի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հաշվին՝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սկզբանե</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պլանավորված</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210</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դիմաց</w:t>
      </w:r>
      <w:r w:rsidRPr="00F76AE2">
        <w:rPr>
          <w:rFonts w:eastAsiaTheme="minorHAnsi" w:cstheme="minorBidi"/>
          <w:b w:val="0"/>
          <w:szCs w:val="22"/>
          <w:lang w:val="af-ZA" w:eastAsia="en-US"/>
        </w:rPr>
        <w:t>,</w:t>
      </w:r>
    </w:p>
    <w:p w14:paraId="498A973A" w14:textId="77777777" w:rsidR="003310B6" w:rsidRPr="00F76AE2" w:rsidRDefault="003310B6" w:rsidP="003310B6">
      <w:pPr>
        <w:pStyle w:val="ListParagraph"/>
        <w:numPr>
          <w:ilvl w:val="0"/>
          <w:numId w:val="49"/>
        </w:numPr>
        <w:shd w:val="clear" w:color="auto" w:fill="FFFFFF"/>
        <w:spacing w:before="0" w:after="120" w:line="276" w:lineRule="auto"/>
        <w:ind w:left="990"/>
        <w:contextualSpacing w:val="0"/>
        <w:rPr>
          <w:rFonts w:eastAsiaTheme="minorHAnsi" w:cstheme="minorBidi"/>
          <w:b w:val="0"/>
          <w:szCs w:val="22"/>
          <w:lang w:val="af-ZA" w:eastAsia="en-US"/>
        </w:rPr>
      </w:pPr>
      <w:r w:rsidRPr="00F76AE2">
        <w:rPr>
          <w:rFonts w:eastAsiaTheme="minorHAnsi" w:cstheme="minorBidi"/>
          <w:b w:val="0"/>
          <w:szCs w:val="22"/>
          <w:lang w:val="af-ZA" w:eastAsia="en-US"/>
        </w:rPr>
        <w:t xml:space="preserve">(-18.5) </w:t>
      </w:r>
      <w:r w:rsidRPr="00F76AE2">
        <w:rPr>
          <w:rFonts w:eastAsiaTheme="minorHAnsi" w:cstheme="minorBidi"/>
          <w:b w:val="0"/>
          <w:szCs w:val="22"/>
          <w:lang w:val="hy-AM"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դրամը</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արտաքին</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վարկերի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հաշվին՝</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սկզբանե</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պլանավորված</w:t>
      </w:r>
      <w:r w:rsidRPr="00F76AE2">
        <w:rPr>
          <w:rFonts w:eastAsiaTheme="minorHAnsi" w:cstheme="minorBidi"/>
          <w:b w:val="0"/>
          <w:szCs w:val="22"/>
          <w:lang w:val="af-ZA" w:eastAsia="en-US"/>
        </w:rPr>
        <w:t xml:space="preserve"> 26.1 </w:t>
      </w:r>
      <w:r w:rsidRPr="00F76AE2">
        <w:rPr>
          <w:rFonts w:eastAsiaTheme="minorHAnsi" w:cstheme="minorBidi"/>
          <w:b w:val="0"/>
          <w:szCs w:val="22"/>
          <w:lang w:val="hy-AM"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դրամի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 xml:space="preserve">դիմաց (նպատակային վարկերի գծով մասհանումներ՝ 201 մլն ԱՄՆ դոլար </w:t>
      </w:r>
      <w:r w:rsidRPr="00F76AE2">
        <w:rPr>
          <w:rFonts w:eastAsiaTheme="minorHAnsi" w:cstheme="minorBidi"/>
          <w:b w:val="0"/>
          <w:szCs w:val="22"/>
          <w:lang w:val="af-ZA" w:eastAsia="en-US"/>
        </w:rPr>
        <w:t>(</w:t>
      </w:r>
      <w:r w:rsidRPr="00F76AE2">
        <w:rPr>
          <w:rFonts w:eastAsiaTheme="minorHAnsi" w:cstheme="minorBidi"/>
          <w:b w:val="0"/>
          <w:szCs w:val="22"/>
          <w:lang w:val="hy-AM" w:eastAsia="en-US"/>
        </w:rPr>
        <w:t>100.</w:t>
      </w:r>
      <w:r w:rsidRPr="00F76AE2">
        <w:rPr>
          <w:rFonts w:eastAsiaTheme="minorHAnsi" w:cstheme="minorBidi"/>
          <w:b w:val="0"/>
          <w:szCs w:val="22"/>
          <w:lang w:val="af-ZA" w:eastAsia="en-US"/>
        </w:rPr>
        <w:t>5</w:t>
      </w:r>
      <w:r w:rsidRPr="00F76AE2">
        <w:rPr>
          <w:rFonts w:eastAsiaTheme="minorHAnsi" w:cstheme="minorBidi"/>
          <w:b w:val="0"/>
          <w:szCs w:val="22"/>
          <w:lang w:val="hy-AM" w:eastAsia="en-US"/>
        </w:rPr>
        <w:t xml:space="preserve"> մլրդ դրամ</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ի սկզբանե պլանավորված 208.2 մլն ԱՄՆ դոլարի դիմաց, բյուջետային աջակցության վարկերի գծով մասհանումներ չեն նախատեսվել քանի որ 2021թ. պետական բյուջեով պլանավորված բյուջետային աջակցության 100 մլն ԱՄՆ դոլարի վարկի ներգրավման գործընթացի կասեցվել է և արտաքին վարկերի գծով</w:t>
      </w:r>
      <w:r w:rsidRPr="00F76AE2">
        <w:rPr>
          <w:rFonts w:eastAsiaTheme="minorHAnsi" w:cstheme="minorBidi"/>
          <w:b w:val="0"/>
          <w:szCs w:val="22"/>
          <w:lang w:val="af-ZA" w:eastAsia="en-US"/>
        </w:rPr>
        <w:t xml:space="preserve"> մարումներ՝ </w:t>
      </w:r>
      <w:r w:rsidRPr="00F76AE2">
        <w:rPr>
          <w:rFonts w:eastAsiaTheme="minorHAnsi" w:cstheme="minorBidi"/>
          <w:b w:val="0"/>
          <w:szCs w:val="22"/>
          <w:lang w:val="hy-AM" w:eastAsia="en-US"/>
        </w:rPr>
        <w:t>1</w:t>
      </w:r>
      <w:r w:rsidRPr="00F76AE2">
        <w:rPr>
          <w:rFonts w:eastAsiaTheme="minorHAnsi" w:cstheme="minorBidi"/>
          <w:b w:val="0"/>
          <w:szCs w:val="22"/>
          <w:lang w:val="af-ZA" w:eastAsia="en-US"/>
        </w:rPr>
        <w:t>19.0</w:t>
      </w:r>
      <w:r w:rsidRPr="00F76AE2">
        <w:rPr>
          <w:rFonts w:eastAsiaTheme="minorHAnsi" w:cstheme="minorBidi"/>
          <w:b w:val="0"/>
          <w:szCs w:val="22"/>
          <w:lang w:val="hy-AM" w:eastAsia="en-US"/>
        </w:rPr>
        <w:t xml:space="preserve"> մլրդ դրամ՝</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սկզբանե</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պլանավորված</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126.1 մլրդ դրամի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դիմաց</w:t>
      </w:r>
      <w:r w:rsidRPr="00F76AE2">
        <w:rPr>
          <w:rFonts w:eastAsiaTheme="minorHAnsi" w:cstheme="minorBidi"/>
          <w:b w:val="0"/>
          <w:szCs w:val="22"/>
          <w:lang w:val="af-ZA" w:eastAsia="en-US"/>
        </w:rPr>
        <w:t>),</w:t>
      </w:r>
    </w:p>
    <w:p w14:paraId="64D878A4" w14:textId="77777777" w:rsidR="003310B6" w:rsidRPr="00F76AE2" w:rsidRDefault="003310B6" w:rsidP="003310B6">
      <w:pPr>
        <w:pStyle w:val="ListParagraph"/>
        <w:numPr>
          <w:ilvl w:val="0"/>
          <w:numId w:val="49"/>
        </w:numPr>
        <w:shd w:val="clear" w:color="auto" w:fill="FFFFFF"/>
        <w:spacing w:before="0" w:after="120" w:line="276" w:lineRule="auto"/>
        <w:ind w:left="990"/>
        <w:contextualSpacing w:val="0"/>
        <w:rPr>
          <w:rFonts w:eastAsiaTheme="minorHAnsi" w:cstheme="minorBidi"/>
          <w:b w:val="0"/>
          <w:szCs w:val="22"/>
          <w:lang w:val="af-ZA" w:eastAsia="en-US"/>
        </w:rPr>
      </w:pPr>
      <w:r w:rsidRPr="00F76AE2">
        <w:rPr>
          <w:rFonts w:eastAsiaTheme="minorHAnsi" w:cstheme="minorBidi"/>
          <w:b w:val="0"/>
          <w:szCs w:val="22"/>
          <w:lang w:val="hy-AM" w:eastAsia="en-US"/>
        </w:rPr>
        <w:t>378.7</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արտարժութային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պարտատոմսերի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հաշվին՝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սկզբանե</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պլանավորված</w:t>
      </w:r>
      <w:r w:rsidRPr="00F76AE2">
        <w:rPr>
          <w:rFonts w:eastAsiaTheme="minorHAnsi" w:cstheme="minorBidi"/>
          <w:b w:val="0"/>
          <w:szCs w:val="22"/>
          <w:lang w:val="hy-AM" w:eastAsia="en-US"/>
        </w:rPr>
        <w:t xml:space="preserve"> 241.9 մլրդ դրամի դիմաց</w:t>
      </w:r>
      <w:r w:rsidRPr="00F76AE2">
        <w:rPr>
          <w:rFonts w:eastAsiaTheme="minorHAnsi" w:cstheme="minorBidi"/>
          <w:b w:val="0"/>
          <w:szCs w:val="22"/>
          <w:lang w:val="af-ZA" w:eastAsia="en-US"/>
        </w:rPr>
        <w:t>,</w:t>
      </w:r>
    </w:p>
    <w:p w14:paraId="5F990CFC" w14:textId="77777777" w:rsidR="003310B6" w:rsidRPr="00F76AE2" w:rsidRDefault="003310B6" w:rsidP="003310B6">
      <w:pPr>
        <w:pStyle w:val="ListParagraph"/>
        <w:numPr>
          <w:ilvl w:val="0"/>
          <w:numId w:val="14"/>
        </w:numPr>
        <w:shd w:val="clear" w:color="auto" w:fill="FFFFFF"/>
        <w:spacing w:before="0" w:after="120" w:line="276" w:lineRule="auto"/>
        <w:ind w:left="426" w:hanging="284"/>
        <w:contextualSpacing w:val="0"/>
        <w:rPr>
          <w:rFonts w:eastAsiaTheme="minorHAnsi" w:cstheme="minorBidi"/>
          <w:b w:val="0"/>
          <w:szCs w:val="22"/>
          <w:lang w:val="af-ZA" w:eastAsia="en-US"/>
        </w:rPr>
      </w:pPr>
      <w:r w:rsidRPr="00F76AE2">
        <w:rPr>
          <w:rFonts w:eastAsiaTheme="minorHAnsi" w:cs="Arial"/>
          <w:b w:val="0"/>
          <w:szCs w:val="22"/>
          <w:lang w:val="en-US" w:eastAsia="en-US"/>
        </w:rPr>
        <w:t>ՀՀ</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2</w:t>
      </w:r>
      <w:r w:rsidRPr="00F76AE2">
        <w:rPr>
          <w:rFonts w:eastAsiaTheme="minorHAnsi" w:cstheme="minorBidi"/>
          <w:b w:val="0"/>
          <w:szCs w:val="22"/>
          <w:lang w:val="en-US" w:eastAsia="en-US"/>
        </w:rPr>
        <w:t>թ</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բյուջեի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նախագծի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հիմքում</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դրված</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պակասուրդի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ֆինանսավորման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սցենարը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որի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համաձայն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զուտ</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ֆինանսավորումը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պարտքային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գործիքների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հաշվին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կիրականացվի</w:t>
      </w:r>
      <w:r w:rsidRPr="00F76AE2">
        <w:rPr>
          <w:rFonts w:eastAsiaTheme="minorHAnsi" w:cstheme="minorBidi"/>
          <w:b w:val="0"/>
          <w:szCs w:val="22"/>
          <w:lang w:val="af-ZA" w:eastAsia="en-US"/>
        </w:rPr>
        <w:t xml:space="preserve"> 3</w:t>
      </w:r>
      <w:r w:rsidRPr="00F76AE2">
        <w:rPr>
          <w:rFonts w:eastAsiaTheme="minorHAnsi" w:cstheme="minorBidi"/>
          <w:b w:val="0"/>
          <w:szCs w:val="22"/>
          <w:lang w:val="hy-AM" w:eastAsia="en-US"/>
        </w:rPr>
        <w:t>49.1</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չափով</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որից</w:t>
      </w:r>
      <w:r w:rsidRPr="00F76AE2">
        <w:rPr>
          <w:rFonts w:eastAsiaTheme="minorHAnsi" w:cstheme="minorBidi"/>
          <w:b w:val="0"/>
          <w:szCs w:val="22"/>
          <w:lang w:val="af-ZA" w:eastAsia="en-US"/>
        </w:rPr>
        <w:t xml:space="preserve"> 250.0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գանձապետական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պարտատոմսերի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հաշվին</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99.1</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արտաքին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վարկերի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հաշվին</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հաշվի առնելով կատարվելիք մասհանումների և մայր գումարի մարումների տարբերությունը</w:t>
      </w:r>
      <w:r w:rsidRPr="00F76AE2">
        <w:rPr>
          <w:rFonts w:eastAsiaTheme="minorHAnsi" w:cstheme="minorBidi"/>
          <w:b w:val="0"/>
          <w:szCs w:val="22"/>
          <w:lang w:val="af-ZA" w:eastAsia="en-US"/>
        </w:rPr>
        <w:t>)</w:t>
      </w:r>
      <w:r w:rsidRPr="00F76AE2">
        <w:rPr>
          <w:rFonts w:eastAsiaTheme="minorHAnsi" w:cstheme="minorBidi"/>
          <w:b w:val="0"/>
          <w:szCs w:val="22"/>
          <w:vertAlign w:val="superscript"/>
          <w:lang w:val="en-US" w:eastAsia="en-US"/>
        </w:rPr>
        <w:footnoteReference w:id="24"/>
      </w:r>
      <w:r w:rsidRPr="00F76AE2">
        <w:rPr>
          <w:rFonts w:eastAsiaTheme="minorHAnsi" w:cstheme="minorBidi"/>
          <w:b w:val="0"/>
          <w:szCs w:val="22"/>
          <w:lang w:val="hy-AM" w:eastAsia="en-US"/>
        </w:rPr>
        <w:t>,</w:t>
      </w:r>
      <w:r w:rsidRPr="00F76AE2">
        <w:rPr>
          <w:rFonts w:eastAsiaTheme="minorHAnsi" w:cstheme="minorBidi"/>
          <w:b w:val="0"/>
          <w:szCs w:val="22"/>
          <w:lang w:val="af-ZA" w:eastAsia="en-US"/>
        </w:rPr>
        <w:t xml:space="preserve"> </w:t>
      </w:r>
      <w:r w:rsidRPr="00F76AE2">
        <w:rPr>
          <w:rFonts w:eastAsiaTheme="minorHAnsi" w:cstheme="minorBidi"/>
          <w:b w:val="0"/>
          <w:szCs w:val="22"/>
          <w:lang w:eastAsia="en-US"/>
        </w:rPr>
        <w:t>և</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արտարժութային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պարտատոմսերի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հաշվին</w:t>
      </w:r>
      <w:r w:rsidRPr="00F76AE2">
        <w:rPr>
          <w:rFonts w:eastAsiaTheme="minorHAnsi" w:cstheme="minorBidi"/>
          <w:b w:val="0"/>
          <w:szCs w:val="22"/>
          <w:lang w:val="hy-AM" w:eastAsia="en-US"/>
        </w:rPr>
        <w:t xml:space="preserve"> մուտքեր չեն նախատեսվել</w:t>
      </w:r>
      <w:r w:rsidRPr="00F76AE2">
        <w:rPr>
          <w:rFonts w:eastAsiaTheme="minorHAnsi" w:cstheme="minorBidi"/>
          <w:b w:val="0"/>
          <w:szCs w:val="22"/>
          <w:lang w:val="af-ZA" w:eastAsia="en-US"/>
        </w:rPr>
        <w:t>,</w:t>
      </w:r>
    </w:p>
    <w:p w14:paraId="0D93FE7C" w14:textId="77777777" w:rsidR="003310B6" w:rsidRPr="00F76AE2" w:rsidRDefault="003310B6" w:rsidP="003310B6">
      <w:pPr>
        <w:pStyle w:val="ListParagraph"/>
        <w:numPr>
          <w:ilvl w:val="0"/>
          <w:numId w:val="14"/>
        </w:numPr>
        <w:shd w:val="clear" w:color="auto" w:fill="FFFFFF"/>
        <w:spacing w:before="0" w:after="120" w:line="276" w:lineRule="auto"/>
        <w:ind w:left="426" w:hanging="284"/>
        <w:contextualSpacing w:val="0"/>
        <w:rPr>
          <w:rFonts w:eastAsiaTheme="minorHAnsi" w:cstheme="minorBidi"/>
          <w:b w:val="0"/>
          <w:szCs w:val="22"/>
          <w:lang w:val="af-ZA" w:eastAsia="en-US"/>
        </w:rPr>
      </w:pPr>
      <w:r w:rsidRPr="00F76AE2">
        <w:rPr>
          <w:rFonts w:eastAsiaTheme="minorHAnsi" w:cs="Arial"/>
          <w:b w:val="0"/>
          <w:szCs w:val="22"/>
          <w:lang w:eastAsia="en-US"/>
        </w:rPr>
        <w:t>ներգրաված</w:t>
      </w:r>
      <w:r w:rsidRPr="00F76AE2">
        <w:rPr>
          <w:rFonts w:eastAsiaTheme="minorHAnsi" w:cs="Arial"/>
          <w:b w:val="0"/>
          <w:szCs w:val="22"/>
          <w:lang w:val="af-ZA" w:eastAsia="en-US"/>
        </w:rPr>
        <w:t xml:space="preserve"> </w:t>
      </w:r>
      <w:r w:rsidRPr="00F76AE2">
        <w:rPr>
          <w:rFonts w:eastAsiaTheme="minorHAnsi" w:cs="Arial"/>
          <w:b w:val="0"/>
          <w:szCs w:val="22"/>
          <w:lang w:eastAsia="en-US"/>
        </w:rPr>
        <w:t>պարտքի</w:t>
      </w:r>
      <w:r w:rsidRPr="00F76AE2">
        <w:rPr>
          <w:rFonts w:eastAsiaTheme="minorHAnsi" w:cs="Arial"/>
          <w:b w:val="0"/>
          <w:szCs w:val="22"/>
          <w:lang w:val="af-ZA" w:eastAsia="en-US"/>
        </w:rPr>
        <w:t xml:space="preserve"> </w:t>
      </w:r>
      <w:r w:rsidRPr="00F76AE2">
        <w:rPr>
          <w:rFonts w:eastAsiaTheme="minorHAnsi" w:cs="Arial"/>
          <w:b w:val="0"/>
          <w:szCs w:val="22"/>
          <w:lang w:eastAsia="en-US"/>
        </w:rPr>
        <w:t>սպասարկման</w:t>
      </w:r>
      <w:r w:rsidRPr="00F76AE2">
        <w:rPr>
          <w:rFonts w:eastAsiaTheme="minorHAnsi" w:cs="Arial"/>
          <w:b w:val="0"/>
          <w:szCs w:val="22"/>
          <w:lang w:val="af-ZA" w:eastAsia="en-US"/>
        </w:rPr>
        <w:t xml:space="preserve"> </w:t>
      </w:r>
      <w:r w:rsidRPr="00F76AE2">
        <w:rPr>
          <w:rFonts w:eastAsiaTheme="minorHAnsi" w:cs="Arial"/>
          <w:b w:val="0"/>
          <w:szCs w:val="22"/>
          <w:lang w:eastAsia="en-US"/>
        </w:rPr>
        <w:t>և</w:t>
      </w:r>
      <w:r w:rsidRPr="00F76AE2">
        <w:rPr>
          <w:rFonts w:eastAsiaTheme="minorHAnsi" w:cs="Arial"/>
          <w:b w:val="0"/>
          <w:szCs w:val="22"/>
          <w:lang w:val="af-ZA" w:eastAsia="en-US"/>
        </w:rPr>
        <w:t xml:space="preserve"> </w:t>
      </w:r>
      <w:r w:rsidRPr="00F76AE2">
        <w:rPr>
          <w:rFonts w:eastAsiaTheme="minorHAnsi" w:cs="Arial"/>
          <w:b w:val="0"/>
          <w:szCs w:val="22"/>
          <w:lang w:eastAsia="en-US"/>
        </w:rPr>
        <w:t>մարման</w:t>
      </w:r>
      <w:r w:rsidRPr="00F76AE2">
        <w:rPr>
          <w:rFonts w:eastAsiaTheme="minorHAnsi" w:cs="Arial"/>
          <w:b w:val="0"/>
          <w:szCs w:val="22"/>
          <w:lang w:val="af-ZA" w:eastAsia="en-US"/>
        </w:rPr>
        <w:t xml:space="preserve"> </w:t>
      </w:r>
      <w:r w:rsidRPr="00F76AE2">
        <w:rPr>
          <w:rFonts w:eastAsiaTheme="minorHAnsi" w:cs="Arial"/>
          <w:b w:val="0"/>
          <w:szCs w:val="22"/>
          <w:lang w:eastAsia="en-US"/>
        </w:rPr>
        <w:t>պայմանները</w:t>
      </w:r>
      <w:r w:rsidRPr="00F76AE2">
        <w:rPr>
          <w:rFonts w:eastAsiaTheme="minorHAnsi" w:cs="Arial"/>
          <w:b w:val="0"/>
          <w:szCs w:val="22"/>
          <w:lang w:val="af-ZA" w:eastAsia="en-US"/>
        </w:rPr>
        <w:t>,</w:t>
      </w:r>
    </w:p>
    <w:p w14:paraId="019693D9" w14:textId="77777777" w:rsidR="003310B6" w:rsidRPr="00F76AE2" w:rsidRDefault="003310B6" w:rsidP="003310B6">
      <w:pPr>
        <w:numPr>
          <w:ilvl w:val="0"/>
          <w:numId w:val="14"/>
        </w:numPr>
        <w:shd w:val="clear" w:color="auto" w:fill="FFFFFF"/>
        <w:spacing w:before="0" w:after="120" w:line="276" w:lineRule="auto"/>
        <w:ind w:left="426" w:hanging="284"/>
        <w:contextualSpacing w:val="0"/>
        <w:rPr>
          <w:rFonts w:eastAsiaTheme="minorHAnsi" w:cs="Arial"/>
          <w:b w:val="0"/>
          <w:szCs w:val="22"/>
          <w:lang w:val="af-ZA" w:eastAsia="en-US"/>
        </w:rPr>
      </w:pPr>
      <w:r w:rsidRPr="00F76AE2">
        <w:rPr>
          <w:rFonts w:eastAsiaTheme="minorHAnsi" w:cs="Arial"/>
          <w:b w:val="0"/>
          <w:szCs w:val="22"/>
          <w:lang w:val="en-US" w:eastAsia="en-US"/>
        </w:rPr>
        <w:t>ՀՀ</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2</w:t>
      </w:r>
      <w:r w:rsidRPr="00F76AE2">
        <w:rPr>
          <w:rFonts w:eastAsiaTheme="minorHAnsi" w:cstheme="minorBidi"/>
          <w:b w:val="0"/>
          <w:szCs w:val="22"/>
          <w:lang w:val="en-US" w:eastAsia="en-US"/>
        </w:rPr>
        <w:t>թ</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բյուջեի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նախագծի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հիմքում</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դրված</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1</w:t>
      </w:r>
      <w:r w:rsidRPr="00F76AE2">
        <w:rPr>
          <w:rFonts w:eastAsiaTheme="minorHAnsi" w:cstheme="minorBidi"/>
          <w:b w:val="0"/>
          <w:szCs w:val="22"/>
          <w:lang w:val="en-US" w:eastAsia="en-US"/>
        </w:rPr>
        <w:t>թ</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և</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2</w:t>
      </w:r>
      <w:r w:rsidRPr="00F76AE2">
        <w:rPr>
          <w:rFonts w:eastAsiaTheme="minorHAnsi" w:cstheme="minorBidi"/>
          <w:b w:val="0"/>
          <w:szCs w:val="22"/>
          <w:lang w:val="en-US" w:eastAsia="en-US"/>
        </w:rPr>
        <w:t>թ</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ՀՆԱ</w:t>
      </w:r>
      <w:r w:rsidRPr="00F76AE2">
        <w:rPr>
          <w:rFonts w:eastAsiaTheme="minorHAnsi" w:cstheme="minorBidi"/>
          <w:b w:val="0"/>
          <w:szCs w:val="22"/>
          <w:lang w:val="af-ZA" w:eastAsia="en-US"/>
        </w:rPr>
        <w:t>-</w:t>
      </w:r>
      <w:r w:rsidRPr="00F76AE2">
        <w:rPr>
          <w:rFonts w:eastAsiaTheme="minorHAnsi" w:cstheme="minorBidi"/>
          <w:b w:val="0"/>
          <w:szCs w:val="22"/>
          <w:lang w:val="en-US"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 xml:space="preserve">և այլ մակրոտնտեսական </w:t>
      </w:r>
      <w:r w:rsidRPr="00F76AE2">
        <w:rPr>
          <w:rFonts w:eastAsiaTheme="minorHAnsi" w:cstheme="minorBidi"/>
          <w:b w:val="0"/>
          <w:szCs w:val="22"/>
          <w:lang w:val="en-US" w:eastAsia="en-US"/>
        </w:rPr>
        <w:t>կանխատեսումային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ցուցանիշները</w:t>
      </w:r>
      <w:r w:rsidRPr="00F76AE2">
        <w:rPr>
          <w:rFonts w:eastAsiaTheme="minorHAnsi" w:cstheme="minorBidi"/>
          <w:b w:val="0"/>
          <w:szCs w:val="22"/>
          <w:lang w:val="af-ZA" w:eastAsia="en-US"/>
        </w:rPr>
        <w:t>:</w:t>
      </w:r>
    </w:p>
    <w:p w14:paraId="172FB6FC" w14:textId="77777777" w:rsidR="009A1A86" w:rsidRDefault="003310B6" w:rsidP="003310B6">
      <w:pPr>
        <w:shd w:val="clear" w:color="auto" w:fill="FFFFFF"/>
        <w:spacing w:before="0" w:line="276" w:lineRule="auto"/>
        <w:ind w:firstLine="720"/>
        <w:contextualSpacing w:val="0"/>
        <w:rPr>
          <w:rFonts w:eastAsiaTheme="minorHAnsi" w:cstheme="minorBidi"/>
          <w:b w:val="0"/>
          <w:szCs w:val="22"/>
          <w:lang w:val="af-ZA" w:eastAsia="en-US"/>
        </w:rPr>
      </w:pPr>
      <w:r w:rsidRPr="00F76AE2">
        <w:rPr>
          <w:rFonts w:eastAsiaTheme="minorHAnsi" w:cs="Arial"/>
          <w:b w:val="0"/>
          <w:szCs w:val="22"/>
          <w:lang w:val="en-US" w:eastAsia="en-US"/>
        </w:rPr>
        <w:t>Ը</w:t>
      </w:r>
      <w:r w:rsidRPr="00F76AE2">
        <w:rPr>
          <w:rFonts w:eastAsiaTheme="minorHAnsi" w:cstheme="minorBidi"/>
          <w:b w:val="0"/>
          <w:szCs w:val="22"/>
          <w:lang w:val="en-US" w:eastAsia="en-US"/>
        </w:rPr>
        <w:t>ստ</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կանխատեսումների</w:t>
      </w:r>
      <w:r w:rsidRPr="00F76AE2">
        <w:rPr>
          <w:rFonts w:eastAsiaTheme="minorHAnsi" w:cstheme="minorBidi"/>
          <w:b w:val="0"/>
          <w:szCs w:val="22"/>
          <w:lang w:val="af-ZA" w:eastAsia="en-US"/>
        </w:rPr>
        <w:t>` 202</w:t>
      </w:r>
      <w:r w:rsidRPr="00F76AE2">
        <w:rPr>
          <w:rFonts w:eastAsiaTheme="minorHAnsi" w:cstheme="minorBidi"/>
          <w:b w:val="0"/>
          <w:szCs w:val="22"/>
          <w:lang w:val="hy-AM" w:eastAsia="en-US"/>
        </w:rPr>
        <w:t>2</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թվականի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դեկտեմբերի</w:t>
      </w:r>
      <w:r w:rsidRPr="00F76AE2">
        <w:rPr>
          <w:rFonts w:eastAsiaTheme="minorHAnsi" w:cstheme="minorBidi"/>
          <w:b w:val="0"/>
          <w:szCs w:val="22"/>
          <w:lang w:val="af-ZA" w:eastAsia="en-US"/>
        </w:rPr>
        <w:t xml:space="preserve"> 31-</w:t>
      </w:r>
      <w:r w:rsidRPr="00F76AE2">
        <w:rPr>
          <w:rFonts w:eastAsiaTheme="minorHAnsi" w:cstheme="minorBidi"/>
          <w:b w:val="0"/>
          <w:szCs w:val="22"/>
          <w:lang w:val="en-US"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դրությամբ</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կառավարության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պարտքը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կկազմի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4,740</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մլրդ</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դրամ</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կամ</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ՀՆԱ</w:t>
      </w:r>
      <w:r w:rsidRPr="00F76AE2">
        <w:rPr>
          <w:rFonts w:eastAsiaTheme="minorHAnsi" w:cstheme="minorBidi"/>
          <w:b w:val="0"/>
          <w:szCs w:val="22"/>
          <w:lang w:val="af-ZA" w:eastAsia="en-US"/>
        </w:rPr>
        <w:t>-</w:t>
      </w:r>
      <w:r w:rsidRPr="00F76AE2">
        <w:rPr>
          <w:rFonts w:eastAsiaTheme="minorHAnsi" w:cstheme="minorBidi"/>
          <w:b w:val="0"/>
          <w:szCs w:val="22"/>
          <w:lang w:val="en-US"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60.2</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տոկոսը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և</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1</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թվականի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տարեվերջի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համեմատությամբ</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ՀՆԱ</w:t>
      </w:r>
      <w:r w:rsidRPr="00F76AE2">
        <w:rPr>
          <w:rFonts w:eastAsiaTheme="minorHAnsi" w:cstheme="minorBidi"/>
          <w:b w:val="0"/>
          <w:szCs w:val="22"/>
          <w:lang w:val="af-ZA" w:eastAsia="en-US"/>
        </w:rPr>
        <w:t>-</w:t>
      </w:r>
      <w:r w:rsidRPr="00F76AE2">
        <w:rPr>
          <w:rFonts w:eastAsiaTheme="minorHAnsi" w:cstheme="minorBidi"/>
          <w:b w:val="0"/>
          <w:szCs w:val="22"/>
          <w:lang w:val="en-US" w:eastAsia="en-US"/>
        </w:rPr>
        <w:t>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նկատմամբ</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w:t>
      </w:r>
      <w:r w:rsidRPr="00F76AE2">
        <w:rPr>
          <w:rFonts w:eastAsiaTheme="minorHAnsi" w:cstheme="minorBidi"/>
          <w:b w:val="0"/>
          <w:szCs w:val="22"/>
          <w:lang w:val="hy-AM" w:eastAsia="en-US"/>
        </w:rPr>
        <w:t>նվազի 0.5</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տոկոսային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կետով</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Նշենք</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որ</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կառավարության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պարտք</w:t>
      </w:r>
      <w:r w:rsidRPr="00F76AE2">
        <w:rPr>
          <w:rFonts w:eastAsiaTheme="minorHAnsi" w:cstheme="minorBidi"/>
          <w:b w:val="0"/>
          <w:szCs w:val="22"/>
          <w:lang w:val="af-ZA" w:eastAsia="en-US"/>
        </w:rPr>
        <w:t>/</w:t>
      </w:r>
      <w:r w:rsidRPr="00F76AE2">
        <w:rPr>
          <w:rFonts w:eastAsiaTheme="minorHAnsi" w:cstheme="minorBidi"/>
          <w:b w:val="0"/>
          <w:szCs w:val="22"/>
          <w:lang w:val="en-US" w:eastAsia="en-US"/>
        </w:rPr>
        <w:t>ՀՆԱ</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ցուցանիշի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նշված</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կանխատեսումները</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տարբերվում</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են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կառավարության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պարտքի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կառավարման</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2</w:t>
      </w:r>
      <w:r w:rsidRPr="00F76AE2">
        <w:rPr>
          <w:rFonts w:eastAsiaTheme="minorHAnsi" w:cstheme="minorBidi"/>
          <w:b w:val="0"/>
          <w:szCs w:val="22"/>
          <w:lang w:val="af-ZA" w:eastAsia="en-US"/>
        </w:rPr>
        <w:t>-202</w:t>
      </w:r>
      <w:r w:rsidRPr="00F76AE2">
        <w:rPr>
          <w:rFonts w:eastAsiaTheme="minorHAnsi" w:cstheme="minorBidi"/>
          <w:b w:val="0"/>
          <w:szCs w:val="22"/>
          <w:lang w:val="hy-AM" w:eastAsia="en-US"/>
        </w:rPr>
        <w:t>4</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թվականների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միջնաժամկետ</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ռազմավարական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ծրարով</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սահմանված</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ցուցանիշներից՝</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պայմանավորված</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հիմնականում</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կանխատեսումներում</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կիրառված</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մակրոտնտեսական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ու</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հարկաբյուջետային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շրջանակի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փոխարժեքների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տարբերություններով</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ու</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կառավարության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պարտքի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գծով</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գործառնություններով</w:t>
      </w:r>
      <w:r w:rsidRPr="00F76AE2">
        <w:rPr>
          <w:rFonts w:eastAsiaTheme="minorHAnsi" w:cstheme="minorBidi"/>
          <w:b w:val="0"/>
          <w:szCs w:val="22"/>
          <w:lang w:val="af-ZA" w:eastAsia="en-US"/>
        </w:rPr>
        <w:t xml:space="preserve">: </w:t>
      </w:r>
    </w:p>
    <w:p w14:paraId="08B2932C" w14:textId="7426FFC9" w:rsidR="003310B6" w:rsidRPr="00F76AE2" w:rsidRDefault="003310B6" w:rsidP="003310B6">
      <w:pPr>
        <w:shd w:val="clear" w:color="auto" w:fill="FFFFFF"/>
        <w:spacing w:before="0" w:line="276" w:lineRule="auto"/>
        <w:ind w:firstLine="720"/>
        <w:contextualSpacing w:val="0"/>
        <w:rPr>
          <w:rFonts w:eastAsiaTheme="minorHAnsi" w:cstheme="minorBidi"/>
          <w:b w:val="0"/>
          <w:szCs w:val="22"/>
          <w:lang w:val="af-ZA" w:eastAsia="en-US"/>
        </w:rPr>
      </w:pPr>
      <w:r w:rsidRPr="00F76AE2">
        <w:rPr>
          <w:rFonts w:eastAsiaTheme="minorHAnsi" w:cstheme="minorBidi"/>
          <w:b w:val="0"/>
          <w:szCs w:val="22"/>
          <w:lang w:val="af-ZA" w:eastAsia="en-US"/>
        </w:rPr>
        <w:t xml:space="preserve"> </w:t>
      </w:r>
    </w:p>
    <w:tbl>
      <w:tblPr>
        <w:tblStyle w:val="MediumList2-Accent59"/>
        <w:tblW w:w="1009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1795"/>
        <w:gridCol w:w="1795"/>
        <w:gridCol w:w="1796"/>
      </w:tblGrid>
      <w:tr w:rsidR="003310B6" w:rsidRPr="00F76AE2" w14:paraId="0F186A72" w14:textId="77777777" w:rsidTr="009A1A86">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712" w:type="dxa"/>
            <w:tcBorders>
              <w:top w:val="none" w:sz="0" w:space="0" w:color="auto"/>
              <w:left w:val="none" w:sz="0" w:space="0" w:color="auto"/>
              <w:bottom w:val="none" w:sz="0" w:space="0" w:color="auto"/>
              <w:right w:val="none" w:sz="0" w:space="0" w:color="auto"/>
            </w:tcBorders>
            <w:vAlign w:val="center"/>
          </w:tcPr>
          <w:p w14:paraId="45C4C053" w14:textId="77777777" w:rsidR="003310B6" w:rsidRPr="00F76AE2" w:rsidRDefault="003310B6" w:rsidP="00603B06">
            <w:pPr>
              <w:spacing w:before="0" w:line="276" w:lineRule="auto"/>
              <w:ind w:firstLine="0"/>
              <w:contextualSpacing w:val="0"/>
              <w:jc w:val="left"/>
              <w:rPr>
                <w:b w:val="0"/>
                <w:szCs w:val="22"/>
                <w:lang w:val="af-ZA" w:eastAsia="en-US"/>
              </w:rPr>
            </w:pPr>
            <w:r w:rsidRPr="00F76AE2">
              <w:rPr>
                <w:rFonts w:ascii="Courier New" w:hAnsi="Courier New" w:cs="Courier New"/>
                <w:b w:val="0"/>
                <w:szCs w:val="22"/>
                <w:lang w:val="af-ZA" w:eastAsia="en-US"/>
              </w:rPr>
              <w:t> </w:t>
            </w:r>
          </w:p>
        </w:tc>
        <w:tc>
          <w:tcPr>
            <w:tcW w:w="1795"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2812FE1E" w14:textId="77777777" w:rsidR="003310B6" w:rsidRPr="009A1A8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bCs/>
                <w:szCs w:val="22"/>
                <w:lang w:val="hy-AM" w:eastAsia="en-US"/>
              </w:rPr>
            </w:pPr>
            <w:r w:rsidRPr="009A1A86">
              <w:rPr>
                <w:b w:val="0"/>
                <w:bCs/>
                <w:szCs w:val="22"/>
                <w:lang w:val="hy-AM" w:eastAsia="en-US"/>
              </w:rPr>
              <w:t>առ 31.12.2020թ.</w:t>
            </w:r>
          </w:p>
        </w:tc>
        <w:tc>
          <w:tcPr>
            <w:tcW w:w="1795"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BAB8B7A" w14:textId="77777777" w:rsidR="003310B6" w:rsidRPr="009A1A8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bCs/>
                <w:szCs w:val="22"/>
                <w:lang w:val="hy-AM" w:eastAsia="en-US"/>
              </w:rPr>
            </w:pPr>
            <w:r w:rsidRPr="009A1A86">
              <w:rPr>
                <w:b w:val="0"/>
                <w:bCs/>
                <w:szCs w:val="22"/>
                <w:lang w:val="hy-AM" w:eastAsia="en-US"/>
              </w:rPr>
              <w:t>առ 31.12.2021թ.</w:t>
            </w:r>
          </w:p>
        </w:tc>
        <w:tc>
          <w:tcPr>
            <w:tcW w:w="1796" w:type="dxa"/>
            <w:tcBorders>
              <w:top w:val="none" w:sz="0" w:space="0" w:color="auto"/>
              <w:left w:val="none" w:sz="0" w:space="0" w:color="auto"/>
              <w:bottom w:val="none" w:sz="0" w:space="0" w:color="auto"/>
              <w:right w:val="none" w:sz="0" w:space="0" w:color="auto"/>
            </w:tcBorders>
            <w:shd w:val="clear" w:color="auto" w:fill="DBE5F1" w:themeFill="accent1" w:themeFillTint="33"/>
          </w:tcPr>
          <w:p w14:paraId="7F12CB91" w14:textId="77777777" w:rsidR="003310B6" w:rsidRPr="009A1A8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bCs/>
                <w:szCs w:val="22"/>
                <w:lang w:val="hy-AM" w:eastAsia="en-US"/>
              </w:rPr>
            </w:pPr>
            <w:r w:rsidRPr="009A1A86">
              <w:rPr>
                <w:b w:val="0"/>
                <w:bCs/>
                <w:szCs w:val="22"/>
                <w:lang w:val="hy-AM" w:eastAsia="en-US"/>
              </w:rPr>
              <w:t>առ 31.12.2022թ.</w:t>
            </w:r>
          </w:p>
        </w:tc>
      </w:tr>
      <w:tr w:rsidR="003310B6" w:rsidRPr="00F76AE2" w14:paraId="0CCB06F3" w14:textId="77777777" w:rsidTr="003310B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712" w:type="dxa"/>
            <w:tcBorders>
              <w:top w:val="none" w:sz="0" w:space="0" w:color="auto"/>
              <w:left w:val="none" w:sz="0" w:space="0" w:color="auto"/>
              <w:bottom w:val="none" w:sz="0" w:space="0" w:color="auto"/>
              <w:right w:val="none" w:sz="0" w:space="0" w:color="auto"/>
            </w:tcBorders>
            <w:vAlign w:val="center"/>
          </w:tcPr>
          <w:p w14:paraId="36B85921" w14:textId="77777777" w:rsidR="003310B6" w:rsidRPr="00F76AE2" w:rsidRDefault="003310B6" w:rsidP="00603B06">
            <w:pPr>
              <w:spacing w:before="0" w:line="276" w:lineRule="auto"/>
              <w:ind w:firstLine="0"/>
              <w:contextualSpacing w:val="0"/>
              <w:jc w:val="left"/>
              <w:rPr>
                <w:b w:val="0"/>
                <w:szCs w:val="22"/>
                <w:lang w:eastAsia="en-US"/>
              </w:rPr>
            </w:pPr>
            <w:r w:rsidRPr="00F76AE2">
              <w:rPr>
                <w:b w:val="0"/>
                <w:szCs w:val="22"/>
                <w:lang w:val="en-US" w:eastAsia="en-US"/>
              </w:rPr>
              <w:t>ՀՀ</w:t>
            </w:r>
            <w:r w:rsidRPr="00F76AE2">
              <w:rPr>
                <w:b w:val="0"/>
                <w:szCs w:val="22"/>
                <w:lang w:eastAsia="en-US"/>
              </w:rPr>
              <w:t xml:space="preserve"> </w:t>
            </w:r>
            <w:r w:rsidRPr="00F76AE2">
              <w:rPr>
                <w:b w:val="0"/>
                <w:szCs w:val="22"/>
                <w:lang w:val="en-US" w:eastAsia="en-US"/>
              </w:rPr>
              <w:t>կառավարության</w:t>
            </w:r>
            <w:r w:rsidRPr="00F76AE2">
              <w:rPr>
                <w:b w:val="0"/>
                <w:szCs w:val="22"/>
                <w:lang w:eastAsia="en-US"/>
              </w:rPr>
              <w:t xml:space="preserve"> </w:t>
            </w:r>
            <w:r w:rsidRPr="00F76AE2">
              <w:rPr>
                <w:b w:val="0"/>
                <w:szCs w:val="22"/>
                <w:lang w:val="en-US" w:eastAsia="en-US"/>
              </w:rPr>
              <w:t>պարտք</w:t>
            </w:r>
            <w:r w:rsidRPr="00F76AE2">
              <w:rPr>
                <w:b w:val="0"/>
                <w:szCs w:val="22"/>
                <w:lang w:eastAsia="en-US"/>
              </w:rPr>
              <w:t xml:space="preserve">, </w:t>
            </w:r>
            <w:r w:rsidRPr="00F76AE2">
              <w:rPr>
                <w:b w:val="0"/>
                <w:szCs w:val="22"/>
                <w:lang w:val="en-US" w:eastAsia="en-US"/>
              </w:rPr>
              <w:t>մլրդ</w:t>
            </w:r>
            <w:r w:rsidRPr="00F76AE2">
              <w:rPr>
                <w:b w:val="0"/>
                <w:szCs w:val="22"/>
                <w:lang w:eastAsia="en-US"/>
              </w:rPr>
              <w:t xml:space="preserve"> </w:t>
            </w:r>
            <w:r w:rsidRPr="00F76AE2">
              <w:rPr>
                <w:b w:val="0"/>
                <w:szCs w:val="22"/>
                <w:lang w:val="en-US" w:eastAsia="en-US"/>
              </w:rPr>
              <w:t>դրամ</w:t>
            </w:r>
          </w:p>
        </w:tc>
        <w:tc>
          <w:tcPr>
            <w:tcW w:w="1795" w:type="dxa"/>
            <w:tcBorders>
              <w:top w:val="none" w:sz="0" w:space="0" w:color="auto"/>
              <w:left w:val="none" w:sz="0" w:space="0" w:color="auto"/>
              <w:bottom w:val="none" w:sz="0" w:space="0" w:color="auto"/>
              <w:right w:val="none" w:sz="0" w:space="0" w:color="auto"/>
            </w:tcBorders>
            <w:shd w:val="clear" w:color="auto" w:fill="B8CCE4" w:themeFill="accent1" w:themeFillTint="66"/>
            <w:vAlign w:val="bottom"/>
          </w:tcPr>
          <w:p w14:paraId="594005ED" w14:textId="77777777" w:rsidR="003310B6" w:rsidRPr="003310B6" w:rsidRDefault="003310B6" w:rsidP="003310B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3310B6">
              <w:rPr>
                <w:b w:val="0"/>
                <w:szCs w:val="22"/>
                <w:lang w:val="hy-AM"/>
              </w:rPr>
              <w:t>3,924</w:t>
            </w:r>
          </w:p>
        </w:tc>
        <w:tc>
          <w:tcPr>
            <w:tcW w:w="1795" w:type="dxa"/>
            <w:tcBorders>
              <w:top w:val="none" w:sz="0" w:space="0" w:color="auto"/>
              <w:left w:val="none" w:sz="0" w:space="0" w:color="auto"/>
              <w:bottom w:val="none" w:sz="0" w:space="0" w:color="auto"/>
              <w:right w:val="none" w:sz="0" w:space="0" w:color="auto"/>
            </w:tcBorders>
            <w:shd w:val="clear" w:color="auto" w:fill="B8CCE4" w:themeFill="accent1" w:themeFillTint="66"/>
            <w:vAlign w:val="bottom"/>
          </w:tcPr>
          <w:p w14:paraId="0830451F" w14:textId="77777777" w:rsidR="003310B6" w:rsidRPr="003310B6" w:rsidRDefault="003310B6" w:rsidP="003310B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3310B6">
              <w:rPr>
                <w:b w:val="0"/>
                <w:szCs w:val="22"/>
                <w:lang w:val="hy-AM"/>
              </w:rPr>
              <w:t>4,274</w:t>
            </w:r>
          </w:p>
        </w:tc>
        <w:tc>
          <w:tcPr>
            <w:tcW w:w="1796" w:type="dxa"/>
            <w:tcBorders>
              <w:top w:val="none" w:sz="0" w:space="0" w:color="auto"/>
              <w:left w:val="none" w:sz="0" w:space="0" w:color="auto"/>
              <w:bottom w:val="none" w:sz="0" w:space="0" w:color="auto"/>
            </w:tcBorders>
            <w:shd w:val="clear" w:color="auto" w:fill="B8CCE4" w:themeFill="accent1" w:themeFillTint="66"/>
            <w:vAlign w:val="bottom"/>
          </w:tcPr>
          <w:p w14:paraId="3ED85894" w14:textId="77777777" w:rsidR="003310B6" w:rsidRPr="003310B6" w:rsidRDefault="003310B6" w:rsidP="003310B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3310B6">
              <w:rPr>
                <w:b w:val="0"/>
                <w:szCs w:val="22"/>
                <w:lang w:val="hy-AM"/>
              </w:rPr>
              <w:t>4,7</w:t>
            </w:r>
            <w:r w:rsidRPr="00F76AE2">
              <w:rPr>
                <w:b w:val="0"/>
                <w:szCs w:val="22"/>
                <w:lang w:val="hy-AM"/>
              </w:rPr>
              <w:t>40</w:t>
            </w:r>
          </w:p>
        </w:tc>
      </w:tr>
      <w:tr w:rsidR="003310B6" w:rsidRPr="00F76AE2" w14:paraId="16800856" w14:textId="77777777" w:rsidTr="00603B06">
        <w:trPr>
          <w:trHeight w:val="395"/>
        </w:trPr>
        <w:tc>
          <w:tcPr>
            <w:cnfStyle w:val="001000000000" w:firstRow="0" w:lastRow="0" w:firstColumn="1" w:lastColumn="0" w:oddVBand="0" w:evenVBand="0" w:oddHBand="0" w:evenHBand="0" w:firstRowFirstColumn="0" w:firstRowLastColumn="0" w:lastRowFirstColumn="0" w:lastRowLastColumn="0"/>
            <w:tcW w:w="4712" w:type="dxa"/>
            <w:tcBorders>
              <w:top w:val="none" w:sz="0" w:space="0" w:color="auto"/>
              <w:left w:val="none" w:sz="0" w:space="0" w:color="auto"/>
              <w:bottom w:val="none" w:sz="0" w:space="0" w:color="auto"/>
              <w:right w:val="none" w:sz="0" w:space="0" w:color="auto"/>
            </w:tcBorders>
            <w:vAlign w:val="center"/>
          </w:tcPr>
          <w:p w14:paraId="63D6624E" w14:textId="77777777" w:rsidR="003310B6" w:rsidRPr="00F76AE2" w:rsidRDefault="003310B6" w:rsidP="00603B06">
            <w:pPr>
              <w:spacing w:before="0" w:line="276" w:lineRule="auto"/>
              <w:ind w:firstLine="0"/>
              <w:contextualSpacing w:val="0"/>
              <w:jc w:val="left"/>
              <w:rPr>
                <w:b w:val="0"/>
                <w:szCs w:val="22"/>
                <w:lang w:eastAsia="en-US"/>
              </w:rPr>
            </w:pPr>
            <w:r w:rsidRPr="00F76AE2">
              <w:rPr>
                <w:b w:val="0"/>
                <w:szCs w:val="22"/>
                <w:lang w:val="en-US" w:eastAsia="en-US"/>
              </w:rPr>
              <w:t>ՀՀ</w:t>
            </w:r>
            <w:r w:rsidRPr="00F76AE2">
              <w:rPr>
                <w:b w:val="0"/>
                <w:szCs w:val="22"/>
                <w:lang w:eastAsia="en-US"/>
              </w:rPr>
              <w:t xml:space="preserve"> </w:t>
            </w:r>
            <w:r w:rsidRPr="00F76AE2">
              <w:rPr>
                <w:b w:val="0"/>
                <w:szCs w:val="22"/>
                <w:lang w:val="en-US" w:eastAsia="en-US"/>
              </w:rPr>
              <w:t>կառավարության</w:t>
            </w:r>
            <w:r w:rsidRPr="00F76AE2">
              <w:rPr>
                <w:b w:val="0"/>
                <w:szCs w:val="22"/>
                <w:lang w:eastAsia="en-US"/>
              </w:rPr>
              <w:t xml:space="preserve"> </w:t>
            </w:r>
            <w:r w:rsidRPr="00F76AE2">
              <w:rPr>
                <w:b w:val="0"/>
                <w:szCs w:val="22"/>
                <w:lang w:val="en-US" w:eastAsia="en-US"/>
              </w:rPr>
              <w:t>պարտք</w:t>
            </w:r>
            <w:r w:rsidRPr="00F76AE2">
              <w:rPr>
                <w:b w:val="0"/>
                <w:szCs w:val="22"/>
                <w:lang w:eastAsia="en-US"/>
              </w:rPr>
              <w:t xml:space="preserve">, % </w:t>
            </w:r>
            <w:r w:rsidRPr="00F76AE2">
              <w:rPr>
                <w:b w:val="0"/>
                <w:szCs w:val="22"/>
                <w:lang w:val="en-US" w:eastAsia="en-US"/>
              </w:rPr>
              <w:t>ՀՆԱ</w:t>
            </w:r>
            <w:r w:rsidRPr="00F76AE2">
              <w:rPr>
                <w:b w:val="0"/>
                <w:szCs w:val="22"/>
                <w:lang w:eastAsia="en-US"/>
              </w:rPr>
              <w:t>-ում</w:t>
            </w:r>
          </w:p>
        </w:tc>
        <w:tc>
          <w:tcPr>
            <w:tcW w:w="1795" w:type="dxa"/>
            <w:vAlign w:val="bottom"/>
          </w:tcPr>
          <w:p w14:paraId="328635DC"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   63.5 </w:t>
            </w:r>
          </w:p>
        </w:tc>
        <w:tc>
          <w:tcPr>
            <w:tcW w:w="1795" w:type="dxa"/>
            <w:vAlign w:val="bottom"/>
          </w:tcPr>
          <w:p w14:paraId="61CD057F"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lang w:val="hy-AM"/>
              </w:rPr>
            </w:pPr>
            <w:r w:rsidRPr="00F76AE2">
              <w:rPr>
                <w:b w:val="0"/>
                <w:szCs w:val="22"/>
                <w:lang w:val="hy-AM"/>
              </w:rPr>
              <w:t>60.8</w:t>
            </w:r>
          </w:p>
        </w:tc>
        <w:tc>
          <w:tcPr>
            <w:tcW w:w="1796" w:type="dxa"/>
            <w:vAlign w:val="bottom"/>
          </w:tcPr>
          <w:p w14:paraId="1158CB68"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lang w:val="hy-AM"/>
              </w:rPr>
            </w:pPr>
            <w:r w:rsidRPr="00F76AE2">
              <w:rPr>
                <w:b w:val="0"/>
                <w:szCs w:val="22"/>
                <w:lang w:val="hy-AM"/>
              </w:rPr>
              <w:t>60.2</w:t>
            </w:r>
          </w:p>
        </w:tc>
      </w:tr>
    </w:tbl>
    <w:p w14:paraId="48CC7D85" w14:textId="77777777" w:rsidR="003310B6" w:rsidRPr="00F76AE2" w:rsidRDefault="003310B6" w:rsidP="003310B6">
      <w:pPr>
        <w:shd w:val="clear" w:color="auto" w:fill="FFFFFF"/>
        <w:spacing w:before="0" w:line="276" w:lineRule="auto"/>
        <w:ind w:firstLine="720"/>
        <w:contextualSpacing w:val="0"/>
        <w:rPr>
          <w:rFonts w:eastAsiaTheme="minorHAnsi" w:cstheme="minorBidi"/>
          <w:b w:val="0"/>
          <w:szCs w:val="22"/>
          <w:lang w:val="hy-AM" w:eastAsia="en-US"/>
        </w:rPr>
      </w:pPr>
    </w:p>
    <w:p w14:paraId="67F82C95" w14:textId="3E9218C9" w:rsidR="003310B6" w:rsidRDefault="003310B6" w:rsidP="003310B6">
      <w:pPr>
        <w:shd w:val="clear" w:color="auto" w:fill="FFFFFF"/>
        <w:spacing w:before="0" w:line="276" w:lineRule="auto"/>
        <w:ind w:firstLine="720"/>
        <w:contextualSpacing w:val="0"/>
        <w:rPr>
          <w:rFonts w:eastAsiaTheme="minorHAnsi" w:cstheme="minorBidi"/>
          <w:b w:val="0"/>
          <w:szCs w:val="22"/>
          <w:lang w:val="hy-AM" w:eastAsia="en-US"/>
        </w:rPr>
      </w:pPr>
      <w:r w:rsidRPr="00F76AE2">
        <w:rPr>
          <w:rFonts w:eastAsiaTheme="minorHAnsi" w:cstheme="minorBidi"/>
          <w:b w:val="0"/>
          <w:szCs w:val="22"/>
          <w:lang w:val="hy-AM" w:eastAsia="en-US"/>
        </w:rPr>
        <w:t>Նախատեսվում է 2021-2022 թվականներին կառավարության պարտքի կառուցվածքում ավելացնել ՀՀ դրամով տեղաբաշխված պետական գանձապետական պարտատոմսերի կշիռը, որն ըստ կանխատեսումների կկազմի համա</w:t>
      </w:r>
      <w:r w:rsidRPr="00F76AE2">
        <w:rPr>
          <w:rFonts w:eastAsiaTheme="minorHAnsi" w:cstheme="minorBidi"/>
          <w:b w:val="0"/>
          <w:szCs w:val="22"/>
          <w:lang w:val="hy-AM" w:eastAsia="en-US"/>
        </w:rPr>
        <w:softHyphen/>
        <w:t>պա</w:t>
      </w:r>
      <w:r w:rsidRPr="00F76AE2">
        <w:rPr>
          <w:rFonts w:eastAsiaTheme="minorHAnsi" w:cstheme="minorBidi"/>
          <w:b w:val="0"/>
          <w:szCs w:val="22"/>
          <w:lang w:val="hy-AM" w:eastAsia="en-US"/>
        </w:rPr>
        <w:softHyphen/>
        <w:t>տաս</w:t>
      </w:r>
      <w:r w:rsidRPr="00F76AE2">
        <w:rPr>
          <w:rFonts w:eastAsiaTheme="minorHAnsi" w:cstheme="minorBidi"/>
          <w:b w:val="0"/>
          <w:szCs w:val="22"/>
          <w:lang w:val="hy-AM" w:eastAsia="en-US"/>
        </w:rPr>
        <w:softHyphen/>
        <w:t>խանաբար 2.9% և 2.8%: Կառավարության պարտքը կունենա հետևյալ կառուցվածքը.</w:t>
      </w:r>
    </w:p>
    <w:p w14:paraId="05CDB116" w14:textId="77777777" w:rsidR="009A1A86" w:rsidRPr="00F76AE2" w:rsidRDefault="009A1A86" w:rsidP="003310B6">
      <w:pPr>
        <w:shd w:val="clear" w:color="auto" w:fill="FFFFFF"/>
        <w:spacing w:before="0" w:line="276" w:lineRule="auto"/>
        <w:ind w:firstLine="720"/>
        <w:contextualSpacing w:val="0"/>
        <w:rPr>
          <w:rFonts w:eastAsiaTheme="minorHAnsi" w:cstheme="minorBidi"/>
          <w:b w:val="0"/>
          <w:szCs w:val="22"/>
          <w:lang w:val="hy-AM" w:eastAsia="en-US"/>
        </w:rPr>
      </w:pPr>
    </w:p>
    <w:tbl>
      <w:tblPr>
        <w:tblStyle w:val="MediumGrid2-Accent19"/>
        <w:tblW w:w="10255" w:type="dxa"/>
        <w:tblLayout w:type="fixed"/>
        <w:tblLook w:val="04A0" w:firstRow="1" w:lastRow="0" w:firstColumn="1" w:lastColumn="0" w:noHBand="0" w:noVBand="1"/>
      </w:tblPr>
      <w:tblGrid>
        <w:gridCol w:w="5058"/>
        <w:gridCol w:w="1728"/>
        <w:gridCol w:w="18"/>
        <w:gridCol w:w="1823"/>
        <w:gridCol w:w="18"/>
        <w:gridCol w:w="1610"/>
      </w:tblGrid>
      <w:tr w:rsidR="003310B6" w:rsidRPr="00F76AE2" w14:paraId="330CE5BE" w14:textId="77777777" w:rsidTr="00E0510E">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100" w:firstRow="0" w:lastRow="0" w:firstColumn="1" w:lastColumn="0" w:oddVBand="0" w:evenVBand="0" w:oddHBand="0" w:evenHBand="0" w:firstRowFirstColumn="1" w:firstRowLastColumn="0" w:lastRowFirstColumn="0" w:lastRowLastColumn="0"/>
            <w:tcW w:w="5058" w:type="dxa"/>
            <w:tcBorders>
              <w:top w:val="single" w:sz="4" w:space="0" w:color="auto"/>
              <w:left w:val="single" w:sz="4" w:space="0" w:color="auto"/>
              <w:bottom w:val="single" w:sz="4" w:space="0" w:color="auto"/>
              <w:right w:val="single" w:sz="4" w:space="0" w:color="auto"/>
            </w:tcBorders>
            <w:hideMark/>
          </w:tcPr>
          <w:p w14:paraId="36D34518" w14:textId="77777777" w:rsidR="003310B6" w:rsidRPr="00F76AE2" w:rsidRDefault="003310B6" w:rsidP="00603B06">
            <w:pPr>
              <w:spacing w:before="0" w:line="276" w:lineRule="auto"/>
              <w:ind w:firstLine="0"/>
              <w:contextualSpacing w:val="0"/>
              <w:jc w:val="center"/>
              <w:rPr>
                <w:szCs w:val="22"/>
                <w:lang w:val="hy-AM" w:eastAsia="en-US"/>
              </w:rPr>
            </w:pPr>
            <w:r w:rsidRPr="00F76AE2">
              <w:rPr>
                <w:rFonts w:ascii="Courier New" w:hAnsi="Courier New" w:cs="Courier New"/>
                <w:szCs w:val="22"/>
                <w:lang w:val="hy-AM" w:eastAsia="en-US"/>
              </w:rPr>
              <w:t> </w:t>
            </w:r>
          </w:p>
        </w:tc>
        <w:tc>
          <w:tcPr>
            <w:tcW w:w="1746" w:type="dxa"/>
            <w:gridSpan w:val="2"/>
            <w:tcBorders>
              <w:top w:val="single" w:sz="4" w:space="0" w:color="auto"/>
              <w:left w:val="single" w:sz="4" w:space="0" w:color="auto"/>
              <w:bottom w:val="single" w:sz="4" w:space="0" w:color="auto"/>
              <w:right w:val="single" w:sz="4" w:space="0" w:color="auto"/>
            </w:tcBorders>
            <w:vAlign w:val="center"/>
            <w:hideMark/>
          </w:tcPr>
          <w:p w14:paraId="620E71F3"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hy-AM" w:eastAsia="en-US"/>
              </w:rPr>
            </w:pPr>
            <w:r w:rsidRPr="00F76AE2">
              <w:rPr>
                <w:szCs w:val="22"/>
                <w:lang w:val="hy-AM" w:eastAsia="en-US"/>
              </w:rPr>
              <w:t>առ 31.12.2020թ.</w:t>
            </w:r>
          </w:p>
        </w:tc>
        <w:tc>
          <w:tcPr>
            <w:tcW w:w="1841" w:type="dxa"/>
            <w:gridSpan w:val="2"/>
            <w:tcBorders>
              <w:top w:val="single" w:sz="4" w:space="0" w:color="auto"/>
              <w:left w:val="single" w:sz="4" w:space="0" w:color="auto"/>
              <w:bottom w:val="single" w:sz="4" w:space="0" w:color="auto"/>
              <w:right w:val="single" w:sz="4" w:space="0" w:color="auto"/>
            </w:tcBorders>
            <w:vAlign w:val="center"/>
            <w:hideMark/>
          </w:tcPr>
          <w:p w14:paraId="5F365503"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hy-AM" w:eastAsia="en-US"/>
              </w:rPr>
            </w:pPr>
            <w:r w:rsidRPr="00F76AE2">
              <w:rPr>
                <w:szCs w:val="22"/>
                <w:lang w:val="hy-AM" w:eastAsia="en-US"/>
              </w:rPr>
              <w:t>առ 31.12.2021թ.</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26836D8"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hy-AM" w:eastAsia="en-US"/>
              </w:rPr>
            </w:pPr>
            <w:r w:rsidRPr="00F76AE2">
              <w:rPr>
                <w:szCs w:val="22"/>
                <w:lang w:val="hy-AM" w:eastAsia="en-US"/>
              </w:rPr>
              <w:t>առ 31.12.2022թ.</w:t>
            </w:r>
          </w:p>
        </w:tc>
      </w:tr>
      <w:tr w:rsidR="003310B6" w:rsidRPr="00F76AE2" w14:paraId="11BB5962"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255" w:type="dxa"/>
            <w:gridSpan w:val="6"/>
            <w:tcBorders>
              <w:top w:val="single" w:sz="4" w:space="0" w:color="auto"/>
              <w:left w:val="single" w:sz="4" w:space="0" w:color="auto"/>
              <w:bottom w:val="single" w:sz="4" w:space="0" w:color="auto"/>
              <w:right w:val="single" w:sz="4" w:space="0" w:color="auto"/>
            </w:tcBorders>
            <w:vAlign w:val="center"/>
            <w:hideMark/>
          </w:tcPr>
          <w:p w14:paraId="10D68BBC" w14:textId="77777777" w:rsidR="003310B6" w:rsidRPr="00F76AE2" w:rsidRDefault="003310B6" w:rsidP="00603B06">
            <w:pPr>
              <w:spacing w:before="0" w:line="276" w:lineRule="auto"/>
              <w:ind w:left="540" w:firstLine="0"/>
              <w:contextualSpacing w:val="0"/>
              <w:jc w:val="left"/>
              <w:rPr>
                <w:b/>
                <w:szCs w:val="22"/>
                <w:lang w:val="hy-AM" w:eastAsia="en-US"/>
              </w:rPr>
            </w:pPr>
            <w:r w:rsidRPr="00F76AE2">
              <w:rPr>
                <w:szCs w:val="22"/>
                <w:lang w:val="hy-AM" w:eastAsia="en-US"/>
              </w:rPr>
              <w:t>Կառուցվածքն ըստ ռեզիդենտության, մլրդ դրամ*</w:t>
            </w:r>
          </w:p>
        </w:tc>
      </w:tr>
      <w:tr w:rsidR="003310B6" w:rsidRPr="00F76AE2" w14:paraId="353D490C" w14:textId="77777777" w:rsidTr="00E0510E">
        <w:trPr>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5B60ACE9" w14:textId="77777777" w:rsidR="003310B6" w:rsidRPr="00F76AE2" w:rsidRDefault="003310B6" w:rsidP="00603B06">
            <w:pPr>
              <w:spacing w:before="0" w:line="276" w:lineRule="auto"/>
              <w:ind w:firstLine="0"/>
              <w:contextualSpacing w:val="0"/>
              <w:jc w:val="left"/>
              <w:rPr>
                <w:szCs w:val="22"/>
                <w:lang w:val="hy-AM" w:eastAsia="en-US"/>
              </w:rPr>
            </w:pPr>
            <w:r w:rsidRPr="00F76AE2">
              <w:rPr>
                <w:szCs w:val="22"/>
                <w:lang w:val="hy-AM" w:eastAsia="en-US"/>
              </w:rPr>
              <w:t>ներքին պարտք</w:t>
            </w:r>
          </w:p>
        </w:tc>
        <w:tc>
          <w:tcPr>
            <w:tcW w:w="1728" w:type="dxa"/>
            <w:tcBorders>
              <w:top w:val="single" w:sz="4" w:space="0" w:color="auto"/>
              <w:left w:val="single" w:sz="4" w:space="0" w:color="auto"/>
              <w:bottom w:val="single" w:sz="4" w:space="0" w:color="auto"/>
              <w:right w:val="single" w:sz="4" w:space="0" w:color="auto"/>
            </w:tcBorders>
            <w:vAlign w:val="center"/>
          </w:tcPr>
          <w:p w14:paraId="26D65C35" w14:textId="77777777" w:rsidR="003310B6" w:rsidRPr="00F76AE2" w:rsidRDefault="003310B6" w:rsidP="00603B06">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lang w:val="hy-AM"/>
              </w:rPr>
            </w:pPr>
            <w:r w:rsidRPr="00F76AE2">
              <w:rPr>
                <w:b w:val="0"/>
                <w:szCs w:val="22"/>
                <w:lang w:val="hy-AM"/>
              </w:rPr>
              <w:t xml:space="preserve">998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089C36DF"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lang w:val="hy-AM"/>
              </w:rPr>
            </w:pPr>
            <w:r w:rsidRPr="00F76AE2">
              <w:rPr>
                <w:b w:val="0"/>
                <w:szCs w:val="22"/>
                <w:lang w:val="hy-AM"/>
              </w:rPr>
              <w:t xml:space="preserve">1,209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6BF1C5C7"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lang w:val="hy-AM"/>
              </w:rPr>
            </w:pPr>
            <w:r w:rsidRPr="00F76AE2">
              <w:rPr>
                <w:b w:val="0"/>
                <w:szCs w:val="22"/>
                <w:lang w:val="hy-AM"/>
              </w:rPr>
              <w:t xml:space="preserve">1,469 </w:t>
            </w:r>
          </w:p>
        </w:tc>
      </w:tr>
      <w:tr w:rsidR="003310B6" w:rsidRPr="00F76AE2" w14:paraId="53D3C258"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0B281E9D"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hy-AM" w:eastAsia="en-US"/>
              </w:rPr>
              <w:t>արտաքին պարտ</w:t>
            </w:r>
            <w:r w:rsidRPr="00F76AE2">
              <w:rPr>
                <w:szCs w:val="22"/>
                <w:lang w:val="en-US" w:eastAsia="en-US"/>
              </w:rPr>
              <w:t>ք</w:t>
            </w:r>
          </w:p>
        </w:tc>
        <w:tc>
          <w:tcPr>
            <w:tcW w:w="1728" w:type="dxa"/>
            <w:tcBorders>
              <w:top w:val="single" w:sz="4" w:space="0" w:color="auto"/>
              <w:left w:val="single" w:sz="4" w:space="0" w:color="auto"/>
              <w:bottom w:val="single" w:sz="4" w:space="0" w:color="auto"/>
              <w:right w:val="single" w:sz="4" w:space="0" w:color="auto"/>
            </w:tcBorders>
            <w:vAlign w:val="center"/>
          </w:tcPr>
          <w:p w14:paraId="1D2B2AEE" w14:textId="77777777" w:rsidR="003310B6" w:rsidRPr="00F76AE2" w:rsidRDefault="003310B6" w:rsidP="00603B0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2,926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1C1AA14A"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F76AE2">
              <w:rPr>
                <w:b w:val="0"/>
                <w:szCs w:val="22"/>
                <w:lang w:val="hy-AM"/>
              </w:rPr>
              <w:t xml:space="preserve">3,065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44AA4988"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F76AE2">
              <w:rPr>
                <w:b w:val="0"/>
                <w:szCs w:val="22"/>
                <w:lang w:val="hy-AM"/>
              </w:rPr>
              <w:t xml:space="preserve">3,272 </w:t>
            </w:r>
          </w:p>
        </w:tc>
      </w:tr>
      <w:tr w:rsidR="003310B6" w:rsidRPr="00F76AE2" w14:paraId="35B99647" w14:textId="77777777" w:rsidTr="00E0510E">
        <w:trPr>
          <w:trHeight w:val="360"/>
        </w:trPr>
        <w:tc>
          <w:tcPr>
            <w:cnfStyle w:val="001000000000" w:firstRow="0" w:lastRow="0" w:firstColumn="1" w:lastColumn="0" w:oddVBand="0" w:evenVBand="0" w:oddHBand="0" w:evenHBand="0" w:firstRowFirstColumn="0" w:firstRowLastColumn="0" w:lastRowFirstColumn="0" w:lastRowLastColumn="0"/>
            <w:tcW w:w="10255" w:type="dxa"/>
            <w:gridSpan w:val="6"/>
            <w:tcBorders>
              <w:top w:val="single" w:sz="4" w:space="0" w:color="auto"/>
              <w:left w:val="single" w:sz="4" w:space="0" w:color="auto"/>
              <w:bottom w:val="single" w:sz="4" w:space="0" w:color="auto"/>
              <w:right w:val="single" w:sz="4" w:space="0" w:color="auto"/>
            </w:tcBorders>
            <w:vAlign w:val="center"/>
            <w:hideMark/>
          </w:tcPr>
          <w:p w14:paraId="7DD37EEF" w14:textId="77777777" w:rsidR="003310B6" w:rsidRPr="00F76AE2" w:rsidRDefault="003310B6" w:rsidP="00603B06">
            <w:pPr>
              <w:spacing w:before="0" w:line="276" w:lineRule="auto"/>
              <w:ind w:left="540" w:firstLine="0"/>
              <w:contextualSpacing w:val="0"/>
              <w:jc w:val="left"/>
              <w:rPr>
                <w:b/>
                <w:szCs w:val="22"/>
                <w:lang w:eastAsia="en-US"/>
              </w:rPr>
            </w:pPr>
            <w:r w:rsidRPr="00F76AE2">
              <w:rPr>
                <w:szCs w:val="22"/>
                <w:lang w:val="en-US" w:eastAsia="en-US"/>
              </w:rPr>
              <w:t>Կառուցվածքն</w:t>
            </w:r>
            <w:r w:rsidRPr="00F76AE2">
              <w:rPr>
                <w:szCs w:val="22"/>
                <w:lang w:eastAsia="en-US"/>
              </w:rPr>
              <w:t xml:space="preserve"> </w:t>
            </w:r>
            <w:r w:rsidRPr="00F76AE2">
              <w:rPr>
                <w:szCs w:val="22"/>
                <w:lang w:val="en-US" w:eastAsia="en-US"/>
              </w:rPr>
              <w:t>ըստ</w:t>
            </w:r>
            <w:r w:rsidRPr="00F76AE2">
              <w:rPr>
                <w:szCs w:val="22"/>
                <w:lang w:eastAsia="en-US"/>
              </w:rPr>
              <w:t xml:space="preserve"> </w:t>
            </w:r>
            <w:r w:rsidRPr="00F76AE2">
              <w:rPr>
                <w:szCs w:val="22"/>
                <w:lang w:val="en-US" w:eastAsia="en-US"/>
              </w:rPr>
              <w:t>գործիքակազմի</w:t>
            </w:r>
            <w:r w:rsidRPr="00F76AE2">
              <w:rPr>
                <w:szCs w:val="22"/>
                <w:lang w:eastAsia="en-US"/>
              </w:rPr>
              <w:t xml:space="preserve">, </w:t>
            </w:r>
            <w:r w:rsidRPr="00F76AE2">
              <w:rPr>
                <w:szCs w:val="22"/>
                <w:lang w:val="en-US" w:eastAsia="en-US"/>
              </w:rPr>
              <w:t>մլրդ</w:t>
            </w:r>
            <w:r w:rsidRPr="00F76AE2">
              <w:rPr>
                <w:szCs w:val="22"/>
                <w:lang w:eastAsia="en-US"/>
              </w:rPr>
              <w:t xml:space="preserve"> </w:t>
            </w:r>
            <w:r w:rsidRPr="00F76AE2">
              <w:rPr>
                <w:szCs w:val="22"/>
                <w:lang w:val="en-US" w:eastAsia="en-US"/>
              </w:rPr>
              <w:t>դրամ</w:t>
            </w:r>
          </w:p>
        </w:tc>
      </w:tr>
      <w:tr w:rsidR="003310B6" w:rsidRPr="00F76AE2" w14:paraId="057A24F2"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2BC6FA96"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արտաքին վարկեր և փոխառություններ</w:t>
            </w:r>
          </w:p>
        </w:tc>
        <w:tc>
          <w:tcPr>
            <w:tcW w:w="1728" w:type="dxa"/>
            <w:tcBorders>
              <w:top w:val="single" w:sz="4" w:space="0" w:color="auto"/>
              <w:left w:val="single" w:sz="4" w:space="0" w:color="auto"/>
              <w:bottom w:val="single" w:sz="4" w:space="0" w:color="auto"/>
              <w:right w:val="single" w:sz="4" w:space="0" w:color="auto"/>
            </w:tcBorders>
            <w:vAlign w:val="center"/>
          </w:tcPr>
          <w:p w14:paraId="0B880956" w14:textId="77777777" w:rsidR="003310B6" w:rsidRPr="00F76AE2" w:rsidRDefault="003310B6" w:rsidP="00603B0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2,438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7CDAEE99"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2,242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760052EC"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2,421 </w:t>
            </w:r>
          </w:p>
        </w:tc>
      </w:tr>
      <w:tr w:rsidR="003310B6" w:rsidRPr="00F76AE2" w14:paraId="708D914D" w14:textId="77777777" w:rsidTr="00E0510E">
        <w:trPr>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39E7F91C"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պետական գանձապետական պարտատոմսեր</w:t>
            </w:r>
          </w:p>
        </w:tc>
        <w:tc>
          <w:tcPr>
            <w:tcW w:w="1728" w:type="dxa"/>
            <w:tcBorders>
              <w:top w:val="single" w:sz="4" w:space="0" w:color="auto"/>
              <w:left w:val="single" w:sz="4" w:space="0" w:color="auto"/>
              <w:bottom w:val="single" w:sz="4" w:space="0" w:color="auto"/>
              <w:right w:val="single" w:sz="4" w:space="0" w:color="auto"/>
            </w:tcBorders>
            <w:vAlign w:val="center"/>
          </w:tcPr>
          <w:p w14:paraId="134C6C8F" w14:textId="77777777" w:rsidR="003310B6" w:rsidRPr="00F76AE2" w:rsidRDefault="003310B6" w:rsidP="00603B06">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959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75ED6511"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1,168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2F4B2314"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1,428 </w:t>
            </w:r>
          </w:p>
        </w:tc>
      </w:tr>
      <w:tr w:rsidR="003310B6" w:rsidRPr="00F76AE2" w14:paraId="64077934"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020C2B6A"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արտարժութային պետական պարտատոմսեր</w:t>
            </w:r>
          </w:p>
        </w:tc>
        <w:tc>
          <w:tcPr>
            <w:tcW w:w="1728" w:type="dxa"/>
            <w:tcBorders>
              <w:top w:val="single" w:sz="4" w:space="0" w:color="auto"/>
              <w:left w:val="single" w:sz="4" w:space="0" w:color="auto"/>
              <w:bottom w:val="single" w:sz="4" w:space="0" w:color="auto"/>
              <w:right w:val="single" w:sz="4" w:space="0" w:color="auto"/>
            </w:tcBorders>
            <w:vAlign w:val="center"/>
          </w:tcPr>
          <w:p w14:paraId="27EA3F7A" w14:textId="77777777" w:rsidR="003310B6" w:rsidRPr="00F76AE2" w:rsidRDefault="003310B6" w:rsidP="00603B0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523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6091E71D"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860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585C326E"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887 </w:t>
            </w:r>
          </w:p>
        </w:tc>
      </w:tr>
      <w:tr w:rsidR="003310B6" w:rsidRPr="00F76AE2" w14:paraId="0156D21A" w14:textId="77777777" w:rsidTr="00E0510E">
        <w:trPr>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0DC1B887"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արտաքին երաշխիքներ</w:t>
            </w:r>
          </w:p>
        </w:tc>
        <w:tc>
          <w:tcPr>
            <w:tcW w:w="1728" w:type="dxa"/>
            <w:tcBorders>
              <w:top w:val="single" w:sz="4" w:space="0" w:color="auto"/>
              <w:left w:val="single" w:sz="4" w:space="0" w:color="auto"/>
              <w:bottom w:val="single" w:sz="4" w:space="0" w:color="auto"/>
              <w:right w:val="single" w:sz="4" w:space="0" w:color="auto"/>
            </w:tcBorders>
            <w:vAlign w:val="center"/>
          </w:tcPr>
          <w:p w14:paraId="5BD0D773" w14:textId="77777777" w:rsidR="003310B6" w:rsidRPr="00F76AE2" w:rsidRDefault="003310B6" w:rsidP="00603B06">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4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75E650C2"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4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1FB51797"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4 </w:t>
            </w:r>
          </w:p>
        </w:tc>
      </w:tr>
      <w:tr w:rsidR="003310B6" w:rsidRPr="00F76AE2" w14:paraId="02201457"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7AC6E58A"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ներքին երաշխիքներ</w:t>
            </w:r>
          </w:p>
        </w:tc>
        <w:tc>
          <w:tcPr>
            <w:tcW w:w="1728" w:type="dxa"/>
            <w:tcBorders>
              <w:top w:val="single" w:sz="4" w:space="0" w:color="auto"/>
              <w:left w:val="single" w:sz="4" w:space="0" w:color="auto"/>
              <w:bottom w:val="single" w:sz="4" w:space="0" w:color="auto"/>
              <w:right w:val="single" w:sz="4" w:space="0" w:color="auto"/>
            </w:tcBorders>
            <w:vAlign w:val="center"/>
          </w:tcPr>
          <w:p w14:paraId="3B60E4E2" w14:textId="77777777" w:rsidR="003310B6" w:rsidRPr="00F76AE2"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F76AE2">
              <w:rPr>
                <w:b w:val="0"/>
                <w:szCs w:val="22"/>
                <w:lang w:val="hy-AM"/>
              </w:rPr>
              <w:t>-</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0F3979F6" w14:textId="77777777" w:rsidR="003310B6" w:rsidRPr="00F76AE2" w:rsidRDefault="003310B6" w:rsidP="00603B0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F76AE2">
              <w:rPr>
                <w:b w:val="0"/>
                <w:szCs w:val="22"/>
                <w:lang w:val="hy-AM"/>
              </w:rPr>
              <w:t xml:space="preserve">-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2B088D43" w14:textId="77777777" w:rsidR="003310B6" w:rsidRPr="00F76AE2" w:rsidRDefault="003310B6" w:rsidP="00603B06">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lang w:val="hy-AM"/>
              </w:rPr>
            </w:pPr>
            <w:r w:rsidRPr="00F76AE2">
              <w:rPr>
                <w:b w:val="0"/>
                <w:szCs w:val="22"/>
                <w:lang w:val="hy-AM"/>
              </w:rPr>
              <w:t xml:space="preserve">-   </w:t>
            </w:r>
          </w:p>
        </w:tc>
      </w:tr>
      <w:tr w:rsidR="003310B6" w:rsidRPr="00F76AE2" w14:paraId="0D739CE6" w14:textId="77777777" w:rsidTr="00E0510E">
        <w:trPr>
          <w:trHeight w:val="360"/>
        </w:trPr>
        <w:tc>
          <w:tcPr>
            <w:cnfStyle w:val="001000000000" w:firstRow="0" w:lastRow="0" w:firstColumn="1" w:lastColumn="0" w:oddVBand="0" w:evenVBand="0" w:oddHBand="0" w:evenHBand="0" w:firstRowFirstColumn="0" w:firstRowLastColumn="0" w:lastRowFirstColumn="0" w:lastRowLastColumn="0"/>
            <w:tcW w:w="10255" w:type="dxa"/>
            <w:gridSpan w:val="6"/>
            <w:tcBorders>
              <w:top w:val="single" w:sz="4" w:space="0" w:color="auto"/>
              <w:left w:val="single" w:sz="4" w:space="0" w:color="auto"/>
              <w:bottom w:val="single" w:sz="4" w:space="0" w:color="auto"/>
              <w:right w:val="single" w:sz="4" w:space="0" w:color="auto"/>
            </w:tcBorders>
            <w:vAlign w:val="center"/>
            <w:hideMark/>
          </w:tcPr>
          <w:p w14:paraId="23B90EA5" w14:textId="77777777" w:rsidR="003310B6" w:rsidRPr="00F76AE2" w:rsidRDefault="003310B6" w:rsidP="00603B06">
            <w:pPr>
              <w:spacing w:before="0" w:line="276" w:lineRule="auto"/>
              <w:ind w:left="540" w:firstLine="0"/>
              <w:contextualSpacing w:val="0"/>
              <w:jc w:val="left"/>
              <w:rPr>
                <w:b/>
                <w:szCs w:val="22"/>
                <w:lang w:val="en-US" w:eastAsia="en-US"/>
              </w:rPr>
            </w:pPr>
            <w:r w:rsidRPr="00F76AE2">
              <w:rPr>
                <w:szCs w:val="22"/>
                <w:lang w:val="en-US" w:eastAsia="en-US"/>
              </w:rPr>
              <w:t>Արժութային կառուցվածքը, մլրդ դրամ</w:t>
            </w:r>
          </w:p>
        </w:tc>
      </w:tr>
      <w:tr w:rsidR="003310B6" w:rsidRPr="00F76AE2" w14:paraId="3E3C5589"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2756DC94"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ՀՀ դրամով ներգրավված պարտք</w:t>
            </w:r>
          </w:p>
        </w:tc>
        <w:tc>
          <w:tcPr>
            <w:tcW w:w="1728" w:type="dxa"/>
            <w:tcBorders>
              <w:top w:val="single" w:sz="4" w:space="0" w:color="auto"/>
              <w:left w:val="single" w:sz="4" w:space="0" w:color="auto"/>
              <w:bottom w:val="single" w:sz="4" w:space="0" w:color="auto"/>
              <w:right w:val="single" w:sz="4" w:space="0" w:color="auto"/>
            </w:tcBorders>
            <w:vAlign w:val="center"/>
          </w:tcPr>
          <w:p w14:paraId="4A58D602"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959 </w:t>
            </w:r>
          </w:p>
        </w:tc>
        <w:tc>
          <w:tcPr>
            <w:tcW w:w="1841" w:type="dxa"/>
            <w:gridSpan w:val="2"/>
            <w:tcBorders>
              <w:top w:val="single" w:sz="4" w:space="0" w:color="auto"/>
              <w:left w:val="single" w:sz="4" w:space="0" w:color="auto"/>
              <w:bottom w:val="single" w:sz="4" w:space="0" w:color="auto"/>
              <w:right w:val="single" w:sz="4" w:space="0" w:color="auto"/>
            </w:tcBorders>
            <w:vAlign w:val="bottom"/>
          </w:tcPr>
          <w:p w14:paraId="4D16E610"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1,168 </w:t>
            </w:r>
          </w:p>
        </w:tc>
        <w:tc>
          <w:tcPr>
            <w:tcW w:w="1628" w:type="dxa"/>
            <w:gridSpan w:val="2"/>
            <w:tcBorders>
              <w:top w:val="single" w:sz="4" w:space="0" w:color="auto"/>
              <w:left w:val="single" w:sz="4" w:space="0" w:color="auto"/>
              <w:bottom w:val="single" w:sz="4" w:space="0" w:color="auto"/>
              <w:right w:val="single" w:sz="4" w:space="0" w:color="auto"/>
            </w:tcBorders>
            <w:vAlign w:val="bottom"/>
          </w:tcPr>
          <w:p w14:paraId="0284DDC4"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1,428 </w:t>
            </w:r>
          </w:p>
        </w:tc>
      </w:tr>
      <w:tr w:rsidR="003310B6" w:rsidRPr="00F76AE2" w14:paraId="10975D04" w14:textId="77777777" w:rsidTr="00E0510E">
        <w:trPr>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2BAA3E7E"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արտարժույթով ներգրավված պարտք</w:t>
            </w:r>
          </w:p>
        </w:tc>
        <w:tc>
          <w:tcPr>
            <w:tcW w:w="1728" w:type="dxa"/>
            <w:tcBorders>
              <w:top w:val="single" w:sz="4" w:space="0" w:color="auto"/>
              <w:left w:val="single" w:sz="4" w:space="0" w:color="auto"/>
              <w:bottom w:val="single" w:sz="4" w:space="0" w:color="auto"/>
              <w:right w:val="single" w:sz="4" w:space="0" w:color="auto"/>
            </w:tcBorders>
            <w:vAlign w:val="center"/>
          </w:tcPr>
          <w:p w14:paraId="3D2C2A76"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2,965 </w:t>
            </w:r>
          </w:p>
        </w:tc>
        <w:tc>
          <w:tcPr>
            <w:tcW w:w="1841" w:type="dxa"/>
            <w:gridSpan w:val="2"/>
            <w:tcBorders>
              <w:top w:val="single" w:sz="4" w:space="0" w:color="auto"/>
              <w:left w:val="single" w:sz="4" w:space="0" w:color="auto"/>
              <w:bottom w:val="single" w:sz="4" w:space="0" w:color="auto"/>
              <w:right w:val="single" w:sz="4" w:space="0" w:color="auto"/>
            </w:tcBorders>
            <w:vAlign w:val="bottom"/>
          </w:tcPr>
          <w:p w14:paraId="6265BDAB"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3,106 </w:t>
            </w:r>
          </w:p>
        </w:tc>
        <w:tc>
          <w:tcPr>
            <w:tcW w:w="1628" w:type="dxa"/>
            <w:gridSpan w:val="2"/>
            <w:tcBorders>
              <w:top w:val="single" w:sz="4" w:space="0" w:color="auto"/>
              <w:left w:val="single" w:sz="4" w:space="0" w:color="auto"/>
              <w:bottom w:val="single" w:sz="4" w:space="0" w:color="auto"/>
              <w:right w:val="single" w:sz="4" w:space="0" w:color="auto"/>
            </w:tcBorders>
            <w:vAlign w:val="bottom"/>
          </w:tcPr>
          <w:p w14:paraId="742A29ED"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3,312 </w:t>
            </w:r>
          </w:p>
        </w:tc>
      </w:tr>
      <w:tr w:rsidR="003310B6" w:rsidRPr="00F76AE2" w14:paraId="11CE1D23"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255" w:type="dxa"/>
            <w:gridSpan w:val="6"/>
            <w:tcBorders>
              <w:top w:val="single" w:sz="4" w:space="0" w:color="auto"/>
              <w:left w:val="single" w:sz="4" w:space="0" w:color="auto"/>
              <w:bottom w:val="single" w:sz="4" w:space="0" w:color="auto"/>
              <w:right w:val="single" w:sz="4" w:space="0" w:color="auto"/>
            </w:tcBorders>
            <w:vAlign w:val="center"/>
            <w:hideMark/>
          </w:tcPr>
          <w:p w14:paraId="19D815EE" w14:textId="77777777" w:rsidR="003310B6" w:rsidRPr="00F76AE2" w:rsidRDefault="003310B6" w:rsidP="00603B06">
            <w:pPr>
              <w:spacing w:before="0" w:line="276" w:lineRule="auto"/>
              <w:ind w:left="540" w:firstLine="0"/>
              <w:contextualSpacing w:val="0"/>
              <w:jc w:val="left"/>
              <w:rPr>
                <w:b/>
                <w:szCs w:val="22"/>
                <w:lang w:eastAsia="en-US"/>
              </w:rPr>
            </w:pPr>
            <w:r w:rsidRPr="00F76AE2">
              <w:rPr>
                <w:szCs w:val="22"/>
                <w:lang w:val="en-US" w:eastAsia="en-US"/>
              </w:rPr>
              <w:t>Կառուցվածքն</w:t>
            </w:r>
            <w:r w:rsidRPr="00F76AE2">
              <w:rPr>
                <w:szCs w:val="22"/>
                <w:lang w:eastAsia="en-US"/>
              </w:rPr>
              <w:t xml:space="preserve"> </w:t>
            </w:r>
            <w:r w:rsidRPr="00F76AE2">
              <w:rPr>
                <w:szCs w:val="22"/>
                <w:lang w:val="en-US" w:eastAsia="en-US"/>
              </w:rPr>
              <w:t>ըստ</w:t>
            </w:r>
            <w:r w:rsidRPr="00F76AE2">
              <w:rPr>
                <w:szCs w:val="22"/>
                <w:lang w:eastAsia="en-US"/>
              </w:rPr>
              <w:t xml:space="preserve"> </w:t>
            </w:r>
            <w:r w:rsidRPr="00F76AE2">
              <w:rPr>
                <w:szCs w:val="22"/>
                <w:lang w:val="en-US" w:eastAsia="en-US"/>
              </w:rPr>
              <w:t>տոկոսադրույքի</w:t>
            </w:r>
            <w:r w:rsidRPr="00F76AE2">
              <w:rPr>
                <w:szCs w:val="22"/>
                <w:lang w:eastAsia="en-US"/>
              </w:rPr>
              <w:t xml:space="preserve"> </w:t>
            </w:r>
            <w:r w:rsidRPr="00F76AE2">
              <w:rPr>
                <w:szCs w:val="22"/>
                <w:lang w:val="en-US" w:eastAsia="en-US"/>
              </w:rPr>
              <w:t>տեսակի</w:t>
            </w:r>
            <w:r w:rsidRPr="00F76AE2">
              <w:rPr>
                <w:szCs w:val="22"/>
                <w:lang w:eastAsia="en-US"/>
              </w:rPr>
              <w:t xml:space="preserve">, </w:t>
            </w:r>
            <w:r w:rsidRPr="00F76AE2">
              <w:rPr>
                <w:szCs w:val="22"/>
                <w:lang w:val="en-US" w:eastAsia="en-US"/>
              </w:rPr>
              <w:t>մլրդ</w:t>
            </w:r>
            <w:r w:rsidRPr="00F76AE2">
              <w:rPr>
                <w:szCs w:val="22"/>
                <w:lang w:eastAsia="en-US"/>
              </w:rPr>
              <w:t xml:space="preserve"> </w:t>
            </w:r>
            <w:r w:rsidRPr="00F76AE2">
              <w:rPr>
                <w:szCs w:val="22"/>
                <w:lang w:val="en-US" w:eastAsia="en-US"/>
              </w:rPr>
              <w:t>դրամ</w:t>
            </w:r>
          </w:p>
        </w:tc>
      </w:tr>
      <w:tr w:rsidR="003310B6" w:rsidRPr="00F76AE2" w14:paraId="50648C7D" w14:textId="77777777" w:rsidTr="00E0510E">
        <w:trPr>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2B407ABE"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լողացող տոկոսադրույքով</w:t>
            </w:r>
          </w:p>
        </w:tc>
        <w:tc>
          <w:tcPr>
            <w:tcW w:w="1728" w:type="dxa"/>
            <w:tcBorders>
              <w:top w:val="single" w:sz="4" w:space="0" w:color="auto"/>
              <w:left w:val="single" w:sz="4" w:space="0" w:color="auto"/>
              <w:bottom w:val="single" w:sz="4" w:space="0" w:color="auto"/>
              <w:right w:val="single" w:sz="4" w:space="0" w:color="auto"/>
            </w:tcBorders>
            <w:vAlign w:val="center"/>
          </w:tcPr>
          <w:p w14:paraId="63B1993F" w14:textId="77777777" w:rsidR="003310B6" w:rsidRPr="00F76AE2" w:rsidRDefault="003310B6" w:rsidP="00603B06">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769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2F50F801"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749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50470A57"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818 </w:t>
            </w:r>
          </w:p>
        </w:tc>
      </w:tr>
      <w:tr w:rsidR="003310B6" w:rsidRPr="00F76AE2" w14:paraId="57798890" w14:textId="77777777" w:rsidTr="00E0510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3C6E6BEE"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ֆիքսված տոկոսադրույքով</w:t>
            </w:r>
          </w:p>
        </w:tc>
        <w:tc>
          <w:tcPr>
            <w:tcW w:w="1728" w:type="dxa"/>
            <w:tcBorders>
              <w:top w:val="single" w:sz="4" w:space="0" w:color="auto"/>
              <w:left w:val="single" w:sz="4" w:space="0" w:color="auto"/>
              <w:bottom w:val="single" w:sz="4" w:space="0" w:color="auto"/>
              <w:right w:val="single" w:sz="4" w:space="0" w:color="auto"/>
            </w:tcBorders>
            <w:vAlign w:val="center"/>
          </w:tcPr>
          <w:p w14:paraId="732F5F1A" w14:textId="77777777" w:rsidR="003310B6" w:rsidRPr="00F76AE2" w:rsidRDefault="003310B6" w:rsidP="00603B06">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3,155 </w:t>
            </w:r>
          </w:p>
        </w:tc>
        <w:tc>
          <w:tcPr>
            <w:tcW w:w="1841" w:type="dxa"/>
            <w:gridSpan w:val="2"/>
            <w:tcBorders>
              <w:top w:val="single" w:sz="4" w:space="0" w:color="auto"/>
              <w:left w:val="single" w:sz="4" w:space="0" w:color="auto"/>
              <w:bottom w:val="single" w:sz="4" w:space="0" w:color="auto"/>
              <w:right w:val="single" w:sz="4" w:space="0" w:color="auto"/>
            </w:tcBorders>
            <w:vAlign w:val="center"/>
          </w:tcPr>
          <w:p w14:paraId="7B6059E2"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3,524 </w:t>
            </w:r>
          </w:p>
        </w:tc>
        <w:tc>
          <w:tcPr>
            <w:tcW w:w="1628" w:type="dxa"/>
            <w:gridSpan w:val="2"/>
            <w:tcBorders>
              <w:top w:val="single" w:sz="4" w:space="0" w:color="auto"/>
              <w:left w:val="single" w:sz="4" w:space="0" w:color="auto"/>
              <w:bottom w:val="single" w:sz="4" w:space="0" w:color="auto"/>
              <w:right w:val="single" w:sz="4" w:space="0" w:color="auto"/>
            </w:tcBorders>
            <w:vAlign w:val="center"/>
          </w:tcPr>
          <w:p w14:paraId="3A65339B"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3,922 </w:t>
            </w:r>
          </w:p>
        </w:tc>
      </w:tr>
      <w:tr w:rsidR="003310B6" w:rsidRPr="00F76AE2" w14:paraId="76FDD6D3" w14:textId="77777777" w:rsidTr="00E0510E">
        <w:trPr>
          <w:trHeight w:val="484"/>
        </w:trPr>
        <w:tc>
          <w:tcPr>
            <w:cnfStyle w:val="001000000000" w:firstRow="0" w:lastRow="0" w:firstColumn="1" w:lastColumn="0" w:oddVBand="0" w:evenVBand="0" w:oddHBand="0" w:evenHBand="0" w:firstRowFirstColumn="0" w:firstRowLastColumn="0" w:lastRowFirstColumn="0" w:lastRowLastColumn="0"/>
            <w:tcW w:w="10255" w:type="dxa"/>
            <w:gridSpan w:val="6"/>
            <w:hideMark/>
          </w:tcPr>
          <w:p w14:paraId="59494BE7" w14:textId="77777777" w:rsidR="009A1A86" w:rsidRDefault="009A1A86" w:rsidP="00603B06">
            <w:pPr>
              <w:spacing w:before="0" w:line="276" w:lineRule="auto"/>
              <w:ind w:firstLine="0"/>
              <w:contextualSpacing w:val="0"/>
              <w:rPr>
                <w:i/>
                <w:iCs/>
                <w:szCs w:val="22"/>
                <w:lang w:eastAsia="en-US"/>
              </w:rPr>
            </w:pPr>
          </w:p>
          <w:p w14:paraId="2722FCE5" w14:textId="77777777" w:rsidR="003310B6" w:rsidRDefault="003310B6" w:rsidP="00603B06">
            <w:pPr>
              <w:spacing w:before="0" w:line="276" w:lineRule="auto"/>
              <w:ind w:firstLine="0"/>
              <w:contextualSpacing w:val="0"/>
              <w:rPr>
                <w:i/>
                <w:iCs/>
                <w:szCs w:val="22"/>
                <w:lang w:eastAsia="en-US"/>
              </w:rPr>
            </w:pPr>
            <w:r w:rsidRPr="00F76AE2">
              <w:rPr>
                <w:i/>
                <w:iCs/>
                <w:szCs w:val="22"/>
                <w:lang w:eastAsia="en-US"/>
              </w:rPr>
              <w:t>* 202</w:t>
            </w:r>
            <w:r w:rsidRPr="00F76AE2">
              <w:rPr>
                <w:i/>
                <w:iCs/>
                <w:szCs w:val="22"/>
                <w:lang w:val="hy-AM" w:eastAsia="en-US"/>
              </w:rPr>
              <w:t>1</w:t>
            </w:r>
            <w:r w:rsidRPr="00F76AE2">
              <w:rPr>
                <w:i/>
                <w:iCs/>
                <w:szCs w:val="22"/>
                <w:lang w:eastAsia="en-US"/>
              </w:rPr>
              <w:t xml:space="preserve"> </w:t>
            </w:r>
            <w:r w:rsidRPr="00F76AE2">
              <w:rPr>
                <w:rFonts w:cs="Sylfaen"/>
                <w:i/>
                <w:iCs/>
                <w:szCs w:val="22"/>
                <w:lang w:val="en-US" w:eastAsia="en-US"/>
              </w:rPr>
              <w:t>և</w:t>
            </w:r>
            <w:r w:rsidRPr="00F76AE2">
              <w:rPr>
                <w:i/>
                <w:iCs/>
                <w:szCs w:val="22"/>
                <w:lang w:eastAsia="en-US"/>
              </w:rPr>
              <w:t xml:space="preserve"> 202</w:t>
            </w:r>
            <w:r w:rsidRPr="00F76AE2">
              <w:rPr>
                <w:i/>
                <w:iCs/>
                <w:szCs w:val="22"/>
                <w:lang w:val="hy-AM" w:eastAsia="en-US"/>
              </w:rPr>
              <w:t>2</w:t>
            </w:r>
            <w:r w:rsidRPr="00F76AE2">
              <w:rPr>
                <w:i/>
                <w:iCs/>
                <w:szCs w:val="22"/>
                <w:lang w:eastAsia="en-US"/>
              </w:rPr>
              <w:t xml:space="preserve"> </w:t>
            </w:r>
            <w:r w:rsidRPr="00F76AE2">
              <w:rPr>
                <w:rFonts w:cs="Sylfaen"/>
                <w:i/>
                <w:iCs/>
                <w:szCs w:val="22"/>
                <w:lang w:val="en-US" w:eastAsia="en-US"/>
              </w:rPr>
              <w:t>թվականների</w:t>
            </w:r>
            <w:r w:rsidRPr="00F76AE2">
              <w:rPr>
                <w:i/>
                <w:iCs/>
                <w:szCs w:val="22"/>
                <w:lang w:eastAsia="en-US"/>
              </w:rPr>
              <w:t xml:space="preserve"> </w:t>
            </w:r>
            <w:r w:rsidRPr="00F76AE2">
              <w:rPr>
                <w:rFonts w:cs="Sylfaen"/>
                <w:i/>
                <w:iCs/>
                <w:szCs w:val="22"/>
                <w:lang w:val="en-US" w:eastAsia="en-US"/>
              </w:rPr>
              <w:t>համար</w:t>
            </w:r>
            <w:r w:rsidRPr="00F76AE2">
              <w:rPr>
                <w:rFonts w:cs="Sylfaen"/>
                <w:i/>
                <w:iCs/>
                <w:szCs w:val="22"/>
                <w:lang w:eastAsia="en-US"/>
              </w:rPr>
              <w:t xml:space="preserve"> </w:t>
            </w:r>
            <w:r w:rsidRPr="00F76AE2">
              <w:rPr>
                <w:i/>
                <w:iCs/>
                <w:szCs w:val="22"/>
                <w:lang w:eastAsia="en-US"/>
              </w:rPr>
              <w:t xml:space="preserve">պետական գանձապետական և արտարժութային պարտատոմսերի գծով պարտքի մնացորդը բաշխվել է ըստ ռեզիդենտության հիմք ընդունելով 2021թ. օգոստոսի 31-ի դրությամբ </w:t>
            </w:r>
            <w:r w:rsidRPr="00F76AE2">
              <w:rPr>
                <w:rFonts w:cs="Sylfaen"/>
                <w:i/>
                <w:iCs/>
                <w:szCs w:val="22"/>
                <w:lang w:val="en-US" w:eastAsia="en-US"/>
              </w:rPr>
              <w:t>փաստացի</w:t>
            </w:r>
            <w:r w:rsidRPr="00F76AE2">
              <w:rPr>
                <w:i/>
                <w:iCs/>
                <w:szCs w:val="22"/>
                <w:lang w:eastAsia="en-US"/>
              </w:rPr>
              <w:t xml:space="preserve"> </w:t>
            </w:r>
            <w:r w:rsidRPr="00F76AE2">
              <w:rPr>
                <w:rFonts w:cs="Sylfaen"/>
                <w:i/>
                <w:iCs/>
                <w:szCs w:val="22"/>
                <w:lang w:val="en-US" w:eastAsia="en-US"/>
              </w:rPr>
              <w:t>ձևավորված</w:t>
            </w:r>
            <w:r w:rsidRPr="00F76AE2">
              <w:rPr>
                <w:i/>
                <w:iCs/>
                <w:szCs w:val="22"/>
                <w:lang w:eastAsia="en-US"/>
              </w:rPr>
              <w:t xml:space="preserve"> </w:t>
            </w:r>
            <w:r w:rsidRPr="00F76AE2">
              <w:rPr>
                <w:rFonts w:cs="Sylfaen"/>
                <w:i/>
                <w:iCs/>
                <w:szCs w:val="22"/>
                <w:lang w:val="en-US" w:eastAsia="en-US"/>
              </w:rPr>
              <w:t>տեսակարար</w:t>
            </w:r>
            <w:r w:rsidRPr="00F76AE2">
              <w:rPr>
                <w:i/>
                <w:iCs/>
                <w:szCs w:val="22"/>
                <w:lang w:eastAsia="en-US"/>
              </w:rPr>
              <w:t xml:space="preserve"> </w:t>
            </w:r>
            <w:r w:rsidRPr="00F76AE2">
              <w:rPr>
                <w:rFonts w:cs="Sylfaen"/>
                <w:i/>
                <w:iCs/>
                <w:szCs w:val="22"/>
                <w:lang w:val="en-US" w:eastAsia="en-US"/>
              </w:rPr>
              <w:t>կշիռները</w:t>
            </w:r>
            <w:r w:rsidRPr="00F76AE2">
              <w:rPr>
                <w:i/>
                <w:iCs/>
                <w:szCs w:val="22"/>
                <w:lang w:eastAsia="en-US"/>
              </w:rPr>
              <w:t>:</w:t>
            </w:r>
          </w:p>
          <w:p w14:paraId="6C78F28C" w14:textId="761F3AE3" w:rsidR="009A1A86" w:rsidRPr="00F76AE2" w:rsidRDefault="009A1A86" w:rsidP="00603B06">
            <w:pPr>
              <w:spacing w:before="0" w:line="276" w:lineRule="auto"/>
              <w:ind w:firstLine="0"/>
              <w:contextualSpacing w:val="0"/>
              <w:rPr>
                <w:i/>
                <w:iCs/>
                <w:szCs w:val="22"/>
                <w:lang w:eastAsia="en-US"/>
              </w:rPr>
            </w:pPr>
          </w:p>
        </w:tc>
      </w:tr>
    </w:tbl>
    <w:p w14:paraId="03274123" w14:textId="77777777" w:rsidR="003310B6" w:rsidRPr="00F76AE2" w:rsidRDefault="003310B6" w:rsidP="003310B6">
      <w:pPr>
        <w:spacing w:before="0" w:after="200" w:line="276" w:lineRule="auto"/>
        <w:ind w:firstLine="0"/>
        <w:contextualSpacing w:val="0"/>
        <w:jc w:val="center"/>
        <w:rPr>
          <w:rFonts w:eastAsiaTheme="minorHAnsi" w:cstheme="minorBidi"/>
          <w:b w:val="0"/>
          <w:szCs w:val="22"/>
          <w:lang w:eastAsia="en-US"/>
        </w:rPr>
      </w:pPr>
      <w:r w:rsidRPr="00F76AE2">
        <w:rPr>
          <w:noProof/>
          <w:szCs w:val="22"/>
          <w:lang w:val="en-US" w:eastAsia="en-US"/>
        </w:rPr>
        <mc:AlternateContent>
          <mc:Choice Requires="wpg">
            <w:drawing>
              <wp:anchor distT="0" distB="0" distL="114300" distR="114300" simplePos="0" relativeHeight="251849728" behindDoc="0" locked="0" layoutInCell="1" allowOverlap="1" wp14:anchorId="0C020EBB" wp14:editId="7711C183">
                <wp:simplePos x="0" y="0"/>
                <wp:positionH relativeFrom="column">
                  <wp:posOffset>-266700</wp:posOffset>
                </wp:positionH>
                <wp:positionV relativeFrom="paragraph">
                  <wp:posOffset>171450</wp:posOffset>
                </wp:positionV>
                <wp:extent cx="6746421" cy="3720193"/>
                <wp:effectExtent l="0" t="0" r="16510" b="13970"/>
                <wp:wrapNone/>
                <wp:docPr id="6" name="Group 1"/>
                <wp:cNvGraphicFramePr/>
                <a:graphic xmlns:a="http://schemas.openxmlformats.org/drawingml/2006/main">
                  <a:graphicData uri="http://schemas.microsoft.com/office/word/2010/wordprocessingGroup">
                    <wpg:wgp>
                      <wpg:cNvGrpSpPr/>
                      <wpg:grpSpPr bwMode="auto">
                        <a:xfrm>
                          <a:off x="0" y="0"/>
                          <a:ext cx="6746421" cy="3720193"/>
                          <a:chOff x="0" y="0"/>
                          <a:chExt cx="9214700" cy="5532537"/>
                        </a:xfrm>
                      </wpg:grpSpPr>
                      <wpg:graphicFrame>
                        <wpg:cNvPr id="18" name="Chart 18"/>
                        <wpg:cNvFrPr>
                          <a:graphicFrameLocks/>
                        </wpg:cNvFrPr>
                        <wpg:xfrm>
                          <a:off x="7223" y="0"/>
                          <a:ext cx="4571211" cy="2743594"/>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19" name="Chart 19"/>
                        <wpg:cNvFrPr>
                          <a:graphicFrameLocks/>
                        </wpg:cNvFrPr>
                        <wpg:xfrm>
                          <a:off x="4643488" y="8208"/>
                          <a:ext cx="4571212" cy="2743594"/>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20" name="Chart 20"/>
                        <wpg:cNvFrPr>
                          <a:graphicFrameLocks/>
                        </wpg:cNvFrPr>
                        <wpg:xfrm>
                          <a:off x="0" y="2789336"/>
                          <a:ext cx="4571211" cy="2743201"/>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22" name="Chart 22"/>
                        <wpg:cNvFrPr>
                          <a:graphicFrameLocks/>
                        </wpg:cNvFrPr>
                        <wpg:xfrm>
                          <a:off x="4616010" y="2788943"/>
                          <a:ext cx="4571212" cy="2743200"/>
                        </wpg:xfrm>
                        <a:graphic>
                          <a:graphicData uri="http://schemas.openxmlformats.org/drawingml/2006/chart">
                            <c:chart xmlns:c="http://schemas.openxmlformats.org/drawingml/2006/chart" xmlns:r="http://schemas.openxmlformats.org/officeDocument/2006/relationships" r:id="rId75"/>
                          </a:graphicData>
                        </a:graphic>
                      </wpg:graphicFrame>
                    </wpg:wgp>
                  </a:graphicData>
                </a:graphic>
                <wp14:sizeRelH relativeFrom="margin">
                  <wp14:pctWidth>0</wp14:pctWidth>
                </wp14:sizeRelH>
                <wp14:sizeRelV relativeFrom="margin">
                  <wp14:pctHeight>0</wp14:pctHeight>
                </wp14:sizeRelV>
              </wp:anchor>
            </w:drawing>
          </mc:Choice>
          <mc:Fallback>
            <w:pict>
              <v:group w14:anchorId="0D33C8AF" id="Group 1" o:spid="_x0000_s1026" style="position:absolute;margin-left:-21pt;margin-top:13.5pt;width:531.2pt;height:292.95pt;z-index:251849728;mso-width-relative:margin;mso-height-relative:margin" coordsize="92147,5532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8" o:spid="_x0000_s1027" type="#_x0000_t75" style="position:absolute;top:-90;width:45877;height:27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">
                  <v:imagedata r:id="rId76" o:title=""/>
                  <o:lock v:ext="edit" aspectratio="f"/>
                </v:shape>
                <v:shape id="Chart 19" o:spid="_x0000_s1028" type="#_x0000_t75" style="position:absolute;left:46377;width:45878;height:27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">
                  <v:imagedata r:id="rId77" o:title=""/>
                  <o:lock v:ext="edit" aspectratio="f"/>
                </v:shape>
                <v:shape id="Chart 20" o:spid="_x0000_s1029" type="#_x0000_t75" style="position:absolute;left:-83;top:27831;width:45877;height:27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">
                  <v:imagedata r:id="rId78" o:title=""/>
                  <o:lock v:ext="edit" aspectratio="f"/>
                </v:shape>
                <v:shape id="Chart 22" o:spid="_x0000_s1030" type="#_x0000_t75" style="position:absolute;left:46044;top:27831;width:45878;height:27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">
                  <v:imagedata r:id="rId79" o:title=""/>
                  <o:lock v:ext="edit" aspectratio="f"/>
                </v:shape>
              </v:group>
            </w:pict>
          </mc:Fallback>
        </mc:AlternateContent>
      </w:r>
      <w:r w:rsidRPr="00F76AE2">
        <w:rPr>
          <w:rFonts w:eastAsiaTheme="minorHAnsi" w:cstheme="minorBidi"/>
          <w:b w:val="0"/>
          <w:szCs w:val="22"/>
          <w:lang w:eastAsia="en-US"/>
        </w:rPr>
        <w:br w:type="page"/>
      </w:r>
    </w:p>
    <w:p w14:paraId="13FA7F29" w14:textId="77777777" w:rsidR="003310B6" w:rsidRPr="00F76AE2" w:rsidRDefault="003310B6" w:rsidP="003310B6">
      <w:pPr>
        <w:spacing w:before="0" w:after="120" w:line="276" w:lineRule="auto"/>
        <w:ind w:firstLine="720"/>
        <w:contextualSpacing w:val="0"/>
        <w:rPr>
          <w:rFonts w:eastAsiaTheme="minorHAnsi" w:cstheme="minorBidi"/>
          <w:b w:val="0"/>
          <w:szCs w:val="22"/>
          <w:lang w:eastAsia="en-US"/>
        </w:rPr>
      </w:pPr>
      <w:r w:rsidRPr="00F76AE2">
        <w:rPr>
          <w:rFonts w:eastAsiaTheme="minorHAnsi" w:cstheme="minorBidi"/>
          <w:b w:val="0"/>
          <w:szCs w:val="22"/>
          <w:lang w:val="en-US" w:eastAsia="en-US"/>
        </w:rPr>
        <w:t>Հաշվի</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առնելով</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ՀՀ</w:t>
      </w:r>
      <w:r w:rsidRPr="00F76AE2">
        <w:rPr>
          <w:rFonts w:eastAsiaTheme="minorHAnsi" w:cstheme="minorBidi"/>
          <w:b w:val="0"/>
          <w:szCs w:val="22"/>
          <w:lang w:eastAsia="en-US"/>
        </w:rPr>
        <w:t xml:space="preserve"> </w:t>
      </w:r>
      <w:r w:rsidRPr="00F76AE2">
        <w:rPr>
          <w:rFonts w:eastAsiaTheme="minorHAnsi" w:cs="Sylfaen"/>
          <w:b w:val="0"/>
          <w:bCs/>
          <w:szCs w:val="22"/>
          <w:lang w:eastAsia="en-US"/>
        </w:rPr>
        <w:t>202</w:t>
      </w:r>
      <w:r w:rsidRPr="00F76AE2">
        <w:rPr>
          <w:rFonts w:eastAsiaTheme="minorHAnsi" w:cs="Sylfaen"/>
          <w:b w:val="0"/>
          <w:bCs/>
          <w:szCs w:val="22"/>
          <w:lang w:val="hy-AM" w:eastAsia="en-US"/>
        </w:rPr>
        <w:t>2</w:t>
      </w:r>
      <w:r w:rsidRPr="00F76AE2">
        <w:rPr>
          <w:rFonts w:eastAsiaTheme="minorHAnsi" w:cs="Sylfaen"/>
          <w:b w:val="0"/>
          <w:bCs/>
          <w:szCs w:val="22"/>
          <w:lang w:eastAsia="en-US"/>
        </w:rPr>
        <w:t xml:space="preserve"> </w:t>
      </w:r>
      <w:r w:rsidRPr="00F76AE2">
        <w:rPr>
          <w:rFonts w:eastAsiaTheme="minorHAnsi" w:cs="Sylfaen"/>
          <w:b w:val="0"/>
          <w:bCs/>
          <w:szCs w:val="22"/>
          <w:lang w:val="en-US" w:eastAsia="en-US"/>
        </w:rPr>
        <w:t>թվականի</w:t>
      </w:r>
      <w:r w:rsidRPr="00F76AE2">
        <w:rPr>
          <w:rFonts w:eastAsiaTheme="minorHAnsi" w:cs="Sylfaen"/>
          <w:b w:val="0"/>
          <w:bCs/>
          <w:szCs w:val="22"/>
          <w:lang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բյուջեի</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հիմքում</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դրված</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կանխատեսումները</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և</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պարտքի</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գծով</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ծրագրավորված</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գործառնությունները</w:t>
      </w:r>
      <w:r w:rsidRPr="00F76AE2">
        <w:rPr>
          <w:rFonts w:eastAsiaTheme="minorHAnsi" w:cstheme="minorBidi"/>
          <w:b w:val="0"/>
          <w:szCs w:val="22"/>
          <w:lang w:eastAsia="en-US"/>
        </w:rPr>
        <w:t xml:space="preserve">, </w:t>
      </w:r>
      <w:r w:rsidRPr="00F76AE2">
        <w:rPr>
          <w:rFonts w:eastAsiaTheme="minorHAnsi" w:cs="Sylfaen"/>
          <w:b w:val="0"/>
          <w:bCs/>
          <w:szCs w:val="22"/>
          <w:lang w:val="en-US" w:eastAsia="en-US"/>
        </w:rPr>
        <w:t>ՀՀ</w:t>
      </w:r>
      <w:r w:rsidRPr="00F76AE2">
        <w:rPr>
          <w:rFonts w:eastAsiaTheme="minorHAnsi" w:cs="Sylfaen"/>
          <w:b w:val="0"/>
          <w:bCs/>
          <w:szCs w:val="22"/>
          <w:lang w:eastAsia="en-US"/>
        </w:rPr>
        <w:t xml:space="preserve"> </w:t>
      </w:r>
      <w:r w:rsidRPr="00F76AE2">
        <w:rPr>
          <w:rFonts w:eastAsiaTheme="minorHAnsi" w:cs="Sylfaen"/>
          <w:b w:val="0"/>
          <w:bCs/>
          <w:szCs w:val="22"/>
          <w:lang w:val="en-US" w:eastAsia="en-US"/>
        </w:rPr>
        <w:t>կառավարության</w:t>
      </w:r>
      <w:r w:rsidRPr="00F76AE2">
        <w:rPr>
          <w:rFonts w:eastAsiaTheme="minorHAnsi" w:cs="Sylfaen"/>
          <w:b w:val="0"/>
          <w:bCs/>
          <w:szCs w:val="22"/>
          <w:lang w:eastAsia="en-US"/>
        </w:rPr>
        <w:t xml:space="preserve"> </w:t>
      </w:r>
      <w:r w:rsidRPr="00F76AE2">
        <w:rPr>
          <w:rFonts w:eastAsiaTheme="minorHAnsi" w:cs="Sylfaen"/>
          <w:b w:val="0"/>
          <w:bCs/>
          <w:szCs w:val="22"/>
          <w:lang w:val="en-US" w:eastAsia="en-US"/>
        </w:rPr>
        <w:t>պարտքի</w:t>
      </w:r>
      <w:r w:rsidRPr="00F76AE2">
        <w:rPr>
          <w:rFonts w:eastAsiaTheme="minorHAnsi" w:cs="Sylfaen"/>
          <w:b w:val="0"/>
          <w:bCs/>
          <w:szCs w:val="22"/>
          <w:lang w:eastAsia="en-US"/>
        </w:rPr>
        <w:t xml:space="preserve"> </w:t>
      </w:r>
      <w:r w:rsidRPr="00F76AE2">
        <w:rPr>
          <w:rFonts w:eastAsiaTheme="minorHAnsi" w:cs="Sylfaen"/>
          <w:b w:val="0"/>
          <w:bCs/>
          <w:szCs w:val="22"/>
          <w:lang w:val="en-US" w:eastAsia="en-US"/>
        </w:rPr>
        <w:t>կառավարման</w:t>
      </w:r>
      <w:r w:rsidRPr="00F76AE2">
        <w:rPr>
          <w:rFonts w:eastAsiaTheme="minorHAnsi" w:cs="Sylfaen"/>
          <w:b w:val="0"/>
          <w:bCs/>
          <w:szCs w:val="22"/>
          <w:lang w:eastAsia="en-US"/>
        </w:rPr>
        <w:t xml:space="preserve"> 202</w:t>
      </w:r>
      <w:r w:rsidRPr="00F76AE2">
        <w:rPr>
          <w:rFonts w:eastAsiaTheme="minorHAnsi" w:cs="Sylfaen"/>
          <w:b w:val="0"/>
          <w:bCs/>
          <w:szCs w:val="22"/>
          <w:lang w:val="hy-AM" w:eastAsia="en-US"/>
        </w:rPr>
        <w:t>2</w:t>
      </w:r>
      <w:r w:rsidRPr="00F76AE2">
        <w:rPr>
          <w:rFonts w:eastAsiaTheme="minorHAnsi" w:cs="Sylfaen"/>
          <w:b w:val="0"/>
          <w:bCs/>
          <w:szCs w:val="22"/>
          <w:lang w:eastAsia="en-US"/>
        </w:rPr>
        <w:t>-202</w:t>
      </w:r>
      <w:r w:rsidRPr="00F76AE2">
        <w:rPr>
          <w:rFonts w:eastAsiaTheme="minorHAnsi" w:cs="Sylfaen"/>
          <w:b w:val="0"/>
          <w:bCs/>
          <w:szCs w:val="22"/>
          <w:lang w:val="hy-AM" w:eastAsia="en-US"/>
        </w:rPr>
        <w:t>4</w:t>
      </w:r>
      <w:r w:rsidRPr="00F76AE2">
        <w:rPr>
          <w:rFonts w:eastAsiaTheme="minorHAnsi" w:cs="Sylfaen"/>
          <w:b w:val="0"/>
          <w:bCs/>
          <w:szCs w:val="22"/>
          <w:lang w:eastAsia="en-US"/>
        </w:rPr>
        <w:t xml:space="preserve"> </w:t>
      </w:r>
      <w:r w:rsidRPr="00F76AE2">
        <w:rPr>
          <w:rFonts w:eastAsiaTheme="minorHAnsi" w:cs="Sylfaen"/>
          <w:b w:val="0"/>
          <w:bCs/>
          <w:szCs w:val="22"/>
          <w:lang w:val="en-US" w:eastAsia="en-US"/>
        </w:rPr>
        <w:t>թվականների</w:t>
      </w:r>
      <w:r w:rsidRPr="00F76AE2">
        <w:rPr>
          <w:rFonts w:eastAsiaTheme="minorHAnsi" w:cs="Sylfaen"/>
          <w:b w:val="0"/>
          <w:bCs/>
          <w:szCs w:val="22"/>
          <w:lang w:eastAsia="en-US"/>
        </w:rPr>
        <w:t xml:space="preserve"> </w:t>
      </w:r>
      <w:r w:rsidRPr="00F76AE2">
        <w:rPr>
          <w:rFonts w:eastAsiaTheme="minorHAnsi" w:cstheme="minorBidi"/>
          <w:b w:val="0"/>
          <w:szCs w:val="22"/>
          <w:lang w:val="en-US" w:eastAsia="en-US"/>
        </w:rPr>
        <w:t>ռազմավարական</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ծրագրով</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ամրագրված</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ուղենշային</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ցուցանիշները</w:t>
      </w:r>
      <w:r w:rsidRPr="00F76AE2">
        <w:rPr>
          <w:rFonts w:eastAsiaTheme="minorHAnsi" w:cstheme="minorBidi"/>
          <w:b w:val="0"/>
          <w:szCs w:val="22"/>
          <w:lang w:eastAsia="en-US"/>
        </w:rPr>
        <w:t xml:space="preserve"> 202</w:t>
      </w:r>
      <w:r w:rsidRPr="00F76AE2">
        <w:rPr>
          <w:rFonts w:eastAsiaTheme="minorHAnsi" w:cstheme="minorBidi"/>
          <w:b w:val="0"/>
          <w:szCs w:val="22"/>
          <w:lang w:val="hy-AM" w:eastAsia="en-US"/>
        </w:rPr>
        <w:t>2</w:t>
      </w:r>
      <w:r w:rsidRPr="00F76AE2">
        <w:rPr>
          <w:rFonts w:eastAsiaTheme="minorHAnsi" w:cstheme="minorBidi"/>
          <w:b w:val="0"/>
          <w:szCs w:val="22"/>
          <w:lang w:val="en-US" w:eastAsia="en-US"/>
        </w:rPr>
        <w:t>թ</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տարեվերջի</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դրությամբ</w:t>
      </w:r>
      <w:r w:rsidRPr="00F76AE2">
        <w:rPr>
          <w:rFonts w:eastAsiaTheme="minorHAnsi" w:cstheme="minorBidi"/>
          <w:b w:val="0"/>
          <w:szCs w:val="22"/>
          <w:lang w:eastAsia="en-US"/>
        </w:rPr>
        <w:t xml:space="preserve"> </w:t>
      </w:r>
      <w:r w:rsidRPr="00F76AE2">
        <w:rPr>
          <w:rFonts w:eastAsiaTheme="minorHAnsi" w:cstheme="minorBidi"/>
          <w:b w:val="0"/>
          <w:szCs w:val="22"/>
          <w:lang w:val="en-US" w:eastAsia="en-US"/>
        </w:rPr>
        <w:t>կկազմեն</w:t>
      </w:r>
      <w:r w:rsidRPr="00F76AE2">
        <w:rPr>
          <w:rFonts w:eastAsiaTheme="minorHAnsi" w:cstheme="minorBidi"/>
          <w:b w:val="0"/>
          <w:szCs w:val="22"/>
          <w:lang w:eastAsia="en-US"/>
        </w:rPr>
        <w:t>.</w:t>
      </w:r>
    </w:p>
    <w:tbl>
      <w:tblPr>
        <w:tblStyle w:val="LightList-Accent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8"/>
        <w:gridCol w:w="1800"/>
        <w:gridCol w:w="1710"/>
      </w:tblGrid>
      <w:tr w:rsidR="003310B6" w:rsidRPr="00F76AE2" w14:paraId="10D0C1A4" w14:textId="77777777" w:rsidTr="00603B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Pr>
          <w:p w14:paraId="0BECF827" w14:textId="77777777" w:rsidR="003310B6" w:rsidRPr="00F76AE2" w:rsidRDefault="003310B6" w:rsidP="00603B06">
            <w:pPr>
              <w:spacing w:before="0" w:line="276" w:lineRule="auto"/>
              <w:ind w:firstLine="0"/>
              <w:contextualSpacing w:val="0"/>
              <w:rPr>
                <w:b/>
                <w:szCs w:val="22"/>
                <w:lang w:val="es-ES" w:eastAsia="en-US"/>
              </w:rPr>
            </w:pP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right w:val="none" w:sz="0" w:space="0" w:color="auto"/>
            </w:tcBorders>
            <w:vAlign w:val="center"/>
          </w:tcPr>
          <w:p w14:paraId="1CF8B9C0" w14:textId="77777777" w:rsidR="003310B6" w:rsidRPr="00F76AE2" w:rsidRDefault="003310B6" w:rsidP="00603B06">
            <w:pPr>
              <w:spacing w:before="0" w:line="276" w:lineRule="auto"/>
              <w:ind w:firstLine="0"/>
              <w:contextualSpacing w:val="0"/>
              <w:jc w:val="center"/>
              <w:rPr>
                <w:b/>
                <w:szCs w:val="22"/>
                <w:lang w:val="es-ES" w:eastAsia="en-US"/>
              </w:rPr>
            </w:pPr>
            <w:r w:rsidRPr="00F76AE2">
              <w:rPr>
                <w:rFonts w:cs="Times Unicode"/>
                <w:b/>
                <w:szCs w:val="22"/>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0CFABC77" w14:textId="77777777" w:rsidR="003310B6" w:rsidRPr="00F76AE2" w:rsidRDefault="003310B6" w:rsidP="00603B06">
            <w:pPr>
              <w:spacing w:before="0" w:line="276" w:lineRule="auto"/>
              <w:ind w:firstLine="0"/>
              <w:contextualSpacing w:val="0"/>
              <w:jc w:val="center"/>
              <w:rPr>
                <w:rFonts w:cs="Sylfaen"/>
                <w:b/>
                <w:szCs w:val="22"/>
                <w:lang w:val="en-US" w:eastAsia="en-US"/>
              </w:rPr>
            </w:pPr>
            <w:r w:rsidRPr="00F76AE2">
              <w:rPr>
                <w:rFonts w:cs="Sylfaen"/>
                <w:b/>
                <w:szCs w:val="22"/>
                <w:lang w:val="en-US" w:eastAsia="en-US"/>
              </w:rPr>
              <w:t>202</w:t>
            </w:r>
            <w:r w:rsidRPr="00F76AE2">
              <w:rPr>
                <w:rFonts w:cs="Sylfaen"/>
                <w:b/>
                <w:szCs w:val="22"/>
                <w:lang w:val="hy-AM" w:eastAsia="en-US"/>
              </w:rPr>
              <w:t>2</w:t>
            </w:r>
            <w:r w:rsidRPr="00F76AE2">
              <w:rPr>
                <w:rFonts w:cs="Sylfaen"/>
                <w:b/>
                <w:szCs w:val="22"/>
                <w:lang w:val="en-US" w:eastAsia="en-US"/>
              </w:rPr>
              <w:t>թ.</w:t>
            </w:r>
          </w:p>
          <w:p w14:paraId="0A1CE02D" w14:textId="77777777" w:rsidR="003310B6" w:rsidRPr="00F76AE2" w:rsidRDefault="003310B6" w:rsidP="00603B06">
            <w:pPr>
              <w:spacing w:before="0" w:line="276" w:lineRule="auto"/>
              <w:ind w:firstLine="0"/>
              <w:contextualSpacing w:val="0"/>
              <w:jc w:val="center"/>
              <w:rPr>
                <w:rFonts w:cs="Sylfaen"/>
                <w:b/>
                <w:szCs w:val="22"/>
                <w:lang w:val="en-US" w:eastAsia="en-US"/>
              </w:rPr>
            </w:pPr>
            <w:r w:rsidRPr="00F76AE2">
              <w:rPr>
                <w:rFonts w:cs="Sylfaen"/>
                <w:b/>
                <w:szCs w:val="22"/>
                <w:lang w:val="en-US" w:eastAsia="en-US"/>
              </w:rPr>
              <w:t>(կանխ.)</w:t>
            </w:r>
          </w:p>
        </w:tc>
      </w:tr>
      <w:tr w:rsidR="003310B6" w:rsidRPr="00F76AE2" w14:paraId="3365C942" w14:textId="77777777" w:rsidTr="00603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33A17942" w14:textId="77777777" w:rsidR="003310B6" w:rsidRPr="00F76AE2" w:rsidRDefault="003310B6" w:rsidP="00603B06">
            <w:pPr>
              <w:spacing w:before="0" w:line="276" w:lineRule="auto"/>
              <w:ind w:firstLine="0"/>
              <w:contextualSpacing w:val="0"/>
              <w:jc w:val="left"/>
              <w:rPr>
                <w:rFonts w:cs="Times Unicode"/>
                <w:b/>
                <w:szCs w:val="22"/>
                <w:lang w:val="es-ES" w:eastAsia="en-US"/>
              </w:rPr>
            </w:pPr>
            <w:r w:rsidRPr="00F76AE2">
              <w:rPr>
                <w:rFonts w:cs="Times Unicode"/>
                <w:szCs w:val="22"/>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tcPr>
          <w:p w14:paraId="54B5BA28" w14:textId="77777777" w:rsidR="003310B6" w:rsidRPr="00F76AE2" w:rsidRDefault="003310B6" w:rsidP="00603B06">
            <w:pPr>
              <w:spacing w:before="0" w:line="276" w:lineRule="auto"/>
              <w:ind w:firstLine="0"/>
              <w:contextualSpacing w:val="0"/>
              <w:jc w:val="center"/>
              <w:rPr>
                <w:szCs w:val="22"/>
                <w:lang w:val="es-ES" w:eastAsia="en-US"/>
              </w:rPr>
            </w:pP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tcPr>
          <w:p w14:paraId="5AB380EC" w14:textId="77777777" w:rsidR="003310B6" w:rsidRPr="00F76AE2" w:rsidRDefault="003310B6" w:rsidP="00603B06">
            <w:pPr>
              <w:spacing w:before="0" w:line="276" w:lineRule="auto"/>
              <w:ind w:firstLine="0"/>
              <w:contextualSpacing w:val="0"/>
              <w:jc w:val="center"/>
              <w:rPr>
                <w:szCs w:val="22"/>
                <w:lang w:val="es-ES" w:eastAsia="en-US"/>
              </w:rPr>
            </w:pPr>
          </w:p>
        </w:tc>
      </w:tr>
      <w:tr w:rsidR="003310B6" w:rsidRPr="00F76AE2" w14:paraId="2361DDCB" w14:textId="77777777" w:rsidTr="00603B06">
        <w:tc>
          <w:tcPr>
            <w:cnfStyle w:val="001000000000" w:firstRow="0" w:lastRow="0" w:firstColumn="1" w:lastColumn="0" w:oddVBand="0" w:evenVBand="0" w:oddHBand="0" w:evenHBand="0" w:firstRowFirstColumn="0" w:firstRowLastColumn="0" w:lastRowFirstColumn="0" w:lastRowLastColumn="0"/>
            <w:tcW w:w="6948" w:type="dxa"/>
          </w:tcPr>
          <w:p w14:paraId="62E6B58D" w14:textId="77777777" w:rsidR="003310B6" w:rsidRPr="00F76AE2" w:rsidRDefault="003310B6" w:rsidP="00603B06">
            <w:pPr>
              <w:spacing w:before="0" w:line="276" w:lineRule="auto"/>
              <w:ind w:left="258" w:firstLine="0"/>
              <w:contextualSpacing w:val="0"/>
              <w:jc w:val="left"/>
              <w:rPr>
                <w:rFonts w:cs="Times Unicode"/>
                <w:szCs w:val="22"/>
                <w:lang w:val="es-ES" w:eastAsia="en-US"/>
              </w:rPr>
            </w:pPr>
            <w:r w:rsidRPr="00F76AE2">
              <w:rPr>
                <w:rFonts w:cs="Times Unicode"/>
                <w:szCs w:val="22"/>
                <w:lang w:val="en-US" w:eastAsia="en-US"/>
              </w:rPr>
              <w:t>Մինչև</w:t>
            </w:r>
            <w:r w:rsidRPr="00F76AE2">
              <w:rPr>
                <w:rFonts w:cs="Times Unicode"/>
                <w:szCs w:val="22"/>
                <w:lang w:val="es-ES" w:eastAsia="en-US"/>
              </w:rPr>
              <w:t xml:space="preserve"> </w:t>
            </w:r>
            <w:r w:rsidRPr="00F76AE2">
              <w:rPr>
                <w:rFonts w:cs="Times Unicode"/>
                <w:szCs w:val="22"/>
                <w:lang w:val="en-US" w:eastAsia="en-US"/>
              </w:rPr>
              <w:t>մարում</w:t>
            </w:r>
            <w:r w:rsidRPr="00F76AE2">
              <w:rPr>
                <w:rFonts w:cs="Times Unicode"/>
                <w:szCs w:val="22"/>
                <w:lang w:val="es-ES" w:eastAsia="en-US"/>
              </w:rPr>
              <w:t xml:space="preserve"> </w:t>
            </w:r>
            <w:r w:rsidRPr="00F76AE2">
              <w:rPr>
                <w:rFonts w:cs="Times Unicode"/>
                <w:szCs w:val="22"/>
                <w:lang w:val="en-US" w:eastAsia="en-US"/>
              </w:rPr>
              <w:t>միջին</w:t>
            </w:r>
            <w:r w:rsidRPr="00F76AE2">
              <w:rPr>
                <w:rFonts w:cs="Times Unicode"/>
                <w:szCs w:val="22"/>
                <w:lang w:val="es-ES" w:eastAsia="en-US"/>
              </w:rPr>
              <w:t xml:space="preserve"> </w:t>
            </w:r>
            <w:r w:rsidRPr="00F76AE2">
              <w:rPr>
                <w:rFonts w:cs="Times Unicode"/>
                <w:szCs w:val="22"/>
                <w:lang w:val="en-US" w:eastAsia="en-US"/>
              </w:rPr>
              <w:t>ժամկետը</w:t>
            </w:r>
            <w:r w:rsidRPr="00F76AE2">
              <w:rPr>
                <w:rFonts w:cs="Times Unicode"/>
                <w:szCs w:val="22"/>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right w:val="none" w:sz="0" w:space="0" w:color="auto"/>
            </w:tcBorders>
            <w:vAlign w:val="center"/>
          </w:tcPr>
          <w:p w14:paraId="47CFD47D" w14:textId="77777777" w:rsidR="003310B6" w:rsidRPr="00F76AE2" w:rsidRDefault="003310B6" w:rsidP="00603B06">
            <w:pPr>
              <w:spacing w:before="0" w:line="276" w:lineRule="auto"/>
              <w:ind w:firstLine="0"/>
              <w:contextualSpacing w:val="0"/>
              <w:jc w:val="center"/>
              <w:rPr>
                <w:b w:val="0"/>
                <w:szCs w:val="22"/>
                <w:lang w:val="es-ES" w:eastAsia="en-US"/>
              </w:rPr>
            </w:pPr>
            <w:r w:rsidRPr="00F76AE2">
              <w:rPr>
                <w:b w:val="0"/>
                <w:szCs w:val="22"/>
                <w:lang w:val="es-ES" w:eastAsia="en-US"/>
              </w:rPr>
              <w:t xml:space="preserve">8 – 11 </w:t>
            </w:r>
            <w:r w:rsidRPr="00F76AE2">
              <w:rPr>
                <w:b w:val="0"/>
                <w:szCs w:val="22"/>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0B179954" w14:textId="77777777" w:rsidR="003310B6" w:rsidRPr="00F76AE2" w:rsidRDefault="003310B6" w:rsidP="00603B06">
            <w:pPr>
              <w:spacing w:before="0" w:line="276" w:lineRule="auto"/>
              <w:ind w:firstLine="0"/>
              <w:contextualSpacing w:val="0"/>
              <w:jc w:val="center"/>
              <w:rPr>
                <w:szCs w:val="22"/>
                <w:lang w:val="es-ES" w:eastAsia="en-US"/>
              </w:rPr>
            </w:pPr>
            <w:r w:rsidRPr="00F76AE2">
              <w:rPr>
                <w:szCs w:val="22"/>
                <w:lang w:val="hy-AM" w:eastAsia="en-US"/>
              </w:rPr>
              <w:t>8.0</w:t>
            </w:r>
            <w:r w:rsidRPr="00F76AE2">
              <w:rPr>
                <w:szCs w:val="22"/>
                <w:lang w:val="es-ES" w:eastAsia="en-US"/>
              </w:rPr>
              <w:t xml:space="preserve"> տարի</w:t>
            </w:r>
          </w:p>
        </w:tc>
      </w:tr>
      <w:tr w:rsidR="003310B6" w:rsidRPr="00F76AE2" w14:paraId="7540298A" w14:textId="77777777" w:rsidTr="00603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7C868A03" w14:textId="77777777" w:rsidR="003310B6" w:rsidRPr="00F76AE2" w:rsidRDefault="003310B6" w:rsidP="00603B06">
            <w:pPr>
              <w:spacing w:before="0" w:line="276" w:lineRule="auto"/>
              <w:ind w:left="258" w:firstLine="0"/>
              <w:contextualSpacing w:val="0"/>
              <w:jc w:val="left"/>
              <w:rPr>
                <w:rFonts w:cs="Times Unicode"/>
                <w:szCs w:val="22"/>
                <w:lang w:val="es-ES" w:eastAsia="en-US"/>
              </w:rPr>
            </w:pPr>
            <w:r w:rsidRPr="00F76AE2">
              <w:rPr>
                <w:rFonts w:cs="Times Unicode"/>
                <w:szCs w:val="22"/>
                <w:lang w:val="en-US" w:eastAsia="en-US"/>
              </w:rPr>
              <w:t>Առաջիկա</w:t>
            </w:r>
            <w:r w:rsidRPr="00F76AE2">
              <w:rPr>
                <w:rFonts w:cs="Times Unicode"/>
                <w:szCs w:val="22"/>
                <w:lang w:val="es-ES" w:eastAsia="en-US"/>
              </w:rPr>
              <w:t xml:space="preserve"> </w:t>
            </w:r>
            <w:r w:rsidRPr="00F76AE2">
              <w:rPr>
                <w:rFonts w:cs="Times Unicode"/>
                <w:szCs w:val="22"/>
                <w:lang w:val="en-US" w:eastAsia="en-US"/>
              </w:rPr>
              <w:t>տարվա</w:t>
            </w:r>
            <w:r w:rsidRPr="00F76AE2">
              <w:rPr>
                <w:rFonts w:cs="Times Unicode"/>
                <w:szCs w:val="22"/>
                <w:lang w:val="es-ES" w:eastAsia="en-US"/>
              </w:rPr>
              <w:t xml:space="preserve"> </w:t>
            </w:r>
            <w:r w:rsidRPr="00F76AE2">
              <w:rPr>
                <w:rFonts w:cs="Times Unicode"/>
                <w:szCs w:val="22"/>
                <w:lang w:val="en-US" w:eastAsia="en-US"/>
              </w:rPr>
              <w:t>ընթացքում</w:t>
            </w:r>
            <w:r w:rsidRPr="00F76AE2">
              <w:rPr>
                <w:rFonts w:cs="Times Unicode"/>
                <w:szCs w:val="22"/>
                <w:lang w:val="es-ES" w:eastAsia="en-US"/>
              </w:rPr>
              <w:t xml:space="preserve"> </w:t>
            </w:r>
            <w:r w:rsidRPr="00F76AE2">
              <w:rPr>
                <w:rFonts w:cs="Times Unicode"/>
                <w:szCs w:val="22"/>
                <w:lang w:val="en-US" w:eastAsia="en-US"/>
              </w:rPr>
              <w:t>մարվող</w:t>
            </w:r>
            <w:r w:rsidRPr="00F76AE2">
              <w:rPr>
                <w:rFonts w:cs="Times Unicode"/>
                <w:szCs w:val="22"/>
                <w:lang w:val="es-ES" w:eastAsia="en-US"/>
              </w:rPr>
              <w:t xml:space="preserve"> </w:t>
            </w:r>
            <w:r w:rsidRPr="00F76AE2">
              <w:rPr>
                <w:rFonts w:cs="Times Unicode"/>
                <w:szCs w:val="22"/>
                <w:lang w:val="en-US" w:eastAsia="en-US"/>
              </w:rPr>
              <w:t>պետական</w:t>
            </w:r>
            <w:r w:rsidRPr="00F76AE2">
              <w:rPr>
                <w:rFonts w:cs="Times Unicode"/>
                <w:szCs w:val="22"/>
                <w:lang w:val="es-ES" w:eastAsia="en-US"/>
              </w:rPr>
              <w:t xml:space="preserve"> </w:t>
            </w:r>
            <w:r w:rsidRPr="00F76AE2">
              <w:rPr>
                <w:rFonts w:cs="Times Unicode"/>
                <w:szCs w:val="22"/>
                <w:lang w:val="en-US" w:eastAsia="en-US"/>
              </w:rPr>
              <w:t>գանձապետական</w:t>
            </w:r>
            <w:r w:rsidRPr="00F76AE2">
              <w:rPr>
                <w:rFonts w:cs="Times Unicode"/>
                <w:szCs w:val="22"/>
                <w:lang w:val="es-ES" w:eastAsia="en-US"/>
              </w:rPr>
              <w:t xml:space="preserve"> </w:t>
            </w:r>
            <w:r w:rsidRPr="00F76AE2">
              <w:rPr>
                <w:rFonts w:cs="Times Unicode"/>
                <w:szCs w:val="22"/>
                <w:lang w:val="en-US" w:eastAsia="en-US"/>
              </w:rPr>
              <w:t>պարտատոմսերի</w:t>
            </w:r>
            <w:r w:rsidRPr="00F76AE2">
              <w:rPr>
                <w:rFonts w:cs="Times Unicode"/>
                <w:szCs w:val="22"/>
                <w:lang w:val="es-ES" w:eastAsia="en-US"/>
              </w:rPr>
              <w:t xml:space="preserve"> (</w:t>
            </w:r>
            <w:r w:rsidRPr="00F76AE2">
              <w:rPr>
                <w:rFonts w:cs="Times Unicode"/>
                <w:szCs w:val="22"/>
                <w:lang w:val="en-US" w:eastAsia="en-US"/>
              </w:rPr>
              <w:t>ՊԳՊ</w:t>
            </w:r>
            <w:r w:rsidRPr="00F76AE2">
              <w:rPr>
                <w:rFonts w:cs="Times Unicode"/>
                <w:szCs w:val="22"/>
                <w:lang w:val="es-ES" w:eastAsia="en-US"/>
              </w:rPr>
              <w:t xml:space="preserve">) </w:t>
            </w:r>
            <w:r w:rsidRPr="00F76AE2">
              <w:rPr>
                <w:rFonts w:cs="Times Unicode"/>
                <w:szCs w:val="22"/>
                <w:lang w:val="en-US" w:eastAsia="en-US"/>
              </w:rPr>
              <w:t>առավելագույն</w:t>
            </w:r>
            <w:r w:rsidRPr="00F76AE2">
              <w:rPr>
                <w:rFonts w:cs="Times Unicode"/>
                <w:szCs w:val="22"/>
                <w:lang w:val="es-ES" w:eastAsia="en-US"/>
              </w:rPr>
              <w:t xml:space="preserve"> </w:t>
            </w:r>
            <w:r w:rsidRPr="00F76AE2">
              <w:rPr>
                <w:rFonts w:cs="Times Unicode"/>
                <w:szCs w:val="22"/>
                <w:lang w:val="en-US" w:eastAsia="en-US"/>
              </w:rPr>
              <w:t>կշիռը</w:t>
            </w:r>
            <w:r w:rsidRPr="00F76AE2">
              <w:rPr>
                <w:rFonts w:cs="Times Unicode"/>
                <w:szCs w:val="22"/>
                <w:lang w:val="es-ES" w:eastAsia="en-US"/>
              </w:rPr>
              <w:t xml:space="preserve"> </w:t>
            </w:r>
            <w:r w:rsidRPr="00F76AE2">
              <w:rPr>
                <w:rFonts w:cs="Times Unicode"/>
                <w:szCs w:val="22"/>
                <w:lang w:val="en-US" w:eastAsia="en-US"/>
              </w:rPr>
              <w:t>ՊԳՊ</w:t>
            </w:r>
            <w:r w:rsidRPr="00F76AE2">
              <w:rPr>
                <w:rFonts w:cs="Times Unicode"/>
                <w:szCs w:val="22"/>
                <w:lang w:val="es-ES" w:eastAsia="en-US"/>
              </w:rPr>
              <w:t>-</w:t>
            </w:r>
            <w:r w:rsidRPr="00F76AE2">
              <w:rPr>
                <w:rFonts w:cs="Times Unicode"/>
                <w:szCs w:val="22"/>
                <w:lang w:val="en-US" w:eastAsia="en-US"/>
              </w:rPr>
              <w:t>երի</w:t>
            </w:r>
            <w:r w:rsidRPr="00F76AE2">
              <w:rPr>
                <w:rFonts w:cs="Times Unicode"/>
                <w:szCs w:val="22"/>
                <w:lang w:val="es-ES" w:eastAsia="en-US"/>
              </w:rPr>
              <w:t xml:space="preserve"> </w:t>
            </w:r>
            <w:r w:rsidRPr="00F76AE2">
              <w:rPr>
                <w:rFonts w:cs="Times Unicode"/>
                <w:szCs w:val="22"/>
                <w:lang w:val="en-US" w:eastAsia="en-US"/>
              </w:rPr>
              <w:t>ծավալի</w:t>
            </w:r>
            <w:r w:rsidRPr="00F76AE2">
              <w:rPr>
                <w:rFonts w:cs="Times Unicode"/>
                <w:szCs w:val="22"/>
                <w:lang w:val="es-ES" w:eastAsia="en-US"/>
              </w:rPr>
              <w:t xml:space="preserve"> </w:t>
            </w:r>
            <w:r w:rsidRPr="00F76AE2">
              <w:rPr>
                <w:rFonts w:cs="Times Unicode"/>
                <w:szCs w:val="22"/>
                <w:lang w:val="en-US" w:eastAsia="en-US"/>
              </w:rPr>
              <w:t>մեջ</w:t>
            </w:r>
            <w:r w:rsidRPr="00F76AE2">
              <w:rPr>
                <w:rFonts w:cs="Times Unicode"/>
                <w:szCs w:val="22"/>
                <w:lang w:val="es-ES" w:eastAsia="en-US"/>
              </w:rPr>
              <w:t xml:space="preserve"> (</w:t>
            </w:r>
            <w:r w:rsidRPr="00F76AE2">
              <w:rPr>
                <w:rFonts w:cs="Times Unicode"/>
                <w:szCs w:val="22"/>
                <w:lang w:val="en-US" w:eastAsia="en-US"/>
              </w:rPr>
              <w:t>տարեվերջին</w:t>
            </w:r>
            <w:r w:rsidRPr="00F76AE2">
              <w:rPr>
                <w:rFonts w:cs="Times Unicode"/>
                <w:szCs w:val="22"/>
                <w:lang w:val="es-ES" w:eastAsia="en-US"/>
              </w:rPr>
              <w:t>)</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50698A0D" w14:textId="77777777" w:rsidR="003310B6" w:rsidRPr="00F76AE2" w:rsidRDefault="003310B6" w:rsidP="00603B06">
            <w:pPr>
              <w:spacing w:before="0" w:line="276" w:lineRule="auto"/>
              <w:ind w:firstLine="0"/>
              <w:contextualSpacing w:val="0"/>
              <w:jc w:val="center"/>
              <w:rPr>
                <w:b w:val="0"/>
                <w:szCs w:val="22"/>
                <w:lang w:val="en-US" w:eastAsia="en-US"/>
              </w:rPr>
            </w:pPr>
            <w:r w:rsidRPr="00F76AE2">
              <w:rPr>
                <w:b w:val="0"/>
                <w:szCs w:val="22"/>
                <w:lang w:val="en-US" w:eastAsia="en-US"/>
              </w:rPr>
              <w:t>առավելագույնը</w:t>
            </w:r>
          </w:p>
          <w:p w14:paraId="7BE20363" w14:textId="77777777" w:rsidR="003310B6" w:rsidRPr="00F76AE2" w:rsidRDefault="003310B6" w:rsidP="00603B06">
            <w:pPr>
              <w:spacing w:before="0" w:line="276" w:lineRule="auto"/>
              <w:ind w:firstLine="0"/>
              <w:contextualSpacing w:val="0"/>
              <w:jc w:val="center"/>
              <w:rPr>
                <w:b w:val="0"/>
                <w:szCs w:val="22"/>
                <w:lang w:val="en-US" w:eastAsia="en-US"/>
              </w:rPr>
            </w:pPr>
            <w:r w:rsidRPr="00F76AE2">
              <w:rPr>
                <w:b w:val="0"/>
                <w:szCs w:val="22"/>
                <w:lang w:val="en-US" w:eastAsia="en-US"/>
              </w:rPr>
              <w:t>20%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28A8F809" w14:textId="77777777" w:rsidR="003310B6" w:rsidRPr="00F76AE2" w:rsidRDefault="003310B6" w:rsidP="00603B06">
            <w:pPr>
              <w:spacing w:before="0" w:line="276" w:lineRule="auto"/>
              <w:ind w:firstLine="0"/>
              <w:contextualSpacing w:val="0"/>
              <w:jc w:val="center"/>
              <w:rPr>
                <w:szCs w:val="22"/>
                <w:lang w:val="en-US" w:eastAsia="en-US"/>
              </w:rPr>
            </w:pPr>
            <w:r w:rsidRPr="00F76AE2">
              <w:rPr>
                <w:szCs w:val="22"/>
                <w:lang w:val="hy-AM" w:eastAsia="en-US"/>
              </w:rPr>
              <w:t>10.6</w:t>
            </w:r>
            <w:r w:rsidRPr="00F76AE2">
              <w:rPr>
                <w:szCs w:val="22"/>
                <w:lang w:val="en-US" w:eastAsia="en-US"/>
              </w:rPr>
              <w:t>%</w:t>
            </w:r>
          </w:p>
        </w:tc>
      </w:tr>
      <w:tr w:rsidR="003310B6" w:rsidRPr="00F76AE2" w14:paraId="0C9DD32F" w14:textId="77777777" w:rsidTr="00603B06">
        <w:tc>
          <w:tcPr>
            <w:cnfStyle w:val="001000000000" w:firstRow="0" w:lastRow="0" w:firstColumn="1" w:lastColumn="0" w:oddVBand="0" w:evenVBand="0" w:oddHBand="0" w:evenHBand="0" w:firstRowFirstColumn="0" w:firstRowLastColumn="0" w:lastRowFirstColumn="0" w:lastRowLastColumn="0"/>
            <w:tcW w:w="6948" w:type="dxa"/>
          </w:tcPr>
          <w:p w14:paraId="39867CC8" w14:textId="77777777" w:rsidR="003310B6" w:rsidRPr="00F76AE2" w:rsidRDefault="003310B6" w:rsidP="00603B06">
            <w:pPr>
              <w:spacing w:before="0" w:line="276" w:lineRule="auto"/>
              <w:ind w:firstLine="0"/>
              <w:contextualSpacing w:val="0"/>
              <w:jc w:val="left"/>
              <w:rPr>
                <w:rFonts w:cs="Times Unicode"/>
                <w:b/>
                <w:szCs w:val="22"/>
                <w:lang w:val="es-ES" w:eastAsia="en-US"/>
              </w:rPr>
            </w:pPr>
            <w:r w:rsidRPr="00F76AE2">
              <w:rPr>
                <w:rFonts w:cs="Times Unicode"/>
                <w:szCs w:val="22"/>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right w:val="none" w:sz="0" w:space="0" w:color="auto"/>
            </w:tcBorders>
            <w:vAlign w:val="center"/>
          </w:tcPr>
          <w:p w14:paraId="776DE2FD" w14:textId="77777777" w:rsidR="003310B6" w:rsidRPr="00F76AE2" w:rsidRDefault="003310B6" w:rsidP="00603B06">
            <w:pPr>
              <w:spacing w:before="0" w:line="276" w:lineRule="auto"/>
              <w:ind w:firstLine="0"/>
              <w:contextualSpacing w:val="0"/>
              <w:jc w:val="center"/>
              <w:rPr>
                <w:b w:val="0"/>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4DA9F80C" w14:textId="77777777" w:rsidR="003310B6" w:rsidRPr="00F76AE2" w:rsidRDefault="003310B6" w:rsidP="00603B06">
            <w:pPr>
              <w:spacing w:before="0" w:line="276" w:lineRule="auto"/>
              <w:ind w:firstLine="0"/>
              <w:contextualSpacing w:val="0"/>
              <w:jc w:val="center"/>
              <w:rPr>
                <w:szCs w:val="22"/>
                <w:lang w:val="en-US" w:eastAsia="en-US"/>
              </w:rPr>
            </w:pPr>
          </w:p>
        </w:tc>
      </w:tr>
      <w:tr w:rsidR="003310B6" w:rsidRPr="00F76AE2" w14:paraId="4C6EAAA7" w14:textId="77777777" w:rsidTr="00603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1DBB57FE" w14:textId="77777777" w:rsidR="003310B6" w:rsidRPr="00F76AE2" w:rsidRDefault="003310B6" w:rsidP="00603B06">
            <w:pPr>
              <w:spacing w:before="0" w:line="276" w:lineRule="auto"/>
              <w:ind w:left="258" w:firstLine="0"/>
              <w:contextualSpacing w:val="0"/>
              <w:jc w:val="left"/>
              <w:rPr>
                <w:rFonts w:cs="Times Unicode"/>
                <w:szCs w:val="22"/>
                <w:lang w:val="es-ES" w:eastAsia="en-US"/>
              </w:rPr>
            </w:pPr>
            <w:r w:rsidRPr="00F76AE2">
              <w:rPr>
                <w:rFonts w:cs="Times Unicode"/>
                <w:szCs w:val="22"/>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372B5B4E" w14:textId="77777777" w:rsidR="003310B6" w:rsidRPr="00F76AE2" w:rsidRDefault="003310B6" w:rsidP="00603B06">
            <w:pPr>
              <w:spacing w:before="0" w:line="276" w:lineRule="auto"/>
              <w:ind w:firstLine="0"/>
              <w:contextualSpacing w:val="0"/>
              <w:jc w:val="center"/>
              <w:rPr>
                <w:b w:val="0"/>
                <w:szCs w:val="22"/>
                <w:lang w:val="en-US" w:eastAsia="en-US"/>
              </w:rPr>
            </w:pPr>
            <w:r w:rsidRPr="00F76AE2">
              <w:rPr>
                <w:b w:val="0"/>
                <w:szCs w:val="22"/>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155A8360" w14:textId="77777777" w:rsidR="003310B6" w:rsidRPr="00F76AE2" w:rsidRDefault="003310B6" w:rsidP="00603B06">
            <w:pPr>
              <w:spacing w:before="0" w:line="276" w:lineRule="auto"/>
              <w:ind w:firstLine="0"/>
              <w:contextualSpacing w:val="0"/>
              <w:jc w:val="center"/>
              <w:rPr>
                <w:szCs w:val="22"/>
                <w:lang w:val="hy-AM" w:eastAsia="en-US"/>
              </w:rPr>
            </w:pPr>
            <w:r w:rsidRPr="00F76AE2">
              <w:rPr>
                <w:szCs w:val="22"/>
                <w:lang w:val="hy-AM" w:eastAsia="en-US"/>
              </w:rPr>
              <w:t>82.7%</w:t>
            </w:r>
          </w:p>
        </w:tc>
      </w:tr>
      <w:tr w:rsidR="003310B6" w:rsidRPr="00F76AE2" w14:paraId="6810C1E3" w14:textId="77777777" w:rsidTr="00603B06">
        <w:tc>
          <w:tcPr>
            <w:cnfStyle w:val="001000000000" w:firstRow="0" w:lastRow="0" w:firstColumn="1" w:lastColumn="0" w:oddVBand="0" w:evenVBand="0" w:oddHBand="0" w:evenHBand="0" w:firstRowFirstColumn="0" w:firstRowLastColumn="0" w:lastRowFirstColumn="0" w:lastRowLastColumn="0"/>
            <w:tcW w:w="6948" w:type="dxa"/>
          </w:tcPr>
          <w:p w14:paraId="4C95AC06" w14:textId="77777777" w:rsidR="003310B6" w:rsidRPr="00F76AE2" w:rsidRDefault="003310B6" w:rsidP="00603B06">
            <w:pPr>
              <w:spacing w:before="0" w:line="276" w:lineRule="auto"/>
              <w:ind w:firstLine="0"/>
              <w:contextualSpacing w:val="0"/>
              <w:jc w:val="left"/>
              <w:rPr>
                <w:rFonts w:cs="Times Unicode"/>
                <w:b/>
                <w:szCs w:val="22"/>
                <w:lang w:val="es-ES" w:eastAsia="en-US"/>
              </w:rPr>
            </w:pPr>
            <w:r w:rsidRPr="00F76AE2">
              <w:rPr>
                <w:rFonts w:cs="Times Unicode"/>
                <w:szCs w:val="22"/>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1800" w:type="dxa"/>
            <w:tcBorders>
              <w:left w:val="none" w:sz="0" w:space="0" w:color="auto"/>
              <w:right w:val="none" w:sz="0" w:space="0" w:color="auto"/>
            </w:tcBorders>
            <w:vAlign w:val="center"/>
          </w:tcPr>
          <w:p w14:paraId="24F5367A" w14:textId="77777777" w:rsidR="003310B6" w:rsidRPr="00F76AE2" w:rsidRDefault="003310B6" w:rsidP="00603B06">
            <w:pPr>
              <w:spacing w:before="0" w:line="276" w:lineRule="auto"/>
              <w:ind w:firstLine="0"/>
              <w:contextualSpacing w:val="0"/>
              <w:jc w:val="center"/>
              <w:rPr>
                <w:b w:val="0"/>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vAlign w:val="center"/>
          </w:tcPr>
          <w:p w14:paraId="6E37A70E" w14:textId="77777777" w:rsidR="003310B6" w:rsidRPr="00F76AE2" w:rsidRDefault="003310B6" w:rsidP="00603B06">
            <w:pPr>
              <w:spacing w:before="0" w:line="276" w:lineRule="auto"/>
              <w:ind w:firstLine="0"/>
              <w:contextualSpacing w:val="0"/>
              <w:jc w:val="center"/>
              <w:rPr>
                <w:szCs w:val="22"/>
                <w:lang w:val="hy-AM" w:eastAsia="en-US"/>
              </w:rPr>
            </w:pPr>
          </w:p>
        </w:tc>
      </w:tr>
      <w:tr w:rsidR="003310B6" w:rsidRPr="00F76AE2" w14:paraId="226FB982" w14:textId="77777777" w:rsidTr="00603B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65EB20C4" w14:textId="77777777" w:rsidR="003310B6" w:rsidRPr="00F76AE2" w:rsidRDefault="003310B6" w:rsidP="00603B06">
            <w:pPr>
              <w:spacing w:before="0" w:line="276" w:lineRule="auto"/>
              <w:ind w:left="258" w:firstLine="0"/>
              <w:contextualSpacing w:val="0"/>
              <w:jc w:val="left"/>
              <w:rPr>
                <w:rFonts w:cs="Times Unicode"/>
                <w:szCs w:val="22"/>
                <w:lang w:val="es-ES" w:eastAsia="en-US"/>
              </w:rPr>
            </w:pPr>
            <w:r w:rsidRPr="00F76AE2">
              <w:rPr>
                <w:rFonts w:cs="Times Unicode"/>
                <w:szCs w:val="22"/>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0854F059" w14:textId="77777777" w:rsidR="003310B6" w:rsidRPr="00F76AE2" w:rsidRDefault="003310B6" w:rsidP="00603B06">
            <w:pPr>
              <w:spacing w:before="0" w:line="276" w:lineRule="auto"/>
              <w:ind w:firstLine="0"/>
              <w:contextualSpacing w:val="0"/>
              <w:jc w:val="center"/>
              <w:rPr>
                <w:b w:val="0"/>
                <w:szCs w:val="22"/>
                <w:lang w:val="en-US" w:eastAsia="en-US"/>
              </w:rPr>
            </w:pPr>
            <w:r w:rsidRPr="00F76AE2">
              <w:rPr>
                <w:b w:val="0"/>
                <w:szCs w:val="22"/>
                <w:lang w:val="en-US" w:eastAsia="en-US"/>
              </w:rPr>
              <w:t>առնվազն 25%</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3D954473" w14:textId="77777777" w:rsidR="003310B6" w:rsidRPr="00F76AE2" w:rsidRDefault="003310B6" w:rsidP="00603B06">
            <w:pPr>
              <w:spacing w:before="0" w:line="276" w:lineRule="auto"/>
              <w:ind w:firstLine="0"/>
              <w:contextualSpacing w:val="0"/>
              <w:jc w:val="center"/>
              <w:rPr>
                <w:szCs w:val="22"/>
                <w:lang w:val="hy-AM" w:eastAsia="en-US"/>
              </w:rPr>
            </w:pPr>
            <w:r w:rsidRPr="00F76AE2">
              <w:rPr>
                <w:szCs w:val="22"/>
                <w:lang w:val="hy-AM" w:eastAsia="en-US"/>
              </w:rPr>
              <w:t>31.0%</w:t>
            </w:r>
          </w:p>
        </w:tc>
      </w:tr>
      <w:tr w:rsidR="003310B6" w:rsidRPr="00F76AE2" w14:paraId="79619A5A" w14:textId="77777777" w:rsidTr="00603B0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none" w:sz="0" w:space="0" w:color="auto"/>
              <w:left w:val="none" w:sz="0" w:space="0" w:color="auto"/>
              <w:bottom w:val="none" w:sz="0" w:space="0" w:color="auto"/>
            </w:tcBorders>
          </w:tcPr>
          <w:p w14:paraId="332C7FE0" w14:textId="77777777" w:rsidR="003310B6" w:rsidRPr="00F76AE2" w:rsidRDefault="003310B6" w:rsidP="00603B06">
            <w:pPr>
              <w:spacing w:before="0" w:line="276" w:lineRule="auto"/>
              <w:ind w:left="258" w:firstLine="0"/>
              <w:contextualSpacing w:val="0"/>
              <w:jc w:val="left"/>
              <w:rPr>
                <w:rFonts w:cs="Times Unicode"/>
                <w:szCs w:val="22"/>
                <w:lang w:val="es-ES" w:eastAsia="en-US"/>
              </w:rPr>
            </w:pPr>
            <w:r w:rsidRPr="00F76AE2">
              <w:rPr>
                <w:rFonts w:cs="Times Unicode"/>
                <w:szCs w:val="22"/>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none" w:sz="0" w:space="0" w:color="auto"/>
              <w:left w:val="none" w:sz="0" w:space="0" w:color="auto"/>
              <w:bottom w:val="none" w:sz="0" w:space="0" w:color="auto"/>
              <w:right w:val="none" w:sz="0" w:space="0" w:color="auto"/>
            </w:tcBorders>
            <w:vAlign w:val="center"/>
          </w:tcPr>
          <w:p w14:paraId="4D32916F" w14:textId="77777777" w:rsidR="003310B6" w:rsidRPr="00F76AE2" w:rsidRDefault="003310B6" w:rsidP="00603B06">
            <w:pPr>
              <w:spacing w:before="0" w:line="276" w:lineRule="auto"/>
              <w:ind w:firstLine="0"/>
              <w:contextualSpacing w:val="0"/>
              <w:jc w:val="center"/>
              <w:rPr>
                <w:szCs w:val="22"/>
                <w:lang w:val="en-US" w:eastAsia="en-US"/>
              </w:rPr>
            </w:pPr>
            <w:r w:rsidRPr="00F76AE2">
              <w:rPr>
                <w:szCs w:val="22"/>
                <w:lang w:val="en-US" w:eastAsia="en-US"/>
              </w:rPr>
              <w:t>առնվազն 25%</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bottom w:val="none" w:sz="0" w:space="0" w:color="auto"/>
              <w:right w:val="none" w:sz="0" w:space="0" w:color="auto"/>
            </w:tcBorders>
            <w:vAlign w:val="center"/>
          </w:tcPr>
          <w:p w14:paraId="28024018" w14:textId="77777777" w:rsidR="003310B6" w:rsidRPr="00F76AE2" w:rsidRDefault="003310B6" w:rsidP="00603B06">
            <w:pPr>
              <w:spacing w:before="0" w:line="276" w:lineRule="auto"/>
              <w:ind w:firstLine="0"/>
              <w:contextualSpacing w:val="0"/>
              <w:jc w:val="center"/>
              <w:rPr>
                <w:szCs w:val="22"/>
                <w:lang w:val="hy-AM" w:eastAsia="en-US"/>
              </w:rPr>
            </w:pPr>
            <w:r w:rsidRPr="00F76AE2">
              <w:rPr>
                <w:szCs w:val="22"/>
                <w:lang w:val="hy-AM" w:eastAsia="en-US"/>
              </w:rPr>
              <w:t>30.1%</w:t>
            </w:r>
          </w:p>
        </w:tc>
      </w:tr>
    </w:tbl>
    <w:p w14:paraId="306B7365" w14:textId="77777777" w:rsidR="003310B6" w:rsidRPr="00F76AE2" w:rsidRDefault="003310B6" w:rsidP="003310B6">
      <w:pPr>
        <w:spacing w:before="0" w:line="276" w:lineRule="auto"/>
        <w:ind w:firstLine="720"/>
        <w:contextualSpacing w:val="0"/>
        <w:rPr>
          <w:rFonts w:eastAsiaTheme="minorHAnsi" w:cstheme="minorBidi"/>
          <w:b w:val="0"/>
          <w:bCs/>
          <w:szCs w:val="22"/>
          <w:lang w:val="en-US" w:eastAsia="en-US"/>
        </w:rPr>
      </w:pPr>
    </w:p>
    <w:p w14:paraId="2536B78B" w14:textId="767C3338" w:rsidR="003310B6" w:rsidRDefault="003310B6" w:rsidP="003310B6">
      <w:pPr>
        <w:spacing w:before="0" w:line="276" w:lineRule="auto"/>
        <w:ind w:firstLine="720"/>
        <w:contextualSpacing w:val="0"/>
        <w:rPr>
          <w:rFonts w:eastAsiaTheme="minorHAnsi" w:cstheme="minorBidi"/>
          <w:b w:val="0"/>
          <w:noProof/>
          <w:szCs w:val="22"/>
          <w:lang w:val="en-US" w:eastAsia="en-US"/>
        </w:rPr>
      </w:pPr>
      <w:r w:rsidRPr="00F76AE2">
        <w:rPr>
          <w:rFonts w:eastAsiaTheme="minorHAnsi" w:cstheme="minorBidi"/>
          <w:b w:val="0"/>
          <w:noProof/>
          <w:szCs w:val="22"/>
          <w:lang w:val="en-US" w:eastAsia="en-US"/>
        </w:rPr>
        <w:t>202</w:t>
      </w:r>
      <w:r w:rsidRPr="00F76AE2">
        <w:rPr>
          <w:rFonts w:eastAsiaTheme="minorHAnsi" w:cstheme="minorBidi"/>
          <w:b w:val="0"/>
          <w:noProof/>
          <w:szCs w:val="22"/>
          <w:lang w:val="hy-AM" w:eastAsia="en-US"/>
        </w:rPr>
        <w:t>2</w:t>
      </w:r>
      <w:r w:rsidRPr="00F76AE2">
        <w:rPr>
          <w:rFonts w:eastAsiaTheme="minorHAnsi" w:cstheme="minorBidi"/>
          <w:b w:val="0"/>
          <w:noProof/>
          <w:szCs w:val="22"/>
          <w:lang w:val="en-US" w:eastAsia="en-US"/>
        </w:rPr>
        <w:t xml:space="preserve"> թվականի տարեվերջի դրությամբ կառավարության արտաքին վարկերի գծով պարտքի 3</w:t>
      </w:r>
      <w:r w:rsidRPr="00F76AE2">
        <w:rPr>
          <w:rFonts w:eastAsiaTheme="minorHAnsi" w:cstheme="minorBidi"/>
          <w:b w:val="0"/>
          <w:noProof/>
          <w:szCs w:val="22"/>
          <w:lang w:val="hy-AM" w:eastAsia="en-US"/>
        </w:rPr>
        <w:t>7.6</w:t>
      </w:r>
      <w:r w:rsidRPr="00F76AE2">
        <w:rPr>
          <w:rFonts w:eastAsiaTheme="minorHAnsi" w:cstheme="minorBidi"/>
          <w:b w:val="0"/>
          <w:noProof/>
          <w:szCs w:val="22"/>
          <w:lang w:val="en-US" w:eastAsia="en-US"/>
        </w:rPr>
        <w:t>%-ը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14:paraId="15C5D5E5" w14:textId="77777777" w:rsidR="009A1A86" w:rsidRPr="00F76AE2" w:rsidRDefault="009A1A86" w:rsidP="003310B6">
      <w:pPr>
        <w:spacing w:before="0" w:line="276" w:lineRule="auto"/>
        <w:ind w:firstLine="720"/>
        <w:contextualSpacing w:val="0"/>
        <w:rPr>
          <w:rFonts w:eastAsiaTheme="minorHAnsi" w:cstheme="minorBidi"/>
          <w:b w:val="0"/>
          <w:noProof/>
          <w:szCs w:val="22"/>
          <w:lang w:val="en-US" w:eastAsia="en-US"/>
        </w:rPr>
      </w:pPr>
    </w:p>
    <w:p w14:paraId="3F2C1EC5" w14:textId="77777777" w:rsidR="003310B6" w:rsidRPr="00F76AE2" w:rsidRDefault="003310B6" w:rsidP="003310B6">
      <w:pPr>
        <w:spacing w:before="0" w:line="276" w:lineRule="auto"/>
        <w:ind w:firstLine="0"/>
        <w:contextualSpacing w:val="0"/>
        <w:jc w:val="center"/>
        <w:rPr>
          <w:rFonts w:eastAsiaTheme="minorHAnsi" w:cstheme="minorBidi"/>
          <w:b w:val="0"/>
          <w:noProof/>
          <w:szCs w:val="22"/>
          <w:lang w:val="en-US" w:eastAsia="en-US"/>
        </w:rPr>
      </w:pPr>
      <w:r w:rsidRPr="00F76AE2">
        <w:rPr>
          <w:noProof/>
          <w:szCs w:val="22"/>
          <w:lang w:val="en-US" w:eastAsia="en-US"/>
        </w:rPr>
        <w:drawing>
          <wp:inline distT="0" distB="0" distL="0" distR="0" wp14:anchorId="6B297008" wp14:editId="2FBBC690">
            <wp:extent cx="5334879" cy="3217691"/>
            <wp:effectExtent l="133350" t="114300" r="132715" b="1162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8E88B3F" w14:textId="77777777" w:rsidR="009A1A86" w:rsidRDefault="009A1A86" w:rsidP="003310B6">
      <w:pPr>
        <w:spacing w:before="0" w:line="276" w:lineRule="auto"/>
        <w:ind w:firstLine="720"/>
        <w:contextualSpacing w:val="0"/>
        <w:rPr>
          <w:rFonts w:eastAsiaTheme="minorHAnsi" w:cstheme="minorBidi"/>
          <w:b w:val="0"/>
          <w:noProof/>
          <w:szCs w:val="22"/>
          <w:lang w:val="en-US" w:eastAsia="en-US"/>
        </w:rPr>
      </w:pPr>
    </w:p>
    <w:p w14:paraId="1AA54C27" w14:textId="214B1240" w:rsidR="003310B6" w:rsidRDefault="003310B6" w:rsidP="003310B6">
      <w:pPr>
        <w:spacing w:before="0" w:line="276" w:lineRule="auto"/>
        <w:ind w:firstLine="720"/>
        <w:contextualSpacing w:val="0"/>
        <w:rPr>
          <w:rFonts w:eastAsiaTheme="minorHAnsi" w:cstheme="minorBidi"/>
          <w:b w:val="0"/>
          <w:noProof/>
          <w:szCs w:val="22"/>
          <w:lang w:val="en-US" w:eastAsia="en-US"/>
        </w:rPr>
      </w:pPr>
      <w:r w:rsidRPr="00F76AE2">
        <w:rPr>
          <w:rFonts w:eastAsiaTheme="minorHAnsi" w:cstheme="minorBidi"/>
          <w:b w:val="0"/>
          <w:noProof/>
          <w:szCs w:val="22"/>
          <w:lang w:val="en-US" w:eastAsia="en-US"/>
        </w:rPr>
        <w:t>202</w:t>
      </w:r>
      <w:r w:rsidRPr="00F76AE2">
        <w:rPr>
          <w:rFonts w:eastAsiaTheme="minorHAnsi" w:cstheme="minorBidi"/>
          <w:b w:val="0"/>
          <w:noProof/>
          <w:szCs w:val="22"/>
          <w:lang w:val="hy-AM" w:eastAsia="en-US"/>
        </w:rPr>
        <w:t>2</w:t>
      </w:r>
      <w:r w:rsidRPr="00F76AE2">
        <w:rPr>
          <w:rFonts w:eastAsiaTheme="minorHAnsi" w:cstheme="minorBidi"/>
          <w:b w:val="0"/>
          <w:noProof/>
          <w:szCs w:val="22"/>
          <w:lang w:val="en-US" w:eastAsia="en-US"/>
        </w:rPr>
        <w:t xml:space="preserve"> թվականի տարեվերջի դրությամբ ձևավորվող կառավարության պարտքի մարման ժամանակացույցը սփռված կլինի մինչև 2054 թվականը և կունենա հետևյալ տեսքը. </w:t>
      </w:r>
    </w:p>
    <w:p w14:paraId="5807DEB1" w14:textId="77777777" w:rsidR="009A1A86" w:rsidRPr="00F76AE2" w:rsidRDefault="009A1A86" w:rsidP="003310B6">
      <w:pPr>
        <w:spacing w:before="0" w:line="276" w:lineRule="auto"/>
        <w:ind w:firstLine="720"/>
        <w:contextualSpacing w:val="0"/>
        <w:rPr>
          <w:rFonts w:eastAsiaTheme="minorHAnsi" w:cstheme="minorBidi"/>
          <w:b w:val="0"/>
          <w:noProof/>
          <w:szCs w:val="22"/>
          <w:lang w:val="en-US" w:eastAsia="en-US"/>
        </w:rPr>
      </w:pPr>
    </w:p>
    <w:p w14:paraId="52672CD0" w14:textId="77777777" w:rsidR="003310B6" w:rsidRPr="00F76AE2" w:rsidRDefault="003310B6" w:rsidP="003310B6">
      <w:pPr>
        <w:spacing w:before="0" w:line="276" w:lineRule="auto"/>
        <w:ind w:left="-180" w:firstLine="0"/>
        <w:contextualSpacing w:val="0"/>
        <w:jc w:val="center"/>
        <w:rPr>
          <w:rFonts w:eastAsiaTheme="minorHAnsi" w:cstheme="minorBidi"/>
          <w:b w:val="0"/>
          <w:noProof/>
          <w:szCs w:val="22"/>
          <w:lang w:val="en-US" w:eastAsia="en-US"/>
        </w:rPr>
      </w:pPr>
      <w:r w:rsidRPr="00F76AE2">
        <w:rPr>
          <w:noProof/>
          <w:szCs w:val="22"/>
          <w:lang w:val="en-US" w:eastAsia="en-US"/>
        </w:rPr>
        <w:drawing>
          <wp:inline distT="0" distB="0" distL="0" distR="0" wp14:anchorId="51BD4C44" wp14:editId="6623B141">
            <wp:extent cx="6626679" cy="2258786"/>
            <wp:effectExtent l="133350" t="95250" r="136525" b="10350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E6130B3" w14:textId="77777777" w:rsidR="009A1A86" w:rsidRDefault="009A1A86" w:rsidP="003310B6">
      <w:pPr>
        <w:spacing w:before="0" w:line="276" w:lineRule="auto"/>
        <w:ind w:firstLine="720"/>
        <w:contextualSpacing w:val="0"/>
        <w:rPr>
          <w:rFonts w:eastAsiaTheme="minorHAnsi" w:cstheme="minorBidi"/>
          <w:b w:val="0"/>
          <w:bCs/>
          <w:szCs w:val="22"/>
          <w:lang w:val="en-US" w:eastAsia="en-US"/>
        </w:rPr>
      </w:pPr>
    </w:p>
    <w:p w14:paraId="5B2F0DB0" w14:textId="53D06FE3" w:rsidR="003310B6" w:rsidRDefault="003310B6" w:rsidP="003310B6">
      <w:pPr>
        <w:spacing w:before="0" w:line="276" w:lineRule="auto"/>
        <w:ind w:firstLine="720"/>
        <w:contextualSpacing w:val="0"/>
        <w:rPr>
          <w:rFonts w:eastAsiaTheme="minorHAnsi" w:cstheme="minorBidi"/>
          <w:b w:val="0"/>
          <w:bCs/>
          <w:szCs w:val="22"/>
          <w:lang w:val="en-US" w:eastAsia="en-US"/>
        </w:rPr>
      </w:pPr>
      <w:r w:rsidRPr="00F76AE2">
        <w:rPr>
          <w:rFonts w:eastAsiaTheme="minorHAnsi" w:cstheme="minorBidi"/>
          <w:b w:val="0"/>
          <w:bCs/>
          <w:szCs w:val="22"/>
          <w:lang w:val="en-US" w:eastAsia="en-US"/>
        </w:rPr>
        <w:t>202</w:t>
      </w:r>
      <w:r w:rsidRPr="00F76AE2">
        <w:rPr>
          <w:rFonts w:eastAsiaTheme="minorHAnsi" w:cstheme="minorBidi"/>
          <w:b w:val="0"/>
          <w:bCs/>
          <w:szCs w:val="22"/>
          <w:lang w:val="hy-AM" w:eastAsia="en-US"/>
        </w:rPr>
        <w:t>2</w:t>
      </w:r>
      <w:r w:rsidRPr="00F76AE2">
        <w:rPr>
          <w:rFonts w:eastAsiaTheme="minorHAnsi" w:cstheme="minorBidi"/>
          <w:b w:val="0"/>
          <w:bCs/>
          <w:szCs w:val="22"/>
          <w:lang w:val="en-US" w:eastAsia="en-US"/>
        </w:rPr>
        <w:t xml:space="preserve"> թվականին կառավարության պարտքի միջին կշռված տոկոսադրույքը կկազմի </w:t>
      </w:r>
      <w:r w:rsidRPr="00F76AE2">
        <w:rPr>
          <w:rFonts w:eastAsiaTheme="minorHAnsi" w:cstheme="minorBidi"/>
          <w:b w:val="0"/>
          <w:bCs/>
          <w:szCs w:val="22"/>
          <w:lang w:val="hy-AM" w:eastAsia="en-US"/>
        </w:rPr>
        <w:t>–5.0</w:t>
      </w:r>
      <w:r w:rsidRPr="00F76AE2">
        <w:rPr>
          <w:rFonts w:eastAsiaTheme="minorHAnsi" w:cstheme="minorBidi"/>
          <w:b w:val="0"/>
          <w:bCs/>
          <w:szCs w:val="22"/>
          <w:lang w:val="en-US" w:eastAsia="en-US"/>
        </w:rPr>
        <w:t xml:space="preserve">%: Կառավարության պարտքի սպասարկման ծախսերը (տոկոսավճարներ) կկազմեն ՀՆԱ-ի </w:t>
      </w:r>
      <w:r w:rsidRPr="00F76AE2">
        <w:rPr>
          <w:rFonts w:eastAsiaTheme="minorHAnsi" w:cstheme="minorBidi"/>
          <w:b w:val="0"/>
          <w:bCs/>
          <w:szCs w:val="22"/>
          <w:lang w:val="hy-AM" w:eastAsia="en-US"/>
        </w:rPr>
        <w:t>2.7</w:t>
      </w:r>
      <w:r w:rsidRPr="00F76AE2">
        <w:rPr>
          <w:rFonts w:eastAsiaTheme="minorHAnsi" w:cstheme="minorBidi"/>
          <w:b w:val="0"/>
          <w:bCs/>
          <w:szCs w:val="22"/>
          <w:lang w:val="en-US" w:eastAsia="en-US"/>
        </w:rPr>
        <w:t xml:space="preserve">%-ը:  </w:t>
      </w:r>
    </w:p>
    <w:p w14:paraId="60A21412" w14:textId="77777777" w:rsidR="009A1A86" w:rsidRPr="00F76AE2" w:rsidRDefault="009A1A86" w:rsidP="003310B6">
      <w:pPr>
        <w:spacing w:before="0" w:line="276" w:lineRule="auto"/>
        <w:ind w:firstLine="720"/>
        <w:contextualSpacing w:val="0"/>
        <w:rPr>
          <w:rFonts w:eastAsiaTheme="minorHAnsi" w:cstheme="minorBidi"/>
          <w:b w:val="0"/>
          <w:bCs/>
          <w:szCs w:val="22"/>
          <w:lang w:val="en-US" w:eastAsia="en-US"/>
        </w:rPr>
      </w:pPr>
    </w:p>
    <w:tbl>
      <w:tblPr>
        <w:tblStyle w:val="LightShading-Accent5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134"/>
        <w:gridCol w:w="1134"/>
        <w:gridCol w:w="1134"/>
      </w:tblGrid>
      <w:tr w:rsidR="003310B6" w:rsidRPr="00F76AE2" w14:paraId="496CC217" w14:textId="77777777" w:rsidTr="00603B06">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804" w:type="dxa"/>
            <w:tcBorders>
              <w:top w:val="none" w:sz="0" w:space="0" w:color="auto"/>
              <w:left w:val="none" w:sz="0" w:space="0" w:color="auto"/>
              <w:bottom w:val="none" w:sz="0" w:space="0" w:color="auto"/>
              <w:right w:val="none" w:sz="0" w:space="0" w:color="auto"/>
            </w:tcBorders>
          </w:tcPr>
          <w:p w14:paraId="372D08E2" w14:textId="77777777" w:rsidR="003310B6" w:rsidRPr="003310B6" w:rsidRDefault="003310B6" w:rsidP="00603B06">
            <w:pPr>
              <w:spacing w:before="0" w:line="276" w:lineRule="auto"/>
              <w:ind w:firstLine="0"/>
              <w:contextualSpacing w:val="0"/>
              <w:jc w:val="center"/>
              <w:rPr>
                <w:b/>
                <w:color w:val="auto"/>
                <w:szCs w:val="22"/>
                <w:lang w:val="en-US" w:eastAsia="en-US"/>
              </w:rPr>
            </w:pPr>
            <w:r w:rsidRPr="003310B6">
              <w:rPr>
                <w:rFonts w:ascii="Courier New" w:hAnsi="Courier New" w:cs="Courier New"/>
                <w:color w:val="auto"/>
                <w:szCs w:val="22"/>
                <w:lang w:val="en-US" w:eastAsia="en-US"/>
              </w:rPr>
              <w:t> </w:t>
            </w:r>
          </w:p>
        </w:tc>
        <w:tc>
          <w:tcPr>
            <w:tcW w:w="1134" w:type="dxa"/>
            <w:tcBorders>
              <w:top w:val="none" w:sz="0" w:space="0" w:color="auto"/>
              <w:left w:val="none" w:sz="0" w:space="0" w:color="auto"/>
              <w:bottom w:val="none" w:sz="0" w:space="0" w:color="auto"/>
              <w:right w:val="none" w:sz="0" w:space="0" w:color="auto"/>
            </w:tcBorders>
          </w:tcPr>
          <w:p w14:paraId="55BA87D0" w14:textId="77777777" w:rsidR="003310B6" w:rsidRPr="003310B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auto"/>
                <w:szCs w:val="22"/>
                <w:lang w:val="en-US" w:eastAsia="en-US"/>
              </w:rPr>
            </w:pPr>
            <w:r w:rsidRPr="003310B6">
              <w:rPr>
                <w:i/>
                <w:color w:val="auto"/>
                <w:szCs w:val="22"/>
                <w:lang w:val="en-US" w:eastAsia="en-US"/>
              </w:rPr>
              <w:t>20</w:t>
            </w:r>
            <w:r w:rsidRPr="003310B6">
              <w:rPr>
                <w:i/>
                <w:color w:val="auto"/>
                <w:szCs w:val="22"/>
                <w:lang w:val="hy-AM" w:eastAsia="en-US"/>
              </w:rPr>
              <w:t>20</w:t>
            </w:r>
            <w:r w:rsidRPr="003310B6">
              <w:rPr>
                <w:i/>
                <w:color w:val="auto"/>
                <w:szCs w:val="22"/>
                <w:lang w:val="en-US" w:eastAsia="en-US"/>
              </w:rPr>
              <w:t>թ.</w:t>
            </w:r>
          </w:p>
        </w:tc>
        <w:tc>
          <w:tcPr>
            <w:tcW w:w="1134" w:type="dxa"/>
            <w:tcBorders>
              <w:top w:val="none" w:sz="0" w:space="0" w:color="auto"/>
              <w:left w:val="none" w:sz="0" w:space="0" w:color="auto"/>
              <w:bottom w:val="none" w:sz="0" w:space="0" w:color="auto"/>
              <w:right w:val="none" w:sz="0" w:space="0" w:color="auto"/>
            </w:tcBorders>
          </w:tcPr>
          <w:p w14:paraId="6FF91BDD" w14:textId="77777777" w:rsidR="003310B6" w:rsidRPr="003310B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auto"/>
                <w:szCs w:val="22"/>
                <w:lang w:val="en-US" w:eastAsia="en-US"/>
              </w:rPr>
            </w:pPr>
            <w:r w:rsidRPr="003310B6">
              <w:rPr>
                <w:i/>
                <w:color w:val="auto"/>
                <w:szCs w:val="22"/>
                <w:lang w:val="en-US" w:eastAsia="en-US"/>
              </w:rPr>
              <w:t>202</w:t>
            </w:r>
            <w:r w:rsidRPr="003310B6">
              <w:rPr>
                <w:i/>
                <w:color w:val="auto"/>
                <w:szCs w:val="22"/>
                <w:lang w:val="hy-AM" w:eastAsia="en-US"/>
              </w:rPr>
              <w:t>1</w:t>
            </w:r>
            <w:r w:rsidRPr="003310B6">
              <w:rPr>
                <w:i/>
                <w:color w:val="auto"/>
                <w:szCs w:val="22"/>
                <w:lang w:val="en-US" w:eastAsia="en-US"/>
              </w:rPr>
              <w:t>թ.</w:t>
            </w:r>
          </w:p>
        </w:tc>
        <w:tc>
          <w:tcPr>
            <w:tcW w:w="1134" w:type="dxa"/>
            <w:tcBorders>
              <w:top w:val="none" w:sz="0" w:space="0" w:color="auto"/>
              <w:left w:val="none" w:sz="0" w:space="0" w:color="auto"/>
              <w:bottom w:val="none" w:sz="0" w:space="0" w:color="auto"/>
              <w:right w:val="none" w:sz="0" w:space="0" w:color="auto"/>
            </w:tcBorders>
          </w:tcPr>
          <w:p w14:paraId="42AEDD4E" w14:textId="77777777" w:rsidR="003310B6" w:rsidRPr="003310B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color w:val="auto"/>
                <w:szCs w:val="22"/>
                <w:lang w:val="en-US" w:eastAsia="en-US"/>
              </w:rPr>
            </w:pPr>
            <w:r w:rsidRPr="003310B6">
              <w:rPr>
                <w:i/>
                <w:color w:val="auto"/>
                <w:szCs w:val="22"/>
                <w:lang w:val="en-US" w:eastAsia="en-US"/>
              </w:rPr>
              <w:t>202</w:t>
            </w:r>
            <w:r w:rsidRPr="003310B6">
              <w:rPr>
                <w:i/>
                <w:color w:val="auto"/>
                <w:szCs w:val="22"/>
                <w:lang w:val="hy-AM" w:eastAsia="en-US"/>
              </w:rPr>
              <w:t>2</w:t>
            </w:r>
            <w:r w:rsidRPr="003310B6">
              <w:rPr>
                <w:i/>
                <w:color w:val="auto"/>
                <w:szCs w:val="22"/>
                <w:lang w:val="en-US" w:eastAsia="en-US"/>
              </w:rPr>
              <w:t>թ.</w:t>
            </w:r>
          </w:p>
        </w:tc>
      </w:tr>
      <w:tr w:rsidR="003310B6" w:rsidRPr="00F76AE2" w14:paraId="2AF954E3" w14:textId="77777777" w:rsidTr="003310B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804" w:type="dxa"/>
            <w:tcBorders>
              <w:left w:val="none" w:sz="0" w:space="0" w:color="auto"/>
              <w:right w:val="none" w:sz="0" w:space="0" w:color="auto"/>
            </w:tcBorders>
            <w:shd w:val="clear" w:color="auto" w:fill="B8CCE4" w:themeFill="accent1" w:themeFillTint="66"/>
          </w:tcPr>
          <w:p w14:paraId="6C5ED481" w14:textId="77777777" w:rsidR="003310B6" w:rsidRPr="003310B6" w:rsidRDefault="003310B6" w:rsidP="00603B06">
            <w:pPr>
              <w:spacing w:before="0" w:line="276" w:lineRule="auto"/>
              <w:ind w:firstLine="0"/>
              <w:contextualSpacing w:val="0"/>
              <w:jc w:val="left"/>
              <w:rPr>
                <w:color w:val="auto"/>
                <w:szCs w:val="22"/>
                <w:lang w:eastAsia="en-US"/>
              </w:rPr>
            </w:pPr>
            <w:r w:rsidRPr="003310B6">
              <w:rPr>
                <w:color w:val="auto"/>
                <w:szCs w:val="22"/>
                <w:lang w:val="en-US" w:eastAsia="en-US"/>
              </w:rPr>
              <w:t>Կառավարության</w:t>
            </w:r>
            <w:r w:rsidRPr="003310B6">
              <w:rPr>
                <w:color w:val="auto"/>
                <w:szCs w:val="22"/>
                <w:lang w:eastAsia="en-US"/>
              </w:rPr>
              <w:t xml:space="preserve"> </w:t>
            </w:r>
            <w:r w:rsidRPr="003310B6">
              <w:rPr>
                <w:color w:val="auto"/>
                <w:szCs w:val="22"/>
                <w:lang w:val="en-US" w:eastAsia="en-US"/>
              </w:rPr>
              <w:t>պարտքի</w:t>
            </w:r>
            <w:r w:rsidRPr="003310B6">
              <w:rPr>
                <w:color w:val="auto"/>
                <w:szCs w:val="22"/>
                <w:lang w:eastAsia="en-US"/>
              </w:rPr>
              <w:t xml:space="preserve"> </w:t>
            </w:r>
            <w:r w:rsidRPr="003310B6">
              <w:rPr>
                <w:color w:val="auto"/>
                <w:szCs w:val="22"/>
                <w:lang w:val="en-US" w:eastAsia="en-US"/>
              </w:rPr>
              <w:t>սպասարկում</w:t>
            </w:r>
            <w:r w:rsidRPr="003310B6">
              <w:rPr>
                <w:color w:val="auto"/>
                <w:szCs w:val="22"/>
                <w:lang w:eastAsia="en-US"/>
              </w:rPr>
              <w:t xml:space="preserve"> (</w:t>
            </w:r>
            <w:r w:rsidRPr="003310B6">
              <w:rPr>
                <w:color w:val="auto"/>
                <w:szCs w:val="22"/>
                <w:lang w:val="en-US" w:eastAsia="en-US"/>
              </w:rPr>
              <w:t>տոկոսավճար</w:t>
            </w:r>
            <w:r w:rsidRPr="003310B6">
              <w:rPr>
                <w:color w:val="auto"/>
                <w:szCs w:val="22"/>
                <w:lang w:eastAsia="en-US"/>
              </w:rPr>
              <w:t xml:space="preserve">), </w:t>
            </w:r>
            <w:r w:rsidRPr="003310B6">
              <w:rPr>
                <w:color w:val="auto"/>
                <w:szCs w:val="22"/>
                <w:lang w:val="en-US" w:eastAsia="en-US"/>
              </w:rPr>
              <w:t>մլրդ</w:t>
            </w:r>
            <w:r w:rsidRPr="003310B6">
              <w:rPr>
                <w:color w:val="auto"/>
                <w:szCs w:val="22"/>
                <w:lang w:eastAsia="en-US"/>
              </w:rPr>
              <w:t xml:space="preserve"> </w:t>
            </w:r>
            <w:r w:rsidRPr="003310B6">
              <w:rPr>
                <w:color w:val="auto"/>
                <w:szCs w:val="22"/>
                <w:lang w:val="en-US" w:eastAsia="en-US"/>
              </w:rPr>
              <w:t>դրամ</w:t>
            </w:r>
          </w:p>
        </w:tc>
        <w:tc>
          <w:tcPr>
            <w:tcW w:w="1134" w:type="dxa"/>
            <w:tcBorders>
              <w:left w:val="none" w:sz="0" w:space="0" w:color="auto"/>
              <w:right w:val="none" w:sz="0" w:space="0" w:color="auto"/>
            </w:tcBorders>
            <w:shd w:val="clear" w:color="auto" w:fill="B8CCE4" w:themeFill="accent1" w:themeFillTint="66"/>
            <w:vAlign w:val="center"/>
          </w:tcPr>
          <w:p w14:paraId="0D0B4523" w14:textId="77777777" w:rsidR="003310B6" w:rsidRPr="003310B6"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color w:val="auto"/>
                <w:szCs w:val="22"/>
                <w:lang w:val="hy-AM" w:eastAsia="en-US"/>
              </w:rPr>
            </w:pPr>
            <w:r w:rsidRPr="003310B6">
              <w:rPr>
                <w:bCs/>
                <w:color w:val="auto"/>
                <w:szCs w:val="22"/>
                <w:lang w:val="hy-AM" w:eastAsia="en-US"/>
              </w:rPr>
              <w:t>164.7</w:t>
            </w:r>
          </w:p>
        </w:tc>
        <w:tc>
          <w:tcPr>
            <w:tcW w:w="1134" w:type="dxa"/>
            <w:tcBorders>
              <w:left w:val="none" w:sz="0" w:space="0" w:color="auto"/>
              <w:right w:val="none" w:sz="0" w:space="0" w:color="auto"/>
            </w:tcBorders>
            <w:shd w:val="clear" w:color="auto" w:fill="B8CCE4" w:themeFill="accent1" w:themeFillTint="66"/>
            <w:vAlign w:val="center"/>
          </w:tcPr>
          <w:p w14:paraId="04681554" w14:textId="77777777" w:rsidR="003310B6" w:rsidRPr="003310B6" w:rsidRDefault="003310B6" w:rsidP="00603B06">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bCs/>
                <w:color w:val="auto"/>
                <w:szCs w:val="22"/>
                <w:lang w:val="hy-AM"/>
              </w:rPr>
            </w:pPr>
            <w:r w:rsidRPr="003310B6">
              <w:rPr>
                <w:bCs/>
                <w:color w:val="auto"/>
                <w:szCs w:val="22"/>
                <w:lang w:val="hy-AM"/>
              </w:rPr>
              <w:t>185.5</w:t>
            </w:r>
          </w:p>
        </w:tc>
        <w:tc>
          <w:tcPr>
            <w:tcW w:w="1134" w:type="dxa"/>
            <w:tcBorders>
              <w:left w:val="none" w:sz="0" w:space="0" w:color="auto"/>
              <w:right w:val="none" w:sz="0" w:space="0" w:color="auto"/>
            </w:tcBorders>
            <w:shd w:val="clear" w:color="auto" w:fill="B8CCE4" w:themeFill="accent1" w:themeFillTint="66"/>
            <w:vAlign w:val="center"/>
          </w:tcPr>
          <w:p w14:paraId="2806E12D" w14:textId="77777777" w:rsidR="003310B6" w:rsidRPr="003310B6" w:rsidRDefault="003310B6" w:rsidP="00603B06">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bCs/>
                <w:color w:val="auto"/>
                <w:szCs w:val="22"/>
                <w:lang w:val="hy-AM"/>
              </w:rPr>
            </w:pPr>
            <w:r w:rsidRPr="003310B6">
              <w:rPr>
                <w:bCs/>
                <w:color w:val="auto"/>
                <w:szCs w:val="22"/>
                <w:lang w:val="hy-AM"/>
              </w:rPr>
              <w:t>214.4</w:t>
            </w:r>
          </w:p>
        </w:tc>
      </w:tr>
      <w:tr w:rsidR="003310B6" w:rsidRPr="00F76AE2" w14:paraId="35C606D1" w14:textId="77777777" w:rsidTr="00603B06">
        <w:trPr>
          <w:trHeight w:val="341"/>
        </w:trPr>
        <w:tc>
          <w:tcPr>
            <w:cnfStyle w:val="001000000000" w:firstRow="0" w:lastRow="0" w:firstColumn="1" w:lastColumn="0" w:oddVBand="0" w:evenVBand="0" w:oddHBand="0" w:evenHBand="0" w:firstRowFirstColumn="0" w:firstRowLastColumn="0" w:lastRowFirstColumn="0" w:lastRowLastColumn="0"/>
            <w:tcW w:w="6804" w:type="dxa"/>
          </w:tcPr>
          <w:p w14:paraId="3A3A64A1" w14:textId="77777777" w:rsidR="003310B6" w:rsidRPr="003310B6" w:rsidRDefault="003310B6" w:rsidP="00603B06">
            <w:pPr>
              <w:spacing w:before="0" w:line="276" w:lineRule="auto"/>
              <w:ind w:firstLine="0"/>
              <w:contextualSpacing w:val="0"/>
              <w:jc w:val="right"/>
              <w:rPr>
                <w:color w:val="auto"/>
                <w:szCs w:val="22"/>
                <w:lang w:val="en-US" w:eastAsia="en-US"/>
              </w:rPr>
            </w:pPr>
            <w:r w:rsidRPr="003310B6">
              <w:rPr>
                <w:color w:val="auto"/>
                <w:szCs w:val="22"/>
                <w:lang w:val="en-US" w:eastAsia="en-US"/>
              </w:rPr>
              <w:t>%-ներով ՀՆԱ-ի նկատմամբ</w:t>
            </w:r>
          </w:p>
        </w:tc>
        <w:tc>
          <w:tcPr>
            <w:tcW w:w="1134" w:type="dxa"/>
            <w:vAlign w:val="center"/>
          </w:tcPr>
          <w:p w14:paraId="6D3337FF" w14:textId="77777777" w:rsidR="003310B6" w:rsidRPr="003310B6" w:rsidRDefault="003310B6" w:rsidP="00603B06">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szCs w:val="22"/>
                <w:lang w:val="hy-AM" w:eastAsia="en-US"/>
              </w:rPr>
            </w:pPr>
            <w:r w:rsidRPr="003310B6">
              <w:rPr>
                <w:b w:val="0"/>
                <w:color w:val="auto"/>
                <w:szCs w:val="22"/>
                <w:lang w:val="hy-AM" w:eastAsia="en-US"/>
              </w:rPr>
              <w:t>2.7</w:t>
            </w:r>
          </w:p>
        </w:tc>
        <w:tc>
          <w:tcPr>
            <w:tcW w:w="1134" w:type="dxa"/>
            <w:vAlign w:val="center"/>
          </w:tcPr>
          <w:p w14:paraId="60F824BA" w14:textId="77777777" w:rsidR="003310B6" w:rsidRPr="003310B6" w:rsidRDefault="003310B6" w:rsidP="00603B06">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szCs w:val="22"/>
                <w:lang w:val="hy-AM" w:eastAsia="en-US"/>
              </w:rPr>
            </w:pPr>
            <w:r w:rsidRPr="003310B6">
              <w:rPr>
                <w:b w:val="0"/>
                <w:color w:val="auto"/>
                <w:szCs w:val="22"/>
                <w:lang w:val="hy-AM" w:eastAsia="en-US"/>
              </w:rPr>
              <w:t>2.6</w:t>
            </w:r>
          </w:p>
        </w:tc>
        <w:tc>
          <w:tcPr>
            <w:tcW w:w="1134" w:type="dxa"/>
            <w:vAlign w:val="center"/>
          </w:tcPr>
          <w:p w14:paraId="2AA5CD69" w14:textId="77777777" w:rsidR="003310B6" w:rsidRPr="003310B6" w:rsidRDefault="003310B6" w:rsidP="00603B06">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szCs w:val="22"/>
                <w:lang w:val="hy-AM" w:eastAsia="en-US"/>
              </w:rPr>
            </w:pPr>
            <w:r w:rsidRPr="003310B6">
              <w:rPr>
                <w:b w:val="0"/>
                <w:color w:val="auto"/>
                <w:szCs w:val="22"/>
                <w:lang w:val="hy-AM" w:eastAsia="en-US"/>
              </w:rPr>
              <w:t>2.7</w:t>
            </w:r>
          </w:p>
        </w:tc>
      </w:tr>
      <w:tr w:rsidR="003310B6" w:rsidRPr="00F76AE2" w14:paraId="7079475E" w14:textId="77777777" w:rsidTr="003310B6">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804" w:type="dxa"/>
            <w:tcBorders>
              <w:left w:val="none" w:sz="0" w:space="0" w:color="auto"/>
              <w:right w:val="none" w:sz="0" w:space="0" w:color="auto"/>
            </w:tcBorders>
            <w:shd w:val="clear" w:color="auto" w:fill="B8CCE4" w:themeFill="accent1" w:themeFillTint="66"/>
          </w:tcPr>
          <w:p w14:paraId="09005952" w14:textId="77777777" w:rsidR="003310B6" w:rsidRPr="003310B6" w:rsidRDefault="003310B6" w:rsidP="00603B06">
            <w:pPr>
              <w:spacing w:before="0" w:line="276" w:lineRule="auto"/>
              <w:ind w:firstLine="0"/>
              <w:contextualSpacing w:val="0"/>
              <w:jc w:val="left"/>
              <w:rPr>
                <w:b/>
                <w:color w:val="auto"/>
                <w:szCs w:val="22"/>
                <w:lang w:eastAsia="en-US"/>
              </w:rPr>
            </w:pPr>
            <w:r w:rsidRPr="003310B6">
              <w:rPr>
                <w:color w:val="auto"/>
                <w:szCs w:val="22"/>
                <w:lang w:val="en-US" w:eastAsia="en-US"/>
              </w:rPr>
              <w:t>Կառավարության</w:t>
            </w:r>
            <w:r w:rsidRPr="003310B6">
              <w:rPr>
                <w:color w:val="auto"/>
                <w:szCs w:val="22"/>
                <w:lang w:eastAsia="en-US"/>
              </w:rPr>
              <w:t xml:space="preserve"> </w:t>
            </w:r>
            <w:r w:rsidRPr="003310B6">
              <w:rPr>
                <w:color w:val="auto"/>
                <w:szCs w:val="22"/>
                <w:lang w:val="en-US" w:eastAsia="en-US"/>
              </w:rPr>
              <w:t>պարտքի</w:t>
            </w:r>
            <w:r w:rsidRPr="003310B6">
              <w:rPr>
                <w:color w:val="auto"/>
                <w:szCs w:val="22"/>
                <w:lang w:eastAsia="en-US"/>
              </w:rPr>
              <w:t xml:space="preserve"> </w:t>
            </w:r>
            <w:r w:rsidRPr="003310B6">
              <w:rPr>
                <w:color w:val="auto"/>
                <w:szCs w:val="22"/>
                <w:lang w:val="en-US" w:eastAsia="en-US"/>
              </w:rPr>
              <w:t>միջին</w:t>
            </w:r>
            <w:r w:rsidRPr="003310B6">
              <w:rPr>
                <w:color w:val="auto"/>
                <w:szCs w:val="22"/>
                <w:lang w:eastAsia="en-US"/>
              </w:rPr>
              <w:t xml:space="preserve"> </w:t>
            </w:r>
            <w:r w:rsidRPr="003310B6">
              <w:rPr>
                <w:color w:val="auto"/>
                <w:szCs w:val="22"/>
                <w:lang w:val="en-US" w:eastAsia="en-US"/>
              </w:rPr>
              <w:t>կշռված</w:t>
            </w:r>
            <w:r w:rsidRPr="003310B6">
              <w:rPr>
                <w:color w:val="auto"/>
                <w:szCs w:val="22"/>
                <w:lang w:eastAsia="en-US"/>
              </w:rPr>
              <w:t xml:space="preserve"> </w:t>
            </w:r>
            <w:r w:rsidRPr="003310B6">
              <w:rPr>
                <w:color w:val="auto"/>
                <w:szCs w:val="22"/>
                <w:lang w:val="en-US" w:eastAsia="en-US"/>
              </w:rPr>
              <w:t>տոկոսադրույք</w:t>
            </w:r>
            <w:r w:rsidRPr="003310B6">
              <w:rPr>
                <w:color w:val="auto"/>
                <w:szCs w:val="22"/>
                <w:lang w:eastAsia="en-US"/>
              </w:rPr>
              <w:t>, %</w:t>
            </w:r>
          </w:p>
        </w:tc>
        <w:tc>
          <w:tcPr>
            <w:tcW w:w="1134" w:type="dxa"/>
            <w:tcBorders>
              <w:left w:val="none" w:sz="0" w:space="0" w:color="auto"/>
              <w:right w:val="none" w:sz="0" w:space="0" w:color="auto"/>
            </w:tcBorders>
            <w:shd w:val="clear" w:color="auto" w:fill="B8CCE4" w:themeFill="accent1" w:themeFillTint="66"/>
          </w:tcPr>
          <w:p w14:paraId="6D6F46A6" w14:textId="77777777" w:rsidR="003310B6" w:rsidRPr="003310B6"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hy-AM" w:eastAsia="en-US"/>
              </w:rPr>
            </w:pPr>
            <w:r w:rsidRPr="003310B6">
              <w:rPr>
                <w:color w:val="auto"/>
                <w:szCs w:val="22"/>
                <w:lang w:val="hy-AM" w:eastAsia="en-US"/>
              </w:rPr>
              <w:t>4.3</w:t>
            </w:r>
          </w:p>
        </w:tc>
        <w:tc>
          <w:tcPr>
            <w:tcW w:w="1134" w:type="dxa"/>
            <w:tcBorders>
              <w:left w:val="none" w:sz="0" w:space="0" w:color="auto"/>
              <w:right w:val="none" w:sz="0" w:space="0" w:color="auto"/>
            </w:tcBorders>
            <w:shd w:val="clear" w:color="auto" w:fill="B8CCE4" w:themeFill="accent1" w:themeFillTint="66"/>
          </w:tcPr>
          <w:p w14:paraId="60F6406B" w14:textId="77777777" w:rsidR="003310B6" w:rsidRPr="003310B6"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hy-AM" w:eastAsia="en-US"/>
              </w:rPr>
            </w:pPr>
            <w:r w:rsidRPr="003310B6">
              <w:rPr>
                <w:color w:val="auto"/>
                <w:szCs w:val="22"/>
                <w:lang w:val="hy-AM" w:eastAsia="en-US"/>
              </w:rPr>
              <w:t>4.6</w:t>
            </w:r>
          </w:p>
        </w:tc>
        <w:tc>
          <w:tcPr>
            <w:tcW w:w="1134" w:type="dxa"/>
            <w:tcBorders>
              <w:left w:val="none" w:sz="0" w:space="0" w:color="auto"/>
              <w:right w:val="none" w:sz="0" w:space="0" w:color="auto"/>
            </w:tcBorders>
            <w:shd w:val="clear" w:color="auto" w:fill="B8CCE4" w:themeFill="accent1" w:themeFillTint="66"/>
          </w:tcPr>
          <w:p w14:paraId="62123B49" w14:textId="77777777" w:rsidR="003310B6" w:rsidRPr="003310B6"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hy-AM" w:eastAsia="en-US"/>
              </w:rPr>
            </w:pPr>
            <w:r w:rsidRPr="003310B6">
              <w:rPr>
                <w:color w:val="auto"/>
                <w:szCs w:val="22"/>
                <w:lang w:val="hy-AM" w:eastAsia="en-US"/>
              </w:rPr>
              <w:t>5.0</w:t>
            </w:r>
          </w:p>
        </w:tc>
      </w:tr>
    </w:tbl>
    <w:p w14:paraId="77B3D7E8" w14:textId="77777777" w:rsidR="003310B6" w:rsidRPr="00F76AE2" w:rsidRDefault="003310B6" w:rsidP="003310B6">
      <w:pPr>
        <w:spacing w:before="0" w:after="240" w:line="276" w:lineRule="auto"/>
        <w:ind w:firstLine="1"/>
        <w:contextualSpacing w:val="0"/>
        <w:jc w:val="center"/>
        <w:rPr>
          <w:rFonts w:eastAsiaTheme="minorHAnsi" w:cs="Sylfaen"/>
          <w:szCs w:val="22"/>
          <w:lang w:val="hy-AM" w:eastAsia="en-US"/>
        </w:rPr>
      </w:pPr>
    </w:p>
    <w:p w14:paraId="496EDBBD" w14:textId="77777777" w:rsidR="003310B6" w:rsidRPr="00F76AE2" w:rsidRDefault="003310B6" w:rsidP="003310B6">
      <w:pPr>
        <w:spacing w:before="0" w:after="240" w:line="276" w:lineRule="auto"/>
        <w:ind w:firstLine="1"/>
        <w:contextualSpacing w:val="0"/>
        <w:jc w:val="center"/>
        <w:rPr>
          <w:rFonts w:eastAsiaTheme="minorHAnsi" w:cstheme="minorBidi"/>
          <w:b w:val="0"/>
          <w:bCs/>
          <w:szCs w:val="22"/>
          <w:lang w:val="hy-AM" w:eastAsia="en-US"/>
        </w:rPr>
      </w:pPr>
      <w:r w:rsidRPr="00F76AE2">
        <w:rPr>
          <w:rFonts w:eastAsiaTheme="minorHAnsi" w:cs="Sylfaen"/>
          <w:szCs w:val="22"/>
          <w:lang w:val="hy-AM" w:eastAsia="en-US"/>
        </w:rPr>
        <w:t>Պակասուրդի ֆինանսավորման պարտքային գործիքակազմը</w:t>
      </w:r>
    </w:p>
    <w:p w14:paraId="3CF0B043" w14:textId="77777777" w:rsidR="003310B6" w:rsidRPr="00F76AE2" w:rsidRDefault="003310B6" w:rsidP="003310B6">
      <w:pPr>
        <w:spacing w:before="0" w:after="120" w:line="276" w:lineRule="auto"/>
        <w:contextualSpacing w:val="0"/>
        <w:rPr>
          <w:rFonts w:eastAsiaTheme="minorHAnsi" w:cstheme="minorBidi"/>
          <w:b w:val="0"/>
          <w:bCs/>
          <w:szCs w:val="22"/>
          <w:lang w:val="hy-AM" w:eastAsia="en-US"/>
        </w:rPr>
      </w:pPr>
      <w:r w:rsidRPr="00F76AE2">
        <w:rPr>
          <w:rFonts w:eastAsiaTheme="minorHAnsi" w:cstheme="minorBidi"/>
          <w:b w:val="0"/>
          <w:bCs/>
          <w:szCs w:val="22"/>
          <w:lang w:val="hy-AM" w:eastAsia="en-US"/>
        </w:rPr>
        <w:t xml:space="preserve">2022 թվականին պետական բյուջեի պակասուրդի զուտ ֆինանսավորումը փոխառու միջոցների հաշվին կկազմի 349.1 մլրդ դրամ, ինչը կիրականացվի պետական գանձապետական պարտատոմսերի հաշվին՝ 250.0 մլրդ դրամ, արտաքին վարկերի հաշվին՝ 99.1 մլրդ դրամ և արտարժութային պետական պարտատոմսերի հաշվին մուտքեր չեն նախատեսվել: </w:t>
      </w:r>
    </w:p>
    <w:p w14:paraId="78A6C291" w14:textId="77777777" w:rsidR="003310B6" w:rsidRPr="00F76AE2" w:rsidRDefault="003310B6" w:rsidP="003310B6">
      <w:pPr>
        <w:spacing w:before="0" w:after="120" w:line="276" w:lineRule="auto"/>
        <w:ind w:right="43" w:firstLine="0"/>
        <w:contextualSpacing w:val="0"/>
        <w:rPr>
          <w:rFonts w:eastAsiaTheme="minorHAnsi" w:cstheme="minorBidi"/>
          <w:b w:val="0"/>
          <w:bCs/>
          <w:i/>
          <w:szCs w:val="22"/>
          <w:u w:val="single"/>
          <w:lang w:val="hy-AM" w:eastAsia="en-US"/>
        </w:rPr>
      </w:pPr>
      <w:r w:rsidRPr="00F76AE2">
        <w:rPr>
          <w:rFonts w:eastAsiaTheme="minorHAnsi" w:cstheme="minorBidi"/>
          <w:b w:val="0"/>
          <w:bCs/>
          <w:i/>
          <w:szCs w:val="22"/>
          <w:u w:val="single"/>
          <w:lang w:val="hy-AM" w:eastAsia="en-US"/>
        </w:rPr>
        <w:t>Պակասուրդի ֆինանսավորումը պետական գանձապետական պարտատոմսերով</w:t>
      </w:r>
    </w:p>
    <w:p w14:paraId="308338C7" w14:textId="77777777" w:rsidR="003310B6" w:rsidRPr="00F76AE2" w:rsidRDefault="003310B6" w:rsidP="003310B6">
      <w:pPr>
        <w:spacing w:before="0" w:after="120" w:line="276" w:lineRule="auto"/>
        <w:ind w:right="43" w:firstLine="562"/>
        <w:rPr>
          <w:rFonts w:eastAsiaTheme="minorHAnsi" w:cstheme="minorBidi"/>
          <w:b w:val="0"/>
          <w:bCs/>
          <w:szCs w:val="22"/>
          <w:lang w:val="hy-AM" w:eastAsia="en-US"/>
        </w:rPr>
      </w:pPr>
      <w:r w:rsidRPr="00F76AE2">
        <w:rPr>
          <w:rFonts w:eastAsiaTheme="minorHAnsi" w:cstheme="minorBidi"/>
          <w:b w:val="0"/>
          <w:bCs/>
          <w:szCs w:val="22"/>
          <w:lang w:val="hy-AM"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20 և 30 տարի) և խնայողական պարտատոմսերի հաշվին:</w:t>
      </w:r>
    </w:p>
    <w:p w14:paraId="3525E6C3" w14:textId="77777777" w:rsidR="003310B6" w:rsidRPr="00F76AE2" w:rsidRDefault="003310B6" w:rsidP="003310B6">
      <w:pPr>
        <w:spacing w:before="0" w:after="120" w:line="276" w:lineRule="auto"/>
        <w:ind w:right="43" w:firstLine="562"/>
        <w:rPr>
          <w:rFonts w:eastAsiaTheme="minorHAnsi" w:cstheme="minorBidi"/>
          <w:b w:val="0"/>
          <w:szCs w:val="22"/>
          <w:lang w:val="hy-AM" w:eastAsia="en-US"/>
        </w:rPr>
      </w:pPr>
      <w:r w:rsidRPr="00F76AE2">
        <w:rPr>
          <w:rFonts w:eastAsiaTheme="minorHAnsi" w:cstheme="minorBidi"/>
          <w:b w:val="0"/>
          <w:szCs w:val="22"/>
          <w:lang w:val="hy-AM"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F76AE2">
        <w:rPr>
          <w:rFonts w:eastAsiaTheme="minorHAnsi" w:cstheme="minorBidi"/>
          <w:b w:val="0"/>
          <w:bCs/>
          <w:szCs w:val="22"/>
          <w:lang w:val="hy-AM" w:eastAsia="en-US"/>
        </w:rPr>
        <w:t xml:space="preserve"> </w:t>
      </w:r>
      <w:r w:rsidRPr="00F76AE2">
        <w:rPr>
          <w:rFonts w:eastAsiaTheme="minorHAnsi" w:cstheme="minorBidi"/>
          <w:b w:val="0"/>
          <w:szCs w:val="22"/>
          <w:lang w:val="hy-AM"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14:paraId="0A1290B9" w14:textId="77777777" w:rsidR="003310B6" w:rsidRPr="00F76AE2" w:rsidRDefault="003310B6" w:rsidP="003310B6">
      <w:pPr>
        <w:pStyle w:val="ListParagraph"/>
        <w:spacing w:line="276" w:lineRule="auto"/>
        <w:ind w:left="0"/>
        <w:rPr>
          <w:rFonts w:eastAsiaTheme="minorHAnsi" w:cstheme="minorBidi"/>
          <w:b w:val="0"/>
          <w:szCs w:val="22"/>
          <w:lang w:val="hy-AM" w:eastAsia="en-US"/>
        </w:rPr>
      </w:pPr>
      <w:r w:rsidRPr="00F76AE2">
        <w:rPr>
          <w:rFonts w:eastAsiaTheme="minorHAnsi" w:cstheme="minorBidi"/>
          <w:b w:val="0"/>
          <w:szCs w:val="22"/>
          <w:lang w:val="hy-AM" w:eastAsia="en-US"/>
        </w:rPr>
        <w:t>Կշարունակվի 6 ամիս մարման ժամկետ ունեցող պետական կարճաժամկետ պարտատոմսերի տեղաբաշխման ծավալների ավելացումը՝ հետագայում այն ուղենշային պարտատոմսերի ցանկում ընդգրկելու և գնանշելու համար:</w:t>
      </w:r>
    </w:p>
    <w:p w14:paraId="0546C06F" w14:textId="77777777" w:rsidR="003310B6" w:rsidRPr="00F76AE2" w:rsidRDefault="003310B6" w:rsidP="003310B6">
      <w:pPr>
        <w:spacing w:before="0" w:after="120" w:line="276" w:lineRule="auto"/>
        <w:ind w:right="43" w:firstLine="562"/>
        <w:rPr>
          <w:rFonts w:eastAsiaTheme="minorHAnsi" w:cstheme="minorBidi"/>
          <w:b w:val="0"/>
          <w:bCs/>
          <w:szCs w:val="22"/>
          <w:lang w:val="hy-AM" w:eastAsia="en-US"/>
        </w:rPr>
      </w:pPr>
      <w:r w:rsidRPr="00F76AE2">
        <w:rPr>
          <w:rFonts w:eastAsiaTheme="minorHAnsi" w:cstheme="minorBidi"/>
          <w:b w:val="0"/>
          <w:bCs/>
          <w:szCs w:val="22"/>
          <w:lang w:val="hy-AM" w:eastAsia="en-US"/>
        </w:rPr>
        <w:t xml:space="preserve">2022 թվականի ապրիլի 29-ին կթողարկվեն 3, 5 և 30 տարի մարման ժամկետայնությամբ նոր միջնաժամկետ և երկարաժամկետ պետական գանձապետական պարտատոմսեր: </w:t>
      </w:r>
    </w:p>
    <w:p w14:paraId="065110C9" w14:textId="77777777" w:rsidR="003310B6" w:rsidRPr="00F76AE2" w:rsidRDefault="003310B6" w:rsidP="003310B6">
      <w:pPr>
        <w:tabs>
          <w:tab w:val="left" w:pos="142"/>
        </w:tabs>
        <w:spacing w:before="0" w:after="120" w:line="276" w:lineRule="auto"/>
        <w:ind w:right="49"/>
        <w:rPr>
          <w:rFonts w:eastAsiaTheme="minorHAnsi" w:cstheme="minorBidi"/>
          <w:b w:val="0"/>
          <w:szCs w:val="22"/>
          <w:lang w:val="hy-AM" w:eastAsia="en-US"/>
        </w:rPr>
      </w:pPr>
      <w:r w:rsidRPr="00F76AE2">
        <w:rPr>
          <w:rFonts w:eastAsiaTheme="minorHAnsi" w:cstheme="minorBidi"/>
          <w:b w:val="0"/>
          <w:szCs w:val="22"/>
          <w:lang w:val="hy-AM" w:eastAsia="en-US"/>
        </w:rPr>
        <w:t xml:space="preserve">Աճուրդների կողմնորոշիչ ծավալների վերաբերյալ տեղեկատվությունը կհրապարակվի եռամսյակային կտրվածքով: </w:t>
      </w:r>
    </w:p>
    <w:p w14:paraId="6EFD93CF" w14:textId="77777777" w:rsidR="003310B6" w:rsidRPr="00F76AE2" w:rsidRDefault="003310B6" w:rsidP="003310B6">
      <w:pPr>
        <w:tabs>
          <w:tab w:val="left" w:pos="142"/>
        </w:tabs>
        <w:spacing w:before="0" w:after="120" w:line="276" w:lineRule="auto"/>
        <w:ind w:right="49"/>
        <w:rPr>
          <w:rFonts w:eastAsiaTheme="minorHAnsi" w:cstheme="minorBidi"/>
          <w:b w:val="0"/>
          <w:szCs w:val="22"/>
          <w:lang w:val="hy-AM" w:eastAsia="en-US"/>
        </w:rPr>
      </w:pPr>
      <w:r w:rsidRPr="00F76AE2">
        <w:rPr>
          <w:rFonts w:eastAsiaTheme="minorHAnsi" w:cstheme="minorBidi"/>
          <w:b w:val="0"/>
          <w:szCs w:val="22"/>
          <w:lang w:val="hy-AM" w:eastAsia="en-US"/>
        </w:rPr>
        <w:t>Յուրաքանչյուր աճուրդին տեղաբաշխման ենթակա պարտատոմսերի ծավալների և ժամկետների վերաբերյալ տեղեկատվությունը կհրապարակվի աճուրդից առաջ՝ գործակալների հետ խորհրդակցելուց հետո:</w:t>
      </w:r>
    </w:p>
    <w:p w14:paraId="111C4D29" w14:textId="77777777" w:rsidR="003310B6" w:rsidRPr="00F76AE2" w:rsidRDefault="003310B6" w:rsidP="003310B6">
      <w:pPr>
        <w:spacing w:before="0" w:after="120" w:line="276" w:lineRule="auto"/>
        <w:ind w:right="49"/>
        <w:rPr>
          <w:rFonts w:eastAsiaTheme="minorHAnsi" w:cstheme="minorBidi"/>
          <w:b w:val="0"/>
          <w:szCs w:val="22"/>
          <w:lang w:val="hy-AM" w:eastAsia="en-US"/>
        </w:rPr>
      </w:pPr>
      <w:r w:rsidRPr="00F76AE2">
        <w:rPr>
          <w:rFonts w:eastAsiaTheme="minorHAnsi" w:cstheme="minorBidi"/>
          <w:b w:val="0"/>
          <w:szCs w:val="22"/>
          <w:lang w:val="hy-AM" w:eastAsia="en-US"/>
        </w:rPr>
        <w:t>2022 թվականի ընթացքում կիրականացվեն նաև պետական գանձապետական պարտատոմսերի հետգնումներ: 2022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14:paraId="05C8D32C" w14:textId="77777777" w:rsidR="003310B6" w:rsidRPr="00F76AE2" w:rsidRDefault="003310B6" w:rsidP="003310B6">
      <w:pPr>
        <w:spacing w:before="0" w:after="120" w:line="276" w:lineRule="auto"/>
        <w:ind w:right="49"/>
        <w:rPr>
          <w:rFonts w:eastAsiaTheme="minorHAnsi" w:cstheme="minorBidi"/>
          <w:b w:val="0"/>
          <w:bCs/>
          <w:szCs w:val="22"/>
          <w:lang w:val="hy-AM" w:eastAsia="en-US"/>
        </w:rPr>
      </w:pPr>
      <w:r w:rsidRPr="00F76AE2">
        <w:rPr>
          <w:rFonts w:eastAsiaTheme="minorHAnsi" w:cstheme="minorBidi"/>
          <w:b w:val="0"/>
          <w:bCs/>
          <w:szCs w:val="22"/>
          <w:lang w:val="hy-AM"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14:paraId="0459F815" w14:textId="77777777" w:rsidR="003310B6" w:rsidRPr="00F76AE2" w:rsidRDefault="003310B6" w:rsidP="003310B6">
      <w:pPr>
        <w:tabs>
          <w:tab w:val="left" w:pos="142"/>
        </w:tabs>
        <w:spacing w:before="0" w:after="120" w:line="276" w:lineRule="auto"/>
        <w:ind w:right="49"/>
        <w:rPr>
          <w:rFonts w:eastAsiaTheme="minorHAnsi" w:cstheme="minorBidi"/>
          <w:b w:val="0"/>
          <w:szCs w:val="22"/>
          <w:lang w:val="hy-AM" w:eastAsia="en-US"/>
        </w:rPr>
      </w:pPr>
      <w:r w:rsidRPr="00F76AE2">
        <w:rPr>
          <w:rFonts w:eastAsiaTheme="minorHAnsi" w:cstheme="minorBidi"/>
          <w:b w:val="0"/>
          <w:bCs/>
          <w:szCs w:val="22"/>
          <w:lang w:val="hy-AM" w:eastAsia="en-US"/>
        </w:rPr>
        <w:t>COVID 19 համավարակով պայմանավորված հետաձգվեց պետական գանձապետական պարտատոմսերի փոխանակման աճուրդային համակարգի ներդրումը 2021 թվականին: Այն նախատեսվում է իրականացնել 2022 թվականին:</w:t>
      </w:r>
    </w:p>
    <w:p w14:paraId="642C7D11" w14:textId="77777777" w:rsidR="009A1A86" w:rsidRDefault="009A1A86" w:rsidP="003310B6">
      <w:pPr>
        <w:spacing w:before="240" w:after="120" w:line="276" w:lineRule="auto"/>
        <w:ind w:right="43" w:firstLine="0"/>
        <w:contextualSpacing w:val="0"/>
        <w:rPr>
          <w:rFonts w:eastAsiaTheme="minorHAnsi" w:cstheme="minorBidi"/>
          <w:b w:val="0"/>
          <w:bCs/>
          <w:i/>
          <w:szCs w:val="22"/>
          <w:u w:val="single"/>
          <w:lang w:val="hy-AM" w:eastAsia="en-US"/>
        </w:rPr>
      </w:pPr>
    </w:p>
    <w:p w14:paraId="2B200F53" w14:textId="07EE8337" w:rsidR="003310B6" w:rsidRPr="00F76AE2" w:rsidRDefault="003310B6" w:rsidP="003310B6">
      <w:pPr>
        <w:spacing w:before="240" w:after="120" w:line="276" w:lineRule="auto"/>
        <w:ind w:right="43" w:firstLine="0"/>
        <w:contextualSpacing w:val="0"/>
        <w:rPr>
          <w:rFonts w:eastAsiaTheme="minorHAnsi" w:cstheme="minorBidi"/>
          <w:b w:val="0"/>
          <w:bCs/>
          <w:i/>
          <w:szCs w:val="22"/>
          <w:u w:val="single"/>
          <w:lang w:val="hy-AM" w:eastAsia="en-US"/>
        </w:rPr>
      </w:pPr>
      <w:r w:rsidRPr="00F76AE2">
        <w:rPr>
          <w:rFonts w:eastAsiaTheme="minorHAnsi" w:cstheme="minorBidi"/>
          <w:b w:val="0"/>
          <w:bCs/>
          <w:i/>
          <w:szCs w:val="22"/>
          <w:u w:val="single"/>
          <w:lang w:val="hy-AM" w:eastAsia="en-US"/>
        </w:rPr>
        <w:t>Պակասուրդի ֆինանսավորումն արտաքին վարկերով</w:t>
      </w:r>
    </w:p>
    <w:p w14:paraId="07F8A71E" w14:textId="77777777" w:rsidR="003310B6" w:rsidRPr="00F76AE2" w:rsidRDefault="003310B6" w:rsidP="003310B6">
      <w:pPr>
        <w:spacing w:before="0" w:after="120" w:line="276" w:lineRule="auto"/>
        <w:contextualSpacing w:val="0"/>
        <w:rPr>
          <w:rFonts w:eastAsiaTheme="minorHAnsi" w:cstheme="minorBidi"/>
          <w:b w:val="0"/>
          <w:szCs w:val="22"/>
          <w:lang w:val="hy-AM" w:eastAsia="en-US"/>
        </w:rPr>
      </w:pPr>
      <w:r w:rsidRPr="00F76AE2">
        <w:rPr>
          <w:rFonts w:eastAsiaTheme="minorHAnsi" w:cstheme="minorBidi"/>
          <w:b w:val="0"/>
          <w:szCs w:val="22"/>
          <w:lang w:val="hy-AM" w:eastAsia="en-US"/>
        </w:rPr>
        <w:t>ՀՀ 2022 թվականին պետական բյուջեի պակասուրդը ֆինանսավորելու համար նախատեսվում է արտաքին վարկերի գծով կատարել 225.9 մլրդ դրամի (458 մլն ԱՄՆ դոլար) մասհանումներ</w:t>
      </w:r>
      <w:r w:rsidRPr="00F76AE2">
        <w:rPr>
          <w:rFonts w:eastAsiaTheme="minorHAnsi" w:cstheme="minorBidi"/>
          <w:b w:val="0"/>
          <w:szCs w:val="22"/>
          <w:vertAlign w:val="superscript"/>
          <w:lang w:val="en-US" w:eastAsia="en-US"/>
        </w:rPr>
        <w:footnoteReference w:id="25"/>
      </w:r>
      <w:r w:rsidRPr="00F76AE2">
        <w:rPr>
          <w:rFonts w:eastAsiaTheme="minorHAnsi" w:cstheme="minorBidi"/>
          <w:b w:val="0"/>
          <w:szCs w:val="22"/>
          <w:lang w:val="hy-AM" w:eastAsia="en-US"/>
        </w:rPr>
        <w:t xml:space="preserve">: Ընդ որում մասհանումներից 127.1 մլրդ դրամը (258 մլն ԱՄՆ դոլար) նախատեսվում է կատարել նպատակային վարկային ծրագրերի գծով, իսկ մնացած 98.7 մլրդ դրամը (200 մլն ԱՄՆ դոլար): </w:t>
      </w:r>
    </w:p>
    <w:p w14:paraId="692FD3B5" w14:textId="77777777" w:rsidR="003310B6" w:rsidRPr="00F76AE2" w:rsidRDefault="003310B6" w:rsidP="003310B6">
      <w:pPr>
        <w:spacing w:before="0" w:after="120" w:line="276" w:lineRule="auto"/>
        <w:contextualSpacing w:val="0"/>
        <w:rPr>
          <w:rFonts w:eastAsiaTheme="minorHAnsi" w:cstheme="minorBidi"/>
          <w:b w:val="0"/>
          <w:szCs w:val="22"/>
          <w:lang w:val="hy-AM" w:eastAsia="en-US"/>
        </w:rPr>
      </w:pPr>
      <w:r w:rsidRPr="00F76AE2">
        <w:rPr>
          <w:rFonts w:eastAsiaTheme="minorHAnsi" w:cstheme="minorBidi"/>
          <w:b w:val="0"/>
          <w:szCs w:val="22"/>
          <w:lang w:val="hy-AM" w:eastAsia="en-US"/>
        </w:rPr>
        <w:t>2022 թվականի համար ծրագրավորված մասհանումների 48.7%-ի աղբյուրները ենթակա են հստակեցման, 13.5%-ը՝ Ասիական Զարգացման Բանկի վարկերի գծով, 11.4%-ը՝ Համաշխարհային Բանկի (ՎԶՄԲ և ԶՄԸ) վարկերի գծով և 11.0%-ը` գերմանական վարկերի գծով: Ըստ վարկատուների մասհանումների կառուցվածքը հետևյալն է.</w:t>
      </w:r>
    </w:p>
    <w:p w14:paraId="6AD9AE3A" w14:textId="77777777" w:rsidR="003310B6" w:rsidRPr="00F76AE2" w:rsidRDefault="003310B6" w:rsidP="003310B6">
      <w:pPr>
        <w:spacing w:before="0" w:line="276" w:lineRule="auto"/>
        <w:ind w:firstLine="0"/>
        <w:contextualSpacing w:val="0"/>
        <w:jc w:val="center"/>
        <w:rPr>
          <w:rFonts w:eastAsiaTheme="minorHAnsi" w:cstheme="minorBidi"/>
          <w:b w:val="0"/>
          <w:szCs w:val="22"/>
          <w:lang w:val="en-US" w:eastAsia="en-US"/>
        </w:rPr>
      </w:pPr>
      <w:r w:rsidRPr="00F76AE2">
        <w:rPr>
          <w:noProof/>
          <w:szCs w:val="22"/>
          <w:lang w:val="en-US" w:eastAsia="en-US"/>
        </w:rPr>
        <w:drawing>
          <wp:inline distT="0" distB="0" distL="0" distR="0" wp14:anchorId="025401AE" wp14:editId="6BD1155F">
            <wp:extent cx="5483679" cy="2680608"/>
            <wp:effectExtent l="133350" t="95250" r="136525" b="10096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3BFDE15B" w14:textId="77777777" w:rsidR="003310B6" w:rsidRPr="00F76AE2" w:rsidRDefault="003310B6" w:rsidP="003310B6">
      <w:pPr>
        <w:spacing w:before="0" w:line="276" w:lineRule="auto"/>
        <w:ind w:firstLine="720"/>
        <w:contextualSpacing w:val="0"/>
        <w:rPr>
          <w:rFonts w:eastAsiaTheme="minorHAnsi" w:cstheme="minorBidi"/>
          <w:b w:val="0"/>
          <w:szCs w:val="22"/>
          <w:lang w:val="hy-AM" w:eastAsia="en-US"/>
        </w:rPr>
      </w:pPr>
    </w:p>
    <w:p w14:paraId="15BB2452" w14:textId="77777777" w:rsidR="003310B6" w:rsidRPr="00F76AE2" w:rsidRDefault="003310B6" w:rsidP="003310B6">
      <w:pPr>
        <w:spacing w:before="0" w:line="276" w:lineRule="auto"/>
        <w:ind w:firstLine="720"/>
        <w:contextualSpacing w:val="0"/>
        <w:rPr>
          <w:rFonts w:eastAsiaTheme="minorHAnsi" w:cstheme="minorBidi"/>
          <w:b w:val="0"/>
          <w:szCs w:val="22"/>
          <w:lang w:val="hy-AM" w:eastAsia="en-US"/>
        </w:rPr>
      </w:pPr>
    </w:p>
    <w:p w14:paraId="52C8D2B2" w14:textId="77777777" w:rsidR="003310B6" w:rsidRPr="00F76AE2" w:rsidRDefault="003310B6" w:rsidP="003310B6">
      <w:pPr>
        <w:spacing w:before="0" w:line="276" w:lineRule="auto"/>
        <w:ind w:firstLine="720"/>
        <w:contextualSpacing w:val="0"/>
        <w:rPr>
          <w:rFonts w:eastAsiaTheme="minorHAnsi" w:cstheme="minorBidi"/>
          <w:b w:val="0"/>
          <w:szCs w:val="22"/>
          <w:lang w:val="hy-AM" w:eastAsia="en-US"/>
        </w:rPr>
      </w:pPr>
      <w:r w:rsidRPr="00F76AE2">
        <w:rPr>
          <w:rFonts w:eastAsiaTheme="minorHAnsi" w:cstheme="minorBidi"/>
          <w:b w:val="0"/>
          <w:szCs w:val="22"/>
          <w:lang w:val="hy-AM" w:eastAsia="en-US"/>
        </w:rPr>
        <w:t>Ընդհանուր առմամբ, ըստ ոլորտների մասհանումների կառուցվածքը կլինի հետևյալը.</w:t>
      </w:r>
    </w:p>
    <w:p w14:paraId="7D47D332" w14:textId="77777777" w:rsidR="003310B6" w:rsidRPr="00F76AE2" w:rsidRDefault="003310B6" w:rsidP="003310B6">
      <w:pPr>
        <w:tabs>
          <w:tab w:val="num" w:pos="720"/>
        </w:tabs>
        <w:spacing w:before="0" w:line="276" w:lineRule="auto"/>
        <w:ind w:firstLine="0"/>
        <w:contextualSpacing w:val="0"/>
        <w:jc w:val="center"/>
        <w:rPr>
          <w:rFonts w:eastAsiaTheme="minorHAnsi" w:cstheme="minorBidi"/>
          <w:b w:val="0"/>
          <w:szCs w:val="22"/>
          <w:lang w:val="es-ES" w:eastAsia="en-US"/>
        </w:rPr>
      </w:pPr>
      <w:r w:rsidRPr="00F76AE2">
        <w:rPr>
          <w:noProof/>
          <w:szCs w:val="22"/>
          <w:lang w:val="en-US" w:eastAsia="en-US"/>
        </w:rPr>
        <w:drawing>
          <wp:inline distT="0" distB="0" distL="0" distR="0" wp14:anchorId="4F2DE150" wp14:editId="2E2997F3">
            <wp:extent cx="6123215" cy="1983922"/>
            <wp:effectExtent l="133350" t="95250" r="125730" b="927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77E31E1" w14:textId="2F405F62" w:rsidR="003310B6" w:rsidRDefault="003310B6" w:rsidP="003310B6">
      <w:pPr>
        <w:spacing w:before="0" w:after="120" w:line="276" w:lineRule="auto"/>
        <w:ind w:firstLine="720"/>
        <w:contextualSpacing w:val="0"/>
        <w:rPr>
          <w:rFonts w:eastAsiaTheme="minorHAnsi" w:cstheme="minorBidi"/>
          <w:b w:val="0"/>
          <w:szCs w:val="22"/>
          <w:lang w:val="es-ES" w:eastAsia="en-US"/>
        </w:rPr>
      </w:pPr>
      <w:r w:rsidRPr="00F76AE2">
        <w:rPr>
          <w:noProof/>
          <w:szCs w:val="22"/>
          <w:lang w:val="en-US" w:eastAsia="en-US"/>
        </w:rPr>
        <mc:AlternateContent>
          <mc:Choice Requires="wpg">
            <w:drawing>
              <wp:anchor distT="0" distB="0" distL="114300" distR="114300" simplePos="0" relativeHeight="251850752" behindDoc="0" locked="0" layoutInCell="1" allowOverlap="1" wp14:anchorId="0CB70F9C" wp14:editId="65DE8E57">
                <wp:simplePos x="0" y="0"/>
                <wp:positionH relativeFrom="column">
                  <wp:posOffset>-233226</wp:posOffset>
                </wp:positionH>
                <wp:positionV relativeFrom="paragraph">
                  <wp:posOffset>557893</wp:posOffset>
                </wp:positionV>
                <wp:extent cx="7005955" cy="1796143"/>
                <wp:effectExtent l="0" t="0" r="23495" b="13970"/>
                <wp:wrapNone/>
                <wp:docPr id="23" name="Group 2"/>
                <wp:cNvGraphicFramePr/>
                <a:graphic xmlns:a="http://schemas.openxmlformats.org/drawingml/2006/main">
                  <a:graphicData uri="http://schemas.microsoft.com/office/word/2010/wordprocessingGroup">
                    <wpg:wgp>
                      <wpg:cNvGrpSpPr/>
                      <wpg:grpSpPr bwMode="auto">
                        <a:xfrm>
                          <a:off x="0" y="0"/>
                          <a:ext cx="7005955" cy="1796143"/>
                          <a:chOff x="0" y="0"/>
                          <a:chExt cx="9815554" cy="2756115"/>
                        </a:xfrm>
                      </wpg:grpSpPr>
                      <wpg:graphicFrame>
                        <wpg:cNvPr id="24" name="Chart 24"/>
                        <wpg:cNvFrPr>
                          <a:graphicFrameLocks/>
                        </wpg:cNvFrPr>
                        <wpg:xfrm>
                          <a:off x="0" y="11590"/>
                          <a:ext cx="4861394" cy="2744525"/>
                        </wpg:xfrm>
                        <a:graphic>
                          <a:graphicData uri="http://schemas.openxmlformats.org/drawingml/2006/chart">
                            <c:chart xmlns:c="http://schemas.openxmlformats.org/drawingml/2006/chart" xmlns:r="http://schemas.openxmlformats.org/officeDocument/2006/relationships" r:id="rId84"/>
                          </a:graphicData>
                        </a:graphic>
                      </wpg:graphicFrame>
                      <wpg:graphicFrame>
                        <wpg:cNvPr id="28" name="Chart 28"/>
                        <wpg:cNvFrPr>
                          <a:graphicFrameLocks/>
                        </wpg:cNvFrPr>
                        <wpg:xfrm>
                          <a:off x="4951178" y="0"/>
                          <a:ext cx="4864376" cy="2748334"/>
                        </wpg:xfrm>
                        <a:graphic>
                          <a:graphicData uri="http://schemas.openxmlformats.org/drawingml/2006/chart">
                            <c:chart xmlns:c="http://schemas.openxmlformats.org/drawingml/2006/chart" xmlns:r="http://schemas.openxmlformats.org/officeDocument/2006/relationships" r:id="rId85"/>
                          </a:graphicData>
                        </a:graphic>
                      </wpg:graphicFrame>
                    </wpg:wgp>
                  </a:graphicData>
                </a:graphic>
                <wp14:sizeRelH relativeFrom="margin">
                  <wp14:pctWidth>0</wp14:pctWidth>
                </wp14:sizeRelH>
                <wp14:sizeRelV relativeFrom="margin">
                  <wp14:pctHeight>0</wp14:pctHeight>
                </wp14:sizeRelV>
              </wp:anchor>
            </w:drawing>
          </mc:Choice>
          <mc:Fallback>
            <w:pict>
              <v:group w14:anchorId="5F772E73" id="Group 2" o:spid="_x0000_s1026" style="position:absolute;margin-left:-18.35pt;margin-top:43.95pt;width:551.65pt;height:141.45pt;z-index:251850752;mso-width-relative:margin;mso-height-relative:margin" coordsize="98155,2756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">
                <v:shape id="Chart 24" o:spid="_x0000_s1027" type="#_x0000_t75" style="position:absolute;left:-85;width:48766;height:27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">
                  <v:imagedata r:id="rId86" o:title=""/>
                  <o:lock v:ext="edit" aspectratio="f"/>
                </v:shape>
                <v:shape id="Chart 28" o:spid="_x0000_s1028" type="#_x0000_t75" style="position:absolute;left:49450;top:-93;width:48767;height:27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">
                  <v:imagedata r:id="rId87" o:title=""/>
                  <o:lock v:ext="edit" aspectratio="f"/>
                </v:shape>
              </v:group>
            </w:pict>
          </mc:Fallback>
        </mc:AlternateContent>
      </w:r>
      <w:r w:rsidRPr="00F76AE2">
        <w:rPr>
          <w:rFonts w:eastAsiaTheme="minorHAnsi" w:cstheme="minorBidi"/>
          <w:b w:val="0"/>
          <w:szCs w:val="22"/>
          <w:lang w:val="es-ES" w:eastAsia="en-US"/>
        </w:rPr>
        <w:t>202</w:t>
      </w:r>
      <w:r w:rsidRPr="00F76AE2">
        <w:rPr>
          <w:rFonts w:eastAsiaTheme="minorHAnsi" w:cstheme="minorBidi"/>
          <w:b w:val="0"/>
          <w:szCs w:val="22"/>
          <w:lang w:val="hy-AM" w:eastAsia="en-US"/>
        </w:rPr>
        <w:t>2</w:t>
      </w:r>
      <w:r w:rsidRPr="00F76AE2">
        <w:rPr>
          <w:rFonts w:eastAsiaTheme="minorHAnsi" w:cstheme="minorBidi"/>
          <w:b w:val="0"/>
          <w:szCs w:val="22"/>
          <w:lang w:val="es-ES" w:eastAsia="en-US"/>
        </w:rPr>
        <w:t xml:space="preserve"> </w:t>
      </w:r>
      <w:r w:rsidRPr="00F76AE2">
        <w:rPr>
          <w:rFonts w:eastAsiaTheme="minorHAnsi" w:cstheme="minorBidi"/>
          <w:b w:val="0"/>
          <w:szCs w:val="22"/>
          <w:lang w:val="en-US" w:eastAsia="en-US"/>
        </w:rPr>
        <w:t>թվականին</w:t>
      </w:r>
      <w:r w:rsidRPr="00F76AE2">
        <w:rPr>
          <w:rFonts w:eastAsiaTheme="minorHAnsi" w:cstheme="minorBidi"/>
          <w:b w:val="0"/>
          <w:szCs w:val="22"/>
          <w:lang w:val="es-ES" w:eastAsia="en-US"/>
        </w:rPr>
        <w:t xml:space="preserve"> </w:t>
      </w:r>
      <w:r w:rsidRPr="00F76AE2">
        <w:rPr>
          <w:rFonts w:eastAsiaTheme="minorHAnsi" w:cstheme="minorBidi"/>
          <w:b w:val="0"/>
          <w:szCs w:val="22"/>
          <w:lang w:val="en-US" w:eastAsia="en-US"/>
        </w:rPr>
        <w:t>մասհանումների</w:t>
      </w:r>
      <w:r w:rsidRPr="00F76AE2">
        <w:rPr>
          <w:rFonts w:eastAsiaTheme="minorHAnsi" w:cstheme="minorBidi"/>
          <w:b w:val="0"/>
          <w:szCs w:val="22"/>
          <w:lang w:val="es-ES" w:eastAsia="en-US"/>
        </w:rPr>
        <w:t xml:space="preserve"> </w:t>
      </w:r>
      <w:r w:rsidRPr="00F76AE2">
        <w:rPr>
          <w:rFonts w:eastAsiaTheme="minorHAnsi" w:cstheme="minorBidi"/>
          <w:b w:val="0"/>
          <w:szCs w:val="22"/>
          <w:lang w:val="en-US" w:eastAsia="en-US"/>
        </w:rPr>
        <w:t>գերակշիռ</w:t>
      </w:r>
      <w:r w:rsidRPr="00F76AE2">
        <w:rPr>
          <w:rFonts w:eastAsiaTheme="minorHAnsi" w:cstheme="minorBidi"/>
          <w:b w:val="0"/>
          <w:szCs w:val="22"/>
          <w:lang w:val="es-ES" w:eastAsia="en-US"/>
        </w:rPr>
        <w:t xml:space="preserve"> </w:t>
      </w:r>
      <w:r w:rsidRPr="00F76AE2">
        <w:rPr>
          <w:rFonts w:eastAsiaTheme="minorHAnsi" w:cstheme="minorBidi"/>
          <w:b w:val="0"/>
          <w:szCs w:val="22"/>
          <w:lang w:val="en-US" w:eastAsia="en-US"/>
        </w:rPr>
        <w:t>մասը</w:t>
      </w:r>
      <w:r w:rsidRPr="00F76AE2">
        <w:rPr>
          <w:rFonts w:eastAsiaTheme="minorHAnsi" w:cstheme="minorBidi"/>
          <w:b w:val="0"/>
          <w:szCs w:val="22"/>
          <w:lang w:val="es-ES" w:eastAsia="en-US"/>
        </w:rPr>
        <w:t xml:space="preserve"> (59.4%) </w:t>
      </w:r>
      <w:r w:rsidRPr="00F76AE2">
        <w:rPr>
          <w:rFonts w:eastAsiaTheme="minorHAnsi" w:cstheme="minorBidi"/>
          <w:b w:val="0"/>
          <w:szCs w:val="22"/>
          <w:lang w:val="en-US" w:eastAsia="en-US"/>
        </w:rPr>
        <w:t>կկատարվի</w:t>
      </w:r>
      <w:r w:rsidRPr="00F76AE2">
        <w:rPr>
          <w:rFonts w:eastAsiaTheme="minorHAnsi" w:cstheme="minorBidi"/>
          <w:b w:val="0"/>
          <w:szCs w:val="22"/>
          <w:lang w:val="es-ES" w:eastAsia="en-US"/>
        </w:rPr>
        <w:t xml:space="preserve"> </w:t>
      </w:r>
      <w:r w:rsidRPr="00F76AE2">
        <w:rPr>
          <w:rFonts w:eastAsiaTheme="minorHAnsi" w:cstheme="minorBidi"/>
          <w:b w:val="0"/>
          <w:szCs w:val="22"/>
          <w:lang w:val="en-US" w:eastAsia="en-US"/>
        </w:rPr>
        <w:t>ԱՄՆ</w:t>
      </w:r>
      <w:r w:rsidRPr="00F76AE2">
        <w:rPr>
          <w:rFonts w:eastAsiaTheme="minorHAnsi" w:cstheme="minorBidi"/>
          <w:b w:val="0"/>
          <w:szCs w:val="22"/>
          <w:lang w:val="es-ES" w:eastAsia="en-US"/>
        </w:rPr>
        <w:t xml:space="preserve"> դոլարով </w:t>
      </w:r>
      <w:r w:rsidRPr="00F76AE2">
        <w:rPr>
          <w:rFonts w:eastAsiaTheme="minorHAnsi" w:cstheme="minorBidi"/>
          <w:b w:val="0"/>
          <w:szCs w:val="22"/>
          <w:lang w:val="en-US" w:eastAsia="en-US"/>
        </w:rPr>
        <w:t>տրամադրված</w:t>
      </w:r>
      <w:r w:rsidRPr="00F76AE2">
        <w:rPr>
          <w:rFonts w:eastAsiaTheme="minorHAnsi" w:cstheme="minorBidi"/>
          <w:b w:val="0"/>
          <w:szCs w:val="22"/>
          <w:lang w:val="es-ES" w:eastAsia="en-US"/>
        </w:rPr>
        <w:t xml:space="preserve"> </w:t>
      </w:r>
      <w:r w:rsidRPr="00F76AE2">
        <w:rPr>
          <w:rFonts w:eastAsiaTheme="minorHAnsi" w:cstheme="minorBidi"/>
          <w:b w:val="0"/>
          <w:szCs w:val="22"/>
          <w:lang w:val="en-US" w:eastAsia="en-US"/>
        </w:rPr>
        <w:t>վարկերի</w:t>
      </w:r>
      <w:r w:rsidRPr="00F76AE2">
        <w:rPr>
          <w:rFonts w:eastAsiaTheme="minorHAnsi" w:cstheme="minorBidi"/>
          <w:b w:val="0"/>
          <w:szCs w:val="22"/>
          <w:lang w:val="es-ES" w:eastAsia="en-US"/>
        </w:rPr>
        <w:t xml:space="preserve"> </w:t>
      </w:r>
      <w:r w:rsidRPr="00F76AE2">
        <w:rPr>
          <w:rFonts w:eastAsiaTheme="minorHAnsi" w:cstheme="minorBidi"/>
          <w:b w:val="0"/>
          <w:szCs w:val="22"/>
          <w:lang w:val="en-US" w:eastAsia="en-US"/>
        </w:rPr>
        <w:t>գծով</w:t>
      </w:r>
      <w:r w:rsidRPr="00F76AE2">
        <w:rPr>
          <w:rFonts w:eastAsiaTheme="minorHAnsi" w:cstheme="minorBidi"/>
          <w:b w:val="0"/>
          <w:szCs w:val="22"/>
          <w:lang w:val="es-ES" w:eastAsia="en-US"/>
        </w:rPr>
        <w:t xml:space="preserve">: </w:t>
      </w:r>
    </w:p>
    <w:p w14:paraId="5397FB82" w14:textId="77777777" w:rsidR="009A1A86" w:rsidRPr="00F76AE2" w:rsidRDefault="009A1A86" w:rsidP="003310B6">
      <w:pPr>
        <w:spacing w:before="0" w:after="120" w:line="276" w:lineRule="auto"/>
        <w:ind w:firstLine="720"/>
        <w:contextualSpacing w:val="0"/>
        <w:rPr>
          <w:rFonts w:eastAsiaTheme="minorHAnsi" w:cstheme="minorBidi"/>
          <w:b w:val="0"/>
          <w:szCs w:val="22"/>
          <w:lang w:val="es-ES" w:eastAsia="en-US"/>
        </w:rPr>
      </w:pPr>
    </w:p>
    <w:p w14:paraId="4F4C635F" w14:textId="77777777" w:rsidR="003310B6" w:rsidRPr="00F76AE2" w:rsidRDefault="003310B6" w:rsidP="003310B6">
      <w:pPr>
        <w:tabs>
          <w:tab w:val="num" w:pos="720"/>
        </w:tabs>
        <w:spacing w:before="0" w:after="120" w:line="276" w:lineRule="auto"/>
        <w:ind w:firstLine="0"/>
        <w:contextualSpacing w:val="0"/>
        <w:jc w:val="center"/>
        <w:rPr>
          <w:rFonts w:eastAsiaTheme="minorHAnsi" w:cstheme="minorBidi"/>
          <w:b w:val="0"/>
          <w:szCs w:val="22"/>
          <w:lang w:val="es-ES" w:eastAsia="en-US"/>
        </w:rPr>
      </w:pPr>
    </w:p>
    <w:p w14:paraId="408D1D29" w14:textId="77777777" w:rsidR="003310B6" w:rsidRPr="00F76AE2" w:rsidRDefault="003310B6" w:rsidP="003310B6">
      <w:pPr>
        <w:tabs>
          <w:tab w:val="num" w:pos="720"/>
        </w:tabs>
        <w:spacing w:before="0" w:after="120" w:line="276" w:lineRule="auto"/>
        <w:ind w:firstLine="0"/>
        <w:contextualSpacing w:val="0"/>
        <w:jc w:val="center"/>
        <w:rPr>
          <w:rFonts w:eastAsiaTheme="minorHAnsi" w:cstheme="minorBidi"/>
          <w:b w:val="0"/>
          <w:szCs w:val="22"/>
          <w:lang w:val="es-ES" w:eastAsia="en-US"/>
        </w:rPr>
      </w:pPr>
    </w:p>
    <w:p w14:paraId="00A48C15" w14:textId="77777777" w:rsidR="003310B6" w:rsidRPr="00F76AE2" w:rsidRDefault="003310B6" w:rsidP="003310B6">
      <w:pPr>
        <w:tabs>
          <w:tab w:val="num" w:pos="720"/>
        </w:tabs>
        <w:spacing w:before="0" w:after="120" w:line="276" w:lineRule="auto"/>
        <w:ind w:firstLine="0"/>
        <w:contextualSpacing w:val="0"/>
        <w:jc w:val="center"/>
        <w:rPr>
          <w:rFonts w:eastAsiaTheme="minorHAnsi" w:cstheme="minorBidi"/>
          <w:b w:val="0"/>
          <w:szCs w:val="22"/>
          <w:lang w:val="es-ES" w:eastAsia="en-US"/>
        </w:rPr>
      </w:pPr>
    </w:p>
    <w:p w14:paraId="439EC178" w14:textId="77777777" w:rsidR="003310B6" w:rsidRPr="00F76AE2" w:rsidRDefault="003310B6" w:rsidP="003310B6">
      <w:pPr>
        <w:tabs>
          <w:tab w:val="num" w:pos="720"/>
        </w:tabs>
        <w:spacing w:before="0" w:after="120" w:line="276" w:lineRule="auto"/>
        <w:ind w:firstLine="0"/>
        <w:contextualSpacing w:val="0"/>
        <w:jc w:val="center"/>
        <w:rPr>
          <w:rFonts w:eastAsiaTheme="minorHAnsi" w:cstheme="minorBidi"/>
          <w:b w:val="0"/>
          <w:szCs w:val="22"/>
          <w:lang w:val="es-ES" w:eastAsia="en-US"/>
        </w:rPr>
      </w:pPr>
    </w:p>
    <w:p w14:paraId="3C70E925" w14:textId="77777777" w:rsidR="003310B6" w:rsidRPr="00F76AE2" w:rsidRDefault="003310B6" w:rsidP="003310B6">
      <w:pPr>
        <w:spacing w:before="0" w:after="200" w:line="276" w:lineRule="auto"/>
        <w:ind w:firstLine="0"/>
        <w:contextualSpacing w:val="0"/>
        <w:jc w:val="left"/>
        <w:rPr>
          <w:rFonts w:eastAsiaTheme="minorHAnsi" w:cs="Arial"/>
          <w:szCs w:val="22"/>
          <w:lang w:val="hy-AM" w:eastAsia="en-US"/>
        </w:rPr>
      </w:pPr>
    </w:p>
    <w:p w14:paraId="1D6676C0" w14:textId="77777777" w:rsidR="009A1A86" w:rsidRDefault="009A1A86" w:rsidP="003310B6">
      <w:pPr>
        <w:spacing w:before="0" w:after="200" w:line="276" w:lineRule="auto"/>
        <w:ind w:firstLine="0"/>
        <w:contextualSpacing w:val="0"/>
        <w:jc w:val="left"/>
        <w:rPr>
          <w:rFonts w:eastAsiaTheme="minorHAnsi" w:cs="Arial"/>
          <w:szCs w:val="22"/>
          <w:lang w:val="hy-AM" w:eastAsia="en-US"/>
        </w:rPr>
      </w:pPr>
    </w:p>
    <w:p w14:paraId="349760E0" w14:textId="77777777" w:rsidR="009A1A86" w:rsidRDefault="009A1A86" w:rsidP="003310B6">
      <w:pPr>
        <w:spacing w:before="0" w:after="200" w:line="276" w:lineRule="auto"/>
        <w:ind w:firstLine="0"/>
        <w:contextualSpacing w:val="0"/>
        <w:jc w:val="left"/>
        <w:rPr>
          <w:rFonts w:eastAsiaTheme="minorHAnsi" w:cs="Arial"/>
          <w:szCs w:val="22"/>
          <w:lang w:val="hy-AM" w:eastAsia="en-US"/>
        </w:rPr>
      </w:pPr>
    </w:p>
    <w:p w14:paraId="3C9D5C40" w14:textId="77777777" w:rsidR="009A1A86" w:rsidRDefault="009A1A86" w:rsidP="003310B6">
      <w:pPr>
        <w:spacing w:before="0" w:after="200" w:line="276" w:lineRule="auto"/>
        <w:ind w:firstLine="0"/>
        <w:contextualSpacing w:val="0"/>
        <w:jc w:val="left"/>
        <w:rPr>
          <w:rFonts w:eastAsiaTheme="minorHAnsi" w:cs="Arial"/>
          <w:szCs w:val="22"/>
          <w:lang w:val="hy-AM" w:eastAsia="en-US"/>
        </w:rPr>
      </w:pPr>
    </w:p>
    <w:p w14:paraId="52ACF97F" w14:textId="29870A28" w:rsidR="003310B6" w:rsidRPr="00F76AE2" w:rsidRDefault="003310B6" w:rsidP="003310B6">
      <w:pPr>
        <w:spacing w:before="0" w:after="200" w:line="276" w:lineRule="auto"/>
        <w:ind w:firstLine="0"/>
        <w:contextualSpacing w:val="0"/>
        <w:jc w:val="left"/>
        <w:rPr>
          <w:rFonts w:eastAsiaTheme="minorHAnsi" w:cs="Arial"/>
          <w:szCs w:val="22"/>
          <w:lang w:val="es-ES" w:eastAsia="en-US"/>
        </w:rPr>
      </w:pPr>
      <w:r w:rsidRPr="00F76AE2">
        <w:rPr>
          <w:rFonts w:eastAsiaTheme="minorHAnsi" w:cs="Arial"/>
          <w:szCs w:val="22"/>
          <w:lang w:val="hy-AM" w:eastAsia="en-US"/>
        </w:rPr>
        <w:t>Կառավարության</w:t>
      </w:r>
      <w:r w:rsidRPr="00F76AE2">
        <w:rPr>
          <w:rFonts w:eastAsiaTheme="minorHAnsi" w:cstheme="minorBidi"/>
          <w:szCs w:val="22"/>
          <w:lang w:val="es-ES" w:eastAsia="en-US"/>
        </w:rPr>
        <w:t xml:space="preserve"> </w:t>
      </w:r>
      <w:r w:rsidRPr="00F76AE2">
        <w:rPr>
          <w:rFonts w:eastAsiaTheme="minorHAnsi" w:cstheme="minorBidi"/>
          <w:szCs w:val="22"/>
          <w:lang w:val="hy-AM" w:eastAsia="en-US"/>
        </w:rPr>
        <w:t>պարտքի</w:t>
      </w:r>
      <w:r w:rsidRPr="00F76AE2">
        <w:rPr>
          <w:rFonts w:eastAsiaTheme="minorHAnsi" w:cstheme="minorBidi"/>
          <w:szCs w:val="22"/>
          <w:lang w:val="es-ES" w:eastAsia="en-US"/>
        </w:rPr>
        <w:t xml:space="preserve"> </w:t>
      </w:r>
      <w:r w:rsidRPr="00F76AE2">
        <w:rPr>
          <w:rFonts w:eastAsiaTheme="minorHAnsi" w:cstheme="minorBidi"/>
          <w:szCs w:val="22"/>
          <w:lang w:val="hy-AM" w:eastAsia="en-US"/>
        </w:rPr>
        <w:t>մարումը</w:t>
      </w:r>
      <w:r w:rsidRPr="00F76AE2">
        <w:rPr>
          <w:rFonts w:eastAsiaTheme="minorHAnsi" w:cstheme="minorBidi"/>
          <w:szCs w:val="22"/>
          <w:lang w:val="es-ES" w:eastAsia="en-US"/>
        </w:rPr>
        <w:t xml:space="preserve"> </w:t>
      </w:r>
      <w:r w:rsidRPr="00F76AE2">
        <w:rPr>
          <w:rFonts w:eastAsiaTheme="minorHAnsi" w:cstheme="minorBidi"/>
          <w:szCs w:val="22"/>
          <w:lang w:val="hy-AM" w:eastAsia="en-US"/>
        </w:rPr>
        <w:t>և</w:t>
      </w:r>
      <w:r w:rsidRPr="00F76AE2">
        <w:rPr>
          <w:rFonts w:eastAsiaTheme="minorHAnsi" w:cstheme="minorBidi"/>
          <w:szCs w:val="22"/>
          <w:lang w:val="es-ES" w:eastAsia="en-US"/>
        </w:rPr>
        <w:t xml:space="preserve"> </w:t>
      </w:r>
      <w:r w:rsidRPr="00F76AE2">
        <w:rPr>
          <w:rFonts w:eastAsiaTheme="minorHAnsi" w:cstheme="minorBidi"/>
          <w:szCs w:val="22"/>
          <w:lang w:val="hy-AM" w:eastAsia="en-US"/>
        </w:rPr>
        <w:t>սպասարկումը</w:t>
      </w:r>
    </w:p>
    <w:p w14:paraId="50EC5ACC" w14:textId="77777777" w:rsidR="003310B6" w:rsidRPr="00F76AE2" w:rsidRDefault="003310B6" w:rsidP="003310B6">
      <w:pPr>
        <w:spacing w:before="0" w:after="120" w:line="276" w:lineRule="auto"/>
        <w:ind w:firstLine="720"/>
        <w:contextualSpacing w:val="0"/>
        <w:rPr>
          <w:rFonts w:eastAsiaTheme="minorHAnsi" w:cstheme="minorBidi"/>
          <w:b w:val="0"/>
          <w:bCs/>
          <w:szCs w:val="22"/>
          <w:lang w:val="es-ES" w:eastAsia="en-US"/>
        </w:rPr>
      </w:pPr>
      <w:r w:rsidRPr="00F76AE2">
        <w:rPr>
          <w:rFonts w:eastAsiaTheme="minorHAnsi" w:cstheme="minorBidi"/>
          <w:b w:val="0"/>
          <w:bCs/>
          <w:szCs w:val="22"/>
          <w:lang w:val="es-ES" w:eastAsia="en-US"/>
        </w:rPr>
        <w:t>202</w:t>
      </w:r>
      <w:r w:rsidRPr="00F76AE2">
        <w:rPr>
          <w:rFonts w:eastAsiaTheme="minorHAnsi" w:cstheme="minorBidi"/>
          <w:b w:val="0"/>
          <w:bCs/>
          <w:szCs w:val="22"/>
          <w:lang w:val="hy-AM" w:eastAsia="en-US"/>
        </w:rPr>
        <w:t>2</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թվականին</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կառավարության</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պարտքի</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մարման</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և</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սպասարկման</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համար</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կպահանջվի</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517.2</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մլրդ</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դրամ</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որից</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302.8</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մլրդ</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դրամը</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կկազմեն</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պարտքի</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գծով</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մարումները</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իսկ</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214.4</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մլրդ</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դրամը՝</w:t>
      </w:r>
      <w:r w:rsidRPr="00F76AE2">
        <w:rPr>
          <w:rFonts w:eastAsiaTheme="minorHAnsi" w:cstheme="minorBidi"/>
          <w:b w:val="0"/>
          <w:bCs/>
          <w:szCs w:val="22"/>
          <w:lang w:val="es-ES" w:eastAsia="en-US"/>
        </w:rPr>
        <w:t xml:space="preserve"> </w:t>
      </w:r>
      <w:r w:rsidRPr="00F76AE2">
        <w:rPr>
          <w:rFonts w:eastAsiaTheme="minorHAnsi" w:cstheme="minorBidi"/>
          <w:b w:val="0"/>
          <w:bCs/>
          <w:szCs w:val="22"/>
          <w:lang w:val="hy-AM" w:eastAsia="en-US"/>
        </w:rPr>
        <w:t>տոկոսավճարները</w:t>
      </w:r>
      <w:r w:rsidRPr="00F76AE2">
        <w:rPr>
          <w:rFonts w:eastAsiaTheme="minorHAnsi" w:cstheme="minorBidi"/>
          <w:b w:val="0"/>
          <w:bCs/>
          <w:szCs w:val="22"/>
          <w:lang w:val="es-ES" w:eastAsia="en-US"/>
        </w:rPr>
        <w:t>:</w:t>
      </w:r>
    </w:p>
    <w:tbl>
      <w:tblPr>
        <w:tblStyle w:val="ListTable7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1583"/>
        <w:gridCol w:w="1686"/>
        <w:gridCol w:w="1644"/>
      </w:tblGrid>
      <w:tr w:rsidR="003310B6" w:rsidRPr="00F76AE2" w14:paraId="5C5366AD" w14:textId="77777777" w:rsidTr="00603B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19" w:type="dxa"/>
            <w:tcBorders>
              <w:bottom w:val="none" w:sz="0" w:space="0" w:color="auto"/>
              <w:right w:val="none" w:sz="0" w:space="0" w:color="auto"/>
            </w:tcBorders>
          </w:tcPr>
          <w:p w14:paraId="16641FE6" w14:textId="77777777" w:rsidR="003310B6" w:rsidRPr="003310B6" w:rsidRDefault="003310B6" w:rsidP="00603B06">
            <w:pPr>
              <w:spacing w:before="0" w:line="276" w:lineRule="auto"/>
              <w:ind w:firstLine="0"/>
              <w:contextualSpacing w:val="0"/>
              <w:jc w:val="center"/>
              <w:rPr>
                <w:b w:val="0"/>
                <w:i w:val="0"/>
                <w:color w:val="auto"/>
                <w:szCs w:val="22"/>
                <w:lang w:val="en-US" w:eastAsia="en-US"/>
              </w:rPr>
            </w:pPr>
            <w:r w:rsidRPr="003310B6">
              <w:rPr>
                <w:b w:val="0"/>
                <w:color w:val="auto"/>
                <w:szCs w:val="22"/>
                <w:lang w:val="en-US" w:eastAsia="en-US"/>
              </w:rPr>
              <w:t>մլրդ դրամ</w:t>
            </w:r>
          </w:p>
        </w:tc>
        <w:tc>
          <w:tcPr>
            <w:tcW w:w="1693" w:type="dxa"/>
            <w:tcBorders>
              <w:bottom w:val="none" w:sz="0" w:space="0" w:color="auto"/>
            </w:tcBorders>
          </w:tcPr>
          <w:p w14:paraId="1A288197" w14:textId="77777777" w:rsidR="003310B6" w:rsidRPr="003310B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szCs w:val="22"/>
                <w:lang w:val="en-US" w:eastAsia="en-US"/>
              </w:rPr>
            </w:pPr>
            <w:r w:rsidRPr="003310B6">
              <w:rPr>
                <w:b w:val="0"/>
                <w:color w:val="auto"/>
                <w:szCs w:val="22"/>
                <w:lang w:val="en-US" w:eastAsia="en-US"/>
              </w:rPr>
              <w:t>մարում</w:t>
            </w:r>
          </w:p>
        </w:tc>
        <w:tc>
          <w:tcPr>
            <w:tcW w:w="1708" w:type="dxa"/>
            <w:tcBorders>
              <w:bottom w:val="none" w:sz="0" w:space="0" w:color="auto"/>
            </w:tcBorders>
          </w:tcPr>
          <w:p w14:paraId="1F0038D4" w14:textId="77777777" w:rsidR="003310B6" w:rsidRPr="003310B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szCs w:val="22"/>
                <w:lang w:val="en-US" w:eastAsia="en-US"/>
              </w:rPr>
            </w:pPr>
            <w:r w:rsidRPr="003310B6">
              <w:rPr>
                <w:b w:val="0"/>
                <w:color w:val="auto"/>
                <w:szCs w:val="22"/>
                <w:lang w:val="en-US" w:eastAsia="en-US"/>
              </w:rPr>
              <w:t>սպասարկում</w:t>
            </w:r>
          </w:p>
        </w:tc>
        <w:tc>
          <w:tcPr>
            <w:tcW w:w="1702" w:type="dxa"/>
            <w:tcBorders>
              <w:bottom w:val="none" w:sz="0" w:space="0" w:color="auto"/>
            </w:tcBorders>
          </w:tcPr>
          <w:p w14:paraId="6690CE9E" w14:textId="77777777" w:rsidR="003310B6" w:rsidRPr="003310B6"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szCs w:val="22"/>
                <w:lang w:val="en-US" w:eastAsia="en-US"/>
              </w:rPr>
            </w:pPr>
            <w:r w:rsidRPr="003310B6">
              <w:rPr>
                <w:color w:val="auto"/>
                <w:szCs w:val="22"/>
                <w:lang w:val="en-US" w:eastAsia="en-US"/>
              </w:rPr>
              <w:t>ընդամենը</w:t>
            </w:r>
          </w:p>
        </w:tc>
      </w:tr>
      <w:tr w:rsidR="003310B6" w:rsidRPr="00F76AE2" w14:paraId="0DCD00B1" w14:textId="77777777" w:rsidTr="00603B06">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319" w:type="dxa"/>
            <w:tcBorders>
              <w:right w:val="none" w:sz="0" w:space="0" w:color="auto"/>
            </w:tcBorders>
            <w:vAlign w:val="center"/>
          </w:tcPr>
          <w:p w14:paraId="0696EE8A" w14:textId="77777777" w:rsidR="003310B6" w:rsidRPr="003310B6" w:rsidRDefault="003310B6" w:rsidP="00603B06">
            <w:pPr>
              <w:spacing w:before="0" w:line="276" w:lineRule="auto"/>
              <w:ind w:firstLine="0"/>
              <w:contextualSpacing w:val="0"/>
              <w:jc w:val="left"/>
              <w:rPr>
                <w:b w:val="0"/>
                <w:i w:val="0"/>
                <w:color w:val="auto"/>
                <w:szCs w:val="22"/>
                <w:lang w:val="en-US" w:eastAsia="en-US"/>
              </w:rPr>
            </w:pPr>
            <w:r w:rsidRPr="003310B6">
              <w:rPr>
                <w:b w:val="0"/>
                <w:color w:val="auto"/>
                <w:szCs w:val="22"/>
                <w:lang w:val="en-US" w:eastAsia="en-US"/>
              </w:rPr>
              <w:t>Պետական գանձապետական պարտատոմսեր</w:t>
            </w:r>
          </w:p>
        </w:tc>
        <w:tc>
          <w:tcPr>
            <w:tcW w:w="1693" w:type="dxa"/>
            <w:vAlign w:val="center"/>
          </w:tcPr>
          <w:p w14:paraId="6749E8FD" w14:textId="77777777" w:rsidR="003310B6" w:rsidRPr="003310B6"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3310B6">
              <w:rPr>
                <w:b w:val="0"/>
                <w:color w:val="auto"/>
                <w:szCs w:val="22"/>
                <w:lang w:val="hy-AM"/>
              </w:rPr>
              <w:t>176.0</w:t>
            </w:r>
            <w:r w:rsidRPr="003310B6">
              <w:rPr>
                <w:b w:val="0"/>
                <w:color w:val="auto"/>
                <w:szCs w:val="22"/>
                <w:vertAlign w:val="superscript"/>
              </w:rPr>
              <w:footnoteReference w:id="26"/>
            </w:r>
          </w:p>
        </w:tc>
        <w:tc>
          <w:tcPr>
            <w:tcW w:w="1708" w:type="dxa"/>
            <w:vAlign w:val="center"/>
          </w:tcPr>
          <w:p w14:paraId="197C2F58" w14:textId="77777777" w:rsidR="003310B6" w:rsidRPr="003310B6"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szCs w:val="22"/>
                <w:lang w:val="hy-AM"/>
              </w:rPr>
            </w:pPr>
            <w:r w:rsidRPr="003310B6">
              <w:rPr>
                <w:b w:val="0"/>
                <w:color w:val="auto"/>
                <w:szCs w:val="22"/>
                <w:lang w:val="hy-AM"/>
              </w:rPr>
              <w:t>129.4</w:t>
            </w:r>
          </w:p>
        </w:tc>
        <w:tc>
          <w:tcPr>
            <w:tcW w:w="1702" w:type="dxa"/>
            <w:vAlign w:val="center"/>
          </w:tcPr>
          <w:p w14:paraId="4C30F8FE" w14:textId="77777777" w:rsidR="003310B6" w:rsidRPr="003310B6" w:rsidRDefault="003310B6" w:rsidP="00603B06">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hy-AM"/>
              </w:rPr>
            </w:pPr>
            <w:r w:rsidRPr="003310B6">
              <w:rPr>
                <w:color w:val="auto"/>
                <w:szCs w:val="22"/>
                <w:lang w:val="hy-AM"/>
              </w:rPr>
              <w:t>304.1</w:t>
            </w:r>
          </w:p>
        </w:tc>
      </w:tr>
      <w:tr w:rsidR="003310B6" w:rsidRPr="00F76AE2" w14:paraId="1ED61E81" w14:textId="77777777" w:rsidTr="00603B06">
        <w:trPr>
          <w:trHeight w:val="361"/>
        </w:trPr>
        <w:tc>
          <w:tcPr>
            <w:cnfStyle w:val="001000000000" w:firstRow="0" w:lastRow="0" w:firstColumn="1" w:lastColumn="0" w:oddVBand="0" w:evenVBand="0" w:oddHBand="0" w:evenHBand="0" w:firstRowFirstColumn="0" w:firstRowLastColumn="0" w:lastRowFirstColumn="0" w:lastRowLastColumn="0"/>
            <w:tcW w:w="5319" w:type="dxa"/>
            <w:tcBorders>
              <w:right w:val="none" w:sz="0" w:space="0" w:color="auto"/>
            </w:tcBorders>
            <w:vAlign w:val="center"/>
          </w:tcPr>
          <w:p w14:paraId="0CA046AB" w14:textId="77777777" w:rsidR="003310B6" w:rsidRPr="003310B6" w:rsidRDefault="003310B6" w:rsidP="00603B06">
            <w:pPr>
              <w:spacing w:before="0" w:line="276" w:lineRule="auto"/>
              <w:ind w:firstLine="0"/>
              <w:contextualSpacing w:val="0"/>
              <w:jc w:val="left"/>
              <w:rPr>
                <w:b w:val="0"/>
                <w:i w:val="0"/>
                <w:color w:val="auto"/>
                <w:szCs w:val="22"/>
                <w:lang w:val="en-US" w:eastAsia="en-US"/>
              </w:rPr>
            </w:pPr>
            <w:r w:rsidRPr="003310B6">
              <w:rPr>
                <w:b w:val="0"/>
                <w:color w:val="auto"/>
                <w:szCs w:val="22"/>
                <w:lang w:val="en-US" w:eastAsia="en-US"/>
              </w:rPr>
              <w:t>Արտարժութային պետական պարտատոմսեր</w:t>
            </w:r>
          </w:p>
        </w:tc>
        <w:tc>
          <w:tcPr>
            <w:tcW w:w="1693" w:type="dxa"/>
            <w:vAlign w:val="center"/>
          </w:tcPr>
          <w:p w14:paraId="7BC3C2B8" w14:textId="77777777" w:rsidR="003310B6" w:rsidRPr="003310B6"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lang w:val="hy-AM"/>
              </w:rPr>
            </w:pPr>
            <w:r w:rsidRPr="003310B6">
              <w:rPr>
                <w:b w:val="0"/>
                <w:color w:val="auto"/>
                <w:szCs w:val="22"/>
                <w:lang w:val="hy-AM"/>
              </w:rPr>
              <w:t>-</w:t>
            </w:r>
          </w:p>
        </w:tc>
        <w:tc>
          <w:tcPr>
            <w:tcW w:w="1708" w:type="dxa"/>
            <w:vAlign w:val="center"/>
          </w:tcPr>
          <w:p w14:paraId="2011FA51" w14:textId="77777777" w:rsidR="003310B6" w:rsidRPr="003310B6"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lang w:val="hy-AM"/>
              </w:rPr>
            </w:pPr>
            <w:r w:rsidRPr="003310B6">
              <w:rPr>
                <w:b w:val="0"/>
                <w:color w:val="auto"/>
                <w:szCs w:val="22"/>
                <w:lang w:val="hy-AM"/>
              </w:rPr>
              <w:t xml:space="preserve">       42.4 </w:t>
            </w:r>
          </w:p>
        </w:tc>
        <w:tc>
          <w:tcPr>
            <w:tcW w:w="1702" w:type="dxa"/>
            <w:vAlign w:val="center"/>
          </w:tcPr>
          <w:p w14:paraId="6CBCB76F" w14:textId="77777777" w:rsidR="003310B6" w:rsidRPr="003310B6"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lang w:val="hy-AM"/>
              </w:rPr>
            </w:pPr>
            <w:r w:rsidRPr="003310B6">
              <w:rPr>
                <w:color w:val="auto"/>
                <w:szCs w:val="22"/>
                <w:lang w:val="hy-AM"/>
              </w:rPr>
              <w:t xml:space="preserve">      42.4 </w:t>
            </w:r>
          </w:p>
        </w:tc>
      </w:tr>
      <w:tr w:rsidR="003310B6" w:rsidRPr="00F76AE2" w14:paraId="2D37D4C5" w14:textId="77777777" w:rsidTr="00603B06">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319" w:type="dxa"/>
            <w:tcBorders>
              <w:right w:val="none" w:sz="0" w:space="0" w:color="auto"/>
            </w:tcBorders>
            <w:vAlign w:val="center"/>
          </w:tcPr>
          <w:p w14:paraId="175CF409" w14:textId="77777777" w:rsidR="003310B6" w:rsidRPr="003310B6" w:rsidRDefault="003310B6" w:rsidP="00603B06">
            <w:pPr>
              <w:spacing w:before="0" w:line="276" w:lineRule="auto"/>
              <w:ind w:firstLine="0"/>
              <w:contextualSpacing w:val="0"/>
              <w:jc w:val="left"/>
              <w:rPr>
                <w:b w:val="0"/>
                <w:i w:val="0"/>
                <w:color w:val="auto"/>
                <w:szCs w:val="22"/>
                <w:lang w:val="en-US" w:eastAsia="en-US"/>
              </w:rPr>
            </w:pPr>
            <w:r w:rsidRPr="003310B6">
              <w:rPr>
                <w:b w:val="0"/>
                <w:color w:val="auto"/>
                <w:szCs w:val="22"/>
                <w:lang w:val="en-US" w:eastAsia="en-US"/>
              </w:rPr>
              <w:t>Արտաքին վարկեր</w:t>
            </w:r>
          </w:p>
        </w:tc>
        <w:tc>
          <w:tcPr>
            <w:tcW w:w="1693" w:type="dxa"/>
            <w:vAlign w:val="center"/>
          </w:tcPr>
          <w:p w14:paraId="640AC772" w14:textId="77777777" w:rsidR="003310B6" w:rsidRPr="003310B6" w:rsidRDefault="003310B6" w:rsidP="00C63A9B">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b w:val="0"/>
                <w:color w:val="auto"/>
                <w:szCs w:val="22"/>
                <w:lang w:val="hy-AM"/>
              </w:rPr>
            </w:pPr>
            <w:r w:rsidRPr="003310B6">
              <w:rPr>
                <w:b w:val="0"/>
                <w:color w:val="auto"/>
                <w:szCs w:val="22"/>
                <w:lang w:val="hy-AM"/>
              </w:rPr>
              <w:t xml:space="preserve">     126.8 </w:t>
            </w:r>
          </w:p>
        </w:tc>
        <w:tc>
          <w:tcPr>
            <w:tcW w:w="1708" w:type="dxa"/>
            <w:vAlign w:val="center"/>
          </w:tcPr>
          <w:p w14:paraId="0C9259E0" w14:textId="77777777" w:rsidR="003310B6" w:rsidRPr="003310B6"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lang w:val="hy-AM"/>
              </w:rPr>
            </w:pPr>
            <w:r w:rsidRPr="003310B6">
              <w:rPr>
                <w:b w:val="0"/>
                <w:color w:val="auto"/>
                <w:szCs w:val="22"/>
                <w:lang w:val="hy-AM"/>
              </w:rPr>
              <w:t xml:space="preserve">      42.6 </w:t>
            </w:r>
          </w:p>
        </w:tc>
        <w:tc>
          <w:tcPr>
            <w:tcW w:w="1702" w:type="dxa"/>
            <w:vAlign w:val="center"/>
          </w:tcPr>
          <w:p w14:paraId="658EAAB5" w14:textId="77777777" w:rsidR="003310B6" w:rsidRPr="003310B6"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color w:val="auto"/>
                <w:szCs w:val="22"/>
                <w:lang w:val="hy-AM"/>
              </w:rPr>
            </w:pPr>
            <w:r w:rsidRPr="003310B6">
              <w:rPr>
                <w:color w:val="auto"/>
                <w:szCs w:val="22"/>
                <w:lang w:val="hy-AM"/>
              </w:rPr>
              <w:t xml:space="preserve">    169.4 </w:t>
            </w:r>
          </w:p>
        </w:tc>
      </w:tr>
      <w:tr w:rsidR="003310B6" w:rsidRPr="00F76AE2" w14:paraId="4740114A" w14:textId="77777777" w:rsidTr="00603B06">
        <w:trPr>
          <w:trHeight w:val="361"/>
        </w:trPr>
        <w:tc>
          <w:tcPr>
            <w:cnfStyle w:val="001000000000" w:firstRow="0" w:lastRow="0" w:firstColumn="1" w:lastColumn="0" w:oddVBand="0" w:evenVBand="0" w:oddHBand="0" w:evenHBand="0" w:firstRowFirstColumn="0" w:firstRowLastColumn="0" w:lastRowFirstColumn="0" w:lastRowLastColumn="0"/>
            <w:tcW w:w="5319" w:type="dxa"/>
            <w:tcBorders>
              <w:right w:val="none" w:sz="0" w:space="0" w:color="auto"/>
            </w:tcBorders>
            <w:vAlign w:val="center"/>
          </w:tcPr>
          <w:p w14:paraId="51EA5C70" w14:textId="77777777" w:rsidR="003310B6" w:rsidRPr="003310B6" w:rsidRDefault="003310B6" w:rsidP="00603B06">
            <w:pPr>
              <w:spacing w:before="0" w:line="276" w:lineRule="auto"/>
              <w:ind w:firstLine="0"/>
              <w:contextualSpacing w:val="0"/>
              <w:jc w:val="center"/>
              <w:rPr>
                <w:color w:val="auto"/>
                <w:szCs w:val="22"/>
                <w:lang w:eastAsia="en-US"/>
              </w:rPr>
            </w:pPr>
            <w:r w:rsidRPr="003310B6">
              <w:rPr>
                <w:color w:val="auto"/>
                <w:szCs w:val="22"/>
                <w:lang w:val="en-US" w:eastAsia="en-US"/>
              </w:rPr>
              <w:t>Ընդամենը</w:t>
            </w:r>
          </w:p>
        </w:tc>
        <w:tc>
          <w:tcPr>
            <w:tcW w:w="1693" w:type="dxa"/>
            <w:vAlign w:val="center"/>
          </w:tcPr>
          <w:p w14:paraId="26E90A7B" w14:textId="77777777" w:rsidR="003310B6" w:rsidRPr="003310B6" w:rsidRDefault="003310B6" w:rsidP="00C63A9B">
            <w:pPr>
              <w:spacing w:line="276" w:lineRule="auto"/>
              <w:ind w:firstLine="0"/>
              <w:jc w:val="right"/>
              <w:cnfStyle w:val="000000000000" w:firstRow="0" w:lastRow="0" w:firstColumn="0" w:lastColumn="0" w:oddVBand="0" w:evenVBand="0" w:oddHBand="0" w:evenHBand="0" w:firstRowFirstColumn="0" w:firstRowLastColumn="0" w:lastRowFirstColumn="0" w:lastRowLastColumn="0"/>
              <w:rPr>
                <w:i/>
                <w:color w:val="auto"/>
                <w:szCs w:val="22"/>
                <w:lang w:val="hy-AM"/>
              </w:rPr>
            </w:pPr>
            <w:r w:rsidRPr="003310B6">
              <w:rPr>
                <w:i/>
                <w:color w:val="auto"/>
                <w:szCs w:val="22"/>
                <w:lang w:val="hy-AM"/>
              </w:rPr>
              <w:t xml:space="preserve">   302.8 </w:t>
            </w:r>
          </w:p>
        </w:tc>
        <w:tc>
          <w:tcPr>
            <w:tcW w:w="1708" w:type="dxa"/>
            <w:vAlign w:val="center"/>
          </w:tcPr>
          <w:p w14:paraId="5543E9B3" w14:textId="77777777" w:rsidR="003310B6" w:rsidRPr="003310B6"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i/>
                <w:color w:val="auto"/>
                <w:szCs w:val="22"/>
                <w:lang w:val="hy-AM"/>
              </w:rPr>
            </w:pPr>
            <w:r w:rsidRPr="003310B6">
              <w:rPr>
                <w:i/>
                <w:color w:val="auto"/>
                <w:szCs w:val="22"/>
                <w:lang w:val="hy-AM"/>
              </w:rPr>
              <w:t xml:space="preserve">     214.4 </w:t>
            </w:r>
          </w:p>
        </w:tc>
        <w:tc>
          <w:tcPr>
            <w:tcW w:w="1702" w:type="dxa"/>
            <w:vAlign w:val="center"/>
          </w:tcPr>
          <w:p w14:paraId="296949C7" w14:textId="77777777" w:rsidR="003310B6" w:rsidRPr="003310B6"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i/>
                <w:color w:val="auto"/>
                <w:szCs w:val="22"/>
                <w:lang w:val="hy-AM"/>
              </w:rPr>
            </w:pPr>
            <w:r w:rsidRPr="003310B6">
              <w:rPr>
                <w:i/>
                <w:color w:val="auto"/>
                <w:szCs w:val="22"/>
                <w:lang w:val="hy-AM"/>
              </w:rPr>
              <w:t xml:space="preserve">    517.2 </w:t>
            </w:r>
          </w:p>
        </w:tc>
      </w:tr>
    </w:tbl>
    <w:p w14:paraId="7FE40DFC" w14:textId="77777777" w:rsidR="003310B6" w:rsidRPr="00F76AE2" w:rsidRDefault="003310B6" w:rsidP="003310B6">
      <w:pPr>
        <w:shd w:val="clear" w:color="auto" w:fill="FFFFFF"/>
        <w:spacing w:before="0" w:after="200" w:line="276" w:lineRule="auto"/>
        <w:ind w:firstLine="0"/>
        <w:contextualSpacing w:val="0"/>
        <w:rPr>
          <w:rFonts w:eastAsiaTheme="minorHAnsi" w:cstheme="minorBidi"/>
          <w:i/>
          <w:szCs w:val="22"/>
          <w:lang w:val="af-ZA" w:eastAsia="en-US"/>
        </w:rPr>
      </w:pPr>
    </w:p>
    <w:p w14:paraId="6AF96F09" w14:textId="77777777" w:rsidR="003310B6" w:rsidRPr="00F76AE2" w:rsidRDefault="003310B6" w:rsidP="003310B6">
      <w:pPr>
        <w:shd w:val="clear" w:color="auto" w:fill="FFFFFF"/>
        <w:spacing w:before="0" w:after="200" w:line="276" w:lineRule="auto"/>
        <w:ind w:firstLine="0"/>
        <w:contextualSpacing w:val="0"/>
        <w:jc w:val="center"/>
        <w:rPr>
          <w:rFonts w:eastAsiaTheme="minorHAnsi" w:cstheme="minorBidi"/>
          <w:b w:val="0"/>
          <w:szCs w:val="22"/>
          <w:lang w:val="af-ZA" w:eastAsia="en-US"/>
        </w:rPr>
      </w:pPr>
      <w:r w:rsidRPr="00F76AE2">
        <w:rPr>
          <w:noProof/>
          <w:szCs w:val="22"/>
          <w:lang w:val="en-US" w:eastAsia="en-US"/>
        </w:rPr>
        <w:drawing>
          <wp:inline distT="0" distB="0" distL="0" distR="0" wp14:anchorId="26078210" wp14:editId="09156D38">
            <wp:extent cx="3699641" cy="2142008"/>
            <wp:effectExtent l="114300" t="95250" r="110490" b="8699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E259B16" w14:textId="77777777" w:rsidR="003310B6" w:rsidRPr="00F76AE2" w:rsidRDefault="003310B6" w:rsidP="003310B6">
      <w:pPr>
        <w:shd w:val="clear" w:color="auto" w:fill="FFFFFF"/>
        <w:spacing w:before="0" w:after="200" w:line="276" w:lineRule="auto"/>
        <w:ind w:firstLine="720"/>
        <w:contextualSpacing w:val="0"/>
        <w:rPr>
          <w:rFonts w:eastAsiaTheme="minorHAnsi" w:cstheme="minorBidi"/>
          <w:b w:val="0"/>
          <w:szCs w:val="22"/>
          <w:lang w:val="af-ZA" w:eastAsia="en-US"/>
        </w:rPr>
      </w:pPr>
      <w:r w:rsidRPr="00F76AE2">
        <w:rPr>
          <w:rFonts w:eastAsiaTheme="minorHAnsi" w:cstheme="minorBidi"/>
          <w:b w:val="0"/>
          <w:szCs w:val="22"/>
          <w:lang w:val="af-ZA" w:eastAsia="en-US"/>
        </w:rPr>
        <w:t>ՀՀ կառավարության արտարժութային պարտքի սպասարկման և մարման համար նախատեսված միջոցները փոխարկվել են ՀՀ դրամի հիմք ընդունելով 202</w:t>
      </w:r>
      <w:r w:rsidRPr="00F76AE2">
        <w:rPr>
          <w:rFonts w:eastAsiaTheme="minorHAnsi" w:cstheme="minorBidi"/>
          <w:b w:val="0"/>
          <w:szCs w:val="22"/>
          <w:lang w:val="hy-AM" w:eastAsia="en-US"/>
        </w:rPr>
        <w:t>1</w:t>
      </w:r>
      <w:r w:rsidRPr="00F76AE2">
        <w:rPr>
          <w:rFonts w:eastAsiaTheme="minorHAnsi" w:cstheme="minorBidi"/>
          <w:b w:val="0"/>
          <w:szCs w:val="22"/>
          <w:lang w:val="af-ZA" w:eastAsia="en-US"/>
        </w:rPr>
        <w:t xml:space="preserve">թ. </w:t>
      </w:r>
      <w:r w:rsidRPr="00F76AE2">
        <w:rPr>
          <w:rFonts w:eastAsiaTheme="minorHAnsi" w:cstheme="minorBidi"/>
          <w:b w:val="0"/>
          <w:szCs w:val="22"/>
          <w:lang w:val="hy-AM" w:eastAsia="en-US"/>
        </w:rPr>
        <w:t>սեպտեմբերի</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1</w:t>
      </w:r>
      <w:r w:rsidRPr="00F76AE2">
        <w:rPr>
          <w:rFonts w:eastAsiaTheme="minorHAnsi" w:cstheme="minorBidi"/>
          <w:b w:val="0"/>
          <w:szCs w:val="22"/>
          <w:lang w:val="af-ZA" w:eastAsia="en-US"/>
        </w:rPr>
        <w:t>-ի դրությամբ արժութային շուկայում ձևավորված միջին փոխարժեքները (կիրառելով համապատասխան ճշգրտման գործակից, քանի որ փաստացի վճարումները կատարվելու են գործարքի օրվա դրությամբ ՀՀ կենտրոնական բանկի կողմից սահմանված վաճառքի փոխարժեքներով) և այն ենթադրությամբ, որ ԱՄՆ դոլարի 6-ամսյա LIBOR-ի դրույքաչափը 202</w:t>
      </w:r>
      <w:r w:rsidRPr="00F76AE2">
        <w:rPr>
          <w:rFonts w:eastAsiaTheme="minorHAnsi" w:cstheme="minorBidi"/>
          <w:b w:val="0"/>
          <w:szCs w:val="22"/>
          <w:lang w:val="hy-AM" w:eastAsia="en-US"/>
        </w:rPr>
        <w:t>2</w:t>
      </w:r>
      <w:r w:rsidRPr="00F76AE2">
        <w:rPr>
          <w:rFonts w:eastAsiaTheme="minorHAnsi" w:cstheme="minorBidi"/>
          <w:b w:val="0"/>
          <w:szCs w:val="22"/>
          <w:lang w:val="af-ZA" w:eastAsia="en-US"/>
        </w:rPr>
        <w:t xml:space="preserve"> թվականին միջին հաշվով կկազմի 1.0%, 6-ամսյա EURIBOR-ը` չի գերազանցի զրոյական մակարդակը, իսկ SDR-ի տոկոսադրույքը՝ 1.2%:</w:t>
      </w:r>
    </w:p>
    <w:p w14:paraId="03BB8DB6" w14:textId="77777777" w:rsidR="003310B6" w:rsidRPr="00F76AE2" w:rsidRDefault="003310B6" w:rsidP="003310B6">
      <w:pPr>
        <w:spacing w:before="0" w:line="276" w:lineRule="auto"/>
        <w:ind w:firstLine="720"/>
        <w:contextualSpacing w:val="0"/>
        <w:rPr>
          <w:rFonts w:eastAsiaTheme="minorHAnsi" w:cstheme="minorBidi"/>
          <w:b w:val="0"/>
          <w:bCs/>
          <w:szCs w:val="22"/>
          <w:lang w:val="af-ZA" w:eastAsia="en-US"/>
        </w:rPr>
      </w:pPr>
      <w:r w:rsidRPr="00F76AE2">
        <w:rPr>
          <w:rFonts w:eastAsiaTheme="minorHAnsi" w:cstheme="minorBidi"/>
          <w:b w:val="0"/>
          <w:bCs/>
          <w:szCs w:val="22"/>
          <w:lang w:val="en-US" w:eastAsia="en-US"/>
        </w:rPr>
        <w:t>Պետական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գանձապետական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պարտատոմսերի</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մարման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համար</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նախատեսված</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hy-AM" w:eastAsia="en-US"/>
        </w:rPr>
        <w:t>--</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մլրդ</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դրամի</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մեջ</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hy-AM" w:eastAsia="en-US"/>
        </w:rPr>
        <w:t xml:space="preserve">30 </w:t>
      </w:r>
      <w:r w:rsidRPr="00F76AE2">
        <w:rPr>
          <w:rFonts w:eastAsiaTheme="minorHAnsi" w:cstheme="minorBidi"/>
          <w:b w:val="0"/>
          <w:bCs/>
          <w:szCs w:val="22"/>
          <w:lang w:val="en-US" w:eastAsia="en-US"/>
        </w:rPr>
        <w:t>մլրդ</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դրամը</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կազմում</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է</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պարտատոմսերի</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հետգնումների</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համար</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ծրագրավորված</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գումարը</w:t>
      </w:r>
      <w:r w:rsidRPr="00F76AE2">
        <w:rPr>
          <w:rFonts w:eastAsiaTheme="minorHAnsi" w:cstheme="minorBidi"/>
          <w:b w:val="0"/>
          <w:bCs/>
          <w:szCs w:val="22"/>
          <w:lang w:val="af-ZA" w:eastAsia="en-US"/>
        </w:rPr>
        <w:t>:</w:t>
      </w:r>
    </w:p>
    <w:p w14:paraId="4D383630" w14:textId="77777777" w:rsidR="003310B6" w:rsidRDefault="003310B6" w:rsidP="003310B6">
      <w:pPr>
        <w:spacing w:before="0" w:line="276" w:lineRule="auto"/>
        <w:ind w:firstLine="720"/>
        <w:contextualSpacing w:val="0"/>
        <w:rPr>
          <w:rFonts w:eastAsiaTheme="minorHAnsi" w:cstheme="minorBidi"/>
          <w:b w:val="0"/>
          <w:bCs/>
          <w:szCs w:val="22"/>
          <w:lang w:val="af-ZA" w:eastAsia="en-US"/>
        </w:rPr>
      </w:pPr>
      <w:r w:rsidRPr="00F76AE2">
        <w:rPr>
          <w:rFonts w:eastAsiaTheme="minorHAnsi" w:cstheme="minorBidi"/>
          <w:b w:val="0"/>
          <w:bCs/>
          <w:szCs w:val="22"/>
          <w:lang w:val="en-US" w:eastAsia="en-US"/>
        </w:rPr>
        <w:t>Արտաքին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վարկերի</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մարման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և</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սպասարկման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գծով</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նախատեսվում</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է</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վճարել</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hy-AM" w:eastAsia="en-US"/>
        </w:rPr>
        <w:t>169.4</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մլրդ</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դրամ</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hy-AM" w:eastAsia="en-US"/>
        </w:rPr>
        <w:t>343.1</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մլն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ԱՄՆ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դոլար</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Նախատեսվող</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վճարումների</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կառուցվածքն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ըստ</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վարկատուների</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հետևյալն</w:t>
      </w:r>
      <w:r w:rsidRPr="00F76AE2">
        <w:rPr>
          <w:rFonts w:eastAsiaTheme="minorHAnsi" w:cstheme="minorBidi"/>
          <w:b w:val="0"/>
          <w:bCs/>
          <w:szCs w:val="22"/>
          <w:lang w:val="af-ZA" w:eastAsia="en-US"/>
        </w:rPr>
        <w:t xml:space="preserve"> </w:t>
      </w:r>
      <w:r w:rsidRPr="00F76AE2">
        <w:rPr>
          <w:rFonts w:eastAsiaTheme="minorHAnsi" w:cstheme="minorBidi"/>
          <w:b w:val="0"/>
          <w:bCs/>
          <w:szCs w:val="22"/>
          <w:lang w:val="en-US" w:eastAsia="en-US"/>
        </w:rPr>
        <w:t>է</w:t>
      </w:r>
      <w:r w:rsidRPr="00F76AE2">
        <w:rPr>
          <w:rFonts w:eastAsiaTheme="minorHAnsi" w:cstheme="minorBidi"/>
          <w:b w:val="0"/>
          <w:bCs/>
          <w:szCs w:val="22"/>
          <w:lang w:val="af-ZA" w:eastAsia="en-US"/>
        </w:rPr>
        <w:t>.</w:t>
      </w:r>
    </w:p>
    <w:p w14:paraId="0083BCB0" w14:textId="470ED77F" w:rsidR="003310B6" w:rsidRDefault="003310B6" w:rsidP="003310B6">
      <w:pPr>
        <w:spacing w:before="0" w:line="276" w:lineRule="auto"/>
        <w:ind w:firstLine="720"/>
        <w:contextualSpacing w:val="0"/>
        <w:rPr>
          <w:rFonts w:eastAsiaTheme="minorHAnsi" w:cstheme="minorBidi"/>
          <w:b w:val="0"/>
          <w:bCs/>
          <w:szCs w:val="22"/>
          <w:lang w:val="af-ZA" w:eastAsia="en-US"/>
        </w:rPr>
      </w:pPr>
    </w:p>
    <w:p w14:paraId="1F6DF111" w14:textId="6834BF31" w:rsidR="009A1A86" w:rsidRDefault="009A1A86" w:rsidP="003310B6">
      <w:pPr>
        <w:spacing w:before="0" w:line="276" w:lineRule="auto"/>
        <w:ind w:firstLine="720"/>
        <w:contextualSpacing w:val="0"/>
        <w:rPr>
          <w:rFonts w:eastAsiaTheme="minorHAnsi" w:cstheme="minorBidi"/>
          <w:b w:val="0"/>
          <w:bCs/>
          <w:szCs w:val="22"/>
          <w:lang w:val="af-ZA" w:eastAsia="en-US"/>
        </w:rPr>
      </w:pPr>
    </w:p>
    <w:tbl>
      <w:tblPr>
        <w:tblStyle w:val="MediumGrid2-Accent59"/>
        <w:tblW w:w="10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1620"/>
        <w:gridCol w:w="1318"/>
        <w:gridCol w:w="1287"/>
      </w:tblGrid>
      <w:tr w:rsidR="003310B6" w:rsidRPr="00F76AE2" w14:paraId="445CC9C6" w14:textId="77777777" w:rsidTr="003310B6">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5988" w:type="dxa"/>
            <w:tcBorders>
              <w:top w:val="none" w:sz="0" w:space="0" w:color="auto"/>
              <w:left w:val="none" w:sz="0" w:space="0" w:color="auto"/>
              <w:bottom w:val="none" w:sz="0" w:space="0" w:color="auto"/>
              <w:right w:val="none" w:sz="0" w:space="0" w:color="auto"/>
            </w:tcBorders>
            <w:noWrap/>
            <w:hideMark/>
          </w:tcPr>
          <w:p w14:paraId="58EA58F8" w14:textId="77777777" w:rsidR="003310B6" w:rsidRPr="00F76AE2" w:rsidRDefault="003310B6" w:rsidP="00603B06">
            <w:pPr>
              <w:spacing w:before="0" w:line="276" w:lineRule="auto"/>
              <w:ind w:firstLine="0"/>
              <w:contextualSpacing w:val="0"/>
              <w:jc w:val="center"/>
              <w:rPr>
                <w:b/>
                <w:szCs w:val="22"/>
                <w:lang w:val="en-US" w:eastAsia="en-US"/>
              </w:rPr>
            </w:pPr>
            <w:r w:rsidRPr="00F76AE2">
              <w:rPr>
                <w:szCs w:val="22"/>
                <w:lang w:val="en-US" w:eastAsia="en-US"/>
              </w:rPr>
              <w:t>մլն ԱՄՆ դոլար</w:t>
            </w:r>
          </w:p>
        </w:tc>
        <w:tc>
          <w:tcPr>
            <w:tcW w:w="1620" w:type="dxa"/>
            <w:shd w:val="clear" w:color="auto" w:fill="DBE5F1" w:themeFill="accent1" w:themeFillTint="33"/>
            <w:noWrap/>
            <w:hideMark/>
          </w:tcPr>
          <w:p w14:paraId="3164024E"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Cs w:val="22"/>
                <w:lang w:val="en-US" w:eastAsia="en-US"/>
              </w:rPr>
            </w:pPr>
            <w:r w:rsidRPr="00F76AE2">
              <w:rPr>
                <w:szCs w:val="22"/>
                <w:lang w:val="en-US" w:eastAsia="en-US"/>
              </w:rPr>
              <w:t>տոկոսավճար</w:t>
            </w:r>
          </w:p>
        </w:tc>
        <w:tc>
          <w:tcPr>
            <w:tcW w:w="1318" w:type="dxa"/>
            <w:shd w:val="clear" w:color="auto" w:fill="DBE5F1" w:themeFill="accent1" w:themeFillTint="33"/>
            <w:noWrap/>
            <w:hideMark/>
          </w:tcPr>
          <w:p w14:paraId="64B931F7"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Cs w:val="22"/>
                <w:lang w:val="en-US" w:eastAsia="en-US"/>
              </w:rPr>
            </w:pPr>
            <w:r w:rsidRPr="00F76AE2">
              <w:rPr>
                <w:szCs w:val="22"/>
                <w:lang w:val="en-US" w:eastAsia="en-US"/>
              </w:rPr>
              <w:t>մարում</w:t>
            </w:r>
          </w:p>
        </w:tc>
        <w:tc>
          <w:tcPr>
            <w:tcW w:w="1287" w:type="dxa"/>
            <w:shd w:val="clear" w:color="auto" w:fill="DBE5F1" w:themeFill="accent1" w:themeFillTint="33"/>
            <w:noWrap/>
            <w:hideMark/>
          </w:tcPr>
          <w:p w14:paraId="2FBEC372" w14:textId="77777777" w:rsidR="003310B6" w:rsidRPr="00F76AE2" w:rsidRDefault="003310B6" w:rsidP="00603B06">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Cs w:val="22"/>
                <w:lang w:val="en-US" w:eastAsia="en-US"/>
              </w:rPr>
            </w:pPr>
            <w:r w:rsidRPr="00F76AE2">
              <w:rPr>
                <w:szCs w:val="22"/>
                <w:lang w:val="en-US" w:eastAsia="en-US"/>
              </w:rPr>
              <w:t>ընդամենը</w:t>
            </w:r>
          </w:p>
        </w:tc>
      </w:tr>
      <w:tr w:rsidR="003310B6" w:rsidRPr="00F76AE2" w14:paraId="54CE63A7"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tcPr>
          <w:p w14:paraId="36B59735" w14:textId="77777777" w:rsidR="003310B6" w:rsidRPr="00F76AE2" w:rsidRDefault="003310B6" w:rsidP="00603B06">
            <w:pPr>
              <w:spacing w:before="0" w:line="276" w:lineRule="auto"/>
              <w:ind w:firstLine="0"/>
              <w:contextualSpacing w:val="0"/>
              <w:jc w:val="left"/>
              <w:rPr>
                <w:szCs w:val="22"/>
                <w:lang w:eastAsia="en-US"/>
              </w:rPr>
            </w:pPr>
            <w:r w:rsidRPr="00F76AE2">
              <w:rPr>
                <w:szCs w:val="22"/>
                <w:lang w:val="en-US" w:eastAsia="en-US"/>
              </w:rPr>
              <w:t>Վերակառուցման</w:t>
            </w:r>
            <w:r w:rsidRPr="00F76AE2">
              <w:rPr>
                <w:szCs w:val="22"/>
                <w:lang w:eastAsia="en-US"/>
              </w:rPr>
              <w:t xml:space="preserve"> </w:t>
            </w:r>
            <w:r w:rsidRPr="00F76AE2">
              <w:rPr>
                <w:szCs w:val="22"/>
                <w:lang w:val="en-US" w:eastAsia="en-US"/>
              </w:rPr>
              <w:t>և</w:t>
            </w:r>
            <w:r w:rsidRPr="00F76AE2">
              <w:rPr>
                <w:szCs w:val="22"/>
                <w:lang w:eastAsia="en-US"/>
              </w:rPr>
              <w:t xml:space="preserve"> </w:t>
            </w:r>
            <w:r w:rsidRPr="00F76AE2">
              <w:rPr>
                <w:szCs w:val="22"/>
                <w:lang w:val="en-US" w:eastAsia="en-US"/>
              </w:rPr>
              <w:t>Զարգացման</w:t>
            </w:r>
            <w:r w:rsidRPr="00F76AE2">
              <w:rPr>
                <w:szCs w:val="22"/>
                <w:lang w:eastAsia="en-US"/>
              </w:rPr>
              <w:t xml:space="preserve"> </w:t>
            </w:r>
            <w:r w:rsidRPr="00F76AE2">
              <w:rPr>
                <w:szCs w:val="22"/>
                <w:lang w:val="en-US" w:eastAsia="en-US"/>
              </w:rPr>
              <w:t>Միջազգային</w:t>
            </w:r>
            <w:r w:rsidRPr="00F76AE2">
              <w:rPr>
                <w:szCs w:val="22"/>
                <w:lang w:eastAsia="en-US"/>
              </w:rPr>
              <w:t xml:space="preserve"> </w:t>
            </w:r>
            <w:r w:rsidRPr="00F76AE2">
              <w:rPr>
                <w:szCs w:val="22"/>
                <w:lang w:val="en-US" w:eastAsia="en-US"/>
              </w:rPr>
              <w:t>Բանկ</w:t>
            </w:r>
          </w:p>
        </w:tc>
        <w:tc>
          <w:tcPr>
            <w:tcW w:w="1620" w:type="dxa"/>
            <w:tcBorders>
              <w:left w:val="none" w:sz="0" w:space="0" w:color="auto"/>
              <w:right w:val="none" w:sz="0" w:space="0" w:color="auto"/>
            </w:tcBorders>
            <w:shd w:val="clear" w:color="auto" w:fill="B8CCE4" w:themeFill="accent1" w:themeFillTint="66"/>
            <w:noWrap/>
            <w:vAlign w:val="center"/>
          </w:tcPr>
          <w:p w14:paraId="6F76A3C5"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18.3 </w:t>
            </w:r>
          </w:p>
        </w:tc>
        <w:tc>
          <w:tcPr>
            <w:tcW w:w="1318" w:type="dxa"/>
            <w:tcBorders>
              <w:left w:val="none" w:sz="0" w:space="0" w:color="auto"/>
              <w:right w:val="none" w:sz="0" w:space="0" w:color="auto"/>
            </w:tcBorders>
            <w:shd w:val="clear" w:color="auto" w:fill="B8CCE4" w:themeFill="accent1" w:themeFillTint="66"/>
            <w:noWrap/>
            <w:vAlign w:val="center"/>
          </w:tcPr>
          <w:p w14:paraId="35759C67"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16.5 </w:t>
            </w:r>
          </w:p>
        </w:tc>
        <w:tc>
          <w:tcPr>
            <w:tcW w:w="1287" w:type="dxa"/>
            <w:tcBorders>
              <w:left w:val="none" w:sz="0" w:space="0" w:color="auto"/>
            </w:tcBorders>
            <w:shd w:val="clear" w:color="auto" w:fill="B8CCE4" w:themeFill="accent1" w:themeFillTint="66"/>
            <w:noWrap/>
            <w:vAlign w:val="center"/>
          </w:tcPr>
          <w:p w14:paraId="7BFDDB2E"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34.8 </w:t>
            </w:r>
          </w:p>
        </w:tc>
      </w:tr>
      <w:tr w:rsidR="003310B6" w:rsidRPr="00F76AE2" w14:paraId="5F3EF48C"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0CD1E5E6"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Զարգացման Միջազգային Ընկերակցություն</w:t>
            </w:r>
          </w:p>
        </w:tc>
        <w:tc>
          <w:tcPr>
            <w:tcW w:w="1620" w:type="dxa"/>
            <w:shd w:val="clear" w:color="auto" w:fill="DBE5F1" w:themeFill="accent1" w:themeFillTint="33"/>
            <w:noWrap/>
            <w:vAlign w:val="center"/>
          </w:tcPr>
          <w:p w14:paraId="6B6D4F11" w14:textId="5550E384"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Pr>
                <w:b w:val="0"/>
                <w:szCs w:val="22"/>
              </w:rPr>
              <w:t xml:space="preserve">       </w:t>
            </w:r>
            <w:r w:rsidRPr="00F76AE2">
              <w:rPr>
                <w:b w:val="0"/>
                <w:szCs w:val="22"/>
              </w:rPr>
              <w:t xml:space="preserve">9.3 </w:t>
            </w:r>
          </w:p>
        </w:tc>
        <w:tc>
          <w:tcPr>
            <w:tcW w:w="1318" w:type="dxa"/>
            <w:shd w:val="clear" w:color="auto" w:fill="DBE5F1" w:themeFill="accent1" w:themeFillTint="33"/>
            <w:noWrap/>
            <w:vAlign w:val="center"/>
          </w:tcPr>
          <w:p w14:paraId="5B7F26F3"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74.7 </w:t>
            </w:r>
          </w:p>
        </w:tc>
        <w:tc>
          <w:tcPr>
            <w:tcW w:w="1287" w:type="dxa"/>
            <w:shd w:val="clear" w:color="auto" w:fill="DBE5F1" w:themeFill="accent1" w:themeFillTint="33"/>
            <w:noWrap/>
            <w:vAlign w:val="center"/>
          </w:tcPr>
          <w:p w14:paraId="38062825"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84.0 </w:t>
            </w:r>
          </w:p>
        </w:tc>
      </w:tr>
      <w:tr w:rsidR="003310B6" w:rsidRPr="00F76AE2" w14:paraId="3E8DDA96"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0D388849" w14:textId="77777777" w:rsidR="003310B6" w:rsidRPr="00F76AE2" w:rsidRDefault="003310B6" w:rsidP="00603B06">
            <w:pPr>
              <w:spacing w:before="0" w:line="276" w:lineRule="auto"/>
              <w:ind w:firstLine="0"/>
              <w:contextualSpacing w:val="0"/>
              <w:jc w:val="left"/>
              <w:rPr>
                <w:szCs w:val="22"/>
                <w:lang w:eastAsia="en-US"/>
              </w:rPr>
            </w:pPr>
            <w:r w:rsidRPr="00F76AE2">
              <w:rPr>
                <w:szCs w:val="22"/>
                <w:lang w:val="en-US" w:eastAsia="en-US"/>
              </w:rPr>
              <w:t>Վերակառուցման</w:t>
            </w:r>
            <w:r w:rsidRPr="00F76AE2">
              <w:rPr>
                <w:szCs w:val="22"/>
                <w:lang w:eastAsia="en-US"/>
              </w:rPr>
              <w:t xml:space="preserve"> </w:t>
            </w:r>
            <w:r w:rsidRPr="00F76AE2">
              <w:rPr>
                <w:szCs w:val="22"/>
                <w:lang w:val="en-US" w:eastAsia="en-US"/>
              </w:rPr>
              <w:t>և</w:t>
            </w:r>
            <w:r w:rsidRPr="00F76AE2">
              <w:rPr>
                <w:szCs w:val="22"/>
                <w:lang w:eastAsia="en-US"/>
              </w:rPr>
              <w:t xml:space="preserve"> </w:t>
            </w:r>
            <w:r w:rsidRPr="00F76AE2">
              <w:rPr>
                <w:szCs w:val="22"/>
                <w:lang w:val="en-US" w:eastAsia="en-US"/>
              </w:rPr>
              <w:t>Զարգացման</w:t>
            </w:r>
            <w:r w:rsidRPr="00F76AE2">
              <w:rPr>
                <w:szCs w:val="22"/>
                <w:lang w:eastAsia="en-US"/>
              </w:rPr>
              <w:t xml:space="preserve"> </w:t>
            </w:r>
            <w:r w:rsidRPr="00F76AE2">
              <w:rPr>
                <w:szCs w:val="22"/>
                <w:lang w:val="en-US" w:eastAsia="en-US"/>
              </w:rPr>
              <w:t>Եվրոպական</w:t>
            </w:r>
            <w:r w:rsidRPr="00F76AE2">
              <w:rPr>
                <w:szCs w:val="22"/>
                <w:lang w:eastAsia="en-US"/>
              </w:rPr>
              <w:t xml:space="preserve"> </w:t>
            </w:r>
            <w:r w:rsidRPr="00F76AE2">
              <w:rPr>
                <w:szCs w:val="22"/>
                <w:lang w:val="en-US" w:eastAsia="en-US"/>
              </w:rPr>
              <w:t>Բանկ</w:t>
            </w:r>
          </w:p>
        </w:tc>
        <w:tc>
          <w:tcPr>
            <w:tcW w:w="1620" w:type="dxa"/>
            <w:tcBorders>
              <w:left w:val="none" w:sz="0" w:space="0" w:color="auto"/>
              <w:right w:val="none" w:sz="0" w:space="0" w:color="auto"/>
            </w:tcBorders>
            <w:shd w:val="clear" w:color="auto" w:fill="B8CCE4" w:themeFill="accent1" w:themeFillTint="66"/>
            <w:noWrap/>
            <w:vAlign w:val="center"/>
          </w:tcPr>
          <w:p w14:paraId="4CD121CD" w14:textId="6FFB67D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Pr>
                <w:b w:val="0"/>
                <w:szCs w:val="22"/>
              </w:rPr>
              <w:t xml:space="preserve">       </w:t>
            </w:r>
            <w:r w:rsidRPr="00F76AE2">
              <w:rPr>
                <w:b w:val="0"/>
                <w:szCs w:val="22"/>
              </w:rPr>
              <w:t xml:space="preserve">0.7 </w:t>
            </w:r>
          </w:p>
        </w:tc>
        <w:tc>
          <w:tcPr>
            <w:tcW w:w="1318" w:type="dxa"/>
            <w:tcBorders>
              <w:left w:val="none" w:sz="0" w:space="0" w:color="auto"/>
              <w:right w:val="none" w:sz="0" w:space="0" w:color="auto"/>
            </w:tcBorders>
            <w:shd w:val="clear" w:color="auto" w:fill="B8CCE4" w:themeFill="accent1" w:themeFillTint="66"/>
            <w:noWrap/>
            <w:vAlign w:val="center"/>
          </w:tcPr>
          <w:p w14:paraId="0E0A81AE"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5.3 </w:t>
            </w:r>
          </w:p>
        </w:tc>
        <w:tc>
          <w:tcPr>
            <w:tcW w:w="1287" w:type="dxa"/>
            <w:tcBorders>
              <w:left w:val="none" w:sz="0" w:space="0" w:color="auto"/>
            </w:tcBorders>
            <w:shd w:val="clear" w:color="auto" w:fill="B8CCE4" w:themeFill="accent1" w:themeFillTint="66"/>
            <w:noWrap/>
            <w:vAlign w:val="center"/>
          </w:tcPr>
          <w:p w14:paraId="441D9946"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6.0 </w:t>
            </w:r>
          </w:p>
        </w:tc>
      </w:tr>
      <w:tr w:rsidR="003310B6" w:rsidRPr="00F76AE2" w14:paraId="5DE2AEF6"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63078342"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Եվրոպական Ներդրումային Բանկ</w:t>
            </w:r>
          </w:p>
        </w:tc>
        <w:tc>
          <w:tcPr>
            <w:tcW w:w="1620" w:type="dxa"/>
            <w:shd w:val="clear" w:color="auto" w:fill="DBE5F1" w:themeFill="accent1" w:themeFillTint="33"/>
            <w:noWrap/>
            <w:vAlign w:val="center"/>
          </w:tcPr>
          <w:p w14:paraId="324361DB" w14:textId="2A1644DE"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Pr>
                <w:b w:val="0"/>
                <w:szCs w:val="22"/>
              </w:rPr>
              <w:t xml:space="preserve">       </w:t>
            </w:r>
            <w:r w:rsidRPr="00F76AE2">
              <w:rPr>
                <w:b w:val="0"/>
                <w:szCs w:val="22"/>
              </w:rPr>
              <w:t xml:space="preserve">2.3 </w:t>
            </w:r>
          </w:p>
        </w:tc>
        <w:tc>
          <w:tcPr>
            <w:tcW w:w="1318" w:type="dxa"/>
            <w:shd w:val="clear" w:color="auto" w:fill="DBE5F1" w:themeFill="accent1" w:themeFillTint="33"/>
            <w:noWrap/>
            <w:vAlign w:val="center"/>
          </w:tcPr>
          <w:p w14:paraId="5E0DD118"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5.8 </w:t>
            </w:r>
          </w:p>
        </w:tc>
        <w:tc>
          <w:tcPr>
            <w:tcW w:w="1287" w:type="dxa"/>
            <w:shd w:val="clear" w:color="auto" w:fill="DBE5F1" w:themeFill="accent1" w:themeFillTint="33"/>
            <w:noWrap/>
            <w:vAlign w:val="center"/>
          </w:tcPr>
          <w:p w14:paraId="531B6AF2"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8.1 </w:t>
            </w:r>
          </w:p>
        </w:tc>
      </w:tr>
      <w:tr w:rsidR="003310B6" w:rsidRPr="00F76AE2" w14:paraId="34C0A4B0"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5C5F0688"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Գյուղատնտեսության Զարգացման Միջազգային Հիմնադրամ</w:t>
            </w:r>
          </w:p>
        </w:tc>
        <w:tc>
          <w:tcPr>
            <w:tcW w:w="1620" w:type="dxa"/>
            <w:tcBorders>
              <w:left w:val="none" w:sz="0" w:space="0" w:color="auto"/>
              <w:right w:val="none" w:sz="0" w:space="0" w:color="auto"/>
            </w:tcBorders>
            <w:shd w:val="clear" w:color="auto" w:fill="B8CCE4" w:themeFill="accent1" w:themeFillTint="66"/>
            <w:noWrap/>
            <w:vAlign w:val="center"/>
          </w:tcPr>
          <w:p w14:paraId="448A7037" w14:textId="291FA34D"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Pr>
                <w:b w:val="0"/>
                <w:szCs w:val="22"/>
              </w:rPr>
              <w:t xml:space="preserve">       </w:t>
            </w:r>
            <w:r w:rsidRPr="00F76AE2">
              <w:rPr>
                <w:b w:val="0"/>
                <w:szCs w:val="22"/>
              </w:rPr>
              <w:t xml:space="preserve">0.6 </w:t>
            </w:r>
          </w:p>
        </w:tc>
        <w:tc>
          <w:tcPr>
            <w:tcW w:w="1318" w:type="dxa"/>
            <w:tcBorders>
              <w:left w:val="none" w:sz="0" w:space="0" w:color="auto"/>
              <w:right w:val="none" w:sz="0" w:space="0" w:color="auto"/>
            </w:tcBorders>
            <w:shd w:val="clear" w:color="auto" w:fill="B8CCE4" w:themeFill="accent1" w:themeFillTint="66"/>
            <w:noWrap/>
            <w:vAlign w:val="center"/>
          </w:tcPr>
          <w:p w14:paraId="0DFFBB89"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4.0 </w:t>
            </w:r>
          </w:p>
        </w:tc>
        <w:tc>
          <w:tcPr>
            <w:tcW w:w="1287" w:type="dxa"/>
            <w:tcBorders>
              <w:left w:val="none" w:sz="0" w:space="0" w:color="auto"/>
            </w:tcBorders>
            <w:shd w:val="clear" w:color="auto" w:fill="B8CCE4" w:themeFill="accent1" w:themeFillTint="66"/>
            <w:noWrap/>
            <w:vAlign w:val="center"/>
          </w:tcPr>
          <w:p w14:paraId="26CA2A2C"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4.6 </w:t>
            </w:r>
          </w:p>
        </w:tc>
      </w:tr>
      <w:tr w:rsidR="003310B6" w:rsidRPr="00F76AE2" w14:paraId="638A9851"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5D7AD172" w14:textId="77777777" w:rsidR="003310B6" w:rsidRPr="00F76AE2" w:rsidRDefault="003310B6" w:rsidP="00603B06">
            <w:pPr>
              <w:spacing w:before="0" w:line="276" w:lineRule="auto"/>
              <w:ind w:firstLine="0"/>
              <w:contextualSpacing w:val="0"/>
              <w:jc w:val="left"/>
              <w:rPr>
                <w:szCs w:val="22"/>
                <w:lang w:eastAsia="en-US"/>
              </w:rPr>
            </w:pPr>
            <w:r w:rsidRPr="00F76AE2">
              <w:rPr>
                <w:szCs w:val="22"/>
                <w:lang w:val="en-US" w:eastAsia="en-US"/>
              </w:rPr>
              <w:t>ՕՊԵԿ</w:t>
            </w:r>
            <w:r w:rsidRPr="00F76AE2">
              <w:rPr>
                <w:szCs w:val="22"/>
                <w:lang w:eastAsia="en-US"/>
              </w:rPr>
              <w:t>-</w:t>
            </w:r>
            <w:r w:rsidRPr="00F76AE2">
              <w:rPr>
                <w:szCs w:val="22"/>
                <w:lang w:val="en-US" w:eastAsia="en-US"/>
              </w:rPr>
              <w:t>ի</w:t>
            </w:r>
            <w:r w:rsidRPr="00F76AE2">
              <w:rPr>
                <w:szCs w:val="22"/>
                <w:lang w:eastAsia="en-US"/>
              </w:rPr>
              <w:t xml:space="preserve"> </w:t>
            </w:r>
            <w:r w:rsidRPr="00F76AE2">
              <w:rPr>
                <w:szCs w:val="22"/>
                <w:lang w:val="en-US" w:eastAsia="en-US"/>
              </w:rPr>
              <w:t>Միջազգային</w:t>
            </w:r>
            <w:r w:rsidRPr="00F76AE2">
              <w:rPr>
                <w:szCs w:val="22"/>
                <w:lang w:eastAsia="en-US"/>
              </w:rPr>
              <w:t xml:space="preserve"> </w:t>
            </w:r>
            <w:r w:rsidRPr="00F76AE2">
              <w:rPr>
                <w:szCs w:val="22"/>
                <w:lang w:val="en-US" w:eastAsia="en-US"/>
              </w:rPr>
              <w:t>Զարգացման</w:t>
            </w:r>
            <w:r w:rsidRPr="00F76AE2">
              <w:rPr>
                <w:szCs w:val="22"/>
                <w:lang w:eastAsia="en-US"/>
              </w:rPr>
              <w:t xml:space="preserve"> </w:t>
            </w:r>
            <w:r w:rsidRPr="00F76AE2">
              <w:rPr>
                <w:szCs w:val="22"/>
                <w:lang w:val="en-US" w:eastAsia="en-US"/>
              </w:rPr>
              <w:t>Հիմնադրամ</w:t>
            </w:r>
            <w:r w:rsidRPr="00F76AE2">
              <w:rPr>
                <w:szCs w:val="22"/>
                <w:lang w:eastAsia="en-US"/>
              </w:rPr>
              <w:t xml:space="preserve"> </w:t>
            </w:r>
          </w:p>
        </w:tc>
        <w:tc>
          <w:tcPr>
            <w:tcW w:w="1620" w:type="dxa"/>
            <w:shd w:val="clear" w:color="auto" w:fill="DBE5F1" w:themeFill="accent1" w:themeFillTint="33"/>
            <w:noWrap/>
            <w:vAlign w:val="center"/>
          </w:tcPr>
          <w:p w14:paraId="4BC1F6A1"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        1.8 </w:t>
            </w:r>
          </w:p>
        </w:tc>
        <w:tc>
          <w:tcPr>
            <w:tcW w:w="1318" w:type="dxa"/>
            <w:shd w:val="clear" w:color="auto" w:fill="DBE5F1" w:themeFill="accent1" w:themeFillTint="33"/>
            <w:noWrap/>
            <w:vAlign w:val="center"/>
          </w:tcPr>
          <w:p w14:paraId="6B1F4DC3"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5.1 </w:t>
            </w:r>
          </w:p>
        </w:tc>
        <w:tc>
          <w:tcPr>
            <w:tcW w:w="1287" w:type="dxa"/>
            <w:shd w:val="clear" w:color="auto" w:fill="DBE5F1" w:themeFill="accent1" w:themeFillTint="33"/>
            <w:noWrap/>
            <w:vAlign w:val="center"/>
          </w:tcPr>
          <w:p w14:paraId="2AF7126D"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6.9 </w:t>
            </w:r>
          </w:p>
        </w:tc>
      </w:tr>
      <w:tr w:rsidR="003310B6" w:rsidRPr="00F76AE2" w14:paraId="5E885D0B"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57024885"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Ասիական Զարգացման Բանկ</w:t>
            </w:r>
          </w:p>
        </w:tc>
        <w:tc>
          <w:tcPr>
            <w:tcW w:w="1620" w:type="dxa"/>
            <w:tcBorders>
              <w:left w:val="none" w:sz="0" w:space="0" w:color="auto"/>
              <w:right w:val="none" w:sz="0" w:space="0" w:color="auto"/>
            </w:tcBorders>
            <w:shd w:val="clear" w:color="auto" w:fill="B8CCE4" w:themeFill="accent1" w:themeFillTint="66"/>
            <w:noWrap/>
            <w:vAlign w:val="center"/>
          </w:tcPr>
          <w:p w14:paraId="0DA50224" w14:textId="44D57A0F"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Pr>
                <w:b w:val="0"/>
                <w:szCs w:val="22"/>
              </w:rPr>
              <w:t xml:space="preserve">      </w:t>
            </w:r>
            <w:r w:rsidRPr="00F76AE2">
              <w:rPr>
                <w:b w:val="0"/>
                <w:szCs w:val="22"/>
              </w:rPr>
              <w:t xml:space="preserve">16.1 </w:t>
            </w:r>
          </w:p>
        </w:tc>
        <w:tc>
          <w:tcPr>
            <w:tcW w:w="1318" w:type="dxa"/>
            <w:tcBorders>
              <w:left w:val="none" w:sz="0" w:space="0" w:color="auto"/>
              <w:right w:val="none" w:sz="0" w:space="0" w:color="auto"/>
            </w:tcBorders>
            <w:shd w:val="clear" w:color="auto" w:fill="B8CCE4" w:themeFill="accent1" w:themeFillTint="66"/>
            <w:noWrap/>
            <w:vAlign w:val="center"/>
          </w:tcPr>
          <w:p w14:paraId="0E4FE12B"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49.3 </w:t>
            </w:r>
          </w:p>
        </w:tc>
        <w:tc>
          <w:tcPr>
            <w:tcW w:w="1287" w:type="dxa"/>
            <w:tcBorders>
              <w:left w:val="none" w:sz="0" w:space="0" w:color="auto"/>
            </w:tcBorders>
            <w:shd w:val="clear" w:color="auto" w:fill="B8CCE4" w:themeFill="accent1" w:themeFillTint="66"/>
            <w:noWrap/>
            <w:vAlign w:val="center"/>
          </w:tcPr>
          <w:p w14:paraId="297DEA0A"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65.5 </w:t>
            </w:r>
          </w:p>
        </w:tc>
      </w:tr>
      <w:tr w:rsidR="003310B6" w:rsidRPr="00F76AE2" w14:paraId="5A66FD0F"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30665FEA"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Եվրամիություն</w:t>
            </w:r>
          </w:p>
        </w:tc>
        <w:tc>
          <w:tcPr>
            <w:tcW w:w="1620" w:type="dxa"/>
            <w:shd w:val="clear" w:color="auto" w:fill="DBE5F1" w:themeFill="accent1" w:themeFillTint="33"/>
            <w:noWrap/>
            <w:vAlign w:val="center"/>
          </w:tcPr>
          <w:p w14:paraId="627A6394"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        2.7 </w:t>
            </w:r>
          </w:p>
        </w:tc>
        <w:tc>
          <w:tcPr>
            <w:tcW w:w="1318" w:type="dxa"/>
            <w:shd w:val="clear" w:color="auto" w:fill="DBE5F1" w:themeFill="accent1" w:themeFillTint="33"/>
            <w:noWrap/>
            <w:vAlign w:val="center"/>
          </w:tcPr>
          <w:p w14:paraId="0C4B213A"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   </w:t>
            </w:r>
          </w:p>
        </w:tc>
        <w:tc>
          <w:tcPr>
            <w:tcW w:w="1287" w:type="dxa"/>
            <w:shd w:val="clear" w:color="auto" w:fill="DBE5F1" w:themeFill="accent1" w:themeFillTint="33"/>
            <w:noWrap/>
            <w:vAlign w:val="center"/>
          </w:tcPr>
          <w:p w14:paraId="3946563C"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2.7 </w:t>
            </w:r>
          </w:p>
        </w:tc>
      </w:tr>
      <w:tr w:rsidR="003310B6" w:rsidRPr="00F76AE2" w14:paraId="1772F799"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3C070A4E"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Արժույթի Միջազգային Հիմնադրամ</w:t>
            </w:r>
          </w:p>
        </w:tc>
        <w:tc>
          <w:tcPr>
            <w:tcW w:w="1620" w:type="dxa"/>
            <w:tcBorders>
              <w:left w:val="none" w:sz="0" w:space="0" w:color="auto"/>
              <w:right w:val="none" w:sz="0" w:space="0" w:color="auto"/>
            </w:tcBorders>
            <w:shd w:val="clear" w:color="auto" w:fill="B8CCE4" w:themeFill="accent1" w:themeFillTint="66"/>
            <w:noWrap/>
            <w:vAlign w:val="center"/>
          </w:tcPr>
          <w:p w14:paraId="752334B7" w14:textId="77DC13EC"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Pr>
                <w:b w:val="0"/>
                <w:szCs w:val="22"/>
              </w:rPr>
              <w:t xml:space="preserve">       </w:t>
            </w:r>
            <w:r w:rsidRPr="00F76AE2">
              <w:rPr>
                <w:b w:val="0"/>
                <w:szCs w:val="22"/>
              </w:rPr>
              <w:t xml:space="preserve">5.3 </w:t>
            </w:r>
          </w:p>
        </w:tc>
        <w:tc>
          <w:tcPr>
            <w:tcW w:w="1318" w:type="dxa"/>
            <w:tcBorders>
              <w:left w:val="none" w:sz="0" w:space="0" w:color="auto"/>
              <w:right w:val="none" w:sz="0" w:space="0" w:color="auto"/>
            </w:tcBorders>
            <w:shd w:val="clear" w:color="auto" w:fill="B8CCE4" w:themeFill="accent1" w:themeFillTint="66"/>
            <w:noWrap/>
            <w:vAlign w:val="center"/>
          </w:tcPr>
          <w:p w14:paraId="62AA3D46"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5.6 </w:t>
            </w:r>
          </w:p>
        </w:tc>
        <w:tc>
          <w:tcPr>
            <w:tcW w:w="1287" w:type="dxa"/>
            <w:tcBorders>
              <w:left w:val="none" w:sz="0" w:space="0" w:color="auto"/>
            </w:tcBorders>
            <w:shd w:val="clear" w:color="auto" w:fill="B8CCE4" w:themeFill="accent1" w:themeFillTint="66"/>
            <w:noWrap/>
            <w:vAlign w:val="center"/>
          </w:tcPr>
          <w:p w14:paraId="37FD9CBE"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10.9 </w:t>
            </w:r>
          </w:p>
        </w:tc>
      </w:tr>
      <w:tr w:rsidR="003310B6" w:rsidRPr="00F76AE2" w14:paraId="6E72D9AD"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30916281"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 xml:space="preserve">Եվրասիական Զարգացման Բանկ </w:t>
            </w:r>
          </w:p>
        </w:tc>
        <w:tc>
          <w:tcPr>
            <w:tcW w:w="1620" w:type="dxa"/>
            <w:shd w:val="clear" w:color="auto" w:fill="DBE5F1" w:themeFill="accent1" w:themeFillTint="33"/>
            <w:noWrap/>
            <w:vAlign w:val="center"/>
          </w:tcPr>
          <w:p w14:paraId="547CB200" w14:textId="5D66459D"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Pr>
                <w:b w:val="0"/>
                <w:szCs w:val="22"/>
              </w:rPr>
              <w:t xml:space="preserve">       </w:t>
            </w:r>
            <w:r w:rsidRPr="00F76AE2">
              <w:rPr>
                <w:b w:val="0"/>
                <w:szCs w:val="22"/>
              </w:rPr>
              <w:t xml:space="preserve">7.3 </w:t>
            </w:r>
          </w:p>
        </w:tc>
        <w:tc>
          <w:tcPr>
            <w:tcW w:w="1318" w:type="dxa"/>
            <w:shd w:val="clear" w:color="auto" w:fill="DBE5F1" w:themeFill="accent1" w:themeFillTint="33"/>
            <w:noWrap/>
            <w:vAlign w:val="center"/>
          </w:tcPr>
          <w:p w14:paraId="4EC57A3F"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0.7 </w:t>
            </w:r>
          </w:p>
        </w:tc>
        <w:tc>
          <w:tcPr>
            <w:tcW w:w="1287" w:type="dxa"/>
            <w:shd w:val="clear" w:color="auto" w:fill="DBE5F1" w:themeFill="accent1" w:themeFillTint="33"/>
            <w:noWrap/>
            <w:vAlign w:val="center"/>
          </w:tcPr>
          <w:p w14:paraId="08EFB156"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8.0 </w:t>
            </w:r>
          </w:p>
        </w:tc>
      </w:tr>
      <w:tr w:rsidR="003310B6" w:rsidRPr="00F76AE2" w14:paraId="167CE0E3"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4715ACD8"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Գերմանիա (ՎՎԲ)</w:t>
            </w:r>
          </w:p>
        </w:tc>
        <w:tc>
          <w:tcPr>
            <w:tcW w:w="1620" w:type="dxa"/>
            <w:tcBorders>
              <w:left w:val="none" w:sz="0" w:space="0" w:color="auto"/>
              <w:right w:val="none" w:sz="0" w:space="0" w:color="auto"/>
            </w:tcBorders>
            <w:shd w:val="clear" w:color="auto" w:fill="B8CCE4" w:themeFill="accent1" w:themeFillTint="66"/>
            <w:noWrap/>
            <w:vAlign w:val="center"/>
          </w:tcPr>
          <w:p w14:paraId="2594C2FF" w14:textId="6C5722A1"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Pr>
                <w:b w:val="0"/>
                <w:szCs w:val="22"/>
              </w:rPr>
              <w:t xml:space="preserve">       </w:t>
            </w:r>
            <w:r w:rsidRPr="00F76AE2">
              <w:rPr>
                <w:b w:val="0"/>
                <w:szCs w:val="22"/>
              </w:rPr>
              <w:t xml:space="preserve">6.4 </w:t>
            </w:r>
          </w:p>
        </w:tc>
        <w:tc>
          <w:tcPr>
            <w:tcW w:w="1318" w:type="dxa"/>
            <w:tcBorders>
              <w:left w:val="none" w:sz="0" w:space="0" w:color="auto"/>
              <w:right w:val="none" w:sz="0" w:space="0" w:color="auto"/>
            </w:tcBorders>
            <w:shd w:val="clear" w:color="auto" w:fill="B8CCE4" w:themeFill="accent1" w:themeFillTint="66"/>
            <w:noWrap/>
            <w:vAlign w:val="center"/>
          </w:tcPr>
          <w:p w14:paraId="57097306"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27.1 </w:t>
            </w:r>
          </w:p>
        </w:tc>
        <w:tc>
          <w:tcPr>
            <w:tcW w:w="1287" w:type="dxa"/>
            <w:tcBorders>
              <w:left w:val="none" w:sz="0" w:space="0" w:color="auto"/>
            </w:tcBorders>
            <w:shd w:val="clear" w:color="auto" w:fill="B8CCE4" w:themeFill="accent1" w:themeFillTint="66"/>
            <w:noWrap/>
            <w:vAlign w:val="center"/>
          </w:tcPr>
          <w:p w14:paraId="208E8479"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33.5 </w:t>
            </w:r>
          </w:p>
        </w:tc>
      </w:tr>
      <w:tr w:rsidR="003310B6" w:rsidRPr="00F76AE2" w14:paraId="7049C27B"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4FCC3084"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Ռուսաստանի Դաշնություն</w:t>
            </w:r>
          </w:p>
        </w:tc>
        <w:tc>
          <w:tcPr>
            <w:tcW w:w="1620" w:type="dxa"/>
            <w:shd w:val="clear" w:color="auto" w:fill="DBE5F1" w:themeFill="accent1" w:themeFillTint="33"/>
            <w:noWrap/>
            <w:vAlign w:val="center"/>
          </w:tcPr>
          <w:p w14:paraId="676E1FCD"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      10.8 </w:t>
            </w:r>
          </w:p>
        </w:tc>
        <w:tc>
          <w:tcPr>
            <w:tcW w:w="1318" w:type="dxa"/>
            <w:shd w:val="clear" w:color="auto" w:fill="DBE5F1" w:themeFill="accent1" w:themeFillTint="33"/>
            <w:noWrap/>
            <w:vAlign w:val="center"/>
          </w:tcPr>
          <w:p w14:paraId="06C6F23D"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38.6 </w:t>
            </w:r>
          </w:p>
        </w:tc>
        <w:tc>
          <w:tcPr>
            <w:tcW w:w="1287" w:type="dxa"/>
            <w:shd w:val="clear" w:color="auto" w:fill="DBE5F1" w:themeFill="accent1" w:themeFillTint="33"/>
            <w:noWrap/>
            <w:vAlign w:val="center"/>
          </w:tcPr>
          <w:p w14:paraId="1947BDD1"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49.4 </w:t>
            </w:r>
          </w:p>
        </w:tc>
      </w:tr>
      <w:tr w:rsidR="003310B6" w:rsidRPr="00F76AE2" w14:paraId="7054796E"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58B6D46E"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Ֆրանսիա</w:t>
            </w:r>
          </w:p>
        </w:tc>
        <w:tc>
          <w:tcPr>
            <w:tcW w:w="1620" w:type="dxa"/>
            <w:tcBorders>
              <w:left w:val="none" w:sz="0" w:space="0" w:color="auto"/>
              <w:right w:val="none" w:sz="0" w:space="0" w:color="auto"/>
            </w:tcBorders>
            <w:shd w:val="clear" w:color="auto" w:fill="B8CCE4" w:themeFill="accent1" w:themeFillTint="66"/>
            <w:noWrap/>
            <w:vAlign w:val="center"/>
          </w:tcPr>
          <w:p w14:paraId="79006197"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1.9 </w:t>
            </w:r>
          </w:p>
        </w:tc>
        <w:tc>
          <w:tcPr>
            <w:tcW w:w="1318" w:type="dxa"/>
            <w:tcBorders>
              <w:left w:val="none" w:sz="0" w:space="0" w:color="auto"/>
              <w:right w:val="none" w:sz="0" w:space="0" w:color="auto"/>
            </w:tcBorders>
            <w:shd w:val="clear" w:color="auto" w:fill="B8CCE4" w:themeFill="accent1" w:themeFillTint="66"/>
            <w:noWrap/>
            <w:vAlign w:val="center"/>
          </w:tcPr>
          <w:p w14:paraId="1EACD1B2"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7.0 </w:t>
            </w:r>
          </w:p>
        </w:tc>
        <w:tc>
          <w:tcPr>
            <w:tcW w:w="1287" w:type="dxa"/>
            <w:tcBorders>
              <w:left w:val="none" w:sz="0" w:space="0" w:color="auto"/>
            </w:tcBorders>
            <w:shd w:val="clear" w:color="auto" w:fill="B8CCE4" w:themeFill="accent1" w:themeFillTint="66"/>
            <w:noWrap/>
            <w:vAlign w:val="center"/>
          </w:tcPr>
          <w:p w14:paraId="66F56C9C"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8.9 </w:t>
            </w:r>
          </w:p>
        </w:tc>
      </w:tr>
      <w:tr w:rsidR="003310B6" w:rsidRPr="00F76AE2" w14:paraId="2BC6CBBA"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73C36C37"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ԱՄՆ</w:t>
            </w:r>
          </w:p>
        </w:tc>
        <w:tc>
          <w:tcPr>
            <w:tcW w:w="1620" w:type="dxa"/>
            <w:shd w:val="clear" w:color="auto" w:fill="DBE5F1" w:themeFill="accent1" w:themeFillTint="33"/>
            <w:noWrap/>
            <w:vAlign w:val="center"/>
          </w:tcPr>
          <w:p w14:paraId="2B1B728B" w14:textId="79481C25"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Pr>
                <w:b w:val="0"/>
                <w:szCs w:val="22"/>
              </w:rPr>
              <w:t xml:space="preserve">       </w:t>
            </w:r>
            <w:r w:rsidRPr="00F76AE2">
              <w:rPr>
                <w:b w:val="0"/>
                <w:szCs w:val="22"/>
              </w:rPr>
              <w:t xml:space="preserve">0.2 </w:t>
            </w:r>
          </w:p>
        </w:tc>
        <w:tc>
          <w:tcPr>
            <w:tcW w:w="1318" w:type="dxa"/>
            <w:shd w:val="clear" w:color="auto" w:fill="DBE5F1" w:themeFill="accent1" w:themeFillTint="33"/>
            <w:noWrap/>
            <w:vAlign w:val="center"/>
          </w:tcPr>
          <w:p w14:paraId="5705FC03"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1.8 </w:t>
            </w:r>
          </w:p>
        </w:tc>
        <w:tc>
          <w:tcPr>
            <w:tcW w:w="1287" w:type="dxa"/>
            <w:shd w:val="clear" w:color="auto" w:fill="DBE5F1" w:themeFill="accent1" w:themeFillTint="33"/>
            <w:noWrap/>
            <w:vAlign w:val="center"/>
          </w:tcPr>
          <w:p w14:paraId="1BA1DDCD"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2.0 </w:t>
            </w:r>
          </w:p>
        </w:tc>
      </w:tr>
      <w:tr w:rsidR="003310B6" w:rsidRPr="00F76AE2" w14:paraId="7ACD6186"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048278A3"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Ճապոնիա</w:t>
            </w:r>
          </w:p>
        </w:tc>
        <w:tc>
          <w:tcPr>
            <w:tcW w:w="1620" w:type="dxa"/>
            <w:tcBorders>
              <w:left w:val="none" w:sz="0" w:space="0" w:color="auto"/>
              <w:right w:val="none" w:sz="0" w:space="0" w:color="auto"/>
            </w:tcBorders>
            <w:shd w:val="clear" w:color="auto" w:fill="B8CCE4" w:themeFill="accent1" w:themeFillTint="66"/>
            <w:noWrap/>
            <w:vAlign w:val="center"/>
          </w:tcPr>
          <w:p w14:paraId="1C5AC56E"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1.8 </w:t>
            </w:r>
          </w:p>
        </w:tc>
        <w:tc>
          <w:tcPr>
            <w:tcW w:w="1318" w:type="dxa"/>
            <w:tcBorders>
              <w:left w:val="none" w:sz="0" w:space="0" w:color="auto"/>
              <w:right w:val="none" w:sz="0" w:space="0" w:color="auto"/>
            </w:tcBorders>
            <w:shd w:val="clear" w:color="auto" w:fill="B8CCE4" w:themeFill="accent1" w:themeFillTint="66"/>
            <w:noWrap/>
            <w:vAlign w:val="center"/>
          </w:tcPr>
          <w:p w14:paraId="6154D9FC"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10.6 </w:t>
            </w:r>
          </w:p>
        </w:tc>
        <w:tc>
          <w:tcPr>
            <w:tcW w:w="1287" w:type="dxa"/>
            <w:tcBorders>
              <w:left w:val="none" w:sz="0" w:space="0" w:color="auto"/>
            </w:tcBorders>
            <w:shd w:val="clear" w:color="auto" w:fill="B8CCE4" w:themeFill="accent1" w:themeFillTint="66"/>
            <w:noWrap/>
            <w:vAlign w:val="center"/>
          </w:tcPr>
          <w:p w14:paraId="0F3B8E43"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12.3 </w:t>
            </w:r>
          </w:p>
        </w:tc>
      </w:tr>
      <w:tr w:rsidR="003310B6" w:rsidRPr="00F76AE2" w14:paraId="24742D94"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342352EF"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Աբու-Դաբիի Զարգացման Հիմնադրամ</w:t>
            </w:r>
          </w:p>
        </w:tc>
        <w:tc>
          <w:tcPr>
            <w:tcW w:w="1620" w:type="dxa"/>
            <w:shd w:val="clear" w:color="auto" w:fill="DBE5F1" w:themeFill="accent1" w:themeFillTint="33"/>
            <w:noWrap/>
            <w:vAlign w:val="center"/>
          </w:tcPr>
          <w:p w14:paraId="4A315B0A"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        0.1 </w:t>
            </w:r>
          </w:p>
        </w:tc>
        <w:tc>
          <w:tcPr>
            <w:tcW w:w="1318" w:type="dxa"/>
            <w:shd w:val="clear" w:color="auto" w:fill="DBE5F1" w:themeFill="accent1" w:themeFillTint="33"/>
            <w:noWrap/>
            <w:vAlign w:val="center"/>
          </w:tcPr>
          <w:p w14:paraId="627E5BA8"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0.6 </w:t>
            </w:r>
          </w:p>
        </w:tc>
        <w:tc>
          <w:tcPr>
            <w:tcW w:w="1287" w:type="dxa"/>
            <w:shd w:val="clear" w:color="auto" w:fill="DBE5F1" w:themeFill="accent1" w:themeFillTint="33"/>
            <w:noWrap/>
            <w:vAlign w:val="center"/>
          </w:tcPr>
          <w:p w14:paraId="248F31BF"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0.8 </w:t>
            </w:r>
          </w:p>
        </w:tc>
      </w:tr>
      <w:tr w:rsidR="003310B6" w:rsidRPr="00F76AE2" w14:paraId="6A93947B"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18053B4B"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Չինաստանի Արտահանման-Ներմուծման Բանկ</w:t>
            </w:r>
          </w:p>
        </w:tc>
        <w:tc>
          <w:tcPr>
            <w:tcW w:w="1620" w:type="dxa"/>
            <w:tcBorders>
              <w:left w:val="none" w:sz="0" w:space="0" w:color="auto"/>
              <w:right w:val="none" w:sz="0" w:space="0" w:color="auto"/>
            </w:tcBorders>
            <w:shd w:val="clear" w:color="auto" w:fill="B8CCE4" w:themeFill="accent1" w:themeFillTint="66"/>
            <w:noWrap/>
            <w:vAlign w:val="center"/>
          </w:tcPr>
          <w:p w14:paraId="1BC06C63" w14:textId="50F0F774"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Pr>
                <w:b w:val="0"/>
                <w:szCs w:val="22"/>
              </w:rPr>
              <w:t xml:space="preserve">      </w:t>
            </w:r>
            <w:r w:rsidRPr="00F76AE2">
              <w:rPr>
                <w:b w:val="0"/>
                <w:szCs w:val="22"/>
              </w:rPr>
              <w:t xml:space="preserve">0.4 </w:t>
            </w:r>
          </w:p>
        </w:tc>
        <w:tc>
          <w:tcPr>
            <w:tcW w:w="1318" w:type="dxa"/>
            <w:tcBorders>
              <w:left w:val="none" w:sz="0" w:space="0" w:color="auto"/>
              <w:right w:val="none" w:sz="0" w:space="0" w:color="auto"/>
            </w:tcBorders>
            <w:shd w:val="clear" w:color="auto" w:fill="B8CCE4" w:themeFill="accent1" w:themeFillTint="66"/>
            <w:noWrap/>
            <w:vAlign w:val="center"/>
          </w:tcPr>
          <w:p w14:paraId="400AD806"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1.7 </w:t>
            </w:r>
          </w:p>
        </w:tc>
        <w:tc>
          <w:tcPr>
            <w:tcW w:w="1287" w:type="dxa"/>
            <w:tcBorders>
              <w:left w:val="none" w:sz="0" w:space="0" w:color="auto"/>
            </w:tcBorders>
            <w:shd w:val="clear" w:color="auto" w:fill="B8CCE4" w:themeFill="accent1" w:themeFillTint="66"/>
            <w:noWrap/>
            <w:vAlign w:val="center"/>
          </w:tcPr>
          <w:p w14:paraId="7B0E31A6"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2.1 </w:t>
            </w:r>
          </w:p>
        </w:tc>
      </w:tr>
      <w:tr w:rsidR="003310B6" w:rsidRPr="00F76AE2" w14:paraId="7D109AF8"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3AB4112B"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ԿԲՍ Բանկ (Բելգիա)</w:t>
            </w:r>
          </w:p>
        </w:tc>
        <w:tc>
          <w:tcPr>
            <w:tcW w:w="1620" w:type="dxa"/>
            <w:shd w:val="clear" w:color="auto" w:fill="DBE5F1" w:themeFill="accent1" w:themeFillTint="33"/>
            <w:noWrap/>
            <w:vAlign w:val="center"/>
          </w:tcPr>
          <w:p w14:paraId="29037A56" w14:textId="5912F4BE"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Pr>
                <w:b w:val="0"/>
                <w:szCs w:val="22"/>
              </w:rPr>
              <w:t xml:space="preserve">       </w:t>
            </w:r>
            <w:r w:rsidRPr="00F76AE2">
              <w:rPr>
                <w:b w:val="0"/>
                <w:szCs w:val="22"/>
              </w:rPr>
              <w:t xml:space="preserve">0.0 </w:t>
            </w:r>
          </w:p>
        </w:tc>
        <w:tc>
          <w:tcPr>
            <w:tcW w:w="1318" w:type="dxa"/>
            <w:shd w:val="clear" w:color="auto" w:fill="DBE5F1" w:themeFill="accent1" w:themeFillTint="33"/>
            <w:noWrap/>
            <w:vAlign w:val="center"/>
          </w:tcPr>
          <w:p w14:paraId="0578F54F"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0.6 </w:t>
            </w:r>
          </w:p>
        </w:tc>
        <w:tc>
          <w:tcPr>
            <w:tcW w:w="1287" w:type="dxa"/>
            <w:shd w:val="clear" w:color="auto" w:fill="DBE5F1" w:themeFill="accent1" w:themeFillTint="33"/>
            <w:noWrap/>
            <w:vAlign w:val="center"/>
          </w:tcPr>
          <w:p w14:paraId="0C6796CB"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0.6 </w:t>
            </w:r>
          </w:p>
        </w:tc>
      </w:tr>
      <w:tr w:rsidR="003310B6" w:rsidRPr="00F76AE2" w14:paraId="34AD53CC"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01162943"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Ռայֆայզն Բանկ (Ավստրիա)</w:t>
            </w:r>
          </w:p>
        </w:tc>
        <w:tc>
          <w:tcPr>
            <w:tcW w:w="1620" w:type="dxa"/>
            <w:tcBorders>
              <w:left w:val="none" w:sz="0" w:space="0" w:color="auto"/>
              <w:right w:val="none" w:sz="0" w:space="0" w:color="auto"/>
            </w:tcBorders>
            <w:shd w:val="clear" w:color="auto" w:fill="B8CCE4" w:themeFill="accent1" w:themeFillTint="66"/>
            <w:noWrap/>
            <w:vAlign w:val="center"/>
          </w:tcPr>
          <w:p w14:paraId="4A39AAE8"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0.1 </w:t>
            </w:r>
          </w:p>
        </w:tc>
        <w:tc>
          <w:tcPr>
            <w:tcW w:w="1318" w:type="dxa"/>
            <w:tcBorders>
              <w:left w:val="none" w:sz="0" w:space="0" w:color="auto"/>
              <w:right w:val="none" w:sz="0" w:space="0" w:color="auto"/>
            </w:tcBorders>
            <w:shd w:val="clear" w:color="auto" w:fill="B8CCE4" w:themeFill="accent1" w:themeFillTint="66"/>
            <w:noWrap/>
            <w:vAlign w:val="center"/>
          </w:tcPr>
          <w:p w14:paraId="215E6FA2"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1.0 </w:t>
            </w:r>
          </w:p>
        </w:tc>
        <w:tc>
          <w:tcPr>
            <w:tcW w:w="1287" w:type="dxa"/>
            <w:tcBorders>
              <w:left w:val="none" w:sz="0" w:space="0" w:color="auto"/>
            </w:tcBorders>
            <w:shd w:val="clear" w:color="auto" w:fill="B8CCE4" w:themeFill="accent1" w:themeFillTint="66"/>
            <w:noWrap/>
            <w:vAlign w:val="center"/>
          </w:tcPr>
          <w:p w14:paraId="3EED67A1"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1.1 </w:t>
            </w:r>
          </w:p>
        </w:tc>
      </w:tr>
      <w:tr w:rsidR="003310B6" w:rsidRPr="00F76AE2" w14:paraId="6C31B58D"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78747772" w14:textId="77777777" w:rsidR="003310B6" w:rsidRPr="00F76AE2" w:rsidRDefault="003310B6" w:rsidP="00603B06">
            <w:pPr>
              <w:spacing w:before="0" w:line="276" w:lineRule="auto"/>
              <w:ind w:firstLine="0"/>
              <w:contextualSpacing w:val="0"/>
              <w:jc w:val="left"/>
              <w:rPr>
                <w:szCs w:val="22"/>
                <w:lang w:val="en-US" w:eastAsia="en-US"/>
              </w:rPr>
            </w:pPr>
            <w:r w:rsidRPr="00F76AE2">
              <w:rPr>
                <w:szCs w:val="22"/>
                <w:lang w:val="en-US" w:eastAsia="en-US"/>
              </w:rPr>
              <w:t>Էռստե Բանկ (Ավստրիա)</w:t>
            </w:r>
          </w:p>
        </w:tc>
        <w:tc>
          <w:tcPr>
            <w:tcW w:w="1620" w:type="dxa"/>
            <w:shd w:val="clear" w:color="auto" w:fill="DBE5F1" w:themeFill="accent1" w:themeFillTint="33"/>
            <w:noWrap/>
            <w:vAlign w:val="center"/>
          </w:tcPr>
          <w:p w14:paraId="2717556A"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        0.1 </w:t>
            </w:r>
          </w:p>
        </w:tc>
        <w:tc>
          <w:tcPr>
            <w:tcW w:w="1318" w:type="dxa"/>
            <w:shd w:val="clear" w:color="auto" w:fill="DBE5F1" w:themeFill="accent1" w:themeFillTint="33"/>
            <w:noWrap/>
            <w:vAlign w:val="center"/>
          </w:tcPr>
          <w:p w14:paraId="453486DE"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0.8 </w:t>
            </w:r>
          </w:p>
        </w:tc>
        <w:tc>
          <w:tcPr>
            <w:tcW w:w="1287" w:type="dxa"/>
            <w:shd w:val="clear" w:color="auto" w:fill="DBE5F1" w:themeFill="accent1" w:themeFillTint="33"/>
            <w:noWrap/>
            <w:vAlign w:val="center"/>
          </w:tcPr>
          <w:p w14:paraId="0B26D7CE" w14:textId="77777777" w:rsidR="003310B6" w:rsidRPr="00F76AE2" w:rsidRDefault="003310B6" w:rsidP="00603B06">
            <w:pPr>
              <w:spacing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F76AE2">
              <w:rPr>
                <w:b w:val="0"/>
                <w:szCs w:val="22"/>
              </w:rPr>
              <w:t xml:space="preserve">0.9 </w:t>
            </w:r>
          </w:p>
        </w:tc>
      </w:tr>
      <w:tr w:rsidR="003310B6" w:rsidRPr="00F76AE2" w14:paraId="3AF0E7C7" w14:textId="77777777" w:rsidTr="003310B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tcPr>
          <w:p w14:paraId="4A0ED982" w14:textId="77777777" w:rsidR="003310B6" w:rsidRPr="00F76AE2" w:rsidRDefault="003310B6" w:rsidP="00603B06">
            <w:pPr>
              <w:spacing w:before="0" w:line="276" w:lineRule="auto"/>
              <w:ind w:firstLine="0"/>
              <w:contextualSpacing w:val="0"/>
              <w:jc w:val="left"/>
              <w:rPr>
                <w:szCs w:val="22"/>
                <w:lang w:val="hy-AM" w:eastAsia="en-US"/>
              </w:rPr>
            </w:pPr>
            <w:r w:rsidRPr="00F76AE2">
              <w:rPr>
                <w:szCs w:val="22"/>
                <w:lang w:val="hy-AM" w:eastAsia="en-US"/>
              </w:rPr>
              <w:t>Ենթակա է հստակեցման</w:t>
            </w:r>
          </w:p>
        </w:tc>
        <w:tc>
          <w:tcPr>
            <w:tcW w:w="1620" w:type="dxa"/>
            <w:tcBorders>
              <w:left w:val="none" w:sz="0" w:space="0" w:color="auto"/>
              <w:right w:val="none" w:sz="0" w:space="0" w:color="auto"/>
            </w:tcBorders>
            <w:shd w:val="clear" w:color="auto" w:fill="B8CCE4" w:themeFill="accent1" w:themeFillTint="66"/>
            <w:noWrap/>
            <w:vAlign w:val="center"/>
          </w:tcPr>
          <w:p w14:paraId="36BB30A9"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0.1 </w:t>
            </w:r>
          </w:p>
        </w:tc>
        <w:tc>
          <w:tcPr>
            <w:tcW w:w="1318" w:type="dxa"/>
            <w:tcBorders>
              <w:left w:val="none" w:sz="0" w:space="0" w:color="auto"/>
              <w:right w:val="none" w:sz="0" w:space="0" w:color="auto"/>
            </w:tcBorders>
            <w:shd w:val="clear" w:color="auto" w:fill="B8CCE4" w:themeFill="accent1" w:themeFillTint="66"/>
            <w:noWrap/>
            <w:vAlign w:val="center"/>
          </w:tcPr>
          <w:p w14:paraId="46469478"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   </w:t>
            </w:r>
          </w:p>
        </w:tc>
        <w:tc>
          <w:tcPr>
            <w:tcW w:w="1287" w:type="dxa"/>
            <w:tcBorders>
              <w:left w:val="none" w:sz="0" w:space="0" w:color="auto"/>
            </w:tcBorders>
            <w:shd w:val="clear" w:color="auto" w:fill="B8CCE4" w:themeFill="accent1" w:themeFillTint="66"/>
            <w:noWrap/>
            <w:vAlign w:val="center"/>
          </w:tcPr>
          <w:p w14:paraId="1CBA879A" w14:textId="77777777" w:rsidR="003310B6" w:rsidRPr="00F76AE2" w:rsidRDefault="003310B6" w:rsidP="00603B06">
            <w:pPr>
              <w:spacing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F76AE2">
              <w:rPr>
                <w:b w:val="0"/>
                <w:szCs w:val="22"/>
              </w:rPr>
              <w:t xml:space="preserve">0.1 </w:t>
            </w:r>
          </w:p>
        </w:tc>
      </w:tr>
      <w:tr w:rsidR="003310B6" w:rsidRPr="00F76AE2" w14:paraId="54168F53" w14:textId="77777777" w:rsidTr="003310B6">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none" w:sz="0" w:space="0" w:color="auto"/>
              <w:left w:val="none" w:sz="0" w:space="0" w:color="auto"/>
              <w:bottom w:val="none" w:sz="0" w:space="0" w:color="auto"/>
              <w:right w:val="none" w:sz="0" w:space="0" w:color="auto"/>
            </w:tcBorders>
            <w:hideMark/>
          </w:tcPr>
          <w:p w14:paraId="46F8860C" w14:textId="77777777" w:rsidR="003310B6" w:rsidRPr="00F76AE2" w:rsidRDefault="003310B6" w:rsidP="00603B06">
            <w:pPr>
              <w:spacing w:before="0" w:line="276" w:lineRule="auto"/>
              <w:ind w:firstLine="0"/>
              <w:contextualSpacing w:val="0"/>
              <w:jc w:val="center"/>
              <w:rPr>
                <w:b/>
                <w:szCs w:val="22"/>
                <w:lang w:val="en-US" w:eastAsia="en-US"/>
              </w:rPr>
            </w:pPr>
            <w:r w:rsidRPr="00F76AE2">
              <w:rPr>
                <w:b/>
                <w:szCs w:val="22"/>
                <w:lang w:val="en-US" w:eastAsia="en-US"/>
              </w:rPr>
              <w:t>Ընդամենը</w:t>
            </w:r>
          </w:p>
        </w:tc>
        <w:tc>
          <w:tcPr>
            <w:tcW w:w="1620" w:type="dxa"/>
            <w:shd w:val="clear" w:color="auto" w:fill="DBE5F1" w:themeFill="accent1" w:themeFillTint="33"/>
            <w:noWrap/>
            <w:vAlign w:val="center"/>
          </w:tcPr>
          <w:p w14:paraId="473B6282" w14:textId="77777777" w:rsidR="003310B6" w:rsidRPr="00F76AE2" w:rsidRDefault="003310B6" w:rsidP="00603B06">
            <w:pPr>
              <w:spacing w:line="276" w:lineRule="auto"/>
              <w:cnfStyle w:val="000000000000" w:firstRow="0" w:lastRow="0" w:firstColumn="0" w:lastColumn="0" w:oddVBand="0" w:evenVBand="0" w:oddHBand="0" w:evenHBand="0" w:firstRowFirstColumn="0" w:firstRowLastColumn="0" w:lastRowFirstColumn="0" w:lastRowLastColumn="0"/>
              <w:rPr>
                <w:bCs/>
                <w:szCs w:val="22"/>
              </w:rPr>
            </w:pPr>
            <w:r w:rsidRPr="00F76AE2">
              <w:rPr>
                <w:bCs/>
                <w:szCs w:val="22"/>
              </w:rPr>
              <w:t>86.3</w:t>
            </w:r>
          </w:p>
        </w:tc>
        <w:tc>
          <w:tcPr>
            <w:tcW w:w="1318" w:type="dxa"/>
            <w:shd w:val="clear" w:color="auto" w:fill="DBE5F1" w:themeFill="accent1" w:themeFillTint="33"/>
            <w:noWrap/>
            <w:vAlign w:val="center"/>
          </w:tcPr>
          <w:p w14:paraId="4C3F017F" w14:textId="77777777" w:rsidR="003310B6" w:rsidRPr="00F76AE2" w:rsidRDefault="003310B6" w:rsidP="00603B0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Cs/>
                <w:szCs w:val="22"/>
              </w:rPr>
            </w:pPr>
            <w:r w:rsidRPr="00F76AE2">
              <w:rPr>
                <w:bCs/>
                <w:szCs w:val="22"/>
              </w:rPr>
              <w:t>256.8</w:t>
            </w:r>
          </w:p>
        </w:tc>
        <w:tc>
          <w:tcPr>
            <w:tcW w:w="1287" w:type="dxa"/>
            <w:shd w:val="clear" w:color="auto" w:fill="DBE5F1" w:themeFill="accent1" w:themeFillTint="33"/>
            <w:noWrap/>
            <w:vAlign w:val="center"/>
          </w:tcPr>
          <w:p w14:paraId="28295109" w14:textId="77777777" w:rsidR="003310B6" w:rsidRPr="00F76AE2" w:rsidRDefault="003310B6" w:rsidP="00603B06">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Cs/>
                <w:szCs w:val="22"/>
              </w:rPr>
            </w:pPr>
            <w:r w:rsidRPr="00F76AE2">
              <w:rPr>
                <w:bCs/>
                <w:szCs w:val="22"/>
              </w:rPr>
              <w:t>343.1</w:t>
            </w:r>
          </w:p>
        </w:tc>
      </w:tr>
    </w:tbl>
    <w:p w14:paraId="008540D1" w14:textId="77777777" w:rsidR="003310B6" w:rsidRPr="00F76AE2" w:rsidRDefault="003310B6" w:rsidP="003310B6">
      <w:pPr>
        <w:spacing w:before="0" w:after="120" w:line="276" w:lineRule="auto"/>
        <w:ind w:firstLine="0"/>
        <w:contextualSpacing w:val="0"/>
        <w:rPr>
          <w:rFonts w:eastAsiaTheme="minorHAnsi" w:cstheme="minorBidi"/>
          <w:b w:val="0"/>
          <w:bCs/>
          <w:szCs w:val="22"/>
          <w:lang w:val="en-US" w:eastAsia="en-US"/>
        </w:rPr>
      </w:pPr>
    </w:p>
    <w:p w14:paraId="1314475A" w14:textId="77777777" w:rsidR="003310B6" w:rsidRPr="00F76AE2" w:rsidRDefault="003310B6" w:rsidP="003310B6">
      <w:pPr>
        <w:shd w:val="clear" w:color="auto" w:fill="FFFFFF"/>
        <w:spacing w:before="0" w:after="200" w:line="276" w:lineRule="auto"/>
        <w:ind w:firstLine="720"/>
        <w:contextualSpacing w:val="0"/>
        <w:rPr>
          <w:rFonts w:eastAsiaTheme="minorHAnsi" w:cstheme="minorBidi"/>
          <w:b w:val="0"/>
          <w:szCs w:val="22"/>
          <w:lang w:val="en-US" w:eastAsia="en-US"/>
        </w:rPr>
      </w:pPr>
      <w:r w:rsidRPr="00F76AE2">
        <w:rPr>
          <w:rFonts w:eastAsiaTheme="minorHAnsi" w:cstheme="minorBidi"/>
          <w:b w:val="0"/>
          <w:szCs w:val="22"/>
          <w:lang w:val="en-US" w:eastAsia="en-US"/>
        </w:rPr>
        <w:t>Արտարժութային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պետական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պարտատոմսերի</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սպասարկման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ծախսերը</w:t>
      </w:r>
      <w:r w:rsidRPr="00F76AE2">
        <w:rPr>
          <w:rFonts w:eastAsiaTheme="minorHAnsi" w:cstheme="minorBidi"/>
          <w:b w:val="0"/>
          <w:szCs w:val="22"/>
          <w:lang w:val="af-ZA" w:eastAsia="en-US"/>
        </w:rPr>
        <w:t xml:space="preserve"> 202</w:t>
      </w:r>
      <w:r w:rsidRPr="00F76AE2">
        <w:rPr>
          <w:rFonts w:eastAsiaTheme="minorHAnsi" w:cstheme="minorBidi"/>
          <w:b w:val="0"/>
          <w:szCs w:val="22"/>
          <w:lang w:val="hy-AM" w:eastAsia="en-US"/>
        </w:rPr>
        <w:t>2</w:t>
      </w:r>
      <w:r w:rsidRPr="00F76AE2">
        <w:rPr>
          <w:rFonts w:eastAsiaTheme="minorHAnsi" w:cstheme="minorBidi"/>
          <w:b w:val="0"/>
          <w:szCs w:val="22"/>
          <w:lang w:val="en-US" w:eastAsia="en-US"/>
        </w:rPr>
        <w:t xml:space="preserve"> թվականին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կկազմեն</w:t>
      </w:r>
      <w:r w:rsidRPr="00F76AE2">
        <w:rPr>
          <w:rFonts w:eastAsiaTheme="minorHAnsi" w:cstheme="minorBidi"/>
          <w:b w:val="0"/>
          <w:szCs w:val="22"/>
          <w:lang w:val="af-ZA" w:eastAsia="en-US"/>
        </w:rPr>
        <w:t xml:space="preserve"> </w:t>
      </w:r>
      <w:r w:rsidRPr="00F76AE2">
        <w:rPr>
          <w:rFonts w:eastAsiaTheme="minorHAnsi" w:cstheme="minorBidi"/>
          <w:b w:val="0"/>
          <w:szCs w:val="22"/>
          <w:lang w:val="hy-AM" w:eastAsia="en-US"/>
        </w:rPr>
        <w:t>85.8</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մլն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ԱՄՆ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դոլար` շրջանառության</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մեջ</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գտնվող</w:t>
      </w:r>
      <w:r w:rsidRPr="00F76AE2">
        <w:rPr>
          <w:rFonts w:eastAsiaTheme="minorHAnsi" w:cstheme="minorBidi"/>
          <w:b w:val="0"/>
          <w:szCs w:val="22"/>
          <w:lang w:val="af-ZA" w:eastAsia="en-US"/>
        </w:rPr>
        <w:t xml:space="preserve"> </w:t>
      </w:r>
      <w:r w:rsidRPr="00F76AE2">
        <w:rPr>
          <w:rFonts w:eastAsiaTheme="minorHAnsi" w:cstheme="minorBidi"/>
          <w:b w:val="0"/>
          <w:szCs w:val="22"/>
          <w:lang w:val="en-US" w:eastAsia="en-US"/>
        </w:rPr>
        <w:t>պարտատոմսերի</w:t>
      </w:r>
      <w:r w:rsidRPr="00F76AE2">
        <w:rPr>
          <w:rFonts w:eastAsiaTheme="minorHAnsi" w:cstheme="minorBidi"/>
          <w:b w:val="0"/>
          <w:szCs w:val="22"/>
          <w:lang w:val="af-ZA" w:eastAsia="en-US"/>
        </w:rPr>
        <w:t xml:space="preserve"> գծով արժեկտրոնային վճարումներ</w:t>
      </w:r>
      <w:r w:rsidRPr="00F76AE2">
        <w:rPr>
          <w:rFonts w:eastAsiaTheme="minorHAnsi" w:cstheme="minorBidi"/>
          <w:b w:val="0"/>
          <w:szCs w:val="22"/>
          <w:lang w:val="en-US" w:eastAsia="en-US"/>
        </w:rPr>
        <w:t>ի համար:</w:t>
      </w:r>
    </w:p>
    <w:p w14:paraId="3E962BD9" w14:textId="2C906FDF" w:rsidR="003310B6" w:rsidRDefault="003310B6" w:rsidP="007730AA">
      <w:pPr>
        <w:shd w:val="clear" w:color="auto" w:fill="FFFFFF"/>
        <w:spacing w:before="0" w:line="276" w:lineRule="auto"/>
        <w:ind w:firstLine="720"/>
        <w:contextualSpacing w:val="0"/>
        <w:rPr>
          <w:rFonts w:eastAsiaTheme="minorHAnsi" w:cs="Arial"/>
          <w:szCs w:val="22"/>
          <w:lang w:val="en-US" w:eastAsia="en-US"/>
        </w:rPr>
      </w:pPr>
    </w:p>
    <w:p w14:paraId="34C3237F" w14:textId="71AE5696" w:rsidR="003310B6" w:rsidRPr="003310B6" w:rsidRDefault="003310B6" w:rsidP="003310B6">
      <w:pPr>
        <w:spacing w:before="0" w:line="240" w:lineRule="auto"/>
        <w:ind w:firstLine="0"/>
        <w:contextualSpacing w:val="0"/>
        <w:jc w:val="left"/>
        <w:rPr>
          <w:rFonts w:eastAsiaTheme="minorHAnsi" w:cs="Arial"/>
          <w:szCs w:val="22"/>
          <w:lang w:val="en-US" w:eastAsia="en-US"/>
        </w:rPr>
      </w:pPr>
      <w:r>
        <w:rPr>
          <w:rFonts w:eastAsiaTheme="minorHAnsi" w:cs="Arial"/>
          <w:szCs w:val="22"/>
          <w:lang w:val="en-US" w:eastAsia="en-US"/>
        </w:rPr>
        <w:br w:type="page"/>
      </w:r>
    </w:p>
    <w:p w14:paraId="65E19F50" w14:textId="77777777" w:rsidR="00E14DDE" w:rsidRPr="00A83C94" w:rsidRDefault="00ED3452" w:rsidP="007730AA">
      <w:pPr>
        <w:keepNext/>
        <w:keepLines/>
        <w:spacing w:before="0" w:line="312" w:lineRule="auto"/>
        <w:ind w:firstLine="0"/>
        <w:jc w:val="left"/>
        <w:outlineLvl w:val="2"/>
        <w:rPr>
          <w:szCs w:val="22"/>
          <w:lang w:val="hy-AM" w:eastAsia="en-US"/>
        </w:rPr>
      </w:pPr>
      <w:bookmarkStart w:id="310" w:name="_Toc14687615"/>
      <w:bookmarkStart w:id="311" w:name="_Toc13837279"/>
      <w:bookmarkStart w:id="312" w:name="_Toc45838560"/>
      <w:bookmarkStart w:id="313" w:name="_Toc46154385"/>
      <w:bookmarkStart w:id="314" w:name="_Toc83996402"/>
      <w:bookmarkStart w:id="315" w:name="_Toc20654688"/>
      <w:r w:rsidRPr="00A83C94">
        <w:rPr>
          <w:szCs w:val="22"/>
          <w:lang w:val="en-US" w:eastAsia="en-US"/>
        </w:rPr>
        <w:t>2</w:t>
      </w:r>
      <w:r w:rsidR="00E14DDE" w:rsidRPr="00A83C94">
        <w:rPr>
          <w:szCs w:val="22"/>
          <w:lang w:val="hy-AM" w:eastAsia="en-US"/>
        </w:rPr>
        <w:t>. ՊԵՏԱԿԱՆ ԲՅՈՒՋԵԻ ՎՐԱ ՄԱԿՐՈՏՆՏԵՍԱԿԱՆ ԿԱՆԽԱՏԵՍՎԱԾ ՑՈՒՑԱՆԻՇՆԵՐԻՑ ՇԵՂՄԱՆ ՌԻՍԿԵՐԻ ԱԶԴԵՑՈՒԹՅԱՆ ՔԱՆԱԿԱԿԱՆ ԳՆԱՀԱՏՈՒՄ</w:t>
      </w:r>
      <w:bookmarkEnd w:id="310"/>
      <w:bookmarkEnd w:id="311"/>
      <w:bookmarkEnd w:id="312"/>
      <w:bookmarkEnd w:id="313"/>
      <w:bookmarkEnd w:id="314"/>
    </w:p>
    <w:p w14:paraId="1BA9A8D1" w14:textId="77777777" w:rsidR="00457531" w:rsidRPr="00A83C94" w:rsidRDefault="00457531" w:rsidP="007730AA">
      <w:pPr>
        <w:spacing w:before="0" w:line="276" w:lineRule="auto"/>
        <w:ind w:firstLine="0"/>
        <w:contextualSpacing w:val="0"/>
        <w:rPr>
          <w:sz w:val="24"/>
          <w:lang w:val="es-ES"/>
        </w:rPr>
      </w:pPr>
      <w:bookmarkStart w:id="316" w:name="_Toc14687616"/>
      <w:bookmarkStart w:id="317" w:name="_Toc13837280"/>
    </w:p>
    <w:p w14:paraId="56BE0ADA" w14:textId="7BDE6129" w:rsidR="00E14DDE" w:rsidRPr="00A83C94" w:rsidRDefault="00ED3452" w:rsidP="007730AA">
      <w:pPr>
        <w:spacing w:before="0" w:line="276" w:lineRule="auto"/>
        <w:ind w:firstLine="0"/>
        <w:contextualSpacing w:val="0"/>
        <w:rPr>
          <w:szCs w:val="22"/>
          <w:lang w:val="hy-AM"/>
        </w:rPr>
      </w:pPr>
      <w:r w:rsidRPr="00A83C94">
        <w:rPr>
          <w:szCs w:val="22"/>
          <w:lang w:val="es-ES"/>
        </w:rPr>
        <w:t>2</w:t>
      </w:r>
      <w:r w:rsidR="00E14DDE" w:rsidRPr="00A83C94">
        <w:rPr>
          <w:szCs w:val="22"/>
          <w:lang w:val="hy-AM"/>
        </w:rPr>
        <w:t>.1. 202</w:t>
      </w:r>
      <w:r w:rsidR="00CB6471" w:rsidRPr="00A83C94">
        <w:rPr>
          <w:szCs w:val="22"/>
          <w:lang w:val="hy-AM"/>
        </w:rPr>
        <w:t>2</w:t>
      </w:r>
      <w:r w:rsidR="00E14DDE" w:rsidRPr="00A83C94">
        <w:rPr>
          <w:szCs w:val="22"/>
          <w:lang w:val="hy-AM"/>
        </w:rPr>
        <w:t xml:space="preserve"> թվականին պետական բյուջեի հարկային եկամուտների վրա մակրոտնտեսական ցուցանիշների կանխատեսվածից շեղման ռիսկերի ազդեցության քանակական գնահատումը</w:t>
      </w:r>
    </w:p>
    <w:bookmarkEnd w:id="316"/>
    <w:bookmarkEnd w:id="317"/>
    <w:p w14:paraId="42058922"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կանխատեսումների ռիսկի և ենթադրություններից շեղումների ռիսկի վրա:</w:t>
      </w:r>
    </w:p>
    <w:p w14:paraId="696AC653" w14:textId="77777777" w:rsidR="008624F6" w:rsidRPr="00A83C94" w:rsidRDefault="008624F6" w:rsidP="008624F6">
      <w:pPr>
        <w:spacing w:before="0" w:line="276" w:lineRule="auto"/>
        <w:ind w:firstLine="720"/>
        <w:rPr>
          <w:rFonts w:cs="Sylfaen"/>
          <w:lang w:val="hy-AM"/>
        </w:rPr>
      </w:pPr>
      <w:r w:rsidRPr="00A83C94">
        <w:rPr>
          <w:rFonts w:cs="Sylfaen"/>
          <w:lang w:val="hy-AM"/>
        </w:rPr>
        <w:t>1. Կանխատեսումների ռիսկ</w:t>
      </w:r>
    </w:p>
    <w:p w14:paraId="40474A59" w14:textId="77777777" w:rsidR="008624F6" w:rsidRPr="00A83C94" w:rsidRDefault="008624F6" w:rsidP="008624F6">
      <w:pPr>
        <w:spacing w:before="0" w:line="276" w:lineRule="auto"/>
        <w:ind w:firstLine="720"/>
        <w:rPr>
          <w:rFonts w:eastAsia="Calibri" w:cs="Sylfaen"/>
          <w:b w:val="0"/>
          <w:lang w:val="hy-AM"/>
        </w:rPr>
      </w:pPr>
      <w:r w:rsidRPr="00A83C94">
        <w:rPr>
          <w:rFonts w:eastAsia="Calibri" w:cs="Sylfaen"/>
          <w:b w:val="0"/>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A83C94">
        <w:rPr>
          <w:rFonts w:eastAsia="Calibri" w:cs="Sylfaen"/>
          <w:b w:val="0"/>
          <w:vertAlign w:val="superscript"/>
          <w:lang w:val="hy-AM"/>
        </w:rPr>
        <w:footnoteReference w:id="27"/>
      </w:r>
      <w:r w:rsidRPr="00A83C94">
        <w:rPr>
          <w:rFonts w:eastAsia="Calibri" w:cs="Sylfaen"/>
          <w:b w:val="0"/>
          <w:lang w:val="hy-AM"/>
        </w:rPr>
        <w:t>, նոր երևույթներից (որի վերաբերյալ նախկինում տեղեկատվությունը բացակայել է) և այլն: Այս ռիսկերն ընդունված է անվանել կանխա</w:t>
      </w:r>
      <w:r w:rsidRPr="00A83C94">
        <w:rPr>
          <w:rFonts w:eastAsia="Calibri" w:cs="Sylfaen"/>
          <w:b w:val="0"/>
          <w:lang w:val="hy-AM"/>
        </w:rPr>
        <w:softHyphen/>
        <w:t>տես</w:t>
      </w:r>
      <w:r w:rsidRPr="00A83C94">
        <w:rPr>
          <w:rFonts w:eastAsia="Calibri" w:cs="Sylfaen"/>
          <w:b w:val="0"/>
          <w:lang w:val="hy-AM"/>
        </w:rPr>
        <w:softHyphen/>
        <w:t xml:space="preserve">ման ռիսկեր: </w:t>
      </w:r>
    </w:p>
    <w:p w14:paraId="09FC1D44" w14:textId="77777777" w:rsidR="008624F6" w:rsidRPr="00A83C94" w:rsidRDefault="008624F6" w:rsidP="008624F6">
      <w:pPr>
        <w:spacing w:before="0" w:line="276" w:lineRule="auto"/>
        <w:ind w:firstLine="720"/>
        <w:rPr>
          <w:rFonts w:eastAsia="Calibri" w:cs="Sylfaen"/>
          <w:b w:val="0"/>
          <w:lang w:val="hy-AM"/>
        </w:rPr>
      </w:pPr>
      <w:r w:rsidRPr="00A83C94">
        <w:rPr>
          <w:rFonts w:eastAsia="Calibri" w:cs="Sylfaen"/>
          <w:b w:val="0"/>
          <w:lang w:val="hy-AM"/>
        </w:rPr>
        <w:t>Հատկապես ներկա իրավիճակում՝ կորոնավիրուսի տարածման և տևողության անորոշությունների հետևանքով, տնտեսական աճի ռիսկերը գնահատվում են առավելապես դեպի ներքև, որը պայմանավորված է ճգնաժամից տնտեսության վերականգնման անորոշությունների՝ ավելի ուշ դուրս գալու ռիսկերով: Բացի այդ, մակրոտնտեսական կանխատեսումներում ներառված չեն ԱՄՀ կողմից համաշխարհային և գործընկեր երկրներ տնտեսական աճերի կանխատեսման դեպի ներքև վերանայումները, որոնք ևս մեծացնում են դեպի ներքև ռիսկերը:</w:t>
      </w:r>
    </w:p>
    <w:p w14:paraId="27FB6085" w14:textId="77777777" w:rsidR="008624F6" w:rsidRPr="00A83C94" w:rsidRDefault="008624F6" w:rsidP="008624F6">
      <w:pPr>
        <w:spacing w:before="0" w:line="259" w:lineRule="auto"/>
        <w:ind w:firstLine="720"/>
        <w:rPr>
          <w:rFonts w:eastAsia="Calibri" w:cs="Sylfaen"/>
          <w:b w:val="0"/>
          <w:lang w:val="hy-AM"/>
        </w:rPr>
      </w:pPr>
      <w:r w:rsidRPr="00A83C94">
        <w:rPr>
          <w:rFonts w:eastAsia="Calibri" w:cs="Sylfaen"/>
          <w:b w:val="0"/>
          <w:lang w:val="hy-AM"/>
        </w:rPr>
        <w:t>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w:t>
      </w:r>
      <w:r w:rsidRPr="00A83C94">
        <w:rPr>
          <w:rFonts w:eastAsia="Calibri" w:cs="Sylfaen"/>
          <w:b w:val="0"/>
          <w:lang w:val="hy-AM"/>
        </w:rPr>
        <w:softHyphen/>
        <w:t>խորդ տարիներին պետական բյուջեների հիմքում դրվող ՀՆԱ կանխա</w:t>
      </w:r>
      <w:r w:rsidRPr="00A83C94">
        <w:rPr>
          <w:rFonts w:eastAsia="Calibri" w:cs="Sylfaen"/>
          <w:b w:val="0"/>
          <w:lang w:val="hy-AM"/>
        </w:rPr>
        <w:softHyphen/>
        <w:t>տեսված ցուցա</w:t>
      </w:r>
      <w:r w:rsidRPr="00A83C94">
        <w:rPr>
          <w:rFonts w:eastAsia="Calibri" w:cs="Sylfaen"/>
          <w:b w:val="0"/>
          <w:lang w:val="hy-AM"/>
        </w:rPr>
        <w:softHyphen/>
        <w:t>նիշների և ՀՆԱ փաստացի ցուցանիշների միջև շեղման հիման վրա: Մասնավո</w:t>
      </w:r>
      <w:r w:rsidRPr="00A83C94">
        <w:rPr>
          <w:rFonts w:eastAsia="Calibri" w:cs="Sylfaen"/>
          <w:b w:val="0"/>
          <w:lang w:val="hy-AM"/>
        </w:rPr>
        <w:softHyphen/>
        <w:t>րապես, հետճգնաժամային 2010-2019 թվականների փաստացի ՀՆԱ իրական աճերը միջին հաշվով շեղվել են կանխատեսվածից 1.9 տոկոսային կետ: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1.9 տոկոսային կետով ավելի ցածր մակարդակի ձևավորումը:</w:t>
      </w:r>
    </w:p>
    <w:p w14:paraId="71B2853C"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ՀՆԱ-ի միջնաժամկետ կանխատեսումներից փաստացիի շեղումները նախաճգնաժամային 2003-2008 թվականների համար եղել են 7.1-ից 9.0-ը տոկոսային կետ, իսկ հետճգնաժամային 2010-2019 թվականների համար՝ 2.0-ից 2.6 տոկոսային կետ: Այս պարագայում, հաշվի առնելով կանխատեսվածից ցածր ՀՆԱ-ի ձևավորման վերոնկարագրյալ ռիսկերի գերակշռությունը, որպես ռիսկ է դիտարկվել ՀՆԱ-ի իրական աճի կանխատեսվածից 2.0 տոկոսային կետով ավելի ցածր ցուցանիշի ձևավորումը 2022 թվականին:</w:t>
      </w:r>
    </w:p>
    <w:p w14:paraId="68AE5477"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Արդյունքում, ՀՆԱ նվազման ռիսկի ազդեցությունը հարկային եկամուտների վրա 2022 թվականի համար գնահատվում է 11.9 մլրդ ՀՀ դրամ ֆինանսական պահանջի ավելացման ուղղությամբ:</w:t>
      </w:r>
    </w:p>
    <w:p w14:paraId="02EB5B3C" w14:textId="77777777" w:rsidR="008624F6" w:rsidRPr="00A83C94" w:rsidRDefault="008624F6" w:rsidP="008624F6">
      <w:pPr>
        <w:spacing w:before="0" w:line="276" w:lineRule="auto"/>
        <w:ind w:firstLine="720"/>
        <w:rPr>
          <w:rFonts w:cs="Sylfaen"/>
          <w:lang w:val="hy-AM"/>
        </w:rPr>
      </w:pPr>
      <w:r w:rsidRPr="00A83C94">
        <w:rPr>
          <w:rFonts w:cs="Sylfaen"/>
          <w:lang w:val="hy-AM"/>
        </w:rPr>
        <w:t>2. Ենթադրություններից շեղումների ռիսկ</w:t>
      </w:r>
    </w:p>
    <w:p w14:paraId="1A17C5E5"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ՄԺԾԾ հիմքում դրվող կանխատեսումները կառուցվում են որոշակի ենթադրու</w:t>
      </w:r>
      <w:r w:rsidRPr="00A83C94">
        <w:rPr>
          <w:rFonts w:cs="Sylfaen"/>
          <w:b w:val="0"/>
          <w:lang w:val="hy-AM"/>
        </w:rPr>
        <w:softHyphen/>
        <w:t>թյու</w:t>
      </w:r>
      <w:r w:rsidRPr="00A83C94">
        <w:rPr>
          <w:rFonts w:cs="Sylfaen"/>
          <w:b w:val="0"/>
          <w:lang w:val="hy-AM"/>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14:paraId="1D0FA568"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A83C94">
        <w:rPr>
          <w:rFonts w:cs="Sylfaen"/>
          <w:b w:val="0"/>
          <w:lang w:val="hy-AM"/>
        </w:rPr>
        <w:softHyphen/>
        <w:t>տուր</w:t>
      </w:r>
      <w:r w:rsidRPr="00A83C94">
        <w:rPr>
          <w:rFonts w:cs="Sylfaen"/>
          <w:b w:val="0"/>
          <w:lang w:val="hy-AM"/>
        </w:rPr>
        <w:softHyphen/>
        <w:t>քերի մասնաբաժինը կարող է փոփոխվել նոր պետությունների ԵԱՏՄ-ին անդամակ</w:t>
      </w:r>
      <w:r w:rsidRPr="00A83C94">
        <w:rPr>
          <w:rFonts w:cs="Sylfaen"/>
          <w:b w:val="0"/>
          <w:lang w:val="hy-AM"/>
        </w:rPr>
        <w:softHyphen/>
        <w:t xml:space="preserve">ցությունից: </w:t>
      </w:r>
    </w:p>
    <w:p w14:paraId="7C494EA2" w14:textId="77777777" w:rsidR="008624F6" w:rsidRPr="00A83C94" w:rsidRDefault="008624F6" w:rsidP="008624F6">
      <w:pPr>
        <w:spacing w:before="0" w:line="276" w:lineRule="auto"/>
        <w:ind w:firstLine="720"/>
        <w:rPr>
          <w:rFonts w:cs="Sylfaen"/>
          <w:lang w:val="hy-AM"/>
        </w:rPr>
      </w:pPr>
      <w:r w:rsidRPr="00A83C94">
        <w:rPr>
          <w:rFonts w:cs="Sylfaen"/>
          <w:lang w:val="hy-AM"/>
        </w:rPr>
        <w:t>2.1. Գնաճի շեղման հնարավոր չափը</w:t>
      </w:r>
    </w:p>
    <w:p w14:paraId="235AA479"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w:t>
      </w:r>
    </w:p>
    <w:p w14:paraId="6764871A"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 xml:space="preserve">ՀՀ ԿԲ-ի կողմից միջնաժամկետ հորիզոնում կանխատեսվում է գնաճի կայունացում նպատակային ցուցանիշի շուրջ: Կանխատեսված ցուցանիշից գնաճի շեղման ռիսկերը միջնաժամկետ հորիզոնում գնահատվում են հավասարակշռված` գնաճի կանխատեսվող արժեքից դեպի ներքև` 1.5 տոկոսային կետի չափով  և դեպի վերև շեղումը` 1.5 տոկոսային կետի չափով: </w:t>
      </w:r>
    </w:p>
    <w:p w14:paraId="169FE5C9"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14:paraId="0F3F14BB"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Արդյունքում, գների նվազման ռիսկի ազդեցությունը հարկային եկամուտների վրա 2022 թվականի համար գնահատվում է 3.4 մլրդ ՀՀ դրամ ֆինանսական պահանջի ավելացման ուղղությամբ:</w:t>
      </w:r>
    </w:p>
    <w:p w14:paraId="020B1311" w14:textId="77777777" w:rsidR="008624F6" w:rsidRPr="00A83C94" w:rsidRDefault="008624F6" w:rsidP="008624F6">
      <w:pPr>
        <w:spacing w:before="0" w:line="276" w:lineRule="auto"/>
        <w:ind w:firstLine="720"/>
        <w:rPr>
          <w:rFonts w:cs="Sylfaen"/>
          <w:lang w:val="hy-AM"/>
        </w:rPr>
      </w:pPr>
      <w:r w:rsidRPr="00A83C94">
        <w:rPr>
          <w:rFonts w:cs="Sylfaen"/>
          <w:lang w:val="hy-AM"/>
        </w:rPr>
        <w:t>2.2. Փոխարժեքի շեղման հնարավոր չափը</w:t>
      </w:r>
    </w:p>
    <w:p w14:paraId="7DE73170"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ՀՀ ԿԲ-ն և ՀՀ ՖՆ-ն փոխարժեքի կանխա</w:t>
      </w:r>
      <w:r w:rsidRPr="00A83C94">
        <w:rPr>
          <w:rFonts w:cs="Sylfaen"/>
          <w:b w:val="0"/>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A83C94">
        <w:rPr>
          <w:rFonts w:cs="Sylfaen"/>
          <w:b w:val="0"/>
          <w:lang w:val="hy-AM"/>
        </w:rPr>
        <w:softHyphen/>
        <w:t>նում</w:t>
      </w:r>
      <w:r w:rsidRPr="00A83C94">
        <w:rPr>
          <w:rFonts w:cs="Sylfaen"/>
          <w:b w:val="0"/>
          <w:lang w:val="hy-AM"/>
        </w:rPr>
        <w:softHyphen/>
        <w:t>ները կազդեն ներմուծումից ՀՀ պետական բյուջե մուտքագրվող հարկային եկամուտների վրա:</w:t>
      </w:r>
    </w:p>
    <w:p w14:paraId="296093B9"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Հաշվի առնելով այն հանգամանքը, որ պատմականորեն և՛ արժևորման, և՛ արժեզրկման ուղղությամբ փոխար</w:t>
      </w:r>
      <w:r w:rsidRPr="00A83C94">
        <w:rPr>
          <w:rFonts w:cs="Sylfaen"/>
          <w:b w:val="0"/>
          <w:lang w:val="hy-AM"/>
        </w:rPr>
        <w:softHyphen/>
        <w:t xml:space="preserve">ժեքի տատանումների բացարձակ շեղման միջին չափը կազմել է շուրջ 4.0 տոկոս` որպես ռիսկ է դիտարկվել ԱՄՆ դոլարի նկատմամբ ՀՀ դրամի առավելագույնը 4.0% արժեզրկումը: </w:t>
      </w:r>
    </w:p>
    <w:p w14:paraId="790FD853"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Արդյունքում, փոխարժեքի 4.0 տոկոսով արժեզրկման ռիսկի դրսևորման դեպքում, այլ հավասար պայմաններում, 2022 թվականին կարելի է ապահովել հարկային եկամուտների 12.2 մլրդ ՀՀ դրամ լրացուցիչ մուտք:</w:t>
      </w:r>
    </w:p>
    <w:p w14:paraId="6FEAEA3A" w14:textId="77777777" w:rsidR="008624F6" w:rsidRPr="00A83C94" w:rsidRDefault="008624F6" w:rsidP="008624F6">
      <w:pPr>
        <w:spacing w:before="0" w:line="276" w:lineRule="auto"/>
        <w:ind w:firstLine="720"/>
        <w:rPr>
          <w:rFonts w:cs="Sylfaen"/>
          <w:lang w:val="hy-AM"/>
        </w:rPr>
      </w:pPr>
      <w:r w:rsidRPr="00A83C94">
        <w:rPr>
          <w:rFonts w:cs="Sylfaen"/>
          <w:lang w:val="hy-AM"/>
        </w:rPr>
        <w:t>2.3. Ներմուծման գծով ռիսկի հնարավոր չափը</w:t>
      </w:r>
    </w:p>
    <w:p w14:paraId="22289980"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պետական բյուջեում ներմուծման գծով կանխատեսումների շեղման միջին բացարձակ չափը սահմանվում է 11.8%-ի միջակայքում, ինչն էլ հաշվի է առնվել այս գործոնի ազդեցությունը գնահատելու համար: 2022 թվականի համար ծրագրվածից 11.8% պակաս ներմուծման ռիսկի դրսևորման պայմաններում հարկային եկամուտների վրա ազդեցությունը գնահատվում է 21.9 մլրդ ՀՀ դրամ` ֆինանսական պահանջի ավելացման ուղղությամբ:</w:t>
      </w:r>
    </w:p>
    <w:p w14:paraId="0A9582AB"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Ամփոփելով վերը նկարագրված կանխատեսումների ռիսկի և ենթադրություններից շեղումների ռիսկի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14:paraId="24C29252" w14:textId="0CA56EE6" w:rsidR="008624F6" w:rsidRPr="008B1D49" w:rsidRDefault="003F382C" w:rsidP="003F382C">
      <w:pPr>
        <w:pStyle w:val="Caption"/>
        <w:rPr>
          <w:b/>
          <w:lang w:val="hy-AM"/>
        </w:rPr>
      </w:pPr>
      <w:bookmarkStart w:id="318" w:name="_Toc83928954"/>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17</w:t>
      </w:r>
      <w:r>
        <w:fldChar w:fldCharType="end"/>
      </w:r>
      <w:r w:rsidR="008624F6" w:rsidRPr="008B1D49">
        <w:rPr>
          <w:noProof/>
          <w:lang w:val="hy-AM"/>
        </w:rPr>
        <w:t>.</w:t>
      </w:r>
      <w:r w:rsidR="008624F6" w:rsidRPr="008B1D49">
        <w:rPr>
          <w:lang w:val="hy-AM"/>
        </w:rPr>
        <w:t xml:space="preserve"> </w:t>
      </w:r>
      <w:r w:rsidR="008624F6" w:rsidRPr="008B1D49">
        <w:rPr>
          <w:sz w:val="20"/>
          <w:szCs w:val="20"/>
          <w:lang w:val="hy-AM"/>
        </w:rPr>
        <w:t>Հարկային եկամուտների վրա մակրոտնտեսական կանխատեսումների և ենթադրությունների ռիսկերի ազդեցություն</w:t>
      </w:r>
      <w:r w:rsidR="008624F6" w:rsidRPr="00A83C94">
        <w:rPr>
          <w:sz w:val="20"/>
          <w:szCs w:val="20"/>
          <w:vertAlign w:val="superscript"/>
        </w:rPr>
        <w:footnoteReference w:id="28"/>
      </w:r>
      <w:bookmarkEnd w:id="318"/>
    </w:p>
    <w:tbl>
      <w:tblPr>
        <w:tblW w:w="7238" w:type="dxa"/>
        <w:tblInd w:w="1075" w:type="dxa"/>
        <w:tblLook w:val="04A0" w:firstRow="1" w:lastRow="0" w:firstColumn="1" w:lastColumn="0" w:noHBand="0" w:noVBand="1"/>
      </w:tblPr>
      <w:tblGrid>
        <w:gridCol w:w="5232"/>
        <w:gridCol w:w="2006"/>
      </w:tblGrid>
      <w:tr w:rsidR="008624F6" w:rsidRPr="00813A99" w14:paraId="3D7C445D" w14:textId="77777777" w:rsidTr="0088445B">
        <w:trPr>
          <w:trHeight w:val="675"/>
        </w:trPr>
        <w:tc>
          <w:tcPr>
            <w:tcW w:w="5232" w:type="dxa"/>
            <w:vMerge w:val="restart"/>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5774101B" w14:textId="77777777" w:rsidR="008624F6" w:rsidRPr="00A83C94" w:rsidRDefault="008624F6" w:rsidP="0088445B">
            <w:pPr>
              <w:spacing w:before="0" w:line="240" w:lineRule="auto"/>
              <w:ind w:firstLine="0"/>
              <w:jc w:val="center"/>
              <w:rPr>
                <w:rFonts w:cs="Calibri"/>
                <w:bCs/>
                <w:color w:val="FFFFFF"/>
                <w:lang w:val="hy-AM"/>
              </w:rPr>
            </w:pPr>
            <w:r w:rsidRPr="00A83C94">
              <w:rPr>
                <w:rFonts w:cs="Calibri"/>
                <w:bCs/>
                <w:color w:val="FFFFFF"/>
                <w:lang w:val="hy-AM"/>
              </w:rPr>
              <w:t>Ռիսկի տեսակը</w:t>
            </w:r>
          </w:p>
        </w:tc>
        <w:tc>
          <w:tcPr>
            <w:tcW w:w="2006" w:type="dxa"/>
            <w:vMerge w:val="restart"/>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1A9ABE1E" w14:textId="77777777" w:rsidR="008624F6" w:rsidRPr="00A83C94" w:rsidRDefault="008624F6" w:rsidP="0088445B">
            <w:pPr>
              <w:spacing w:before="0" w:line="240" w:lineRule="auto"/>
              <w:ind w:firstLine="0"/>
              <w:jc w:val="center"/>
              <w:rPr>
                <w:rFonts w:cs="Calibri"/>
                <w:bCs/>
                <w:color w:val="FFFFFF"/>
                <w:lang w:val="hy-AM"/>
              </w:rPr>
            </w:pPr>
            <w:r w:rsidRPr="00A83C94">
              <w:rPr>
                <w:rFonts w:cs="Calibri"/>
                <w:bCs/>
                <w:color w:val="FFFFFF"/>
                <w:lang w:val="hy-AM"/>
              </w:rPr>
              <w:t>Ազդեցության գնահատականը, մլրդ ՀՀ դրամ</w:t>
            </w:r>
          </w:p>
        </w:tc>
      </w:tr>
      <w:tr w:rsidR="008624F6" w:rsidRPr="00813A99" w14:paraId="1C7775EC" w14:textId="77777777" w:rsidTr="0088445B">
        <w:trPr>
          <w:trHeight w:val="486"/>
        </w:trPr>
        <w:tc>
          <w:tcPr>
            <w:tcW w:w="5232" w:type="dxa"/>
            <w:vMerge/>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635777DA" w14:textId="77777777" w:rsidR="008624F6" w:rsidRPr="00A83C94" w:rsidRDefault="008624F6" w:rsidP="0088445B">
            <w:pPr>
              <w:spacing w:before="0" w:line="240" w:lineRule="auto"/>
              <w:ind w:firstLine="0"/>
              <w:jc w:val="left"/>
              <w:rPr>
                <w:rFonts w:cs="Calibri"/>
                <w:bCs/>
                <w:color w:val="FFFFFF"/>
                <w:lang w:val="hy-AM"/>
              </w:rPr>
            </w:pPr>
          </w:p>
        </w:tc>
        <w:tc>
          <w:tcPr>
            <w:tcW w:w="2006" w:type="dxa"/>
            <w:vMerge/>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2D9DDEC2" w14:textId="77777777" w:rsidR="008624F6" w:rsidRPr="00A83C94" w:rsidRDefault="008624F6" w:rsidP="0088445B">
            <w:pPr>
              <w:spacing w:before="0" w:line="240" w:lineRule="auto"/>
              <w:ind w:firstLine="0"/>
              <w:jc w:val="left"/>
              <w:rPr>
                <w:rFonts w:cs="Calibri"/>
                <w:bCs/>
                <w:color w:val="FFFFFF"/>
                <w:lang w:val="hy-AM"/>
              </w:rPr>
            </w:pPr>
          </w:p>
        </w:tc>
      </w:tr>
      <w:tr w:rsidR="008624F6" w:rsidRPr="00A83C94" w14:paraId="519AA255" w14:textId="77777777" w:rsidTr="0088445B">
        <w:trPr>
          <w:trHeight w:val="330"/>
        </w:trPr>
        <w:tc>
          <w:tcPr>
            <w:tcW w:w="5232" w:type="dxa"/>
            <w:tcBorders>
              <w:top w:val="nil"/>
              <w:left w:val="single" w:sz="4" w:space="0" w:color="4F81BD"/>
              <w:bottom w:val="single" w:sz="4" w:space="0" w:color="4F81BD"/>
              <w:right w:val="single" w:sz="4" w:space="0" w:color="4F81BD"/>
            </w:tcBorders>
            <w:shd w:val="clear" w:color="auto" w:fill="4F81BD" w:themeFill="accent1"/>
            <w:vAlign w:val="center"/>
            <w:hideMark/>
          </w:tcPr>
          <w:p w14:paraId="2DF3901D" w14:textId="77777777" w:rsidR="008624F6" w:rsidRPr="00A83C94" w:rsidRDefault="008624F6" w:rsidP="0088445B">
            <w:pPr>
              <w:spacing w:before="0" w:line="240" w:lineRule="auto"/>
              <w:ind w:firstLine="0"/>
              <w:jc w:val="center"/>
              <w:rPr>
                <w:rFonts w:ascii="Calibri" w:hAnsi="Calibri" w:cs="Calibri"/>
                <w:bCs/>
                <w:color w:val="FFFFFF"/>
                <w:lang w:val="hy-AM"/>
              </w:rPr>
            </w:pPr>
            <w:r w:rsidRPr="00A83C94">
              <w:rPr>
                <w:rFonts w:ascii="Calibri" w:hAnsi="Calibri" w:cs="Calibri"/>
                <w:bCs/>
                <w:color w:val="FFFFFF"/>
                <w:lang w:val="hy-AM"/>
              </w:rPr>
              <w:t> </w:t>
            </w:r>
          </w:p>
        </w:tc>
        <w:tc>
          <w:tcPr>
            <w:tcW w:w="2006" w:type="dxa"/>
            <w:tcBorders>
              <w:top w:val="nil"/>
              <w:left w:val="nil"/>
              <w:bottom w:val="single" w:sz="4" w:space="0" w:color="4F81BD"/>
              <w:right w:val="single" w:sz="4" w:space="0" w:color="4F81BD"/>
            </w:tcBorders>
            <w:shd w:val="clear" w:color="auto" w:fill="4F81BD" w:themeFill="accent1"/>
            <w:vAlign w:val="center"/>
            <w:hideMark/>
          </w:tcPr>
          <w:p w14:paraId="73EC76E8" w14:textId="77777777" w:rsidR="008624F6" w:rsidRPr="00A83C94" w:rsidRDefault="008624F6" w:rsidP="0088445B">
            <w:pPr>
              <w:spacing w:before="0" w:line="240" w:lineRule="auto"/>
              <w:ind w:firstLine="0"/>
              <w:jc w:val="center"/>
              <w:rPr>
                <w:rFonts w:cs="Calibri"/>
                <w:bCs/>
                <w:color w:val="FFFFFF"/>
                <w:lang w:val="hy-AM"/>
              </w:rPr>
            </w:pPr>
            <w:r w:rsidRPr="00A83C94">
              <w:rPr>
                <w:rFonts w:cs="Calibri"/>
                <w:bCs/>
                <w:color w:val="FFFFFF"/>
                <w:lang w:val="hy-AM"/>
              </w:rPr>
              <w:t>2022</w:t>
            </w:r>
          </w:p>
        </w:tc>
      </w:tr>
      <w:tr w:rsidR="008624F6" w:rsidRPr="00A83C94" w14:paraId="5C2DB852" w14:textId="77777777" w:rsidTr="0088445B">
        <w:trPr>
          <w:trHeight w:val="330"/>
        </w:trPr>
        <w:tc>
          <w:tcPr>
            <w:tcW w:w="7238" w:type="dxa"/>
            <w:gridSpan w:val="2"/>
            <w:tcBorders>
              <w:top w:val="single" w:sz="4" w:space="0" w:color="4F81BD"/>
              <w:left w:val="single" w:sz="4" w:space="0" w:color="4F81BD"/>
              <w:bottom w:val="single" w:sz="4" w:space="0" w:color="4F81BD"/>
              <w:right w:val="single" w:sz="4" w:space="0" w:color="000000"/>
            </w:tcBorders>
            <w:shd w:val="clear" w:color="auto" w:fill="auto"/>
            <w:vAlign w:val="center"/>
            <w:hideMark/>
          </w:tcPr>
          <w:p w14:paraId="3452810E" w14:textId="77777777" w:rsidR="008624F6" w:rsidRPr="00A83C94" w:rsidRDefault="008624F6" w:rsidP="0088445B">
            <w:pPr>
              <w:spacing w:before="0" w:line="240" w:lineRule="auto"/>
              <w:ind w:firstLine="0"/>
              <w:jc w:val="center"/>
              <w:rPr>
                <w:rFonts w:cs="Calibri"/>
                <w:bCs/>
                <w:color w:val="000000"/>
                <w:lang w:val="hy-AM"/>
              </w:rPr>
            </w:pPr>
            <w:r w:rsidRPr="00A83C94">
              <w:rPr>
                <w:rFonts w:cs="Calibri"/>
                <w:bCs/>
                <w:color w:val="000000"/>
                <w:lang w:val="hy-AM"/>
              </w:rPr>
              <w:t>Ռիսկերի առանձին հանդես գալու պայմաններում</w:t>
            </w:r>
          </w:p>
        </w:tc>
      </w:tr>
      <w:tr w:rsidR="008624F6" w:rsidRPr="00A83C94" w14:paraId="5AF3C35B" w14:textId="77777777" w:rsidTr="0088445B">
        <w:trPr>
          <w:trHeight w:val="66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61051181" w14:textId="77777777" w:rsidR="008624F6" w:rsidRPr="00A83C94" w:rsidRDefault="008624F6" w:rsidP="0088445B">
            <w:pPr>
              <w:spacing w:before="0" w:line="240" w:lineRule="auto"/>
              <w:ind w:firstLine="0"/>
              <w:jc w:val="left"/>
              <w:rPr>
                <w:rFonts w:cs="Calibri"/>
                <w:b w:val="0"/>
                <w:color w:val="000000"/>
                <w:lang w:val="hy-AM"/>
              </w:rPr>
            </w:pPr>
            <w:r w:rsidRPr="00A83C94">
              <w:rPr>
                <w:rFonts w:cs="Calibri"/>
                <w:b w:val="0"/>
                <w:color w:val="000000"/>
                <w:lang w:val="hy-AM"/>
              </w:rPr>
              <w:t>1. Կանխատեսվածից 2.0 տոկոսային կետով ավելի ցածր իրական ՀՆԱ-ի աճ</w:t>
            </w:r>
          </w:p>
        </w:tc>
        <w:tc>
          <w:tcPr>
            <w:tcW w:w="2006" w:type="dxa"/>
            <w:tcBorders>
              <w:top w:val="nil"/>
              <w:left w:val="nil"/>
              <w:bottom w:val="single" w:sz="4" w:space="0" w:color="4F81BD"/>
              <w:right w:val="single" w:sz="4" w:space="0" w:color="4F81BD"/>
            </w:tcBorders>
            <w:shd w:val="clear" w:color="auto" w:fill="auto"/>
            <w:vAlign w:val="center"/>
            <w:hideMark/>
          </w:tcPr>
          <w:p w14:paraId="1A7D7B66"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-11.9</w:t>
            </w:r>
          </w:p>
        </w:tc>
      </w:tr>
      <w:tr w:rsidR="008624F6" w:rsidRPr="00A83C94" w14:paraId="54D575BC" w14:textId="77777777" w:rsidTr="0088445B">
        <w:trPr>
          <w:trHeight w:val="33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549A68F4" w14:textId="77777777" w:rsidR="008624F6" w:rsidRPr="00A83C94" w:rsidRDefault="008624F6" w:rsidP="0088445B">
            <w:pPr>
              <w:spacing w:before="0" w:line="240" w:lineRule="auto"/>
              <w:ind w:firstLine="0"/>
              <w:jc w:val="left"/>
              <w:rPr>
                <w:rFonts w:cs="Calibri"/>
                <w:b w:val="0"/>
                <w:color w:val="000000"/>
              </w:rPr>
            </w:pPr>
            <w:r w:rsidRPr="00A83C94">
              <w:rPr>
                <w:rFonts w:cs="Calibri"/>
                <w:b w:val="0"/>
                <w:color w:val="000000"/>
              </w:rPr>
              <w:t>2. 1.5 տոկոսային կետով ավելի ցածր գնաճի ռիսկ</w:t>
            </w:r>
          </w:p>
        </w:tc>
        <w:tc>
          <w:tcPr>
            <w:tcW w:w="2006" w:type="dxa"/>
            <w:tcBorders>
              <w:top w:val="nil"/>
              <w:left w:val="nil"/>
              <w:bottom w:val="single" w:sz="4" w:space="0" w:color="4F81BD"/>
              <w:right w:val="single" w:sz="4" w:space="0" w:color="4F81BD"/>
            </w:tcBorders>
            <w:shd w:val="clear" w:color="auto" w:fill="auto"/>
            <w:vAlign w:val="center"/>
            <w:hideMark/>
          </w:tcPr>
          <w:p w14:paraId="42B92BE3"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-3.4</w:t>
            </w:r>
          </w:p>
        </w:tc>
      </w:tr>
      <w:tr w:rsidR="008624F6" w:rsidRPr="00A83C94" w14:paraId="6A6BF9A4" w14:textId="77777777" w:rsidTr="0088445B">
        <w:trPr>
          <w:trHeight w:val="660"/>
        </w:trPr>
        <w:tc>
          <w:tcPr>
            <w:tcW w:w="5232" w:type="dxa"/>
            <w:tcBorders>
              <w:top w:val="nil"/>
              <w:left w:val="single" w:sz="4" w:space="0" w:color="4F81BD"/>
              <w:bottom w:val="nil"/>
              <w:right w:val="single" w:sz="4" w:space="0" w:color="4F81BD"/>
            </w:tcBorders>
            <w:shd w:val="clear" w:color="auto" w:fill="auto"/>
            <w:vAlign w:val="center"/>
            <w:hideMark/>
          </w:tcPr>
          <w:p w14:paraId="1C129812" w14:textId="77777777" w:rsidR="008624F6" w:rsidRPr="00A83C94" w:rsidRDefault="008624F6" w:rsidP="0088445B">
            <w:pPr>
              <w:spacing w:before="0" w:line="240" w:lineRule="auto"/>
              <w:ind w:firstLine="0"/>
              <w:jc w:val="left"/>
              <w:rPr>
                <w:rFonts w:cs="Calibri"/>
                <w:b w:val="0"/>
                <w:color w:val="000000"/>
              </w:rPr>
            </w:pPr>
            <w:r w:rsidRPr="00A83C94">
              <w:rPr>
                <w:rFonts w:cs="Calibri"/>
                <w:b w:val="0"/>
                <w:color w:val="000000"/>
              </w:rPr>
              <w:t>3. Փոխարժեքի առավելագույնը 4.0 տոկոսով արժեզրկման ռիսկ</w:t>
            </w:r>
          </w:p>
        </w:tc>
        <w:tc>
          <w:tcPr>
            <w:tcW w:w="2006" w:type="dxa"/>
            <w:tcBorders>
              <w:top w:val="nil"/>
              <w:left w:val="nil"/>
              <w:bottom w:val="nil"/>
              <w:right w:val="single" w:sz="4" w:space="0" w:color="4F81BD"/>
            </w:tcBorders>
            <w:shd w:val="clear" w:color="auto" w:fill="auto"/>
            <w:vAlign w:val="center"/>
            <w:hideMark/>
          </w:tcPr>
          <w:p w14:paraId="1060BE2A"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12.2</w:t>
            </w:r>
          </w:p>
        </w:tc>
      </w:tr>
      <w:tr w:rsidR="008624F6" w:rsidRPr="00A83C94" w14:paraId="1CD1D544" w14:textId="77777777" w:rsidTr="0088445B">
        <w:trPr>
          <w:trHeight w:val="330"/>
        </w:trPr>
        <w:tc>
          <w:tcPr>
            <w:tcW w:w="523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4B55051C" w14:textId="77777777" w:rsidR="008624F6" w:rsidRPr="00A83C94" w:rsidRDefault="008624F6" w:rsidP="0088445B">
            <w:pPr>
              <w:spacing w:before="0" w:line="240" w:lineRule="auto"/>
              <w:ind w:firstLine="0"/>
              <w:jc w:val="left"/>
              <w:rPr>
                <w:rFonts w:cs="Calibri"/>
                <w:b w:val="0"/>
                <w:color w:val="000000"/>
              </w:rPr>
            </w:pPr>
            <w:r w:rsidRPr="00A83C94">
              <w:rPr>
                <w:rFonts w:cs="Calibri"/>
                <w:b w:val="0"/>
                <w:color w:val="000000"/>
              </w:rPr>
              <w:t>4. Ներմուծման 11.8 տոկոսով նվազման ռիսկ</w:t>
            </w:r>
          </w:p>
        </w:tc>
        <w:tc>
          <w:tcPr>
            <w:tcW w:w="2006" w:type="dxa"/>
            <w:tcBorders>
              <w:top w:val="single" w:sz="4" w:space="0" w:color="4F81BD"/>
              <w:left w:val="nil"/>
              <w:bottom w:val="single" w:sz="4" w:space="0" w:color="4F81BD"/>
              <w:right w:val="single" w:sz="4" w:space="0" w:color="4F81BD"/>
            </w:tcBorders>
            <w:shd w:val="clear" w:color="auto" w:fill="auto"/>
            <w:vAlign w:val="center"/>
            <w:hideMark/>
          </w:tcPr>
          <w:p w14:paraId="17B1D8AB"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-21.9</w:t>
            </w:r>
          </w:p>
        </w:tc>
      </w:tr>
      <w:tr w:rsidR="008624F6" w:rsidRPr="00A83C94" w14:paraId="71E527BE" w14:textId="77777777" w:rsidTr="0088445B">
        <w:trPr>
          <w:trHeight w:val="66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38EF4D92" w14:textId="77777777" w:rsidR="008624F6" w:rsidRPr="00A83C94" w:rsidRDefault="008624F6" w:rsidP="0088445B">
            <w:pPr>
              <w:spacing w:before="0" w:line="240" w:lineRule="auto"/>
              <w:ind w:firstLine="0"/>
              <w:jc w:val="left"/>
              <w:rPr>
                <w:rFonts w:cs="Calibri"/>
                <w:bCs/>
                <w:color w:val="000000"/>
              </w:rPr>
            </w:pPr>
            <w:r w:rsidRPr="00A83C94">
              <w:rPr>
                <w:rFonts w:cs="Calibri"/>
                <w:bCs/>
                <w:color w:val="000000"/>
              </w:rPr>
              <w:t>Վերոնշյալ ռիսկերի միաժամանակյա հանդես գալու պայմաններում</w:t>
            </w:r>
          </w:p>
        </w:tc>
        <w:tc>
          <w:tcPr>
            <w:tcW w:w="2006" w:type="dxa"/>
            <w:tcBorders>
              <w:top w:val="nil"/>
              <w:left w:val="nil"/>
              <w:bottom w:val="single" w:sz="4" w:space="0" w:color="4F81BD"/>
              <w:right w:val="single" w:sz="4" w:space="0" w:color="4F81BD"/>
            </w:tcBorders>
            <w:shd w:val="clear" w:color="auto" w:fill="auto"/>
            <w:vAlign w:val="center"/>
            <w:hideMark/>
          </w:tcPr>
          <w:p w14:paraId="4F7FB8E6" w14:textId="77777777" w:rsidR="008624F6" w:rsidRPr="00A83C94" w:rsidRDefault="008624F6" w:rsidP="0088445B">
            <w:pPr>
              <w:spacing w:before="0" w:line="240" w:lineRule="auto"/>
              <w:ind w:firstLine="0"/>
              <w:jc w:val="center"/>
              <w:rPr>
                <w:rFonts w:cs="Calibri"/>
                <w:bCs/>
                <w:color w:val="000000"/>
              </w:rPr>
            </w:pPr>
            <w:r w:rsidRPr="00A83C94">
              <w:rPr>
                <w:rFonts w:cs="Calibri"/>
                <w:bCs/>
                <w:color w:val="000000"/>
              </w:rPr>
              <w:t>-27.0</w:t>
            </w:r>
          </w:p>
        </w:tc>
      </w:tr>
    </w:tbl>
    <w:p w14:paraId="7F329C34"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2022 թվականին կկազմի շուրջ 27.0 մլրդ ՀՀ դրամ: </w:t>
      </w:r>
    </w:p>
    <w:p w14:paraId="539F8494"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29AE0E30" w14:textId="00C7A5A1" w:rsidR="008624F6" w:rsidRPr="008B1D49" w:rsidRDefault="003F382C" w:rsidP="003F382C">
      <w:pPr>
        <w:pStyle w:val="Caption"/>
        <w:rPr>
          <w:b/>
          <w:lang w:val="hy-AM"/>
        </w:rPr>
      </w:pPr>
      <w:bookmarkStart w:id="319" w:name="_Toc83928955"/>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18</w:t>
      </w:r>
      <w:r>
        <w:fldChar w:fldCharType="end"/>
      </w:r>
      <w:r w:rsidR="008624F6" w:rsidRPr="008B1D49">
        <w:rPr>
          <w:noProof/>
          <w:lang w:val="hy-AM"/>
        </w:rPr>
        <w:t>.</w:t>
      </w:r>
      <w:r w:rsidR="008624F6" w:rsidRPr="008B1D49">
        <w:rPr>
          <w:lang w:val="hy-AM"/>
        </w:rPr>
        <w:t xml:space="preserve"> </w:t>
      </w:r>
      <w:r w:rsidR="008624F6" w:rsidRPr="008B1D49">
        <w:rPr>
          <w:sz w:val="20"/>
          <w:szCs w:val="20"/>
          <w:lang w:val="hy-AM"/>
        </w:rPr>
        <w:t>Հարկային եկամուտների զգայունությունը հիմնական տնտեսական գործոնների նկատմամբ, տոկոս</w:t>
      </w:r>
      <w:bookmarkEnd w:id="319"/>
    </w:p>
    <w:tbl>
      <w:tblPr>
        <w:tblW w:w="919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3659"/>
        <w:gridCol w:w="1398"/>
        <w:gridCol w:w="1138"/>
        <w:gridCol w:w="1435"/>
        <w:gridCol w:w="1568"/>
      </w:tblGrid>
      <w:tr w:rsidR="008624F6" w:rsidRPr="00A83C94" w14:paraId="11DFB0B1" w14:textId="77777777" w:rsidTr="0088445B">
        <w:trPr>
          <w:trHeight w:val="476"/>
          <w:jc w:val="center"/>
        </w:trPr>
        <w:tc>
          <w:tcPr>
            <w:tcW w:w="3659" w:type="dxa"/>
            <w:shd w:val="clear" w:color="auto" w:fill="4F81BD" w:themeFill="accent1"/>
            <w:noWrap/>
            <w:vAlign w:val="bottom"/>
            <w:hideMark/>
          </w:tcPr>
          <w:p w14:paraId="15631AE9" w14:textId="77777777" w:rsidR="008624F6" w:rsidRPr="00A83C94" w:rsidRDefault="008624F6" w:rsidP="0088445B">
            <w:pPr>
              <w:spacing w:before="0" w:line="240" w:lineRule="auto"/>
              <w:ind w:firstLine="0"/>
              <w:rPr>
                <w:b w:val="0"/>
                <w:color w:val="FFFFFF" w:themeColor="background1"/>
                <w:lang w:val="hy-AM"/>
              </w:rPr>
            </w:pPr>
            <w:r w:rsidRPr="00A83C94">
              <w:rPr>
                <w:rFonts w:ascii="Calibri" w:hAnsi="Calibri" w:cs="Calibri"/>
                <w:b w:val="0"/>
                <w:color w:val="FFFFFF" w:themeColor="background1"/>
                <w:lang w:val="hy-AM"/>
              </w:rPr>
              <w:t> </w:t>
            </w:r>
          </w:p>
        </w:tc>
        <w:tc>
          <w:tcPr>
            <w:tcW w:w="1398" w:type="dxa"/>
            <w:shd w:val="clear" w:color="auto" w:fill="4F81BD" w:themeFill="accent1"/>
            <w:noWrap/>
            <w:vAlign w:val="bottom"/>
            <w:hideMark/>
          </w:tcPr>
          <w:p w14:paraId="160C1D76" w14:textId="77777777" w:rsidR="008624F6" w:rsidRPr="00A83C94" w:rsidRDefault="008624F6" w:rsidP="0088445B">
            <w:pPr>
              <w:spacing w:before="0" w:line="240" w:lineRule="auto"/>
              <w:ind w:firstLine="0"/>
              <w:jc w:val="center"/>
              <w:rPr>
                <w:b w:val="0"/>
                <w:color w:val="FFFFFF" w:themeColor="background1"/>
                <w:lang w:val="hy-AM"/>
              </w:rPr>
            </w:pPr>
            <w:r w:rsidRPr="00A83C94">
              <w:rPr>
                <w:rFonts w:cs="Sylfaen"/>
                <w:b w:val="0"/>
                <w:color w:val="FFFFFF" w:themeColor="background1"/>
                <w:lang w:val="hy-AM"/>
              </w:rPr>
              <w:t>ՀՆԱ</w:t>
            </w:r>
          </w:p>
        </w:tc>
        <w:tc>
          <w:tcPr>
            <w:tcW w:w="1138" w:type="dxa"/>
            <w:shd w:val="clear" w:color="auto" w:fill="4F81BD" w:themeFill="accent1"/>
            <w:noWrap/>
            <w:vAlign w:val="bottom"/>
            <w:hideMark/>
          </w:tcPr>
          <w:p w14:paraId="69D2EFE9" w14:textId="77777777" w:rsidR="008624F6" w:rsidRPr="00A83C94" w:rsidRDefault="008624F6" w:rsidP="0088445B">
            <w:pPr>
              <w:spacing w:before="0" w:line="240" w:lineRule="auto"/>
              <w:ind w:firstLine="0"/>
              <w:jc w:val="center"/>
              <w:rPr>
                <w:b w:val="0"/>
                <w:color w:val="FFFFFF" w:themeColor="background1"/>
                <w:lang w:val="hy-AM"/>
              </w:rPr>
            </w:pPr>
            <w:r w:rsidRPr="00A83C94">
              <w:rPr>
                <w:rFonts w:cs="Sylfaen"/>
                <w:b w:val="0"/>
                <w:color w:val="FFFFFF" w:themeColor="background1"/>
                <w:lang w:val="hy-AM"/>
              </w:rPr>
              <w:t>Գնաճ</w:t>
            </w:r>
          </w:p>
        </w:tc>
        <w:tc>
          <w:tcPr>
            <w:tcW w:w="1435" w:type="dxa"/>
            <w:shd w:val="clear" w:color="auto" w:fill="4F81BD" w:themeFill="accent1"/>
            <w:noWrap/>
            <w:vAlign w:val="bottom"/>
            <w:hideMark/>
          </w:tcPr>
          <w:p w14:paraId="5C4AB8C0" w14:textId="77777777" w:rsidR="008624F6" w:rsidRPr="00A83C94" w:rsidRDefault="008624F6" w:rsidP="0088445B">
            <w:pPr>
              <w:spacing w:before="0" w:line="240" w:lineRule="auto"/>
              <w:ind w:firstLine="0"/>
              <w:jc w:val="center"/>
              <w:rPr>
                <w:b w:val="0"/>
                <w:color w:val="FFFFFF" w:themeColor="background1"/>
                <w:lang w:val="hy-AM"/>
              </w:rPr>
            </w:pPr>
            <w:r w:rsidRPr="00A83C94">
              <w:rPr>
                <w:rFonts w:cs="Sylfaen"/>
                <w:b w:val="0"/>
                <w:color w:val="FFFFFF" w:themeColor="background1"/>
                <w:lang w:val="hy-AM"/>
              </w:rPr>
              <w:t>Փոխարժեք</w:t>
            </w:r>
          </w:p>
        </w:tc>
        <w:tc>
          <w:tcPr>
            <w:tcW w:w="1568" w:type="dxa"/>
            <w:shd w:val="clear" w:color="auto" w:fill="4F81BD" w:themeFill="accent1"/>
            <w:noWrap/>
            <w:vAlign w:val="bottom"/>
            <w:hideMark/>
          </w:tcPr>
          <w:p w14:paraId="399E884C" w14:textId="77777777" w:rsidR="008624F6" w:rsidRPr="00A83C94" w:rsidRDefault="008624F6" w:rsidP="0088445B">
            <w:pPr>
              <w:spacing w:before="0" w:line="240" w:lineRule="auto"/>
              <w:ind w:firstLine="0"/>
              <w:jc w:val="center"/>
              <w:rPr>
                <w:b w:val="0"/>
                <w:color w:val="FFFFFF" w:themeColor="background1"/>
                <w:lang w:val="hy-AM"/>
              </w:rPr>
            </w:pPr>
            <w:r w:rsidRPr="00A83C94">
              <w:rPr>
                <w:rFonts w:cs="Sylfaen"/>
                <w:b w:val="0"/>
                <w:color w:val="FFFFFF" w:themeColor="background1"/>
                <w:lang w:val="hy-AM"/>
              </w:rPr>
              <w:t>Ներմուծ</w:t>
            </w:r>
            <w:r w:rsidRPr="00A83C94">
              <w:rPr>
                <w:b w:val="0"/>
                <w:color w:val="FFFFFF" w:themeColor="background1"/>
                <w:lang w:val="hy-AM"/>
              </w:rPr>
              <w:t>ում</w:t>
            </w:r>
          </w:p>
        </w:tc>
      </w:tr>
      <w:tr w:rsidR="008624F6" w:rsidRPr="00A83C94" w14:paraId="57FF37A5" w14:textId="77777777" w:rsidTr="0088445B">
        <w:trPr>
          <w:trHeight w:val="476"/>
          <w:jc w:val="center"/>
        </w:trPr>
        <w:tc>
          <w:tcPr>
            <w:tcW w:w="3659" w:type="dxa"/>
            <w:noWrap/>
            <w:vAlign w:val="bottom"/>
            <w:hideMark/>
          </w:tcPr>
          <w:p w14:paraId="4D8A2B0D" w14:textId="77777777" w:rsidR="008624F6" w:rsidRPr="00A83C94" w:rsidRDefault="008624F6" w:rsidP="0088445B">
            <w:pPr>
              <w:spacing w:before="0" w:line="240" w:lineRule="auto"/>
              <w:ind w:firstLine="0"/>
              <w:rPr>
                <w:b w:val="0"/>
                <w:lang w:val="hy-AM"/>
              </w:rPr>
            </w:pPr>
            <w:r w:rsidRPr="00A83C94">
              <w:rPr>
                <w:rFonts w:cs="Sylfaen"/>
                <w:b w:val="0"/>
                <w:lang w:val="hy-AM"/>
              </w:rPr>
              <w:t>Միջին տարեկան ազդեցություն</w:t>
            </w:r>
          </w:p>
        </w:tc>
        <w:tc>
          <w:tcPr>
            <w:tcW w:w="1398" w:type="dxa"/>
            <w:noWrap/>
            <w:vAlign w:val="center"/>
            <w:hideMark/>
          </w:tcPr>
          <w:p w14:paraId="48A266C4" w14:textId="77777777" w:rsidR="008624F6" w:rsidRPr="00A83C94" w:rsidRDefault="008624F6" w:rsidP="0088445B">
            <w:pPr>
              <w:spacing w:before="0" w:line="240" w:lineRule="auto"/>
              <w:ind w:firstLine="0"/>
              <w:jc w:val="right"/>
              <w:rPr>
                <w:rFonts w:cs="Calibri"/>
                <w:b w:val="0"/>
                <w:lang w:val="hy-AM"/>
              </w:rPr>
            </w:pPr>
            <w:r w:rsidRPr="00A83C94">
              <w:rPr>
                <w:b w:val="0"/>
                <w:lang w:val="hy-AM"/>
              </w:rPr>
              <w:t>0.22</w:t>
            </w:r>
          </w:p>
        </w:tc>
        <w:tc>
          <w:tcPr>
            <w:tcW w:w="1138" w:type="dxa"/>
            <w:noWrap/>
            <w:vAlign w:val="center"/>
            <w:hideMark/>
          </w:tcPr>
          <w:p w14:paraId="194D4D44" w14:textId="77777777" w:rsidR="008624F6" w:rsidRPr="00A83C94" w:rsidRDefault="008624F6" w:rsidP="0088445B">
            <w:pPr>
              <w:spacing w:before="0" w:line="240" w:lineRule="auto"/>
              <w:ind w:firstLine="0"/>
              <w:jc w:val="right"/>
              <w:rPr>
                <w:rFonts w:cs="Calibri"/>
                <w:b w:val="0"/>
                <w:lang w:val="hy-AM"/>
              </w:rPr>
            </w:pPr>
            <w:r w:rsidRPr="00A83C94">
              <w:rPr>
                <w:b w:val="0"/>
                <w:lang w:val="hy-AM"/>
              </w:rPr>
              <w:t>0.11</w:t>
            </w:r>
          </w:p>
        </w:tc>
        <w:tc>
          <w:tcPr>
            <w:tcW w:w="1435" w:type="dxa"/>
            <w:noWrap/>
            <w:vAlign w:val="center"/>
            <w:hideMark/>
          </w:tcPr>
          <w:p w14:paraId="4599D7EF" w14:textId="77777777" w:rsidR="008624F6" w:rsidRPr="00A83C94" w:rsidRDefault="008624F6" w:rsidP="0088445B">
            <w:pPr>
              <w:spacing w:before="0" w:line="240" w:lineRule="auto"/>
              <w:ind w:firstLine="0"/>
              <w:jc w:val="right"/>
              <w:rPr>
                <w:rFonts w:cs="Calibri"/>
                <w:b w:val="0"/>
                <w:lang w:val="hy-AM"/>
              </w:rPr>
            </w:pPr>
            <w:r w:rsidRPr="00A83C94">
              <w:rPr>
                <w:b w:val="0"/>
                <w:lang w:val="hy-AM"/>
              </w:rPr>
              <w:t>0.16</w:t>
            </w:r>
          </w:p>
        </w:tc>
        <w:tc>
          <w:tcPr>
            <w:tcW w:w="1568" w:type="dxa"/>
            <w:noWrap/>
            <w:vAlign w:val="center"/>
            <w:hideMark/>
          </w:tcPr>
          <w:p w14:paraId="39FDC870" w14:textId="77777777" w:rsidR="008624F6" w:rsidRPr="00A83C94" w:rsidRDefault="008624F6" w:rsidP="0088445B">
            <w:pPr>
              <w:spacing w:before="0" w:line="240" w:lineRule="auto"/>
              <w:ind w:firstLine="0"/>
              <w:jc w:val="right"/>
              <w:rPr>
                <w:rFonts w:cs="Calibri"/>
                <w:b w:val="0"/>
                <w:lang w:val="hy-AM"/>
              </w:rPr>
            </w:pPr>
            <w:r w:rsidRPr="00A83C94">
              <w:rPr>
                <w:b w:val="0"/>
                <w:lang w:val="hy-AM"/>
              </w:rPr>
              <w:t>0.06</w:t>
            </w:r>
          </w:p>
        </w:tc>
      </w:tr>
    </w:tbl>
    <w:p w14:paraId="75068F4D" w14:textId="77777777" w:rsidR="008624F6" w:rsidRPr="00A83C94" w:rsidRDefault="008624F6" w:rsidP="008624F6">
      <w:pPr>
        <w:spacing w:before="0" w:line="276" w:lineRule="auto"/>
        <w:ind w:firstLine="720"/>
        <w:rPr>
          <w:rFonts w:cs="Sylfaen"/>
          <w:b w:val="0"/>
          <w:lang w:val="hy-AM"/>
        </w:rPr>
      </w:pPr>
      <w:r w:rsidRPr="00A83C94">
        <w:rPr>
          <w:rFonts w:cs="Sylfaen"/>
          <w:b w:val="0"/>
          <w:lang w:val="hy-AM"/>
        </w:rPr>
        <w:t>Ինչպես երևում է աղյուսակից, հարկերի հավաքագրման առումով առավել էական գործոններ են հանդիսանում ՀՆԱ-ի և փոխարժեքի փոփոխությունները:</w:t>
      </w:r>
    </w:p>
    <w:p w14:paraId="17B47F6D" w14:textId="35BBF696" w:rsidR="008624F6" w:rsidRPr="00A83C94" w:rsidRDefault="008624F6" w:rsidP="008624F6">
      <w:pPr>
        <w:spacing w:before="0" w:line="276" w:lineRule="auto"/>
        <w:ind w:firstLine="720"/>
        <w:rPr>
          <w:rFonts w:cs="Sylfaen"/>
          <w:b w:val="0"/>
          <w:lang w:val="hy-AM"/>
        </w:rPr>
      </w:pPr>
      <w:r w:rsidRPr="00A83C94">
        <w:rPr>
          <w:rFonts w:cs="Sylfaen"/>
          <w:b w:val="0"/>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2.1 և Աղյուսակ 20)</w:t>
      </w:r>
      <w:r w:rsidRPr="00A83C94">
        <w:rPr>
          <w:rStyle w:val="FootnoteReference"/>
          <w:rFonts w:cs="Sylfaen"/>
          <w:b w:val="0"/>
          <w:lang w:val="hy-AM"/>
        </w:rPr>
        <w:footnoteReference w:id="29"/>
      </w:r>
      <w:r w:rsidRPr="00A83C94">
        <w:rPr>
          <w:rFonts w:cs="Sylfaen"/>
          <w:b w:val="0"/>
          <w:lang w:val="hy-AM"/>
        </w:rPr>
        <w:t>: Հավանականային բաշխման գրաֆիկի կառուցման ժամանակ օգտագործվել է աղյուսակ 18-ում գնահատված ամբողջական ռիսկերի միաժամանակյա հանդես գալու պայմաններում ի հայտ եկող բացասական ռիսկերը:</w:t>
      </w:r>
    </w:p>
    <w:p w14:paraId="02893538" w14:textId="77777777" w:rsidR="008624F6" w:rsidRPr="00A83C94" w:rsidRDefault="008624F6" w:rsidP="008624F6">
      <w:pPr>
        <w:pStyle w:val="Caption"/>
        <w:spacing w:before="0" w:after="0"/>
        <w:rPr>
          <w:rFonts w:eastAsia="Calibri"/>
          <w:i/>
          <w:sz w:val="20"/>
          <w:szCs w:val="20"/>
          <w:lang w:val="hy-AM" w:eastAsia="en-US"/>
        </w:rPr>
      </w:pPr>
      <w:r w:rsidRPr="00A83C94">
        <w:rPr>
          <w:rFonts w:eastAsia="Calibri"/>
          <w:i/>
          <w:sz w:val="20"/>
          <w:szCs w:val="20"/>
          <w:lang w:val="hy-AM" w:eastAsia="en-US"/>
        </w:rPr>
        <w:t>Գծապատկեր 2.1. Հարկային եկամուտների տարեկան աճի տեմպերի կանխատեսումների հավանականային բաշխումը</w:t>
      </w:r>
      <w:r w:rsidRPr="00A83C94">
        <w:rPr>
          <w:rFonts w:eastAsia="Calibri"/>
          <w:i/>
          <w:sz w:val="20"/>
          <w:szCs w:val="20"/>
          <w:vertAlign w:val="superscript"/>
          <w:lang w:val="hy-AM" w:eastAsia="en-US"/>
        </w:rPr>
        <w:footnoteReference w:id="30"/>
      </w:r>
      <w:r w:rsidRPr="00A83C94">
        <w:rPr>
          <w:rFonts w:eastAsia="Calibri"/>
          <w:i/>
          <w:sz w:val="20"/>
          <w:szCs w:val="20"/>
          <w:lang w:val="hy-AM" w:eastAsia="en-US"/>
        </w:rPr>
        <w:t>, տոկոս</w:t>
      </w:r>
    </w:p>
    <w:p w14:paraId="64CB56CB" w14:textId="77777777" w:rsidR="008624F6" w:rsidRPr="00A83C94" w:rsidRDefault="008624F6" w:rsidP="008624F6">
      <w:pPr>
        <w:tabs>
          <w:tab w:val="left" w:pos="90"/>
        </w:tabs>
        <w:spacing w:after="120" w:line="276" w:lineRule="auto"/>
        <w:ind w:firstLine="0"/>
        <w:jc w:val="center"/>
        <w:rPr>
          <w:b w:val="0"/>
          <w:i/>
          <w:u w:val="single"/>
          <w:lang w:val="hy-AM"/>
        </w:rPr>
      </w:pPr>
      <w:r w:rsidRPr="00A83C94">
        <w:rPr>
          <w:b w:val="0"/>
          <w:noProof/>
          <w:lang w:val="en-US" w:eastAsia="en-US"/>
        </w:rPr>
        <w:drawing>
          <wp:inline distT="0" distB="0" distL="0" distR="0" wp14:anchorId="596B32B0" wp14:editId="00845FBC">
            <wp:extent cx="5572125" cy="2743200"/>
            <wp:effectExtent l="0" t="0" r="9525" b="0"/>
            <wp:docPr id="92" name="Chart 92">
              <a:extLst xmlns:a="http://schemas.openxmlformats.org/drawingml/2006/main">
                <a:ext uri="{FF2B5EF4-FFF2-40B4-BE49-F238E27FC236}">
                  <a16:creationId xmlns:a16="http://schemas.microsoft.com/office/drawing/2014/main" id="{C33EB284-3769-4F70-A576-B7BB4E75C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7CDA574" w14:textId="748C195B" w:rsidR="008624F6" w:rsidRPr="00A83C94" w:rsidRDefault="008624F6" w:rsidP="008624F6">
      <w:pPr>
        <w:spacing w:after="120" w:line="276" w:lineRule="auto"/>
        <w:ind w:firstLine="720"/>
        <w:rPr>
          <w:rFonts w:cs="Sylfaen"/>
          <w:b w:val="0"/>
          <w:lang w:val="hy-AM"/>
        </w:rPr>
      </w:pPr>
      <w:r w:rsidRPr="00A83C94">
        <w:rPr>
          <w:rFonts w:cs="Sylfaen"/>
          <w:b w:val="0"/>
          <w:lang w:val="hy-AM"/>
        </w:rPr>
        <w:t xml:space="preserve">Կանխատեսումների բաշխման հավանականություններն առավել պարզորոշ երևում են ստորև բերվող աղյուսակում: </w:t>
      </w:r>
    </w:p>
    <w:p w14:paraId="3DB5B5DD" w14:textId="4E050E1E" w:rsidR="008624F6" w:rsidRPr="00A83C94" w:rsidRDefault="008624F6" w:rsidP="008624F6">
      <w:pPr>
        <w:spacing w:after="120" w:line="276" w:lineRule="auto"/>
        <w:ind w:firstLine="720"/>
        <w:rPr>
          <w:rFonts w:cs="Sylfaen"/>
          <w:b w:val="0"/>
          <w:lang w:val="hy-AM"/>
        </w:rPr>
      </w:pPr>
    </w:p>
    <w:p w14:paraId="32FB6E84" w14:textId="77777777" w:rsidR="008624F6" w:rsidRPr="00A83C94" w:rsidRDefault="008624F6" w:rsidP="008624F6">
      <w:pPr>
        <w:spacing w:after="120" w:line="276" w:lineRule="auto"/>
        <w:ind w:firstLine="720"/>
        <w:rPr>
          <w:b w:val="0"/>
          <w:lang w:val="hy-AM"/>
        </w:rPr>
      </w:pPr>
    </w:p>
    <w:p w14:paraId="57513FB6" w14:textId="41219F61" w:rsidR="008624F6" w:rsidRPr="00A83C94" w:rsidRDefault="003F382C" w:rsidP="003F382C">
      <w:pPr>
        <w:pStyle w:val="Caption"/>
        <w:rPr>
          <w:rFonts w:eastAsia="Calibri"/>
          <w:i/>
          <w:sz w:val="20"/>
          <w:szCs w:val="20"/>
          <w:lang w:val="hy-AM" w:eastAsia="en-US"/>
        </w:rPr>
      </w:pPr>
      <w:bookmarkStart w:id="320" w:name="_Toc83928956"/>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19</w:t>
      </w:r>
      <w:r>
        <w:fldChar w:fldCharType="end"/>
      </w:r>
      <w:r w:rsidR="008624F6" w:rsidRPr="00A83C94">
        <w:rPr>
          <w:lang w:val="hy-AM"/>
        </w:rPr>
        <w:t>.</w:t>
      </w:r>
      <w:r w:rsidR="008624F6" w:rsidRPr="00A83C94">
        <w:rPr>
          <w:rFonts w:eastAsia="Calibri"/>
          <w:i/>
          <w:sz w:val="20"/>
          <w:szCs w:val="20"/>
          <w:lang w:val="hy-AM" w:eastAsia="en-US"/>
        </w:rPr>
        <w:t xml:space="preserve"> Հարկային եկամուտների կանխատեսումների հավանականային բաշխումը</w:t>
      </w:r>
      <w:bookmarkEnd w:id="320"/>
    </w:p>
    <w:tbl>
      <w:tblPr>
        <w:tblW w:w="6228" w:type="dxa"/>
        <w:jc w:val="center"/>
        <w:tblLook w:val="04A0" w:firstRow="1" w:lastRow="0" w:firstColumn="1" w:lastColumn="0" w:noHBand="0" w:noVBand="1"/>
      </w:tblPr>
      <w:tblGrid>
        <w:gridCol w:w="2140"/>
        <w:gridCol w:w="1100"/>
        <w:gridCol w:w="939"/>
        <w:gridCol w:w="1026"/>
        <w:gridCol w:w="1023"/>
      </w:tblGrid>
      <w:tr w:rsidR="008624F6" w:rsidRPr="00813A99" w14:paraId="054E8733" w14:textId="77777777" w:rsidTr="0088445B">
        <w:trPr>
          <w:trHeight w:val="1005"/>
          <w:jc w:val="center"/>
        </w:trPr>
        <w:tc>
          <w:tcPr>
            <w:tcW w:w="2140" w:type="dxa"/>
            <w:tcBorders>
              <w:top w:val="single" w:sz="8" w:space="0" w:color="FFFFFF"/>
              <w:left w:val="single" w:sz="8" w:space="0" w:color="FFFFFF"/>
              <w:bottom w:val="single" w:sz="8" w:space="0" w:color="FFFFFF"/>
              <w:right w:val="single" w:sz="8" w:space="0" w:color="FFFFFF"/>
            </w:tcBorders>
            <w:shd w:val="clear" w:color="000000" w:fill="5B9BD5"/>
            <w:vAlign w:val="center"/>
            <w:hideMark/>
          </w:tcPr>
          <w:p w14:paraId="63060A86" w14:textId="77777777" w:rsidR="008624F6" w:rsidRPr="00A83C94" w:rsidRDefault="008624F6" w:rsidP="0088445B">
            <w:pPr>
              <w:spacing w:before="0" w:line="240" w:lineRule="auto"/>
              <w:ind w:firstLine="0"/>
              <w:jc w:val="center"/>
              <w:rPr>
                <w:rFonts w:cs="Calibri"/>
                <w:b w:val="0"/>
                <w:color w:val="FFFFFF"/>
                <w:lang w:val="hy-AM"/>
              </w:rPr>
            </w:pPr>
            <w:r w:rsidRPr="00A83C94">
              <w:rPr>
                <w:rFonts w:cs="Calibri"/>
                <w:b w:val="0"/>
                <w:color w:val="FFFFFF"/>
                <w:lang w:val="hy-AM"/>
              </w:rPr>
              <w:t>Հարկային եկամուտների աճի միջակայքը</w:t>
            </w:r>
          </w:p>
        </w:tc>
        <w:tc>
          <w:tcPr>
            <w:tcW w:w="4088" w:type="dxa"/>
            <w:gridSpan w:val="4"/>
            <w:tcBorders>
              <w:top w:val="single" w:sz="8" w:space="0" w:color="FFFFFF"/>
              <w:left w:val="nil"/>
              <w:bottom w:val="single" w:sz="8" w:space="0" w:color="FFFFFF"/>
              <w:right w:val="nil"/>
            </w:tcBorders>
            <w:shd w:val="clear" w:color="000000" w:fill="5B9BD5"/>
            <w:vAlign w:val="center"/>
            <w:hideMark/>
          </w:tcPr>
          <w:p w14:paraId="79CE959C" w14:textId="77777777" w:rsidR="008624F6" w:rsidRPr="00A83C94" w:rsidRDefault="008624F6" w:rsidP="0088445B">
            <w:pPr>
              <w:spacing w:before="0" w:line="240" w:lineRule="auto"/>
              <w:ind w:firstLine="0"/>
              <w:jc w:val="center"/>
              <w:rPr>
                <w:rFonts w:cs="Calibri"/>
                <w:b w:val="0"/>
                <w:color w:val="FFFFFF"/>
                <w:lang w:val="hy-AM"/>
              </w:rPr>
            </w:pPr>
            <w:r w:rsidRPr="00A83C94">
              <w:rPr>
                <w:rFonts w:cs="Calibri"/>
                <w:b w:val="0"/>
                <w:color w:val="FFFFFF"/>
                <w:lang w:val="hy-AM"/>
              </w:rPr>
              <w:t>Հարկային եկամուտների աճի` տվյալ  միջակայքում ձևավորվելու հավանականությունը</w:t>
            </w:r>
          </w:p>
        </w:tc>
      </w:tr>
      <w:tr w:rsidR="008624F6" w:rsidRPr="00A83C94" w14:paraId="26F187E7" w14:textId="77777777" w:rsidTr="0088445B">
        <w:trPr>
          <w:trHeight w:val="345"/>
          <w:jc w:val="center"/>
        </w:trPr>
        <w:tc>
          <w:tcPr>
            <w:tcW w:w="2140" w:type="dxa"/>
            <w:tcBorders>
              <w:top w:val="nil"/>
              <w:left w:val="single" w:sz="8" w:space="0" w:color="FFFFFF"/>
              <w:bottom w:val="single" w:sz="8" w:space="0" w:color="FFFFFF"/>
              <w:right w:val="single" w:sz="8" w:space="0" w:color="FFFFFF"/>
            </w:tcBorders>
            <w:shd w:val="clear" w:color="000000" w:fill="5B9BD5"/>
            <w:vAlign w:val="center"/>
            <w:hideMark/>
          </w:tcPr>
          <w:p w14:paraId="30A55704" w14:textId="77777777" w:rsidR="008624F6" w:rsidRPr="00A83C94" w:rsidRDefault="008624F6" w:rsidP="0088445B">
            <w:pPr>
              <w:spacing w:before="0" w:line="240" w:lineRule="auto"/>
              <w:ind w:firstLine="0"/>
              <w:rPr>
                <w:rFonts w:ascii="Calibri" w:hAnsi="Calibri" w:cs="Calibri"/>
                <w:b w:val="0"/>
                <w:bCs/>
                <w:color w:val="FFFFFF"/>
                <w:lang w:val="hy-AM"/>
              </w:rPr>
            </w:pPr>
            <w:r w:rsidRPr="00A83C94">
              <w:rPr>
                <w:rFonts w:ascii="Calibri" w:hAnsi="Calibri" w:cs="Calibri"/>
                <w:b w:val="0"/>
                <w:bCs/>
                <w:color w:val="FFFFFF"/>
                <w:lang w:val="hy-AM"/>
              </w:rPr>
              <w:t> </w:t>
            </w:r>
          </w:p>
        </w:tc>
        <w:tc>
          <w:tcPr>
            <w:tcW w:w="1100" w:type="dxa"/>
            <w:tcBorders>
              <w:top w:val="nil"/>
              <w:left w:val="nil"/>
              <w:bottom w:val="single" w:sz="8" w:space="0" w:color="FFFFFF"/>
              <w:right w:val="single" w:sz="8" w:space="0" w:color="FFFFFF"/>
            </w:tcBorders>
            <w:shd w:val="clear" w:color="000000" w:fill="5B9BD5"/>
            <w:noWrap/>
            <w:vAlign w:val="center"/>
            <w:hideMark/>
          </w:tcPr>
          <w:p w14:paraId="520803BA" w14:textId="77777777" w:rsidR="008624F6" w:rsidRPr="00A83C94" w:rsidRDefault="008624F6" w:rsidP="0088445B">
            <w:pPr>
              <w:spacing w:before="0" w:line="240" w:lineRule="auto"/>
              <w:ind w:firstLine="0"/>
              <w:jc w:val="center"/>
              <w:rPr>
                <w:rFonts w:cs="Calibri"/>
                <w:b w:val="0"/>
                <w:bCs/>
                <w:color w:val="FFFFFF"/>
                <w:lang w:val="hy-AM"/>
              </w:rPr>
            </w:pPr>
            <w:r w:rsidRPr="00A83C94">
              <w:rPr>
                <w:rFonts w:cs="Calibri"/>
                <w:b w:val="0"/>
                <w:bCs/>
                <w:color w:val="FFFFFF"/>
                <w:lang w:val="hy-AM"/>
              </w:rPr>
              <w:t>2022-I</w:t>
            </w:r>
          </w:p>
        </w:tc>
        <w:tc>
          <w:tcPr>
            <w:tcW w:w="939" w:type="dxa"/>
            <w:tcBorders>
              <w:top w:val="nil"/>
              <w:left w:val="nil"/>
              <w:bottom w:val="single" w:sz="8" w:space="0" w:color="FFFFFF"/>
              <w:right w:val="single" w:sz="8" w:space="0" w:color="FFFFFF"/>
            </w:tcBorders>
            <w:shd w:val="clear" w:color="000000" w:fill="5B9BD5"/>
            <w:noWrap/>
            <w:vAlign w:val="center"/>
            <w:hideMark/>
          </w:tcPr>
          <w:p w14:paraId="1883D728" w14:textId="77777777" w:rsidR="008624F6" w:rsidRPr="00A83C94" w:rsidRDefault="008624F6" w:rsidP="0088445B">
            <w:pPr>
              <w:spacing w:before="0" w:line="240" w:lineRule="auto"/>
              <w:ind w:firstLine="0"/>
              <w:jc w:val="center"/>
              <w:rPr>
                <w:rFonts w:cs="Calibri"/>
                <w:b w:val="0"/>
                <w:bCs/>
                <w:color w:val="FFFFFF"/>
                <w:lang w:val="hy-AM"/>
              </w:rPr>
            </w:pPr>
            <w:r w:rsidRPr="00A83C94">
              <w:rPr>
                <w:rFonts w:cs="Calibri"/>
                <w:b w:val="0"/>
                <w:bCs/>
                <w:color w:val="FFFFFF"/>
                <w:lang w:val="hy-AM"/>
              </w:rPr>
              <w:t>2022-II</w:t>
            </w:r>
          </w:p>
        </w:tc>
        <w:tc>
          <w:tcPr>
            <w:tcW w:w="1026" w:type="dxa"/>
            <w:tcBorders>
              <w:top w:val="nil"/>
              <w:left w:val="nil"/>
              <w:bottom w:val="single" w:sz="8" w:space="0" w:color="FFFFFF"/>
              <w:right w:val="single" w:sz="8" w:space="0" w:color="FFFFFF"/>
            </w:tcBorders>
            <w:shd w:val="clear" w:color="000000" w:fill="5B9BD5"/>
            <w:noWrap/>
            <w:vAlign w:val="center"/>
            <w:hideMark/>
          </w:tcPr>
          <w:p w14:paraId="14E1D22E" w14:textId="77777777" w:rsidR="008624F6" w:rsidRPr="00A83C94" w:rsidRDefault="008624F6" w:rsidP="0088445B">
            <w:pPr>
              <w:spacing w:before="0" w:line="240" w:lineRule="auto"/>
              <w:ind w:firstLine="0"/>
              <w:jc w:val="center"/>
              <w:rPr>
                <w:rFonts w:cs="Calibri"/>
                <w:b w:val="0"/>
                <w:bCs/>
                <w:color w:val="FFFFFF"/>
              </w:rPr>
            </w:pPr>
            <w:r w:rsidRPr="00A83C94">
              <w:rPr>
                <w:rFonts w:cs="Calibri"/>
                <w:b w:val="0"/>
                <w:bCs/>
                <w:color w:val="FFFFFF"/>
              </w:rPr>
              <w:t>2022-III</w:t>
            </w:r>
          </w:p>
        </w:tc>
        <w:tc>
          <w:tcPr>
            <w:tcW w:w="1021" w:type="dxa"/>
            <w:tcBorders>
              <w:top w:val="nil"/>
              <w:left w:val="nil"/>
              <w:bottom w:val="single" w:sz="8" w:space="0" w:color="FFFFFF"/>
              <w:right w:val="single" w:sz="8" w:space="0" w:color="FFFFFF"/>
            </w:tcBorders>
            <w:shd w:val="clear" w:color="000000" w:fill="5B9BD5"/>
            <w:noWrap/>
            <w:vAlign w:val="center"/>
            <w:hideMark/>
          </w:tcPr>
          <w:p w14:paraId="3648EE7A" w14:textId="77777777" w:rsidR="008624F6" w:rsidRPr="00A83C94" w:rsidRDefault="008624F6" w:rsidP="0088445B">
            <w:pPr>
              <w:spacing w:before="0" w:line="240" w:lineRule="auto"/>
              <w:ind w:firstLine="0"/>
              <w:jc w:val="center"/>
              <w:rPr>
                <w:rFonts w:cs="Calibri"/>
                <w:b w:val="0"/>
                <w:bCs/>
                <w:color w:val="FFFFFF"/>
              </w:rPr>
            </w:pPr>
            <w:r w:rsidRPr="00A83C94">
              <w:rPr>
                <w:rFonts w:cs="Calibri"/>
                <w:b w:val="0"/>
                <w:bCs/>
                <w:color w:val="FFFFFF"/>
              </w:rPr>
              <w:t>2022-IV</w:t>
            </w:r>
          </w:p>
        </w:tc>
      </w:tr>
      <w:tr w:rsidR="008624F6" w:rsidRPr="00A83C94" w14:paraId="29C252CF" w14:textId="77777777" w:rsidTr="0088445B">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1AF76AA2" w14:textId="77777777" w:rsidR="008624F6" w:rsidRPr="00A83C94" w:rsidRDefault="008624F6" w:rsidP="0088445B">
            <w:pPr>
              <w:spacing w:before="0" w:line="240" w:lineRule="auto"/>
              <w:ind w:firstLine="0"/>
              <w:jc w:val="center"/>
              <w:rPr>
                <w:rFonts w:cs="Calibri"/>
                <w:bCs/>
                <w:color w:val="000000"/>
              </w:rPr>
            </w:pPr>
            <w:r w:rsidRPr="00A83C94">
              <w:rPr>
                <w:rFonts w:cs="Calibri"/>
                <w:bCs/>
                <w:color w:val="000000"/>
              </w:rPr>
              <w:t>8-12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20C287CB"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0.02</w:t>
            </w:r>
          </w:p>
        </w:tc>
        <w:tc>
          <w:tcPr>
            <w:tcW w:w="939" w:type="dxa"/>
            <w:tcBorders>
              <w:top w:val="nil"/>
              <w:left w:val="nil"/>
              <w:bottom w:val="single" w:sz="8" w:space="0" w:color="5B9BD5"/>
              <w:right w:val="single" w:sz="8" w:space="0" w:color="5B9BD5"/>
            </w:tcBorders>
            <w:shd w:val="clear" w:color="auto" w:fill="auto"/>
            <w:noWrap/>
            <w:vAlign w:val="center"/>
            <w:hideMark/>
          </w:tcPr>
          <w:p w14:paraId="61E04066"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0.04</w:t>
            </w:r>
          </w:p>
        </w:tc>
        <w:tc>
          <w:tcPr>
            <w:tcW w:w="1026" w:type="dxa"/>
            <w:tcBorders>
              <w:top w:val="nil"/>
              <w:left w:val="nil"/>
              <w:bottom w:val="single" w:sz="8" w:space="0" w:color="5B9BD5"/>
              <w:right w:val="single" w:sz="8" w:space="0" w:color="5B9BD5"/>
            </w:tcBorders>
            <w:shd w:val="clear" w:color="auto" w:fill="auto"/>
            <w:noWrap/>
            <w:vAlign w:val="center"/>
            <w:hideMark/>
          </w:tcPr>
          <w:p w14:paraId="73137818"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0.07</w:t>
            </w:r>
          </w:p>
        </w:tc>
        <w:tc>
          <w:tcPr>
            <w:tcW w:w="1021" w:type="dxa"/>
            <w:tcBorders>
              <w:top w:val="nil"/>
              <w:left w:val="nil"/>
              <w:bottom w:val="single" w:sz="8" w:space="0" w:color="5B9BD5"/>
              <w:right w:val="single" w:sz="8" w:space="0" w:color="5B9BD5"/>
            </w:tcBorders>
            <w:shd w:val="clear" w:color="auto" w:fill="auto"/>
            <w:noWrap/>
            <w:vAlign w:val="center"/>
            <w:hideMark/>
          </w:tcPr>
          <w:p w14:paraId="4CF33843"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0.14</w:t>
            </w:r>
          </w:p>
        </w:tc>
      </w:tr>
      <w:tr w:rsidR="008624F6" w:rsidRPr="00A83C94" w14:paraId="2F10F763" w14:textId="77777777" w:rsidTr="0088445B">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1EEF9B54" w14:textId="77777777" w:rsidR="008624F6" w:rsidRPr="00A83C94" w:rsidRDefault="008624F6" w:rsidP="0088445B">
            <w:pPr>
              <w:spacing w:before="0" w:line="240" w:lineRule="auto"/>
              <w:ind w:firstLine="0"/>
              <w:jc w:val="center"/>
              <w:rPr>
                <w:rFonts w:cs="Calibri"/>
                <w:bCs/>
                <w:color w:val="000000"/>
              </w:rPr>
            </w:pPr>
            <w:r w:rsidRPr="00A83C94">
              <w:rPr>
                <w:rFonts w:cs="Calibri"/>
                <w:bCs/>
                <w:color w:val="000000"/>
              </w:rPr>
              <w:t>12-16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6926ADF8"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0.17</w:t>
            </w:r>
          </w:p>
        </w:tc>
        <w:tc>
          <w:tcPr>
            <w:tcW w:w="939" w:type="dxa"/>
            <w:tcBorders>
              <w:top w:val="nil"/>
              <w:left w:val="nil"/>
              <w:bottom w:val="single" w:sz="8" w:space="0" w:color="5B9BD5"/>
              <w:right w:val="single" w:sz="8" w:space="0" w:color="5B9BD5"/>
            </w:tcBorders>
            <w:shd w:val="clear" w:color="auto" w:fill="auto"/>
            <w:noWrap/>
            <w:vAlign w:val="center"/>
            <w:hideMark/>
          </w:tcPr>
          <w:p w14:paraId="0BECF5BD"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0.26</w:t>
            </w:r>
          </w:p>
        </w:tc>
        <w:tc>
          <w:tcPr>
            <w:tcW w:w="1026" w:type="dxa"/>
            <w:tcBorders>
              <w:top w:val="nil"/>
              <w:left w:val="nil"/>
              <w:bottom w:val="single" w:sz="8" w:space="0" w:color="5B9BD5"/>
              <w:right w:val="single" w:sz="8" w:space="0" w:color="5B9BD5"/>
            </w:tcBorders>
            <w:shd w:val="clear" w:color="auto" w:fill="auto"/>
            <w:noWrap/>
            <w:vAlign w:val="center"/>
            <w:hideMark/>
          </w:tcPr>
          <w:p w14:paraId="1C9C03B1"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0.33</w:t>
            </w:r>
          </w:p>
        </w:tc>
        <w:tc>
          <w:tcPr>
            <w:tcW w:w="1021" w:type="dxa"/>
            <w:tcBorders>
              <w:top w:val="nil"/>
              <w:left w:val="nil"/>
              <w:bottom w:val="single" w:sz="8" w:space="0" w:color="5B9BD5"/>
              <w:right w:val="single" w:sz="8" w:space="0" w:color="5B9BD5"/>
            </w:tcBorders>
            <w:shd w:val="clear" w:color="auto" w:fill="auto"/>
            <w:noWrap/>
            <w:vAlign w:val="center"/>
            <w:hideMark/>
          </w:tcPr>
          <w:p w14:paraId="28466156" w14:textId="77777777" w:rsidR="008624F6" w:rsidRPr="00A83C94" w:rsidRDefault="008624F6" w:rsidP="0088445B">
            <w:pPr>
              <w:spacing w:before="0" w:line="240" w:lineRule="auto"/>
              <w:ind w:firstLine="0"/>
              <w:jc w:val="center"/>
              <w:rPr>
                <w:rFonts w:cs="Calibri"/>
                <w:bCs/>
                <w:i/>
                <w:iCs/>
                <w:color w:val="000000"/>
                <w:u w:val="single"/>
              </w:rPr>
            </w:pPr>
            <w:r w:rsidRPr="00A83C94">
              <w:rPr>
                <w:rFonts w:cs="Calibri"/>
                <w:bCs/>
                <w:i/>
                <w:iCs/>
                <w:color w:val="000000"/>
                <w:u w:val="single"/>
              </w:rPr>
              <w:t>0.43</w:t>
            </w:r>
          </w:p>
        </w:tc>
      </w:tr>
      <w:tr w:rsidR="008624F6" w:rsidRPr="00A83C94" w14:paraId="69AA7EBC" w14:textId="77777777" w:rsidTr="0088445B">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38EF4DF5" w14:textId="77777777" w:rsidR="008624F6" w:rsidRPr="00A83C94" w:rsidRDefault="008624F6" w:rsidP="0088445B">
            <w:pPr>
              <w:spacing w:before="0" w:line="240" w:lineRule="auto"/>
              <w:ind w:firstLine="0"/>
              <w:jc w:val="center"/>
              <w:rPr>
                <w:rFonts w:cs="Calibri"/>
                <w:bCs/>
                <w:color w:val="000000"/>
              </w:rPr>
            </w:pPr>
            <w:r w:rsidRPr="00A83C94">
              <w:rPr>
                <w:rFonts w:cs="Calibri"/>
                <w:bCs/>
                <w:color w:val="000000"/>
              </w:rPr>
              <w:t>16-20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4F8E844C" w14:textId="77777777" w:rsidR="008624F6" w:rsidRPr="00A83C94" w:rsidRDefault="008624F6" w:rsidP="0088445B">
            <w:pPr>
              <w:spacing w:before="0" w:line="240" w:lineRule="auto"/>
              <w:ind w:firstLine="0"/>
              <w:jc w:val="center"/>
              <w:rPr>
                <w:rFonts w:cs="Calibri"/>
                <w:bCs/>
                <w:i/>
                <w:iCs/>
                <w:color w:val="000000"/>
                <w:u w:val="single"/>
              </w:rPr>
            </w:pPr>
            <w:r w:rsidRPr="00A83C94">
              <w:rPr>
                <w:rFonts w:cs="Calibri"/>
                <w:bCs/>
                <w:i/>
                <w:iCs/>
                <w:color w:val="000000"/>
                <w:u w:val="single"/>
              </w:rPr>
              <w:t>0.50</w:t>
            </w:r>
          </w:p>
        </w:tc>
        <w:tc>
          <w:tcPr>
            <w:tcW w:w="939" w:type="dxa"/>
            <w:tcBorders>
              <w:top w:val="nil"/>
              <w:left w:val="nil"/>
              <w:bottom w:val="single" w:sz="8" w:space="0" w:color="5B9BD5"/>
              <w:right w:val="single" w:sz="8" w:space="0" w:color="5B9BD5"/>
            </w:tcBorders>
            <w:shd w:val="clear" w:color="auto" w:fill="auto"/>
            <w:noWrap/>
            <w:vAlign w:val="center"/>
            <w:hideMark/>
          </w:tcPr>
          <w:p w14:paraId="29763EB6" w14:textId="77777777" w:rsidR="008624F6" w:rsidRPr="00A83C94" w:rsidRDefault="008624F6" w:rsidP="0088445B">
            <w:pPr>
              <w:spacing w:before="0" w:line="240" w:lineRule="auto"/>
              <w:ind w:firstLine="0"/>
              <w:jc w:val="center"/>
              <w:rPr>
                <w:rFonts w:cs="Calibri"/>
                <w:bCs/>
                <w:i/>
                <w:iCs/>
                <w:color w:val="000000"/>
                <w:u w:val="single"/>
              </w:rPr>
            </w:pPr>
            <w:r w:rsidRPr="00A83C94">
              <w:rPr>
                <w:rFonts w:cs="Calibri"/>
                <w:bCs/>
                <w:i/>
                <w:iCs/>
                <w:color w:val="000000"/>
                <w:u w:val="single"/>
              </w:rPr>
              <w:t>0.53</w:t>
            </w:r>
          </w:p>
        </w:tc>
        <w:tc>
          <w:tcPr>
            <w:tcW w:w="1026" w:type="dxa"/>
            <w:tcBorders>
              <w:top w:val="nil"/>
              <w:left w:val="nil"/>
              <w:bottom w:val="single" w:sz="8" w:space="0" w:color="5B9BD5"/>
              <w:right w:val="single" w:sz="8" w:space="0" w:color="5B9BD5"/>
            </w:tcBorders>
            <w:shd w:val="clear" w:color="auto" w:fill="auto"/>
            <w:noWrap/>
            <w:vAlign w:val="center"/>
            <w:hideMark/>
          </w:tcPr>
          <w:p w14:paraId="3850A38F" w14:textId="77777777" w:rsidR="008624F6" w:rsidRPr="00A83C94" w:rsidRDefault="008624F6" w:rsidP="0088445B">
            <w:pPr>
              <w:spacing w:before="0" w:line="240" w:lineRule="auto"/>
              <w:ind w:firstLine="0"/>
              <w:jc w:val="center"/>
              <w:rPr>
                <w:rFonts w:cs="Calibri"/>
                <w:bCs/>
                <w:i/>
                <w:iCs/>
                <w:color w:val="000000"/>
                <w:u w:val="single"/>
              </w:rPr>
            </w:pPr>
            <w:r w:rsidRPr="00A83C94">
              <w:rPr>
                <w:rFonts w:cs="Calibri"/>
                <w:bCs/>
                <w:i/>
                <w:iCs/>
                <w:color w:val="000000"/>
                <w:u w:val="single"/>
              </w:rPr>
              <w:t>0.51</w:t>
            </w:r>
          </w:p>
        </w:tc>
        <w:tc>
          <w:tcPr>
            <w:tcW w:w="1021" w:type="dxa"/>
            <w:tcBorders>
              <w:top w:val="nil"/>
              <w:left w:val="nil"/>
              <w:bottom w:val="single" w:sz="8" w:space="0" w:color="5B9BD5"/>
              <w:right w:val="single" w:sz="8" w:space="0" w:color="5B9BD5"/>
            </w:tcBorders>
            <w:shd w:val="clear" w:color="auto" w:fill="auto"/>
            <w:noWrap/>
            <w:vAlign w:val="center"/>
            <w:hideMark/>
          </w:tcPr>
          <w:p w14:paraId="089F7DD1"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0.39</w:t>
            </w:r>
          </w:p>
        </w:tc>
      </w:tr>
      <w:tr w:rsidR="008624F6" w:rsidRPr="00A83C94" w14:paraId="365A21FA" w14:textId="77777777" w:rsidTr="0088445B">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4CCCDAE5" w14:textId="77777777" w:rsidR="008624F6" w:rsidRPr="00A83C94" w:rsidRDefault="008624F6" w:rsidP="0088445B">
            <w:pPr>
              <w:spacing w:before="0" w:line="240" w:lineRule="auto"/>
              <w:ind w:firstLine="0"/>
              <w:jc w:val="center"/>
              <w:rPr>
                <w:rFonts w:cs="Calibri"/>
                <w:bCs/>
                <w:color w:val="000000"/>
              </w:rPr>
            </w:pPr>
            <w:r w:rsidRPr="00A83C94">
              <w:rPr>
                <w:rFonts w:cs="Calibri"/>
                <w:bCs/>
                <w:color w:val="000000"/>
              </w:rPr>
              <w:t>20-24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69F672E8"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0.31</w:t>
            </w:r>
          </w:p>
        </w:tc>
        <w:tc>
          <w:tcPr>
            <w:tcW w:w="939" w:type="dxa"/>
            <w:tcBorders>
              <w:top w:val="nil"/>
              <w:left w:val="nil"/>
              <w:bottom w:val="single" w:sz="8" w:space="0" w:color="5B9BD5"/>
              <w:right w:val="single" w:sz="8" w:space="0" w:color="5B9BD5"/>
            </w:tcBorders>
            <w:shd w:val="clear" w:color="auto" w:fill="auto"/>
            <w:noWrap/>
            <w:vAlign w:val="center"/>
            <w:hideMark/>
          </w:tcPr>
          <w:p w14:paraId="2EA327D1"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0.16</w:t>
            </w:r>
          </w:p>
        </w:tc>
        <w:tc>
          <w:tcPr>
            <w:tcW w:w="1026" w:type="dxa"/>
            <w:tcBorders>
              <w:top w:val="nil"/>
              <w:left w:val="nil"/>
              <w:bottom w:val="single" w:sz="8" w:space="0" w:color="5B9BD5"/>
              <w:right w:val="single" w:sz="8" w:space="0" w:color="5B9BD5"/>
            </w:tcBorders>
            <w:shd w:val="clear" w:color="auto" w:fill="auto"/>
            <w:noWrap/>
            <w:vAlign w:val="center"/>
            <w:hideMark/>
          </w:tcPr>
          <w:p w14:paraId="443B483B"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0.08</w:t>
            </w:r>
          </w:p>
        </w:tc>
        <w:tc>
          <w:tcPr>
            <w:tcW w:w="1021" w:type="dxa"/>
            <w:tcBorders>
              <w:top w:val="nil"/>
              <w:left w:val="nil"/>
              <w:bottom w:val="single" w:sz="8" w:space="0" w:color="5B9BD5"/>
              <w:right w:val="single" w:sz="8" w:space="0" w:color="5B9BD5"/>
            </w:tcBorders>
            <w:shd w:val="clear" w:color="auto" w:fill="auto"/>
            <w:noWrap/>
            <w:vAlign w:val="center"/>
            <w:hideMark/>
          </w:tcPr>
          <w:p w14:paraId="314EC7F7" w14:textId="77777777" w:rsidR="008624F6" w:rsidRPr="00A83C94" w:rsidRDefault="008624F6" w:rsidP="0088445B">
            <w:pPr>
              <w:spacing w:before="0" w:line="240" w:lineRule="auto"/>
              <w:ind w:firstLine="0"/>
              <w:jc w:val="center"/>
              <w:rPr>
                <w:rFonts w:cs="Calibri"/>
                <w:b w:val="0"/>
                <w:color w:val="000000"/>
              </w:rPr>
            </w:pPr>
            <w:r w:rsidRPr="00A83C94">
              <w:rPr>
                <w:rFonts w:cs="Calibri"/>
                <w:b w:val="0"/>
                <w:color w:val="000000"/>
              </w:rPr>
              <w:t>0.02</w:t>
            </w:r>
          </w:p>
        </w:tc>
      </w:tr>
    </w:tbl>
    <w:p w14:paraId="42D63672" w14:textId="77777777" w:rsidR="008F0D40" w:rsidRPr="00A83C94" w:rsidRDefault="008F0D40" w:rsidP="008624F6">
      <w:pPr>
        <w:spacing w:after="120" w:line="276" w:lineRule="auto"/>
        <w:ind w:firstLine="720"/>
        <w:rPr>
          <w:rFonts w:cs="Sylfaen"/>
          <w:b w:val="0"/>
          <w:lang w:val="hy-AM"/>
        </w:rPr>
      </w:pPr>
    </w:p>
    <w:p w14:paraId="3AD64618" w14:textId="2FCDA8E7" w:rsidR="008624F6" w:rsidRPr="00A83C94" w:rsidRDefault="008624F6" w:rsidP="008624F6">
      <w:pPr>
        <w:spacing w:after="120" w:line="276" w:lineRule="auto"/>
        <w:ind w:firstLine="720"/>
        <w:rPr>
          <w:rFonts w:cs="Sylfaen"/>
          <w:b w:val="0"/>
          <w:lang w:val="hy-AM"/>
        </w:rPr>
      </w:pPr>
      <w:r w:rsidRPr="00A83C94">
        <w:rPr>
          <w:rFonts w:cs="Sylfaen"/>
          <w:b w:val="0"/>
          <w:lang w:val="hy-AM"/>
        </w:rPr>
        <w:t xml:space="preserve">Աղյուսակ 20-ի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Համաձայն գնահատականների, 2022 թվականին առաջին երեք եռամսյակներում 16-20% միջակայքում և  չորրորդ եռամսյակում 20-24% միջակայքում գտնվելու հավանականություններն ամենաբարձրն են, (Գծապատկեր 2.1-ում այն մուգ կարմիր է, իսկ Աղյուսակ 20-ում՝ հոծ նշումով): </w:t>
      </w:r>
    </w:p>
    <w:p w14:paraId="7FD57EB4" w14:textId="77777777" w:rsidR="008F0D40" w:rsidRPr="00A83C94" w:rsidRDefault="008F0D40" w:rsidP="008624F6">
      <w:pPr>
        <w:spacing w:after="120" w:line="276" w:lineRule="auto"/>
        <w:ind w:firstLine="720"/>
        <w:rPr>
          <w:rFonts w:cs="Sylfaen"/>
          <w:b w:val="0"/>
          <w:lang w:val="hy-AM"/>
        </w:rPr>
      </w:pPr>
    </w:p>
    <w:p w14:paraId="494BCB21"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lang w:val="hy-AM"/>
        </w:rPr>
      </w:pPr>
      <w:r w:rsidRPr="00A83C94">
        <w:rPr>
          <w:rFonts w:cs="Sylfaen"/>
          <w:lang w:val="hy-AM"/>
        </w:rPr>
        <w:t xml:space="preserve">Ներդիր </w:t>
      </w:r>
    </w:p>
    <w:p w14:paraId="7BBC849B"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line="276" w:lineRule="auto"/>
        <w:ind w:firstLine="720"/>
        <w:rPr>
          <w:rFonts w:cs="Sylfaen"/>
          <w:lang w:val="hy-AM"/>
        </w:rPr>
      </w:pPr>
      <w:r w:rsidRPr="00A83C94">
        <w:rPr>
          <w:rFonts w:cs="Sylfaen"/>
          <w:lang w:val="hy-AM"/>
        </w:rPr>
        <w:t>Իրական ՀՆԱ-ի և հարկային եկամուտների կանխատեսումների հավանականային բաշխման գծապատկերի կառուցումը</w:t>
      </w:r>
    </w:p>
    <w:p w14:paraId="0A38236D"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 xml:space="preserve">Իրական ՀՆԱ-ի </w:t>
      </w:r>
      <w:r w:rsidRPr="00A83C94">
        <w:rPr>
          <w:b w:val="0"/>
          <w:lang w:val="hy-AM"/>
        </w:rPr>
        <w:t xml:space="preserve">և հարկային եկամուտների կանխատեսումների </w:t>
      </w:r>
      <w:r w:rsidRPr="00A83C94">
        <w:rPr>
          <w:rFonts w:cs="Sylfaen"/>
          <w:b w:val="0"/>
          <w:lang w:val="hy-AM"/>
        </w:rPr>
        <w:t>հավանականային</w:t>
      </w:r>
      <w:r w:rsidRPr="00A83C94">
        <w:rPr>
          <w:b w:val="0"/>
          <w:lang w:val="hy-AM"/>
        </w:rPr>
        <w:t xml:space="preserve"> բ</w:t>
      </w:r>
      <w:r w:rsidRPr="00A83C94">
        <w:rPr>
          <w:rFonts w:cs="Sylfaen"/>
          <w:b w:val="0"/>
          <w:lang w:val="hy-AM"/>
        </w:rPr>
        <w:t xml:space="preserve">աշխումը ներկայացնող գծապատկերները ցույց </w:t>
      </w:r>
      <w:r w:rsidRPr="00A83C94">
        <w:rPr>
          <w:b w:val="0"/>
          <w:lang w:val="hy-AM"/>
        </w:rPr>
        <w:t xml:space="preserve">են </w:t>
      </w:r>
      <w:r w:rsidRPr="00A83C94">
        <w:rPr>
          <w:rFonts w:cs="Sylfaen"/>
          <w:b w:val="0"/>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A83C94">
        <w:rPr>
          <w:b w:val="0"/>
          <w:lang w:val="hy-AM"/>
        </w:rPr>
        <w:t>:</w:t>
      </w:r>
    </w:p>
    <w:p w14:paraId="26B3BC7B"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val="0"/>
          <w:lang w:val="hy-AM"/>
        </w:rPr>
      </w:pPr>
      <w:r w:rsidRPr="00A83C94">
        <w:rPr>
          <w:rFonts w:cs="Sylfaen"/>
          <w:b w:val="0"/>
          <w:lang w:val="hy-AM"/>
        </w:rPr>
        <w:t>Կանխատեսումների հավանականային բաշխման գծապատկերի կառուցման անհրաժեշտությունը պայմանավորված է նրանով</w:t>
      </w:r>
      <w:r w:rsidRPr="00A83C94">
        <w:rPr>
          <w:b w:val="0"/>
          <w:lang w:val="hy-AM"/>
        </w:rPr>
        <w:t xml:space="preserve">, </w:t>
      </w:r>
      <w:r w:rsidRPr="00A83C94">
        <w:rPr>
          <w:rFonts w:cs="Sylfaen"/>
          <w:b w:val="0"/>
          <w:lang w:val="hy-AM"/>
        </w:rPr>
        <w:t>որ բոլոր կանխատեսումները ինչ</w:t>
      </w:r>
      <w:r w:rsidRPr="00A83C94">
        <w:rPr>
          <w:b w:val="0"/>
          <w:lang w:val="hy-AM"/>
        </w:rPr>
        <w:t>-</w:t>
      </w:r>
      <w:r w:rsidRPr="00A83C94">
        <w:rPr>
          <w:rFonts w:cs="Sylfaen"/>
          <w:b w:val="0"/>
          <w:lang w:val="hy-AM"/>
        </w:rPr>
        <w:t>որ չափով անորոշ են</w:t>
      </w:r>
      <w:r w:rsidRPr="00A83C94">
        <w:rPr>
          <w:b w:val="0"/>
          <w:lang w:val="hy-AM"/>
        </w:rPr>
        <w:t xml:space="preserve">: </w:t>
      </w:r>
      <w:r w:rsidRPr="00A83C94">
        <w:rPr>
          <w:rFonts w:cs="Sylfaen"/>
          <w:b w:val="0"/>
          <w:lang w:val="hy-AM"/>
        </w:rPr>
        <w:t>Կարևոր է հաշվի առնել ոչ միայն կոնկրետ կանխատեսված արժեքները</w:t>
      </w:r>
      <w:r w:rsidRPr="00A83C94">
        <w:rPr>
          <w:b w:val="0"/>
          <w:lang w:val="hy-AM"/>
        </w:rPr>
        <w:t xml:space="preserve">, </w:t>
      </w:r>
      <w:r w:rsidRPr="00A83C94">
        <w:rPr>
          <w:rFonts w:cs="Sylfaen"/>
          <w:b w:val="0"/>
          <w:lang w:val="hy-AM"/>
        </w:rPr>
        <w:t>այլ նաև բոլոր այն</w:t>
      </w:r>
      <w:r w:rsidRPr="00A83C94">
        <w:rPr>
          <w:b w:val="0"/>
          <w:lang w:val="hy-AM"/>
        </w:rPr>
        <w:t xml:space="preserve"> վերոնշյալ </w:t>
      </w:r>
      <w:r w:rsidRPr="00A83C94">
        <w:rPr>
          <w:rFonts w:cs="Sylfaen"/>
          <w:b w:val="0"/>
          <w:lang w:val="hy-AM"/>
        </w:rPr>
        <w:t>ռիսկերը</w:t>
      </w:r>
      <w:r w:rsidRPr="00A83C94">
        <w:rPr>
          <w:b w:val="0"/>
          <w:lang w:val="hy-AM"/>
        </w:rPr>
        <w:t xml:space="preserve">, </w:t>
      </w:r>
      <w:r w:rsidRPr="00A83C94">
        <w:rPr>
          <w:rFonts w:cs="Sylfaen"/>
          <w:b w:val="0"/>
          <w:lang w:val="hy-AM"/>
        </w:rPr>
        <w:t>որոնց արդյունքում կարող են շեղումներ առաջանալ իրական ՀՆԱ-ի կանխատեսումների և հարկերի կանխատեսումների կենտրոնական արժեքներից</w:t>
      </w:r>
      <w:r w:rsidRPr="00A83C94">
        <w:rPr>
          <w:b w:val="0"/>
          <w:lang w:val="hy-AM"/>
        </w:rPr>
        <w:t xml:space="preserve">: </w:t>
      </w:r>
      <w:r w:rsidRPr="00A83C94">
        <w:rPr>
          <w:rFonts w:cs="Sylfaen"/>
          <w:b w:val="0"/>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A83C94">
        <w:rPr>
          <w:b w:val="0"/>
          <w:lang w:val="hy-AM"/>
        </w:rPr>
        <w:t xml:space="preserve"> դրանց </w:t>
      </w:r>
      <w:r w:rsidRPr="00A83C94">
        <w:rPr>
          <w:rFonts w:cs="Sylfaen"/>
          <w:b w:val="0"/>
          <w:lang w:val="hy-AM"/>
        </w:rPr>
        <w:t>աղբյուրների վերաբերյալ</w:t>
      </w:r>
      <w:r w:rsidRPr="00A83C94">
        <w:rPr>
          <w:b w:val="0"/>
          <w:lang w:val="hy-AM"/>
        </w:rPr>
        <w:t xml:space="preserve">: </w:t>
      </w:r>
      <w:r w:rsidRPr="00A83C94">
        <w:rPr>
          <w:rFonts w:cs="Sylfaen"/>
          <w:b w:val="0"/>
          <w:lang w:val="hy-AM"/>
        </w:rPr>
        <w:t>Այդ պատճառով կարևորվում է որոշակի վստահության միջակայքի կառուցման խնդիրը</w:t>
      </w:r>
      <w:r w:rsidRPr="00A83C94">
        <w:rPr>
          <w:b w:val="0"/>
          <w:lang w:val="hy-AM"/>
        </w:rPr>
        <w:t xml:space="preserve">, </w:t>
      </w:r>
      <w:r w:rsidRPr="00A83C94">
        <w:rPr>
          <w:rFonts w:cs="Sylfaen"/>
          <w:b w:val="0"/>
          <w:lang w:val="hy-AM"/>
        </w:rPr>
        <w:t>որը թույլ կտա գնահատել իրադարձությունների զարգացման հավանական ընթացքը</w:t>
      </w:r>
      <w:r w:rsidRPr="00A83C94">
        <w:rPr>
          <w:b w:val="0"/>
          <w:lang w:val="hy-AM"/>
        </w:rPr>
        <w:t xml:space="preserve">: Իրական ՀՆԱ-ի և հարկերի կանխատեսումների հավանականային բաշխման ներկայացված գծապատկերները հիմնվում են </w:t>
      </w:r>
      <w:r w:rsidRPr="00A83C94">
        <w:rPr>
          <w:rFonts w:cs="Sylfaen"/>
          <w:b w:val="0"/>
          <w:lang w:val="hy-AM"/>
        </w:rPr>
        <w:t>Անգլիայի բանկի կողմից մշակված մեթոդաբանության վրա և հաշվի է առնում</w:t>
      </w:r>
      <w:r w:rsidRPr="00A83C94">
        <w:rPr>
          <w:b w:val="0"/>
          <w:lang w:val="hy-AM"/>
        </w:rPr>
        <w:t xml:space="preserve"> կանխատեսումների հավանականային բաշխման </w:t>
      </w:r>
      <w:r w:rsidRPr="00A83C94">
        <w:rPr>
          <w:rFonts w:cs="Sylfaen"/>
          <w:b w:val="0"/>
          <w:lang w:val="hy-AM"/>
        </w:rPr>
        <w:t>ասիմետրիկության առկայությունը</w:t>
      </w:r>
      <w:r w:rsidRPr="00A83C94">
        <w:rPr>
          <w:b w:val="0"/>
          <w:lang w:val="hy-AM"/>
        </w:rPr>
        <w:t xml:space="preserve">: </w:t>
      </w:r>
    </w:p>
    <w:p w14:paraId="585270C8"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Հայաստանի համար իրական ՀՆԱ-ի և հարկերի աճի կանխատեսումների բաշխման գծապատկերները կառուցվել են երեք չափորոշիչների հիման վրա.</w:t>
      </w:r>
    </w:p>
    <w:p w14:paraId="6DBD880A"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val="0"/>
          <w:lang w:val="hy-AM"/>
        </w:rPr>
      </w:pPr>
      <w:r w:rsidRPr="00A83C94">
        <w:rPr>
          <w:b w:val="0"/>
          <w:lang w:val="hy-AM"/>
        </w:rPr>
        <w:t xml:space="preserve">1. </w:t>
      </w:r>
      <w:r w:rsidRPr="00A83C94">
        <w:rPr>
          <w:rFonts w:cs="Sylfaen"/>
          <w:b w:val="0"/>
          <w:lang w:val="hy-AM"/>
        </w:rPr>
        <w:t xml:space="preserve">կենտրոնական արժեքները, </w:t>
      </w:r>
      <w:r w:rsidRPr="00A83C94">
        <w:rPr>
          <w:b w:val="0"/>
          <w:lang w:val="hy-AM"/>
        </w:rPr>
        <w:t xml:space="preserve">2. </w:t>
      </w:r>
      <w:r w:rsidRPr="00A83C94">
        <w:rPr>
          <w:rFonts w:cs="Sylfaen"/>
          <w:b w:val="0"/>
          <w:lang w:val="hy-AM"/>
        </w:rPr>
        <w:t>անորոշության չափը</w:t>
      </w:r>
      <w:r w:rsidRPr="00A83C94">
        <w:rPr>
          <w:b w:val="0"/>
          <w:lang w:val="hy-AM"/>
        </w:rPr>
        <w:t xml:space="preserve"> (</w:t>
      </w:r>
      <w:r w:rsidRPr="00A83C94">
        <w:rPr>
          <w:rFonts w:cs="Sylfaen"/>
          <w:b w:val="0"/>
          <w:lang w:val="hy-AM"/>
        </w:rPr>
        <w:t>դիսպերսիան</w:t>
      </w:r>
      <w:r w:rsidRPr="00A83C94">
        <w:rPr>
          <w:b w:val="0"/>
          <w:lang w:val="hy-AM"/>
        </w:rPr>
        <w:t>),</w:t>
      </w:r>
      <w:r w:rsidRPr="00A83C94">
        <w:rPr>
          <w:rFonts w:cs="Sylfaen"/>
          <w:b w:val="0"/>
          <w:lang w:val="hy-AM"/>
        </w:rPr>
        <w:t xml:space="preserve"> որը ստանալու համար հիմք են հանդիսացել փաստացի պատմական շարքերի կանխատեսումային սխալները և </w:t>
      </w:r>
      <w:r w:rsidRPr="00A83C94">
        <w:rPr>
          <w:b w:val="0"/>
          <w:lang w:val="hy-AM"/>
        </w:rPr>
        <w:t xml:space="preserve">3. </w:t>
      </w:r>
      <w:r w:rsidRPr="00A83C94">
        <w:rPr>
          <w:rFonts w:cs="Sylfaen"/>
          <w:b w:val="0"/>
          <w:lang w:val="hy-AM"/>
        </w:rPr>
        <w:t>ռիսկերի հարաբերական հաշվեկշիռը՝ անհամաչափության գործակցի գնահատման նպատակով:</w:t>
      </w:r>
    </w:p>
    <w:p w14:paraId="1B18CA3E"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Ունենալով կանխատեսված</w:t>
      </w:r>
      <w:r w:rsidRPr="00A83C94">
        <w:rPr>
          <w:b w:val="0"/>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2022 թվականի համար (տես` Գծապատկեր 2.1):</w:t>
      </w:r>
    </w:p>
    <w:p w14:paraId="21136180" w14:textId="77777777" w:rsidR="008624F6" w:rsidRPr="00A83C94" w:rsidRDefault="008624F6" w:rsidP="008624F6">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ՀՆԱ-ի և հարկերի կանխատեսման գծապատկերներում կենտրոնական մուգ</w:t>
      </w:r>
      <w:r w:rsidRPr="00A83C94">
        <w:rPr>
          <w:b w:val="0"/>
          <w:lang w:val="hy-AM"/>
        </w:rPr>
        <w:t xml:space="preserve"> (</w:t>
      </w:r>
      <w:r w:rsidRPr="00A83C94">
        <w:rPr>
          <w:rFonts w:cs="Sylfaen"/>
          <w:b w:val="0"/>
          <w:lang w:val="hy-AM"/>
        </w:rPr>
        <w:t>կարմիր)</w:t>
      </w:r>
      <w:r w:rsidRPr="00A83C94">
        <w:rPr>
          <w:b w:val="0"/>
          <w:lang w:val="hy-AM"/>
        </w:rPr>
        <w:t xml:space="preserve"> ավելի նեղ </w:t>
      </w:r>
      <w:r w:rsidRPr="00A83C94">
        <w:rPr>
          <w:rFonts w:cs="Sylfaen"/>
          <w:b w:val="0"/>
          <w:lang w:val="hy-AM"/>
        </w:rPr>
        <w:t>միջակայքը ներառում է նաև</w:t>
      </w:r>
      <w:r w:rsidRPr="00A83C94">
        <w:rPr>
          <w:b w:val="0"/>
          <w:lang w:val="hy-AM"/>
        </w:rPr>
        <w:t xml:space="preserve"> կանխատեսման </w:t>
      </w:r>
      <w:r w:rsidRPr="00A83C94">
        <w:rPr>
          <w:rFonts w:cs="Sylfaen"/>
          <w:b w:val="0"/>
          <w:lang w:val="hy-AM"/>
        </w:rPr>
        <w:t>կենտրոնական սցենարը</w:t>
      </w:r>
      <w:r w:rsidRPr="00A83C94">
        <w:rPr>
          <w:b w:val="0"/>
          <w:lang w:val="hy-AM"/>
        </w:rPr>
        <w:t xml:space="preserve"> (</w:t>
      </w:r>
      <w:r w:rsidRPr="00A83C94">
        <w:rPr>
          <w:rFonts w:cs="Sylfaen"/>
          <w:b w:val="0"/>
          <w:lang w:val="hy-AM"/>
        </w:rPr>
        <w:t>կանխատեսված արժեքները</w:t>
      </w:r>
      <w:r w:rsidRPr="00A83C94">
        <w:rPr>
          <w:b w:val="0"/>
          <w:lang w:val="hy-AM"/>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14:paraId="7F902F15" w14:textId="77777777" w:rsidR="008624F6" w:rsidRPr="00A83C94" w:rsidRDefault="008624F6" w:rsidP="008624F6">
      <w:pPr>
        <w:pStyle w:val="BodyText2"/>
        <w:ind w:firstLine="0"/>
        <w:rPr>
          <w:b/>
          <w:color w:val="1F497D" w:themeColor="text2"/>
          <w:sz w:val="24"/>
          <w:szCs w:val="24"/>
        </w:rPr>
      </w:pPr>
    </w:p>
    <w:p w14:paraId="64C4D54F" w14:textId="77777777" w:rsidR="00E14DDE" w:rsidRPr="00A83C94" w:rsidRDefault="00ED3452" w:rsidP="007730AA">
      <w:pPr>
        <w:spacing w:before="0" w:line="276" w:lineRule="auto"/>
        <w:ind w:firstLine="0"/>
        <w:contextualSpacing w:val="0"/>
        <w:rPr>
          <w:sz w:val="24"/>
          <w:lang w:val="hy-AM"/>
        </w:rPr>
      </w:pPr>
      <w:r w:rsidRPr="00A83C94">
        <w:rPr>
          <w:sz w:val="24"/>
          <w:lang w:val="hy-AM"/>
        </w:rPr>
        <w:t>2</w:t>
      </w:r>
      <w:r w:rsidR="00E14DDE" w:rsidRPr="00A83C94">
        <w:rPr>
          <w:sz w:val="24"/>
          <w:lang w:val="hy-AM"/>
        </w:rPr>
        <w:t>.2.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14:paraId="3FE49FD4" w14:textId="77777777" w:rsidR="008624F6" w:rsidRPr="00A83C94" w:rsidRDefault="008624F6" w:rsidP="008624F6">
      <w:pPr>
        <w:spacing w:after="120" w:line="276" w:lineRule="auto"/>
        <w:ind w:firstLine="720"/>
        <w:rPr>
          <w:rFonts w:cs="Sylfaen"/>
          <w:b w:val="0"/>
          <w:lang w:val="hy-AM"/>
        </w:rPr>
      </w:pPr>
      <w:r w:rsidRPr="00A83C94">
        <w:rPr>
          <w:rFonts w:cs="Sylfaen"/>
          <w:b w:val="0"/>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14:paraId="40D46933" w14:textId="4AFBAF72" w:rsidR="008624F6" w:rsidRPr="00A83C94" w:rsidRDefault="003F382C" w:rsidP="003F382C">
      <w:pPr>
        <w:pStyle w:val="Caption"/>
        <w:rPr>
          <w:b/>
        </w:rPr>
      </w:pPr>
      <w:bookmarkStart w:id="321" w:name="_Toc83928957"/>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20</w:t>
      </w:r>
      <w:r>
        <w:fldChar w:fldCharType="end"/>
      </w:r>
      <w:r w:rsidR="008624F6" w:rsidRPr="008B1D49">
        <w:rPr>
          <w:lang w:val="hy-AM"/>
        </w:rPr>
        <w:t xml:space="preserve">. </w:t>
      </w:r>
      <w:r w:rsidR="008624F6" w:rsidRPr="008B1D49">
        <w:rPr>
          <w:sz w:val="20"/>
          <w:szCs w:val="20"/>
          <w:lang w:val="hy-AM"/>
        </w:rPr>
        <w:t>ՀՀ պետական բյուջեի հարկային եկամուտների և ծախսերի, ինչպես նաև այլ հոսքերի գծով ռիսկերի ընդհանուր ազդեցությունը</w:t>
      </w:r>
      <w:r w:rsidR="008624F6" w:rsidRPr="00A83C94">
        <w:rPr>
          <w:sz w:val="20"/>
          <w:szCs w:val="20"/>
          <w:vertAlign w:val="superscript"/>
        </w:rPr>
        <w:footnoteReference w:id="31"/>
      </w:r>
      <w:r w:rsidR="008624F6" w:rsidRPr="008B1D49">
        <w:rPr>
          <w:sz w:val="20"/>
          <w:szCs w:val="20"/>
          <w:lang w:val="hy-AM"/>
        </w:rPr>
        <w:t xml:space="preserve">. </w:t>
      </w:r>
      <w:r w:rsidR="008624F6" w:rsidRPr="00A83C94">
        <w:rPr>
          <w:sz w:val="20"/>
          <w:szCs w:val="20"/>
        </w:rPr>
        <w:t>(ֆինանսավորման պահանջ` - պահանջի մեծացում, + պահանջի նվազում), մլրդ ՀՀ դրամ</w:t>
      </w:r>
      <w:bookmarkEnd w:id="321"/>
      <w:r w:rsidR="008624F6" w:rsidRPr="00A83C94">
        <w:t xml:space="preserve"> </w:t>
      </w:r>
    </w:p>
    <w:tbl>
      <w:tblPr>
        <w:tblW w:w="7160" w:type="dxa"/>
        <w:tblInd w:w="1075" w:type="dxa"/>
        <w:tblLook w:val="04A0" w:firstRow="1" w:lastRow="0" w:firstColumn="1" w:lastColumn="0" w:noHBand="0" w:noVBand="1"/>
      </w:tblPr>
      <w:tblGrid>
        <w:gridCol w:w="5260"/>
        <w:gridCol w:w="1900"/>
      </w:tblGrid>
      <w:tr w:rsidR="008624F6" w:rsidRPr="00A83C94" w14:paraId="73EEED2E" w14:textId="77777777" w:rsidTr="0088445B">
        <w:trPr>
          <w:trHeight w:val="705"/>
        </w:trPr>
        <w:tc>
          <w:tcPr>
            <w:tcW w:w="5260" w:type="dxa"/>
            <w:vMerge w:val="restart"/>
            <w:tcBorders>
              <w:top w:val="single" w:sz="4" w:space="0" w:color="333399"/>
              <w:left w:val="single" w:sz="4" w:space="0" w:color="333399"/>
              <w:bottom w:val="nil"/>
              <w:right w:val="single" w:sz="4" w:space="0" w:color="333399"/>
            </w:tcBorders>
            <w:shd w:val="clear" w:color="000000" w:fill="0066CC"/>
            <w:vAlign w:val="center"/>
            <w:hideMark/>
          </w:tcPr>
          <w:p w14:paraId="2FD4AA90" w14:textId="77777777" w:rsidR="008624F6" w:rsidRPr="00A83C94" w:rsidRDefault="008624F6" w:rsidP="0088445B">
            <w:pPr>
              <w:spacing w:before="0" w:line="240" w:lineRule="auto"/>
              <w:ind w:firstLine="0"/>
              <w:jc w:val="center"/>
              <w:rPr>
                <w:b w:val="0"/>
                <w:bCs/>
                <w:color w:val="FFFFFF"/>
                <w:lang w:val="hy-AM"/>
              </w:rPr>
            </w:pPr>
            <w:r w:rsidRPr="00A83C94">
              <w:rPr>
                <w:b w:val="0"/>
                <w:bCs/>
                <w:color w:val="FFFFFF"/>
                <w:lang w:val="hy-AM"/>
              </w:rPr>
              <w:t>Մակրոտնտեսական ցուցանիշների կանխատեսվող ռիսկեր</w:t>
            </w:r>
          </w:p>
        </w:tc>
        <w:tc>
          <w:tcPr>
            <w:tcW w:w="1900" w:type="dxa"/>
            <w:tcBorders>
              <w:top w:val="single" w:sz="4" w:space="0" w:color="333399"/>
              <w:left w:val="nil"/>
              <w:bottom w:val="single" w:sz="4" w:space="0" w:color="333399"/>
              <w:right w:val="single" w:sz="4" w:space="0" w:color="333399"/>
            </w:tcBorders>
            <w:shd w:val="clear" w:color="000000" w:fill="0066CC"/>
            <w:vAlign w:val="center"/>
            <w:hideMark/>
          </w:tcPr>
          <w:p w14:paraId="0CA01269" w14:textId="77777777" w:rsidR="008624F6" w:rsidRPr="00A83C94" w:rsidRDefault="008624F6" w:rsidP="0088445B">
            <w:pPr>
              <w:spacing w:before="0" w:line="240" w:lineRule="auto"/>
              <w:ind w:firstLine="0"/>
              <w:jc w:val="center"/>
              <w:rPr>
                <w:b w:val="0"/>
                <w:bCs/>
                <w:color w:val="FFFFFF"/>
                <w:lang w:val="hy-AM"/>
              </w:rPr>
            </w:pPr>
            <w:r w:rsidRPr="00A83C94">
              <w:rPr>
                <w:b w:val="0"/>
                <w:bCs/>
                <w:color w:val="FFFFFF"/>
                <w:lang w:val="hy-AM"/>
              </w:rPr>
              <w:t>2022</w:t>
            </w:r>
          </w:p>
        </w:tc>
      </w:tr>
      <w:tr w:rsidR="008624F6" w:rsidRPr="00A83C94" w14:paraId="5B6D520C" w14:textId="77777777" w:rsidTr="0088445B">
        <w:trPr>
          <w:trHeight w:val="255"/>
        </w:trPr>
        <w:tc>
          <w:tcPr>
            <w:tcW w:w="5260" w:type="dxa"/>
            <w:vMerge/>
            <w:tcBorders>
              <w:top w:val="single" w:sz="4" w:space="0" w:color="333399"/>
              <w:left w:val="single" w:sz="4" w:space="0" w:color="333399"/>
              <w:bottom w:val="nil"/>
              <w:right w:val="single" w:sz="4" w:space="0" w:color="333399"/>
            </w:tcBorders>
            <w:vAlign w:val="center"/>
            <w:hideMark/>
          </w:tcPr>
          <w:p w14:paraId="300DEFE7" w14:textId="77777777" w:rsidR="008624F6" w:rsidRPr="00A83C94" w:rsidRDefault="008624F6" w:rsidP="0088445B">
            <w:pPr>
              <w:spacing w:before="0" w:line="240" w:lineRule="auto"/>
              <w:ind w:firstLine="0"/>
              <w:jc w:val="left"/>
              <w:rPr>
                <w:b w:val="0"/>
                <w:bCs/>
                <w:color w:val="FFFFFF"/>
                <w:lang w:val="hy-AM"/>
              </w:rPr>
            </w:pPr>
          </w:p>
        </w:tc>
        <w:tc>
          <w:tcPr>
            <w:tcW w:w="1900" w:type="dxa"/>
            <w:tcBorders>
              <w:top w:val="nil"/>
              <w:left w:val="nil"/>
              <w:bottom w:val="single" w:sz="4" w:space="0" w:color="333399"/>
              <w:right w:val="single" w:sz="4" w:space="0" w:color="333399"/>
            </w:tcBorders>
            <w:shd w:val="clear" w:color="000000" w:fill="0066CC"/>
            <w:vAlign w:val="center"/>
            <w:hideMark/>
          </w:tcPr>
          <w:p w14:paraId="21B943DE" w14:textId="77777777" w:rsidR="008624F6" w:rsidRPr="00A83C94" w:rsidRDefault="008624F6" w:rsidP="0088445B">
            <w:pPr>
              <w:spacing w:before="0" w:line="240" w:lineRule="auto"/>
              <w:ind w:firstLine="0"/>
              <w:jc w:val="center"/>
              <w:rPr>
                <w:b w:val="0"/>
                <w:bCs/>
                <w:color w:val="FFFFFF"/>
                <w:lang w:val="hy-AM"/>
              </w:rPr>
            </w:pPr>
            <w:r w:rsidRPr="00A83C94">
              <w:rPr>
                <w:rFonts w:ascii="Calibri" w:hAnsi="Calibri" w:cs="Calibri"/>
                <w:b w:val="0"/>
                <w:bCs/>
                <w:color w:val="FFFFFF"/>
                <w:lang w:val="hy-AM"/>
              </w:rPr>
              <w:t> </w:t>
            </w:r>
          </w:p>
        </w:tc>
      </w:tr>
      <w:tr w:rsidR="008624F6" w:rsidRPr="00A83C94" w14:paraId="3D20FF22" w14:textId="77777777" w:rsidTr="0088445B">
        <w:trPr>
          <w:trHeight w:val="660"/>
        </w:trPr>
        <w:tc>
          <w:tcPr>
            <w:tcW w:w="526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0BF16B42" w14:textId="77777777" w:rsidR="008624F6" w:rsidRPr="00A83C94" w:rsidRDefault="008624F6" w:rsidP="0088445B">
            <w:pPr>
              <w:spacing w:before="0" w:line="240" w:lineRule="auto"/>
              <w:ind w:firstLine="0"/>
              <w:jc w:val="left"/>
              <w:rPr>
                <w:b w:val="0"/>
                <w:color w:val="000000"/>
                <w:lang w:val="hy-AM"/>
              </w:rPr>
            </w:pPr>
            <w:r w:rsidRPr="00A83C94">
              <w:rPr>
                <w:b w:val="0"/>
                <w:color w:val="000000"/>
                <w:lang w:val="hy-AM"/>
              </w:rPr>
              <w:t>1. Կանխատեսվածից 2.0 տոկոսային կետով ավելի ցածր իրական ՀՆԱ-ի աճ</w:t>
            </w:r>
          </w:p>
        </w:tc>
        <w:tc>
          <w:tcPr>
            <w:tcW w:w="1900" w:type="dxa"/>
            <w:tcBorders>
              <w:top w:val="nil"/>
              <w:left w:val="nil"/>
              <w:bottom w:val="single" w:sz="4" w:space="0" w:color="333399"/>
              <w:right w:val="single" w:sz="4" w:space="0" w:color="333399"/>
            </w:tcBorders>
            <w:shd w:val="clear" w:color="auto" w:fill="auto"/>
            <w:vAlign w:val="center"/>
            <w:hideMark/>
          </w:tcPr>
          <w:p w14:paraId="47AC6EBC" w14:textId="77777777" w:rsidR="008624F6" w:rsidRPr="00A83C94" w:rsidRDefault="008624F6" w:rsidP="0088445B">
            <w:pPr>
              <w:spacing w:before="0" w:line="240" w:lineRule="auto"/>
              <w:ind w:firstLine="0"/>
              <w:jc w:val="center"/>
              <w:rPr>
                <w:b w:val="0"/>
                <w:color w:val="000000"/>
                <w:lang w:val="hy-AM"/>
              </w:rPr>
            </w:pPr>
            <w:r w:rsidRPr="00A83C94">
              <w:rPr>
                <w:b w:val="0"/>
                <w:color w:val="000000"/>
                <w:lang w:val="hy-AM"/>
              </w:rPr>
              <w:t>-11.9</w:t>
            </w:r>
          </w:p>
        </w:tc>
      </w:tr>
      <w:tr w:rsidR="008624F6" w:rsidRPr="00A83C94" w14:paraId="45930865" w14:textId="77777777" w:rsidTr="0088445B">
        <w:trPr>
          <w:trHeight w:val="660"/>
        </w:trPr>
        <w:tc>
          <w:tcPr>
            <w:tcW w:w="5260" w:type="dxa"/>
            <w:tcBorders>
              <w:top w:val="nil"/>
              <w:left w:val="single" w:sz="4" w:space="0" w:color="333399"/>
              <w:bottom w:val="single" w:sz="4" w:space="0" w:color="333399"/>
              <w:right w:val="single" w:sz="4" w:space="0" w:color="333399"/>
            </w:tcBorders>
            <w:shd w:val="clear" w:color="auto" w:fill="auto"/>
            <w:vAlign w:val="center"/>
            <w:hideMark/>
          </w:tcPr>
          <w:p w14:paraId="35E89737" w14:textId="77777777" w:rsidR="008624F6" w:rsidRPr="00A83C94" w:rsidRDefault="008624F6" w:rsidP="0088445B">
            <w:pPr>
              <w:spacing w:before="0" w:line="240" w:lineRule="auto"/>
              <w:ind w:firstLine="0"/>
              <w:jc w:val="left"/>
              <w:rPr>
                <w:b w:val="0"/>
                <w:color w:val="000000"/>
                <w:lang w:val="hy-AM"/>
              </w:rPr>
            </w:pPr>
            <w:r w:rsidRPr="00A83C94">
              <w:rPr>
                <w:b w:val="0"/>
                <w:color w:val="000000"/>
                <w:lang w:val="hy-AM"/>
              </w:rPr>
              <w:t>2. 1.5 տոկոսային կետով ավելի ցածր գնաճի ռիսկ</w:t>
            </w:r>
          </w:p>
        </w:tc>
        <w:tc>
          <w:tcPr>
            <w:tcW w:w="1900" w:type="dxa"/>
            <w:tcBorders>
              <w:top w:val="nil"/>
              <w:left w:val="nil"/>
              <w:bottom w:val="single" w:sz="4" w:space="0" w:color="333399"/>
              <w:right w:val="single" w:sz="4" w:space="0" w:color="333399"/>
            </w:tcBorders>
            <w:shd w:val="clear" w:color="auto" w:fill="auto"/>
            <w:vAlign w:val="center"/>
            <w:hideMark/>
          </w:tcPr>
          <w:p w14:paraId="36FDE6FB" w14:textId="77777777" w:rsidR="008624F6" w:rsidRPr="00A83C94" w:rsidRDefault="008624F6" w:rsidP="0088445B">
            <w:pPr>
              <w:spacing w:before="0" w:line="240" w:lineRule="auto"/>
              <w:ind w:firstLine="0"/>
              <w:jc w:val="center"/>
              <w:rPr>
                <w:b w:val="0"/>
                <w:color w:val="000000"/>
              </w:rPr>
            </w:pPr>
            <w:r w:rsidRPr="00A83C94">
              <w:rPr>
                <w:b w:val="0"/>
                <w:color w:val="000000"/>
              </w:rPr>
              <w:t>5.3</w:t>
            </w:r>
          </w:p>
        </w:tc>
      </w:tr>
      <w:tr w:rsidR="008624F6" w:rsidRPr="00A83C94" w14:paraId="0E551DD8" w14:textId="77777777" w:rsidTr="0088445B">
        <w:trPr>
          <w:trHeight w:val="660"/>
        </w:trPr>
        <w:tc>
          <w:tcPr>
            <w:tcW w:w="5260" w:type="dxa"/>
            <w:tcBorders>
              <w:top w:val="nil"/>
              <w:left w:val="single" w:sz="4" w:space="0" w:color="333399"/>
              <w:bottom w:val="nil"/>
              <w:right w:val="single" w:sz="4" w:space="0" w:color="333399"/>
            </w:tcBorders>
            <w:shd w:val="clear" w:color="auto" w:fill="auto"/>
            <w:vAlign w:val="center"/>
            <w:hideMark/>
          </w:tcPr>
          <w:p w14:paraId="34B5E308" w14:textId="77777777" w:rsidR="008624F6" w:rsidRPr="00A83C94" w:rsidRDefault="008624F6" w:rsidP="0088445B">
            <w:pPr>
              <w:spacing w:before="0" w:line="240" w:lineRule="auto"/>
              <w:ind w:firstLine="0"/>
              <w:jc w:val="left"/>
              <w:rPr>
                <w:b w:val="0"/>
                <w:color w:val="000000"/>
              </w:rPr>
            </w:pPr>
            <w:r w:rsidRPr="00A83C94">
              <w:rPr>
                <w:b w:val="0"/>
                <w:color w:val="000000"/>
              </w:rPr>
              <w:t>3. Փոխարժեքի առավելագույնը 4.0 տոկոսով արժեզրկման ռիսկ</w:t>
            </w:r>
          </w:p>
        </w:tc>
        <w:tc>
          <w:tcPr>
            <w:tcW w:w="1900" w:type="dxa"/>
            <w:tcBorders>
              <w:top w:val="nil"/>
              <w:left w:val="nil"/>
              <w:bottom w:val="nil"/>
              <w:right w:val="single" w:sz="4" w:space="0" w:color="333399"/>
            </w:tcBorders>
            <w:shd w:val="clear" w:color="auto" w:fill="auto"/>
            <w:vAlign w:val="center"/>
            <w:hideMark/>
          </w:tcPr>
          <w:p w14:paraId="40D389AA" w14:textId="77777777" w:rsidR="008624F6" w:rsidRPr="00A83C94" w:rsidRDefault="008624F6" w:rsidP="0088445B">
            <w:pPr>
              <w:spacing w:before="0" w:line="240" w:lineRule="auto"/>
              <w:ind w:firstLine="0"/>
              <w:jc w:val="center"/>
              <w:rPr>
                <w:b w:val="0"/>
                <w:color w:val="000000"/>
              </w:rPr>
            </w:pPr>
            <w:r w:rsidRPr="00A83C94">
              <w:rPr>
                <w:b w:val="0"/>
                <w:color w:val="000000"/>
              </w:rPr>
              <w:t>6.1</w:t>
            </w:r>
          </w:p>
        </w:tc>
      </w:tr>
      <w:tr w:rsidR="008624F6" w:rsidRPr="00A83C94" w14:paraId="72072CDB" w14:textId="77777777" w:rsidTr="0088445B">
        <w:trPr>
          <w:trHeight w:val="563"/>
        </w:trPr>
        <w:tc>
          <w:tcPr>
            <w:tcW w:w="526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7266AE33" w14:textId="77777777" w:rsidR="008624F6" w:rsidRPr="00A83C94" w:rsidRDefault="008624F6" w:rsidP="0088445B">
            <w:pPr>
              <w:spacing w:before="0" w:line="240" w:lineRule="auto"/>
              <w:ind w:firstLine="0"/>
              <w:jc w:val="left"/>
              <w:rPr>
                <w:b w:val="0"/>
                <w:color w:val="000000"/>
              </w:rPr>
            </w:pPr>
            <w:r w:rsidRPr="00A83C94">
              <w:rPr>
                <w:b w:val="0"/>
                <w:color w:val="000000"/>
              </w:rPr>
              <w:t>4. Ներմուծման 11.8 տոկոսով նվազման ռիսկ</w:t>
            </w:r>
          </w:p>
        </w:tc>
        <w:tc>
          <w:tcPr>
            <w:tcW w:w="1900" w:type="dxa"/>
            <w:tcBorders>
              <w:top w:val="single" w:sz="4" w:space="0" w:color="333399"/>
              <w:left w:val="nil"/>
              <w:bottom w:val="single" w:sz="4" w:space="0" w:color="333399"/>
              <w:right w:val="single" w:sz="4" w:space="0" w:color="333399"/>
            </w:tcBorders>
            <w:shd w:val="clear" w:color="auto" w:fill="auto"/>
            <w:vAlign w:val="center"/>
            <w:hideMark/>
          </w:tcPr>
          <w:p w14:paraId="6835C659" w14:textId="77777777" w:rsidR="008624F6" w:rsidRPr="00A83C94" w:rsidRDefault="008624F6" w:rsidP="0088445B">
            <w:pPr>
              <w:spacing w:before="0" w:line="240" w:lineRule="auto"/>
              <w:ind w:firstLine="0"/>
              <w:jc w:val="center"/>
              <w:rPr>
                <w:b w:val="0"/>
                <w:color w:val="000000"/>
              </w:rPr>
            </w:pPr>
            <w:r w:rsidRPr="00A83C94">
              <w:rPr>
                <w:b w:val="0"/>
                <w:color w:val="000000"/>
              </w:rPr>
              <w:t>-21.9</w:t>
            </w:r>
          </w:p>
        </w:tc>
      </w:tr>
      <w:tr w:rsidR="008624F6" w:rsidRPr="00A83C94" w14:paraId="149A59F2" w14:textId="77777777" w:rsidTr="0088445B">
        <w:trPr>
          <w:trHeight w:val="380"/>
        </w:trPr>
        <w:tc>
          <w:tcPr>
            <w:tcW w:w="5260" w:type="dxa"/>
            <w:tcBorders>
              <w:top w:val="nil"/>
              <w:left w:val="single" w:sz="4" w:space="0" w:color="333399"/>
              <w:bottom w:val="single" w:sz="4" w:space="0" w:color="333399"/>
              <w:right w:val="single" w:sz="4" w:space="0" w:color="333399"/>
            </w:tcBorders>
            <w:shd w:val="clear" w:color="auto" w:fill="auto"/>
            <w:vAlign w:val="center"/>
            <w:hideMark/>
          </w:tcPr>
          <w:p w14:paraId="1850B650" w14:textId="77777777" w:rsidR="008624F6" w:rsidRPr="00A83C94" w:rsidRDefault="008624F6" w:rsidP="0088445B">
            <w:pPr>
              <w:spacing w:before="0" w:line="240" w:lineRule="auto"/>
              <w:ind w:firstLine="0"/>
              <w:jc w:val="left"/>
              <w:rPr>
                <w:b w:val="0"/>
                <w:bCs/>
                <w:color w:val="000000"/>
              </w:rPr>
            </w:pPr>
            <w:r w:rsidRPr="00A83C94">
              <w:rPr>
                <w:b w:val="0"/>
                <w:bCs/>
                <w:color w:val="000000"/>
              </w:rPr>
              <w:t>Ընդամենը</w:t>
            </w:r>
          </w:p>
        </w:tc>
        <w:tc>
          <w:tcPr>
            <w:tcW w:w="1900" w:type="dxa"/>
            <w:tcBorders>
              <w:top w:val="nil"/>
              <w:left w:val="nil"/>
              <w:bottom w:val="single" w:sz="4" w:space="0" w:color="333399"/>
              <w:right w:val="single" w:sz="4" w:space="0" w:color="333399"/>
            </w:tcBorders>
            <w:shd w:val="clear" w:color="auto" w:fill="auto"/>
            <w:vAlign w:val="center"/>
            <w:hideMark/>
          </w:tcPr>
          <w:p w14:paraId="6B6ECC23" w14:textId="77777777" w:rsidR="008624F6" w:rsidRPr="00A83C94" w:rsidRDefault="008624F6" w:rsidP="0088445B">
            <w:pPr>
              <w:spacing w:before="0" w:line="240" w:lineRule="auto"/>
              <w:ind w:firstLine="0"/>
              <w:jc w:val="center"/>
              <w:rPr>
                <w:b w:val="0"/>
                <w:bCs/>
                <w:color w:val="000000"/>
              </w:rPr>
            </w:pPr>
            <w:r w:rsidRPr="00A83C94">
              <w:rPr>
                <w:b w:val="0"/>
                <w:bCs/>
                <w:color w:val="000000"/>
              </w:rPr>
              <w:t>-22.4</w:t>
            </w:r>
          </w:p>
        </w:tc>
      </w:tr>
    </w:tbl>
    <w:p w14:paraId="77BF20BF" w14:textId="77777777" w:rsidR="008F0D40" w:rsidRPr="00A83C94" w:rsidRDefault="008F0D40" w:rsidP="008624F6">
      <w:pPr>
        <w:spacing w:after="120" w:line="276" w:lineRule="auto"/>
        <w:ind w:firstLine="720"/>
        <w:rPr>
          <w:rFonts w:cs="Sylfaen"/>
          <w:b w:val="0"/>
          <w:lang w:val="hy-AM"/>
        </w:rPr>
      </w:pPr>
    </w:p>
    <w:p w14:paraId="00795CE1" w14:textId="329420E8" w:rsidR="008624F6" w:rsidRPr="00A83C94" w:rsidRDefault="008624F6" w:rsidP="008624F6">
      <w:pPr>
        <w:spacing w:after="120" w:line="276" w:lineRule="auto"/>
        <w:ind w:firstLine="720"/>
        <w:rPr>
          <w:rFonts w:cs="Sylfaen"/>
          <w:b w:val="0"/>
          <w:lang w:val="hy-AM"/>
        </w:rPr>
      </w:pPr>
      <w:r w:rsidRPr="00A83C94">
        <w:rPr>
          <w:rFonts w:cs="Sylfaen"/>
          <w:b w:val="0"/>
          <w:lang w:val="hy-AM"/>
        </w:rPr>
        <w:t xml:space="preserve">Աղյուսակ 21-ում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նվազման ուղղությամբ: </w:t>
      </w:r>
    </w:p>
    <w:p w14:paraId="4AECCD8C" w14:textId="77777777" w:rsidR="008624F6" w:rsidRPr="00A83C94" w:rsidRDefault="008624F6" w:rsidP="008624F6">
      <w:pPr>
        <w:spacing w:after="120" w:line="276" w:lineRule="auto"/>
        <w:ind w:firstLine="720"/>
        <w:rPr>
          <w:b w:val="0"/>
          <w:lang w:val="hy-AM"/>
        </w:rPr>
      </w:pPr>
      <w:r w:rsidRPr="00A83C94">
        <w:rPr>
          <w:rFonts w:cs="Sylfaen"/>
          <w:b w:val="0"/>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2022 թվականին ՀՀ պետական բյուջեի դեֆիցիտի լրացուցիչ ֆինանսավորման պահանջը կկազմի շուրջ 22.4 մլրդ ՀՀ դրամ կամ ՀՆԱ-ի 0.3%-ը: </w:t>
      </w:r>
    </w:p>
    <w:p w14:paraId="0CFA6242" w14:textId="32243D52" w:rsidR="00090D23" w:rsidRPr="00A83C94" w:rsidRDefault="00090D23">
      <w:pPr>
        <w:spacing w:before="0" w:line="240" w:lineRule="auto"/>
        <w:ind w:firstLine="0"/>
        <w:contextualSpacing w:val="0"/>
        <w:jc w:val="left"/>
        <w:rPr>
          <w:rFonts w:eastAsia="Calibri"/>
          <w:b w:val="0"/>
          <w:szCs w:val="22"/>
          <w:lang w:val="hy-AM" w:eastAsia="en-US"/>
        </w:rPr>
      </w:pPr>
      <w:r w:rsidRPr="00A83C94">
        <w:rPr>
          <w:rFonts w:eastAsia="Calibri"/>
          <w:b w:val="0"/>
          <w:szCs w:val="22"/>
          <w:lang w:val="hy-AM" w:eastAsia="en-US"/>
        </w:rPr>
        <w:br w:type="page"/>
      </w:r>
    </w:p>
    <w:p w14:paraId="08A7F374" w14:textId="77777777" w:rsidR="00090D23" w:rsidRPr="00A83C94" w:rsidRDefault="00090D23" w:rsidP="00090D23">
      <w:pPr>
        <w:keepNext/>
        <w:keepLines/>
        <w:spacing w:before="0" w:line="312" w:lineRule="auto"/>
        <w:ind w:firstLine="0"/>
        <w:jc w:val="left"/>
        <w:outlineLvl w:val="2"/>
        <w:rPr>
          <w:szCs w:val="22"/>
          <w:lang w:val="hy-AM" w:eastAsia="en-US"/>
        </w:rPr>
      </w:pPr>
      <w:bookmarkStart w:id="322" w:name="_Toc83663900"/>
      <w:bookmarkStart w:id="323" w:name="_Toc83996403"/>
      <w:r w:rsidRPr="00A83C94">
        <w:rPr>
          <w:szCs w:val="22"/>
          <w:lang w:val="hy-AM" w:eastAsia="en-US"/>
        </w:rPr>
        <w:t>3. ԱՅԼ ԿԱՌՈՒՅՑՆԵՐԻ ԿՈՂՄԻՑ ՀՀ ՏՆՏԵՍԱԿԱՆ ԱՃԻ ԿԱՆԽԱՏԵՍՈՒՄՆԵՐԻ ՀԵՏ ՀԱՄԵՄԱՏԱԿԱՆ</w:t>
      </w:r>
      <w:bookmarkEnd w:id="322"/>
      <w:bookmarkEnd w:id="323"/>
    </w:p>
    <w:p w14:paraId="2E334D8F" w14:textId="77777777" w:rsidR="00090D23" w:rsidRPr="00A83C94" w:rsidRDefault="00090D23" w:rsidP="00090D23">
      <w:pPr>
        <w:spacing w:before="40" w:after="60" w:line="276" w:lineRule="auto"/>
        <w:ind w:firstLine="360"/>
        <w:rPr>
          <w:rFonts w:cs="Sylfaen"/>
          <w:b w:val="0"/>
          <w:bCs/>
          <w:szCs w:val="22"/>
          <w:lang w:val="hy-AM"/>
        </w:rPr>
      </w:pPr>
      <w:r w:rsidRPr="00A83C94">
        <w:rPr>
          <w:rFonts w:cs="Sylfaen"/>
          <w:bCs/>
          <w:szCs w:val="22"/>
          <w:u w:val="single"/>
          <w:lang w:val="hy-AM"/>
        </w:rPr>
        <w:t>Կանխատեսումներ։</w:t>
      </w:r>
      <w:r w:rsidRPr="00A83C94">
        <w:rPr>
          <w:rFonts w:cs="Sylfaen"/>
          <w:bCs/>
          <w:szCs w:val="22"/>
          <w:lang w:val="hy-AM"/>
        </w:rPr>
        <w:t xml:space="preserve"> </w:t>
      </w:r>
      <w:r w:rsidRPr="00A83C94">
        <w:rPr>
          <w:rFonts w:cs="Sylfaen"/>
          <w:b w:val="0"/>
          <w:bCs/>
          <w:szCs w:val="22"/>
          <w:lang w:val="hy-AM"/>
        </w:rPr>
        <w:t>Աղյուսակ 23-ում ներկայացված է ՀՀ ֆինանսների նախարարության և այլ կառույցների կողմից ՀՀ տնտեսական աճի 2021-2022թթ. կանխատեսումների համեմատականը: Նշված կառույցներից մի մասի կողմից 2021թ. ՀՀ տնտեսական աճի կանխատեսումները տարվա ընթացքում վերանայվել են աճի ուղղությամբ: Այսպես` ՀՀ կենտրոնական բանկը, Ֆիթչ վարկանիշային կազմակերպությունը և Արժույթի միջազգային հիմնադրամը 2021թ. ՀՆԱ կանխատեսվող ցուցանիշը սեպտեմբեր ամսին բարձրացրել են 0.8-5.5 տոկոսային կետով՝ կանխատեսելով համապատասխանաբար 5.4%, 5</w:t>
      </w:r>
      <w:r w:rsidRPr="00A83C94">
        <w:rPr>
          <w:rFonts w:ascii="Cambria Math" w:hAnsi="Cambria Math" w:cs="Cambria Math"/>
          <w:b w:val="0"/>
          <w:bCs/>
          <w:szCs w:val="22"/>
          <w:lang w:val="hy-AM"/>
        </w:rPr>
        <w:t>․</w:t>
      </w:r>
      <w:r w:rsidRPr="00A83C94">
        <w:rPr>
          <w:rFonts w:cs="Sylfaen"/>
          <w:b w:val="0"/>
          <w:bCs/>
          <w:szCs w:val="22"/>
          <w:lang w:val="hy-AM"/>
        </w:rPr>
        <w:t>5% և 6</w:t>
      </w:r>
      <w:r w:rsidRPr="00A83C94">
        <w:rPr>
          <w:rFonts w:ascii="Cambria Math" w:hAnsi="Cambria Math" w:cs="Cambria Math"/>
          <w:b w:val="0"/>
          <w:bCs/>
          <w:szCs w:val="22"/>
          <w:lang w:val="hy-AM"/>
        </w:rPr>
        <w:t>․</w:t>
      </w:r>
      <w:r w:rsidRPr="00A83C94">
        <w:rPr>
          <w:rFonts w:cs="Sylfaen"/>
          <w:b w:val="0"/>
          <w:bCs/>
          <w:szCs w:val="22"/>
          <w:lang w:val="hy-AM"/>
        </w:rPr>
        <w:t>5% տնտեսական աճ: Համաշխարհային բանկը հունիսին ևս վերանայել է իր կանխատեսումները դեպի վերև՝ կանխատեսելով 3</w:t>
      </w:r>
      <w:r w:rsidRPr="00A83C94">
        <w:rPr>
          <w:rFonts w:ascii="Cambria Math" w:hAnsi="Cambria Math" w:cs="Cambria Math"/>
          <w:b w:val="0"/>
          <w:bCs/>
          <w:szCs w:val="22"/>
          <w:lang w:val="hy-AM"/>
        </w:rPr>
        <w:t>․</w:t>
      </w:r>
      <w:r w:rsidRPr="00A83C94">
        <w:rPr>
          <w:rFonts w:cs="Sylfaen"/>
          <w:b w:val="0"/>
          <w:bCs/>
          <w:szCs w:val="22"/>
          <w:lang w:val="hy-AM"/>
        </w:rPr>
        <w:t xml:space="preserve">4% </w:t>
      </w:r>
      <w:r w:rsidRPr="00A83C94">
        <w:rPr>
          <w:rFonts w:cs="GHEA Grapalat"/>
          <w:b w:val="0"/>
          <w:bCs/>
          <w:szCs w:val="22"/>
          <w:lang w:val="hy-AM"/>
        </w:rPr>
        <w:t>տնտեսական</w:t>
      </w:r>
      <w:r w:rsidRPr="00A83C94">
        <w:rPr>
          <w:rFonts w:cs="Sylfaen"/>
          <w:b w:val="0"/>
          <w:bCs/>
          <w:szCs w:val="22"/>
          <w:lang w:val="hy-AM"/>
        </w:rPr>
        <w:t xml:space="preserve"> </w:t>
      </w:r>
      <w:r w:rsidRPr="00A83C94">
        <w:rPr>
          <w:rFonts w:cs="GHEA Grapalat"/>
          <w:b w:val="0"/>
          <w:bCs/>
          <w:szCs w:val="22"/>
          <w:lang w:val="hy-AM"/>
        </w:rPr>
        <w:t>աճ</w:t>
      </w:r>
      <w:r w:rsidRPr="00A83C94">
        <w:rPr>
          <w:rFonts w:cs="Sylfaen"/>
          <w:b w:val="0"/>
          <w:bCs/>
          <w:szCs w:val="22"/>
          <w:lang w:val="hy-AM"/>
        </w:rPr>
        <w:t>: Ըստ Մուդիս վարկանիշային կազմակերպության օգոստոս ամսվա կանխատեսումների՝ 2021թ. սպասվում է 4.5% տնտեսական աճ: 2021թ. ՀՀ տնտեսական աճի ավելի բարձր կանխատեսումները պայմանավորված են ինչպես ՀՀ, այնպես էլ աշխարհի տնտեսությունների վերջին զարգացումներով:</w:t>
      </w:r>
    </w:p>
    <w:p w14:paraId="01332512" w14:textId="22123B6D" w:rsidR="00090D23" w:rsidRPr="00A83C94" w:rsidRDefault="003F382C" w:rsidP="003F382C">
      <w:pPr>
        <w:pStyle w:val="Caption"/>
        <w:rPr>
          <w:rFonts w:cs="Sylfaen"/>
          <w:bCs w:val="0"/>
          <w:i/>
          <w:color w:val="auto"/>
          <w:sz w:val="20"/>
          <w:szCs w:val="20"/>
          <w:lang w:val="hy-AM"/>
        </w:rPr>
      </w:pPr>
      <w:bookmarkStart w:id="324" w:name="_Toc83928958"/>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77355D">
        <w:rPr>
          <w:noProof/>
          <w:lang w:val="hy-AM"/>
        </w:rPr>
        <w:t>21</w:t>
      </w:r>
      <w:r>
        <w:fldChar w:fldCharType="end"/>
      </w:r>
      <w:r w:rsidR="00090D23" w:rsidRPr="00A83C94">
        <w:rPr>
          <w:lang w:val="hy-AM"/>
        </w:rPr>
        <w:t>.</w:t>
      </w:r>
      <w:r w:rsidR="00090D23" w:rsidRPr="00A83C94">
        <w:rPr>
          <w:color w:val="auto"/>
          <w:sz w:val="20"/>
          <w:szCs w:val="20"/>
          <w:lang w:val="hy-AM"/>
        </w:rPr>
        <w:t xml:space="preserve"> </w:t>
      </w:r>
      <w:r w:rsidR="00090D23" w:rsidRPr="00A83C94">
        <w:rPr>
          <w:rFonts w:eastAsia="Calibri"/>
          <w:i/>
          <w:sz w:val="20"/>
          <w:szCs w:val="20"/>
          <w:lang w:val="hy-AM" w:eastAsia="en-US"/>
        </w:rPr>
        <w:t>ՀՀ ՖՆ և այլ կառույցների կողմից ՀՀ տնտեսական աճի կանխատեսումները (%)</w:t>
      </w:r>
      <w:bookmarkEnd w:id="324"/>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1549"/>
        <w:gridCol w:w="1580"/>
      </w:tblGrid>
      <w:tr w:rsidR="00090D23" w:rsidRPr="00A83C94" w14:paraId="15BF6F3C" w14:textId="77777777" w:rsidTr="0088445B">
        <w:trPr>
          <w:trHeight w:val="206"/>
          <w:jc w:val="center"/>
        </w:trPr>
        <w:tc>
          <w:tcPr>
            <w:tcW w:w="6377" w:type="dxa"/>
            <w:tcBorders>
              <w:top w:val="single" w:sz="4" w:space="0" w:color="auto"/>
              <w:left w:val="single" w:sz="4" w:space="0" w:color="auto"/>
              <w:bottom w:val="single" w:sz="4" w:space="0" w:color="auto"/>
              <w:right w:val="single" w:sz="4" w:space="0" w:color="auto"/>
            </w:tcBorders>
            <w:shd w:val="clear" w:color="auto" w:fill="4F81BD"/>
            <w:noWrap/>
            <w:vAlign w:val="center"/>
          </w:tcPr>
          <w:p w14:paraId="2221C6E8" w14:textId="77777777" w:rsidR="00090D23" w:rsidRPr="00A83C94" w:rsidRDefault="00090D23" w:rsidP="0088445B">
            <w:pPr>
              <w:spacing w:before="40" w:after="60" w:line="276" w:lineRule="auto"/>
              <w:ind w:right="111" w:firstLine="0"/>
              <w:contextualSpacing w:val="0"/>
              <w:jc w:val="left"/>
              <w:rPr>
                <w:rFonts w:cs="Calibri"/>
                <w:color w:val="000000"/>
                <w:sz w:val="18"/>
                <w:szCs w:val="18"/>
                <w:lang w:val="it-IT" w:eastAsia="en-US"/>
              </w:rPr>
            </w:pPr>
          </w:p>
        </w:tc>
        <w:tc>
          <w:tcPr>
            <w:tcW w:w="1549"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14:paraId="04D881EF" w14:textId="77777777" w:rsidR="00090D23" w:rsidRPr="00A83C94" w:rsidRDefault="00090D23" w:rsidP="0088445B">
            <w:pPr>
              <w:spacing w:before="40" w:after="60" w:line="276" w:lineRule="auto"/>
              <w:ind w:right="111" w:firstLine="0"/>
              <w:contextualSpacing w:val="0"/>
              <w:jc w:val="center"/>
              <w:rPr>
                <w:rFonts w:cs="Calibri"/>
                <w:b w:val="0"/>
                <w:bCs/>
                <w:color w:val="000000"/>
                <w:sz w:val="18"/>
                <w:szCs w:val="18"/>
                <w:lang w:val="hy-AM" w:eastAsia="en-US"/>
              </w:rPr>
            </w:pPr>
            <w:r w:rsidRPr="00A83C94">
              <w:rPr>
                <w:rFonts w:cs="Calibri"/>
                <w:b w:val="0"/>
                <w:bCs/>
                <w:color w:val="000000"/>
                <w:sz w:val="18"/>
                <w:szCs w:val="18"/>
                <w:lang w:val="hy-AM" w:eastAsia="en-US"/>
              </w:rPr>
              <w:t>2021</w:t>
            </w:r>
          </w:p>
        </w:tc>
        <w:tc>
          <w:tcPr>
            <w:tcW w:w="1580"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00FD7007" w14:textId="77777777" w:rsidR="00090D23" w:rsidRPr="00A83C94" w:rsidRDefault="00090D23" w:rsidP="0088445B">
            <w:pPr>
              <w:spacing w:before="40" w:after="60" w:line="276" w:lineRule="auto"/>
              <w:ind w:right="111" w:firstLine="0"/>
              <w:contextualSpacing w:val="0"/>
              <w:jc w:val="center"/>
              <w:rPr>
                <w:rFonts w:cs="Calibri"/>
                <w:b w:val="0"/>
                <w:bCs/>
                <w:color w:val="000000"/>
                <w:sz w:val="18"/>
                <w:szCs w:val="18"/>
                <w:lang w:val="hy-AM" w:eastAsia="en-US"/>
              </w:rPr>
            </w:pPr>
            <w:r w:rsidRPr="00A83C94">
              <w:rPr>
                <w:rFonts w:cs="Calibri"/>
                <w:b w:val="0"/>
                <w:bCs/>
                <w:color w:val="000000"/>
                <w:sz w:val="18"/>
                <w:szCs w:val="18"/>
                <w:lang w:val="hy-AM" w:eastAsia="en-US"/>
              </w:rPr>
              <w:t>2022</w:t>
            </w:r>
          </w:p>
        </w:tc>
      </w:tr>
      <w:tr w:rsidR="00090D23" w:rsidRPr="00A83C94" w14:paraId="3C706E9F" w14:textId="77777777" w:rsidTr="0088445B">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1B12D8" w14:textId="77777777" w:rsidR="00090D23" w:rsidRPr="00A83C94" w:rsidRDefault="00090D23" w:rsidP="0088445B">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ֆինանսների նախարարություն</w:t>
            </w:r>
            <w:r w:rsidRPr="00A83C94">
              <w:rPr>
                <w:rFonts w:cs="Calibri"/>
                <w:b w:val="0"/>
                <w:color w:val="000000"/>
                <w:sz w:val="20"/>
                <w:szCs w:val="20"/>
                <w:lang w:val="en-US" w:eastAsia="en-US"/>
              </w:rPr>
              <w:t xml:space="preserve"> (2021 </w:t>
            </w:r>
            <w:r w:rsidRPr="00A83C94">
              <w:rPr>
                <w:rFonts w:cs="Calibri"/>
                <w:b w:val="0"/>
                <w:color w:val="000000"/>
                <w:sz w:val="20"/>
                <w:szCs w:val="20"/>
                <w:lang w:val="hy-AM" w:eastAsia="en-US"/>
              </w:rPr>
              <w:t>սեպտեմբեր</w:t>
            </w:r>
            <w:r w:rsidRPr="00A83C94">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65AEE572" w14:textId="77777777" w:rsidR="00090D23" w:rsidRPr="00A83C94" w:rsidRDefault="00090D23" w:rsidP="0088445B">
            <w:pPr>
              <w:spacing w:before="0" w:line="276" w:lineRule="auto"/>
              <w:ind w:right="111" w:firstLine="0"/>
              <w:contextualSpacing w:val="0"/>
              <w:jc w:val="center"/>
              <w:rPr>
                <w:rFonts w:cs="Calibri"/>
                <w:color w:val="000000"/>
                <w:sz w:val="20"/>
                <w:szCs w:val="20"/>
                <w:lang w:val="hy-AM" w:eastAsia="en-US"/>
              </w:rPr>
            </w:pPr>
            <w:r w:rsidRPr="00A83C94">
              <w:rPr>
                <w:rFonts w:cs="Calibri"/>
                <w:b w:val="0"/>
                <w:color w:val="000000"/>
                <w:sz w:val="20"/>
                <w:szCs w:val="20"/>
                <w:lang w:val="hy-AM" w:eastAsia="en-US"/>
              </w:rPr>
              <w:t>6.5</w:t>
            </w:r>
          </w:p>
        </w:tc>
        <w:tc>
          <w:tcPr>
            <w:tcW w:w="1580" w:type="dxa"/>
            <w:tcBorders>
              <w:top w:val="single" w:sz="4" w:space="0" w:color="auto"/>
              <w:left w:val="single" w:sz="4" w:space="0" w:color="auto"/>
              <w:bottom w:val="single" w:sz="4" w:space="0" w:color="auto"/>
              <w:right w:val="single" w:sz="4" w:space="0" w:color="auto"/>
            </w:tcBorders>
            <w:noWrap/>
            <w:vAlign w:val="center"/>
          </w:tcPr>
          <w:p w14:paraId="01A545B9"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7</w:t>
            </w:r>
            <w:r w:rsidRPr="00A83C94">
              <w:rPr>
                <w:rFonts w:cs="Calibri"/>
                <w:b w:val="0"/>
                <w:color w:val="000000"/>
                <w:sz w:val="20"/>
                <w:szCs w:val="20"/>
                <w:lang w:val="hy-AM" w:eastAsia="en-US"/>
              </w:rPr>
              <w:t>.</w:t>
            </w:r>
            <w:r w:rsidRPr="00A83C94">
              <w:rPr>
                <w:rFonts w:cs="Calibri"/>
                <w:b w:val="0"/>
                <w:color w:val="000000"/>
                <w:sz w:val="20"/>
                <w:szCs w:val="20"/>
                <w:lang w:val="en-US" w:eastAsia="en-US"/>
              </w:rPr>
              <w:t>0</w:t>
            </w:r>
          </w:p>
        </w:tc>
      </w:tr>
      <w:tr w:rsidR="00090D23" w:rsidRPr="00A83C94" w14:paraId="63E883AC" w14:textId="77777777" w:rsidTr="0088445B">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50AE3E" w14:textId="77777777" w:rsidR="00090D23" w:rsidRPr="00A83C94" w:rsidRDefault="00090D23" w:rsidP="0088445B">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 xml:space="preserve">ՀՀ ֆինանսների նախարարություն (2021 </w:t>
            </w:r>
            <w:r w:rsidRPr="00A83C94">
              <w:rPr>
                <w:rFonts w:cs="Calibri"/>
                <w:b w:val="0"/>
                <w:color w:val="000000"/>
                <w:sz w:val="20"/>
                <w:szCs w:val="20"/>
                <w:lang w:val="en-US" w:eastAsia="en-US"/>
              </w:rPr>
              <w:t>հուլիս</w:t>
            </w:r>
            <w:r w:rsidRPr="00A83C94">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723955B7"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6.0</w:t>
            </w:r>
          </w:p>
        </w:tc>
        <w:tc>
          <w:tcPr>
            <w:tcW w:w="1580" w:type="dxa"/>
            <w:tcBorders>
              <w:top w:val="single" w:sz="4" w:space="0" w:color="auto"/>
              <w:left w:val="single" w:sz="4" w:space="0" w:color="auto"/>
              <w:bottom w:val="single" w:sz="4" w:space="0" w:color="auto"/>
              <w:right w:val="single" w:sz="4" w:space="0" w:color="auto"/>
            </w:tcBorders>
            <w:noWrap/>
            <w:vAlign w:val="center"/>
          </w:tcPr>
          <w:p w14:paraId="1C9A3B7A"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5.2</w:t>
            </w:r>
          </w:p>
        </w:tc>
      </w:tr>
      <w:tr w:rsidR="00090D23" w:rsidRPr="00A83C94" w14:paraId="2C22E1C1" w14:textId="77777777" w:rsidTr="0088445B">
        <w:trPr>
          <w:trHeight w:val="20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103AD8" w14:textId="77777777" w:rsidR="00090D23" w:rsidRPr="00A83C94" w:rsidRDefault="00090D23" w:rsidP="0088445B">
            <w:pPr>
              <w:spacing w:before="0" w:line="240" w:lineRule="auto"/>
              <w:ind w:right="115" w:firstLine="0"/>
              <w:contextualSpacing w:val="0"/>
              <w:jc w:val="left"/>
              <w:rPr>
                <w:rFonts w:cs="Calibri"/>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0BAE56C0"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3A42B4E7"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p>
        </w:tc>
      </w:tr>
      <w:tr w:rsidR="00090D23" w:rsidRPr="00A83C94" w14:paraId="4AB8139A" w14:textId="77777777" w:rsidTr="0088445B">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3B68CD" w14:textId="77777777" w:rsidR="00090D23" w:rsidRPr="00A83C94" w:rsidRDefault="00090D23" w:rsidP="0088445B">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կենտրոնական բանկ (2021 սեպտեմբեր)</w:t>
            </w:r>
          </w:p>
        </w:tc>
        <w:tc>
          <w:tcPr>
            <w:tcW w:w="1549" w:type="dxa"/>
            <w:tcBorders>
              <w:top w:val="single" w:sz="4" w:space="0" w:color="auto"/>
              <w:left w:val="single" w:sz="4" w:space="0" w:color="auto"/>
              <w:bottom w:val="single" w:sz="4" w:space="0" w:color="auto"/>
              <w:right w:val="single" w:sz="4" w:space="0" w:color="auto"/>
            </w:tcBorders>
            <w:noWrap/>
            <w:vAlign w:val="center"/>
          </w:tcPr>
          <w:p w14:paraId="6F306972"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5.4</w:t>
            </w:r>
          </w:p>
        </w:tc>
        <w:tc>
          <w:tcPr>
            <w:tcW w:w="1580" w:type="dxa"/>
            <w:tcBorders>
              <w:top w:val="single" w:sz="4" w:space="0" w:color="auto"/>
              <w:left w:val="single" w:sz="4" w:space="0" w:color="auto"/>
              <w:bottom w:val="single" w:sz="4" w:space="0" w:color="auto"/>
              <w:right w:val="single" w:sz="4" w:space="0" w:color="auto"/>
            </w:tcBorders>
            <w:noWrap/>
            <w:vAlign w:val="center"/>
          </w:tcPr>
          <w:p w14:paraId="2F4A269D"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w:t>
            </w:r>
          </w:p>
        </w:tc>
      </w:tr>
      <w:tr w:rsidR="00090D23" w:rsidRPr="00A83C94" w14:paraId="1ADC7943" w14:textId="77777777" w:rsidTr="0088445B">
        <w:trPr>
          <w:trHeight w:val="372"/>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D4C820" w14:textId="77777777" w:rsidR="00090D23" w:rsidRPr="00A83C94" w:rsidRDefault="00090D23" w:rsidP="0088445B">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կենտրոնական բանկ (2021 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14:paraId="080E2A8D"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4.6</w:t>
            </w:r>
          </w:p>
        </w:tc>
        <w:tc>
          <w:tcPr>
            <w:tcW w:w="1580" w:type="dxa"/>
            <w:tcBorders>
              <w:top w:val="single" w:sz="4" w:space="0" w:color="auto"/>
              <w:left w:val="single" w:sz="4" w:space="0" w:color="auto"/>
              <w:bottom w:val="single" w:sz="4" w:space="0" w:color="auto"/>
              <w:right w:val="single" w:sz="4" w:space="0" w:color="auto"/>
            </w:tcBorders>
            <w:noWrap/>
            <w:vAlign w:val="center"/>
          </w:tcPr>
          <w:p w14:paraId="22831C2C"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2.8</w:t>
            </w:r>
          </w:p>
        </w:tc>
      </w:tr>
      <w:tr w:rsidR="00090D23" w:rsidRPr="00A83C94" w14:paraId="1B3680E4" w14:textId="77777777" w:rsidTr="0088445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24B870" w14:textId="77777777" w:rsidR="00090D23" w:rsidRPr="00A83C94" w:rsidRDefault="00090D23" w:rsidP="0088445B">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76C463E5"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673945C5"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r>
      <w:tr w:rsidR="00090D23" w:rsidRPr="00A83C94" w14:paraId="723900C8" w14:textId="77777777" w:rsidTr="0088445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FB7B01" w14:textId="77777777" w:rsidR="00090D23" w:rsidRPr="00A83C94" w:rsidRDefault="00090D23" w:rsidP="0088445B">
            <w:pPr>
              <w:spacing w:before="0" w:line="240" w:lineRule="auto"/>
              <w:ind w:right="115" w:firstLine="0"/>
              <w:contextualSpacing w:val="0"/>
              <w:jc w:val="left"/>
              <w:rPr>
                <w:rFonts w:cs="Calibri"/>
                <w:b w:val="0"/>
                <w:bCs/>
                <w:color w:val="000000"/>
                <w:sz w:val="20"/>
                <w:szCs w:val="20"/>
                <w:lang w:val="hy-AM" w:eastAsia="en-US"/>
              </w:rPr>
            </w:pPr>
            <w:r w:rsidRPr="00A83C94">
              <w:rPr>
                <w:rFonts w:cs="Calibri"/>
                <w:b w:val="0"/>
                <w:color w:val="000000"/>
                <w:sz w:val="20"/>
                <w:szCs w:val="20"/>
                <w:lang w:val="hy-AM" w:eastAsia="en-US"/>
              </w:rPr>
              <w:t>Արժույթի միջազգային հիմնադրամ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սեպտեմբեր)</w:t>
            </w:r>
          </w:p>
        </w:tc>
        <w:tc>
          <w:tcPr>
            <w:tcW w:w="1549" w:type="dxa"/>
            <w:tcBorders>
              <w:top w:val="single" w:sz="4" w:space="0" w:color="auto"/>
              <w:left w:val="single" w:sz="4" w:space="0" w:color="auto"/>
              <w:bottom w:val="single" w:sz="4" w:space="0" w:color="auto"/>
              <w:right w:val="single" w:sz="4" w:space="0" w:color="auto"/>
            </w:tcBorders>
            <w:noWrap/>
            <w:vAlign w:val="center"/>
          </w:tcPr>
          <w:p w14:paraId="0EAA967B"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6.5</w:t>
            </w:r>
          </w:p>
        </w:tc>
        <w:tc>
          <w:tcPr>
            <w:tcW w:w="1580" w:type="dxa"/>
            <w:tcBorders>
              <w:top w:val="single" w:sz="4" w:space="0" w:color="auto"/>
              <w:left w:val="single" w:sz="4" w:space="0" w:color="auto"/>
              <w:bottom w:val="single" w:sz="4" w:space="0" w:color="auto"/>
              <w:right w:val="single" w:sz="4" w:space="0" w:color="auto"/>
            </w:tcBorders>
            <w:noWrap/>
            <w:vAlign w:val="center"/>
          </w:tcPr>
          <w:p w14:paraId="415B9A3E"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4.5</w:t>
            </w:r>
          </w:p>
        </w:tc>
      </w:tr>
      <w:tr w:rsidR="00090D23" w:rsidRPr="00A83C94" w14:paraId="72A98522" w14:textId="77777777" w:rsidTr="0088445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DFE4B5" w14:textId="77777777" w:rsidR="00090D23" w:rsidRPr="00A83C94" w:rsidRDefault="00090D23" w:rsidP="0088445B">
            <w:pPr>
              <w:spacing w:before="0" w:line="240" w:lineRule="auto"/>
              <w:ind w:right="115" w:firstLine="0"/>
              <w:contextualSpacing w:val="0"/>
              <w:jc w:val="left"/>
              <w:rPr>
                <w:rFonts w:cs="Calibri"/>
                <w:b w:val="0"/>
                <w:color w:val="000000"/>
                <w:sz w:val="20"/>
                <w:szCs w:val="20"/>
                <w:lang w:val="en-US" w:eastAsia="en-US"/>
              </w:rPr>
            </w:pPr>
            <w:r w:rsidRPr="00A83C94">
              <w:rPr>
                <w:rFonts w:cs="Calibri"/>
                <w:b w:val="0"/>
                <w:color w:val="000000"/>
                <w:sz w:val="20"/>
                <w:szCs w:val="20"/>
                <w:lang w:val="hy-AM" w:eastAsia="en-US"/>
              </w:rPr>
              <w:t>Արժույթի միջազգային հիմնադրամ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ապրիլ)</w:t>
            </w:r>
          </w:p>
        </w:tc>
        <w:tc>
          <w:tcPr>
            <w:tcW w:w="1549" w:type="dxa"/>
            <w:tcBorders>
              <w:top w:val="single" w:sz="4" w:space="0" w:color="auto"/>
              <w:left w:val="single" w:sz="4" w:space="0" w:color="auto"/>
              <w:bottom w:val="single" w:sz="4" w:space="0" w:color="auto"/>
              <w:right w:val="single" w:sz="4" w:space="0" w:color="auto"/>
            </w:tcBorders>
            <w:noWrap/>
            <w:vAlign w:val="center"/>
          </w:tcPr>
          <w:p w14:paraId="1B55A489"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1.0</w:t>
            </w:r>
          </w:p>
        </w:tc>
        <w:tc>
          <w:tcPr>
            <w:tcW w:w="1580" w:type="dxa"/>
            <w:tcBorders>
              <w:top w:val="single" w:sz="4" w:space="0" w:color="auto"/>
              <w:left w:val="single" w:sz="4" w:space="0" w:color="auto"/>
              <w:bottom w:val="single" w:sz="4" w:space="0" w:color="auto"/>
              <w:right w:val="single" w:sz="4" w:space="0" w:color="auto"/>
            </w:tcBorders>
            <w:noWrap/>
            <w:vAlign w:val="center"/>
          </w:tcPr>
          <w:p w14:paraId="3F95D8C3"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3.5</w:t>
            </w:r>
          </w:p>
        </w:tc>
      </w:tr>
      <w:tr w:rsidR="00090D23" w:rsidRPr="00A83C94" w14:paraId="05CF2752" w14:textId="77777777" w:rsidTr="0088445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655073" w14:textId="77777777" w:rsidR="00090D23" w:rsidRPr="00A83C94" w:rsidRDefault="00090D23" w:rsidP="0088445B">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05CC4996"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092FB213"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r>
      <w:tr w:rsidR="00090D23" w:rsidRPr="00A83C94" w14:paraId="1DB7A1B9" w14:textId="77777777" w:rsidTr="0088445B">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2432E7" w14:textId="77777777" w:rsidR="00090D23" w:rsidRPr="00A83C94" w:rsidRDefault="00090D23" w:rsidP="0088445B">
            <w:pPr>
              <w:spacing w:before="0" w:line="240" w:lineRule="auto"/>
              <w:ind w:right="115" w:firstLine="0"/>
              <w:contextualSpacing w:val="0"/>
              <w:jc w:val="left"/>
              <w:rPr>
                <w:rFonts w:cs="Calibri"/>
                <w:color w:val="000000"/>
                <w:sz w:val="20"/>
                <w:szCs w:val="20"/>
                <w:lang w:val="hy-AM" w:eastAsia="en-US"/>
              </w:rPr>
            </w:pPr>
            <w:r w:rsidRPr="00A83C94">
              <w:rPr>
                <w:rFonts w:cs="Calibri"/>
                <w:b w:val="0"/>
                <w:color w:val="000000"/>
                <w:sz w:val="20"/>
                <w:szCs w:val="20"/>
                <w:lang w:val="en-US" w:eastAsia="en-US"/>
              </w:rPr>
              <w:t xml:space="preserve">Ֆիթչ (2021 </w:t>
            </w:r>
            <w:r w:rsidRPr="00A83C94">
              <w:rPr>
                <w:rFonts w:cs="Calibri"/>
                <w:b w:val="0"/>
                <w:color w:val="000000"/>
                <w:sz w:val="20"/>
                <w:szCs w:val="20"/>
                <w:lang w:val="hy-AM" w:eastAsia="en-US"/>
              </w:rPr>
              <w:t>սեպտեմբեր</w:t>
            </w:r>
            <w:r w:rsidRPr="00A83C94">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42C1B803"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5.5</w:t>
            </w:r>
          </w:p>
        </w:tc>
        <w:tc>
          <w:tcPr>
            <w:tcW w:w="1580" w:type="dxa"/>
            <w:tcBorders>
              <w:top w:val="single" w:sz="4" w:space="0" w:color="auto"/>
              <w:left w:val="single" w:sz="4" w:space="0" w:color="auto"/>
              <w:bottom w:val="single" w:sz="4" w:space="0" w:color="auto"/>
              <w:right w:val="single" w:sz="4" w:space="0" w:color="auto"/>
            </w:tcBorders>
            <w:noWrap/>
            <w:vAlign w:val="center"/>
          </w:tcPr>
          <w:p w14:paraId="1CBD1ABE"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5.3</w:t>
            </w:r>
          </w:p>
        </w:tc>
      </w:tr>
      <w:tr w:rsidR="00090D23" w:rsidRPr="00A83C94" w14:paraId="71066210" w14:textId="77777777" w:rsidTr="0088445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C4009D" w14:textId="77777777" w:rsidR="00090D23" w:rsidRPr="00A83C94" w:rsidRDefault="00090D23" w:rsidP="0088445B">
            <w:pPr>
              <w:spacing w:before="0" w:line="276" w:lineRule="auto"/>
              <w:ind w:right="111" w:firstLine="0"/>
              <w:contextualSpacing w:val="0"/>
              <w:jc w:val="left"/>
              <w:rPr>
                <w:rFonts w:cs="Calibri"/>
                <w:b w:val="0"/>
                <w:color w:val="000000"/>
                <w:sz w:val="20"/>
                <w:szCs w:val="20"/>
                <w:lang w:val="hy-AM" w:eastAsia="en-US"/>
              </w:rPr>
            </w:pPr>
            <w:r w:rsidRPr="00A83C94">
              <w:rPr>
                <w:rFonts w:cs="Calibri"/>
                <w:b w:val="0"/>
                <w:color w:val="000000"/>
                <w:sz w:val="20"/>
                <w:szCs w:val="20"/>
                <w:lang w:val="en-US" w:eastAsia="en-US"/>
              </w:rPr>
              <w:t>Ֆիթչ (2021 մարտ)</w:t>
            </w:r>
          </w:p>
        </w:tc>
        <w:tc>
          <w:tcPr>
            <w:tcW w:w="1549" w:type="dxa"/>
            <w:tcBorders>
              <w:top w:val="single" w:sz="4" w:space="0" w:color="auto"/>
              <w:left w:val="single" w:sz="4" w:space="0" w:color="auto"/>
              <w:bottom w:val="single" w:sz="4" w:space="0" w:color="auto"/>
              <w:right w:val="single" w:sz="4" w:space="0" w:color="auto"/>
            </w:tcBorders>
            <w:noWrap/>
            <w:vAlign w:val="center"/>
          </w:tcPr>
          <w:p w14:paraId="025848AD"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3.2</w:t>
            </w:r>
          </w:p>
        </w:tc>
        <w:tc>
          <w:tcPr>
            <w:tcW w:w="1580" w:type="dxa"/>
            <w:tcBorders>
              <w:top w:val="single" w:sz="4" w:space="0" w:color="auto"/>
              <w:left w:val="single" w:sz="4" w:space="0" w:color="auto"/>
              <w:bottom w:val="single" w:sz="4" w:space="0" w:color="auto"/>
              <w:right w:val="single" w:sz="4" w:space="0" w:color="auto"/>
            </w:tcBorders>
            <w:noWrap/>
            <w:vAlign w:val="center"/>
          </w:tcPr>
          <w:p w14:paraId="0FE8CCD3"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4.0</w:t>
            </w:r>
          </w:p>
        </w:tc>
      </w:tr>
      <w:tr w:rsidR="00090D23" w:rsidRPr="00A83C94" w14:paraId="32E03A7B" w14:textId="77777777" w:rsidTr="0088445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ED057D" w14:textId="77777777" w:rsidR="00090D23" w:rsidRPr="00A83C94" w:rsidRDefault="00090D23" w:rsidP="0088445B">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4BF841AF"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0DFCB609"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r>
      <w:tr w:rsidR="00090D23" w:rsidRPr="00A83C94" w14:paraId="69DAB91E" w14:textId="77777777" w:rsidTr="0088445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3057E6" w14:textId="77777777" w:rsidR="00090D23" w:rsidRPr="00A83C94" w:rsidRDefault="00090D23" w:rsidP="0088445B">
            <w:pPr>
              <w:spacing w:before="0" w:line="276" w:lineRule="auto"/>
              <w:ind w:right="111" w:firstLine="0"/>
              <w:contextualSpacing w:val="0"/>
              <w:jc w:val="left"/>
              <w:rPr>
                <w:rFonts w:cs="Calibri"/>
                <w:b w:val="0"/>
                <w:color w:val="000000"/>
                <w:sz w:val="20"/>
                <w:szCs w:val="20"/>
                <w:lang w:val="hy-AM" w:eastAsia="en-US"/>
              </w:rPr>
            </w:pPr>
            <w:r w:rsidRPr="00A83C94">
              <w:rPr>
                <w:rFonts w:cs="Calibri"/>
                <w:b w:val="0"/>
                <w:color w:val="000000"/>
                <w:sz w:val="20"/>
                <w:szCs w:val="20"/>
                <w:lang w:val="hy-AM" w:eastAsia="en-US"/>
              </w:rPr>
              <w:t>Մուդիս (2021թ. օգոստոս)</w:t>
            </w:r>
          </w:p>
        </w:tc>
        <w:tc>
          <w:tcPr>
            <w:tcW w:w="1549" w:type="dxa"/>
            <w:tcBorders>
              <w:top w:val="single" w:sz="4" w:space="0" w:color="auto"/>
              <w:left w:val="single" w:sz="4" w:space="0" w:color="auto"/>
              <w:bottom w:val="single" w:sz="4" w:space="0" w:color="auto"/>
              <w:right w:val="single" w:sz="4" w:space="0" w:color="auto"/>
            </w:tcBorders>
            <w:noWrap/>
            <w:vAlign w:val="center"/>
          </w:tcPr>
          <w:p w14:paraId="5CA8FCE0"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4.5</w:t>
            </w:r>
          </w:p>
        </w:tc>
        <w:tc>
          <w:tcPr>
            <w:tcW w:w="1580" w:type="dxa"/>
            <w:tcBorders>
              <w:top w:val="single" w:sz="4" w:space="0" w:color="auto"/>
              <w:left w:val="single" w:sz="4" w:space="0" w:color="auto"/>
              <w:bottom w:val="single" w:sz="4" w:space="0" w:color="auto"/>
              <w:right w:val="single" w:sz="4" w:space="0" w:color="auto"/>
            </w:tcBorders>
            <w:noWrap/>
            <w:vAlign w:val="center"/>
          </w:tcPr>
          <w:p w14:paraId="59FA13E9"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7.5</w:t>
            </w:r>
          </w:p>
        </w:tc>
      </w:tr>
      <w:tr w:rsidR="00090D23" w:rsidRPr="00A83C94" w14:paraId="0AB25018" w14:textId="77777777" w:rsidTr="0088445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FCAE2F" w14:textId="77777777" w:rsidR="00090D23" w:rsidRPr="00A83C94" w:rsidRDefault="00090D23" w:rsidP="0088445B">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26B30556"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3CE079ED" w14:textId="77777777" w:rsidR="00090D23" w:rsidRPr="00A83C94" w:rsidRDefault="00090D23" w:rsidP="0088445B">
            <w:pPr>
              <w:spacing w:before="0" w:line="276" w:lineRule="auto"/>
              <w:ind w:right="111" w:firstLine="0"/>
              <w:contextualSpacing w:val="0"/>
              <w:jc w:val="center"/>
              <w:rPr>
                <w:rFonts w:cs="Calibri"/>
                <w:b w:val="0"/>
                <w:color w:val="000000"/>
                <w:sz w:val="20"/>
                <w:szCs w:val="20"/>
                <w:lang w:val="en-US" w:eastAsia="en-US"/>
              </w:rPr>
            </w:pPr>
          </w:p>
        </w:tc>
      </w:tr>
      <w:tr w:rsidR="00090D23" w:rsidRPr="00A83C94" w14:paraId="756B7C7B" w14:textId="77777777" w:rsidTr="0088445B">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B757C5" w14:textId="16AC32BC" w:rsidR="00090D23" w:rsidRPr="00A83C94" w:rsidRDefault="00090D23" w:rsidP="00B77E0B">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Համաշխարհային բանկ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14:paraId="15AF2378"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3.4</w:t>
            </w:r>
          </w:p>
        </w:tc>
        <w:tc>
          <w:tcPr>
            <w:tcW w:w="1580" w:type="dxa"/>
            <w:tcBorders>
              <w:top w:val="single" w:sz="4" w:space="0" w:color="auto"/>
              <w:left w:val="single" w:sz="4" w:space="0" w:color="auto"/>
              <w:bottom w:val="single" w:sz="4" w:space="0" w:color="auto"/>
              <w:right w:val="single" w:sz="4" w:space="0" w:color="auto"/>
            </w:tcBorders>
            <w:noWrap/>
            <w:vAlign w:val="center"/>
          </w:tcPr>
          <w:p w14:paraId="7AF072A7"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4.3</w:t>
            </w:r>
          </w:p>
        </w:tc>
      </w:tr>
      <w:tr w:rsidR="00090D23" w:rsidRPr="00A83C94" w14:paraId="23169E40" w14:textId="77777777" w:rsidTr="0088445B">
        <w:trPr>
          <w:trHeight w:val="268"/>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9378CA" w14:textId="4A50ADF5" w:rsidR="00090D23" w:rsidRPr="00A83C94" w:rsidRDefault="00090D23" w:rsidP="00B77E0B">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Համաշխարհային բանկ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հուն</w:t>
            </w:r>
            <w:r w:rsidRPr="00A83C94">
              <w:rPr>
                <w:rFonts w:cs="Calibri"/>
                <w:b w:val="0"/>
                <w:color w:val="000000"/>
                <w:sz w:val="20"/>
                <w:szCs w:val="20"/>
                <w:lang w:val="en-US" w:eastAsia="en-US"/>
              </w:rPr>
              <w:t>վար</w:t>
            </w:r>
            <w:r w:rsidRPr="00A83C94">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2F8DABD6" w14:textId="77777777" w:rsidR="00090D23" w:rsidRPr="00A83C94" w:rsidRDefault="00090D23" w:rsidP="0088445B">
            <w:pPr>
              <w:spacing w:before="0" w:line="276" w:lineRule="auto"/>
              <w:ind w:right="111" w:firstLine="0"/>
              <w:contextualSpacing w:val="0"/>
              <w:jc w:val="center"/>
              <w:rPr>
                <w:rFonts w:cs="Calibri"/>
                <w:color w:val="000000"/>
                <w:sz w:val="20"/>
                <w:szCs w:val="20"/>
                <w:lang w:val="hy-AM" w:eastAsia="en-US"/>
              </w:rPr>
            </w:pPr>
            <w:r w:rsidRPr="00A83C94">
              <w:rPr>
                <w:rFonts w:cs="Calibri"/>
                <w:b w:val="0"/>
                <w:color w:val="000000"/>
                <w:sz w:val="20"/>
                <w:szCs w:val="20"/>
                <w:lang w:val="en-US" w:eastAsia="en-US"/>
              </w:rPr>
              <w:t>3.1</w:t>
            </w:r>
          </w:p>
        </w:tc>
        <w:tc>
          <w:tcPr>
            <w:tcW w:w="1580" w:type="dxa"/>
            <w:tcBorders>
              <w:top w:val="single" w:sz="4" w:space="0" w:color="auto"/>
              <w:left w:val="single" w:sz="4" w:space="0" w:color="auto"/>
              <w:bottom w:val="single" w:sz="4" w:space="0" w:color="auto"/>
              <w:right w:val="single" w:sz="4" w:space="0" w:color="auto"/>
            </w:tcBorders>
            <w:noWrap/>
            <w:vAlign w:val="center"/>
          </w:tcPr>
          <w:p w14:paraId="6905EB09" w14:textId="77777777" w:rsidR="00090D23" w:rsidRPr="00A83C94" w:rsidRDefault="00090D23" w:rsidP="0088445B">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4.5</w:t>
            </w:r>
          </w:p>
        </w:tc>
      </w:tr>
    </w:tbl>
    <w:p w14:paraId="35C1B8E5" w14:textId="77777777" w:rsidR="00090D23" w:rsidRPr="00A83C94" w:rsidRDefault="00090D23" w:rsidP="00090D23">
      <w:pPr>
        <w:spacing w:before="40" w:after="60" w:line="480" w:lineRule="auto"/>
        <w:ind w:right="115" w:firstLine="0"/>
        <w:rPr>
          <w:b w:val="0"/>
          <w:bCs/>
          <w:color w:val="1F497D"/>
          <w:sz w:val="28"/>
          <w:szCs w:val="28"/>
        </w:rPr>
      </w:pPr>
      <w:r w:rsidRPr="00A83C94">
        <w:rPr>
          <w:b w:val="0"/>
          <w:sz w:val="18"/>
          <w:szCs w:val="18"/>
          <w:lang w:val="hy-AM"/>
        </w:rPr>
        <w:t>Աղբյուրը՝ համապատասխան կառույցների հրապարակումներ</w:t>
      </w:r>
    </w:p>
    <w:p w14:paraId="63DEF325" w14:textId="77777777" w:rsidR="00090D23" w:rsidRPr="00A83C94" w:rsidRDefault="00090D23" w:rsidP="00090D23">
      <w:pPr>
        <w:spacing w:before="0" w:after="120" w:line="480" w:lineRule="auto"/>
        <w:ind w:right="111" w:firstLine="0"/>
        <w:contextualSpacing w:val="0"/>
        <w:jc w:val="left"/>
        <w:rPr>
          <w:rFonts w:ascii="Times New Roman" w:hAnsi="Times New Roman"/>
          <w:bCs/>
          <w:color w:val="1F497D"/>
          <w:sz w:val="18"/>
          <w:szCs w:val="18"/>
          <w:lang w:val="en-US" w:eastAsia="en-US"/>
        </w:rPr>
      </w:pPr>
    </w:p>
    <w:p w14:paraId="7B22B6FE" w14:textId="77777777" w:rsidR="00090D23" w:rsidRPr="00A83C94" w:rsidRDefault="00090D23" w:rsidP="00090D23">
      <w:pPr>
        <w:spacing w:before="0" w:line="240" w:lineRule="auto"/>
        <w:ind w:firstLine="0"/>
        <w:contextualSpacing w:val="0"/>
        <w:jc w:val="left"/>
        <w:rPr>
          <w:lang w:val="hy-AM"/>
        </w:rPr>
      </w:pPr>
    </w:p>
    <w:p w14:paraId="440CD4D3" w14:textId="00B12883" w:rsidR="002C0A36" w:rsidRPr="00A83C94" w:rsidRDefault="002C0A36" w:rsidP="007730AA">
      <w:pPr>
        <w:spacing w:before="0" w:line="276" w:lineRule="auto"/>
        <w:ind w:firstLine="0"/>
        <w:contextualSpacing w:val="0"/>
        <w:rPr>
          <w:color w:val="1F4E79"/>
          <w:sz w:val="24"/>
          <w:lang w:val="hy-AM"/>
        </w:rPr>
      </w:pPr>
    </w:p>
    <w:p w14:paraId="276BEAC7" w14:textId="77777777" w:rsidR="00682DEF" w:rsidRPr="00A83C94" w:rsidRDefault="00682DEF" w:rsidP="007730AA">
      <w:pPr>
        <w:spacing w:before="0" w:line="276" w:lineRule="auto"/>
        <w:ind w:firstLine="0"/>
        <w:contextualSpacing w:val="0"/>
        <w:rPr>
          <w:color w:val="1F4E79"/>
          <w:sz w:val="24"/>
          <w:lang w:val="hy-AM"/>
        </w:rPr>
      </w:pPr>
    </w:p>
    <w:p w14:paraId="3935ECCC" w14:textId="77777777" w:rsidR="00682DEF" w:rsidRPr="00A83C94" w:rsidRDefault="00682DEF" w:rsidP="00682DEF">
      <w:pPr>
        <w:keepNext/>
        <w:keepLines/>
        <w:spacing w:before="0" w:line="312" w:lineRule="auto"/>
        <w:ind w:firstLine="0"/>
        <w:outlineLvl w:val="2"/>
        <w:rPr>
          <w:szCs w:val="22"/>
          <w:lang w:val="hy-AM" w:eastAsia="en-US"/>
        </w:rPr>
      </w:pPr>
      <w:bookmarkStart w:id="325" w:name="_Toc83650399"/>
      <w:bookmarkStart w:id="326" w:name="_Toc83996404"/>
      <w:bookmarkEnd w:id="315"/>
      <w:r w:rsidRPr="00A83C94">
        <w:rPr>
          <w:szCs w:val="22"/>
          <w:lang w:val="hy-AM" w:eastAsia="en-US"/>
        </w:rPr>
        <w:t>4. ԵՆԹԱԿԱՌՈՒՑՎԱԾՔԱՅԻՆ ԵՎ ԱՅԼ ՈԼՈՐՏՆԵՐՈՒՄ ԳՈՐԾՈՂ ԿԱԶՄԱԿԵՐՊՈՒԹՅՈՒՆՆԵՐԻ ԳՈՐԾՈՒՆԵՈՒԹՅԱՆՆ ԱՌՆՉՎՈՂ ՀԱՐԿԱԲՅՈՒՋԵՏԱՅԻՆ ՌԻՍԿԵՐԻ ԳՆԱՀԱՏԱԿԱՆԸ</w:t>
      </w:r>
      <w:bookmarkEnd w:id="325"/>
      <w:bookmarkEnd w:id="326"/>
    </w:p>
    <w:p w14:paraId="64CA2F24" w14:textId="77777777" w:rsidR="00682DEF" w:rsidRPr="00A83C94" w:rsidRDefault="00682DEF" w:rsidP="00682DEF">
      <w:pPr>
        <w:spacing w:before="40" w:after="60" w:line="276" w:lineRule="auto"/>
        <w:ind w:firstLine="0"/>
        <w:contextualSpacing w:val="0"/>
        <w:rPr>
          <w:b w:val="0"/>
          <w:bCs/>
          <w:szCs w:val="22"/>
          <w:lang w:val="hy-AM" w:eastAsia="en-US"/>
        </w:rPr>
      </w:pPr>
    </w:p>
    <w:p w14:paraId="3B7F5A89" w14:textId="77777777" w:rsidR="00682DEF" w:rsidRPr="00A83C94" w:rsidRDefault="00682DEF" w:rsidP="00682DEF">
      <w:pPr>
        <w:spacing w:before="40" w:after="60" w:line="276" w:lineRule="auto"/>
        <w:ind w:firstLine="450"/>
        <w:contextualSpacing w:val="0"/>
        <w:rPr>
          <w:bCs/>
          <w:szCs w:val="22"/>
          <w:lang w:val="hy-AM" w:eastAsia="en-US"/>
        </w:rPr>
      </w:pPr>
      <w:r w:rsidRPr="00A83C94">
        <w:rPr>
          <w:bCs/>
          <w:szCs w:val="22"/>
          <w:lang w:val="hy-AM" w:eastAsia="en-US"/>
        </w:rPr>
        <w:t>Ներածություն</w:t>
      </w:r>
    </w:p>
    <w:p w14:paraId="1FC1072C" w14:textId="77777777" w:rsidR="00682DEF" w:rsidRPr="00A83C94" w:rsidRDefault="00682DEF" w:rsidP="00682DEF">
      <w:pPr>
        <w:spacing w:before="40" w:after="60" w:line="276" w:lineRule="auto"/>
        <w:ind w:firstLine="450"/>
        <w:contextualSpacing w:val="0"/>
        <w:rPr>
          <w:b w:val="0"/>
          <w:szCs w:val="22"/>
          <w:lang w:val="hy-AM" w:eastAsia="en-US"/>
        </w:rPr>
      </w:pPr>
      <w:r w:rsidRPr="00A83C94">
        <w:rPr>
          <w:b w:val="0"/>
          <w:szCs w:val="22"/>
          <w:lang w:val="hy-AM" w:eastAsia="en-US"/>
        </w:rPr>
        <w:t>Հարկաբյուջետային ռիսկերի գնահատման բարելավման նպատակով Ասիական զարգացման բանկի հետ համատեղ մշակվել է ֆիսկալ ռիսկերի կառավարման բարելավման 2019-2023 թվականների ճանապարհային քարտեզը, որով նախանշված նպատակների իրականացման համար կատարվել է նաև ենթակառուցված</w:t>
      </w:r>
      <w:r w:rsidRPr="00A83C94">
        <w:rPr>
          <w:b w:val="0"/>
          <w:szCs w:val="22"/>
          <w:lang w:val="hy-AM" w:eastAsia="en-US"/>
        </w:rPr>
        <w:softHyphen/>
        <w:t>քային և այլ ոլորտների կազմակերպությունների (Ընկերություններ) գործունեությանն առնչվող հար</w:t>
      </w:r>
      <w:r w:rsidRPr="00A83C94">
        <w:rPr>
          <w:b w:val="0"/>
          <w:szCs w:val="22"/>
          <w:lang w:val="hy-AM" w:eastAsia="en-US"/>
        </w:rPr>
        <w:softHyphen/>
        <w:t>կա</w:t>
      </w:r>
      <w:r w:rsidRPr="00A83C94">
        <w:rPr>
          <w:b w:val="0"/>
          <w:szCs w:val="22"/>
          <w:lang w:val="hy-AM" w:eastAsia="en-US"/>
        </w:rPr>
        <w:softHyphen/>
        <w:t>բյու</w:t>
      </w:r>
      <w:r w:rsidRPr="00A83C94">
        <w:rPr>
          <w:b w:val="0"/>
          <w:szCs w:val="22"/>
          <w:lang w:val="hy-AM" w:eastAsia="en-US"/>
        </w:rPr>
        <w:softHyphen/>
        <w:t xml:space="preserve">ջետային ռիսկերի գնահատում: Այս համատեքստում, զուգահեռաբար, իր գործուն աջակցությունն է ցուցաբերել նաև Արժույթի միջազգային հիմնադրամը: </w:t>
      </w:r>
    </w:p>
    <w:p w14:paraId="4B3CEED0" w14:textId="77777777" w:rsidR="00682DEF" w:rsidRPr="00A83C94" w:rsidRDefault="00682DEF" w:rsidP="00682DEF">
      <w:pPr>
        <w:spacing w:before="40" w:after="60" w:line="276" w:lineRule="auto"/>
        <w:ind w:firstLine="450"/>
        <w:contextualSpacing w:val="0"/>
        <w:rPr>
          <w:b w:val="0"/>
          <w:szCs w:val="22"/>
          <w:lang w:val="hy-AM" w:eastAsia="en-US"/>
        </w:rPr>
      </w:pPr>
      <w:r w:rsidRPr="00A83C94">
        <w:rPr>
          <w:bCs/>
          <w:szCs w:val="22"/>
          <w:lang w:val="hy-AM" w:eastAsia="en-US"/>
        </w:rPr>
        <w:t>Հարկաբյուջետային ռիսկերի գնահատման նպատակը</w:t>
      </w:r>
    </w:p>
    <w:p w14:paraId="7BA27481" w14:textId="77777777" w:rsidR="00682DEF" w:rsidRPr="00A83C94" w:rsidRDefault="00682DEF" w:rsidP="00682DEF">
      <w:pPr>
        <w:spacing w:before="40" w:after="60" w:line="276" w:lineRule="auto"/>
        <w:ind w:firstLine="450"/>
        <w:contextualSpacing w:val="0"/>
        <w:rPr>
          <w:b w:val="0"/>
          <w:szCs w:val="22"/>
          <w:lang w:val="hy-AM" w:eastAsia="en-US"/>
        </w:rPr>
      </w:pPr>
      <w:r w:rsidRPr="00A83C94">
        <w:rPr>
          <w:b w:val="0"/>
          <w:szCs w:val="22"/>
          <w:lang w:val="hy-AM" w:eastAsia="en-US"/>
        </w:rPr>
        <w:t>Հարկաբյուջետային ռիսկերի այս գնահատման նպատակն է ֆինանսական վիճակի վերլու</w:t>
      </w:r>
      <w:r w:rsidRPr="00A83C94">
        <w:rPr>
          <w:b w:val="0"/>
          <w:szCs w:val="22"/>
          <w:lang w:val="hy-AM" w:eastAsia="en-US"/>
        </w:rPr>
        <w:softHyphen/>
      </w:r>
      <w:r w:rsidRPr="00A83C94">
        <w:rPr>
          <w:b w:val="0"/>
          <w:szCs w:val="22"/>
          <w:lang w:val="hy-AM" w:eastAsia="en-US"/>
        </w:rPr>
        <w:softHyphen/>
        <w:t>ծության միջոցով գնահատել Ընկերությունների ֆինանսական վիճակի վատթարացման հա</w:t>
      </w:r>
      <w:r w:rsidRPr="00A83C94">
        <w:rPr>
          <w:b w:val="0"/>
          <w:szCs w:val="22"/>
          <w:lang w:val="hy-AM" w:eastAsia="en-US"/>
        </w:rPr>
        <w:softHyphen/>
        <w:t>վանականությունը, որը կարող է հանգեցնել պետական բյուջեից Ընկերություններին չնախա</w:t>
      </w:r>
      <w:r w:rsidRPr="00A83C94">
        <w:rPr>
          <w:b w:val="0"/>
          <w:szCs w:val="22"/>
          <w:lang w:val="hy-AM" w:eastAsia="en-US"/>
        </w:rPr>
        <w:softHyphen/>
        <w:t>տես</w:t>
      </w:r>
      <w:r w:rsidRPr="00A83C94">
        <w:rPr>
          <w:b w:val="0"/>
          <w:szCs w:val="22"/>
          <w:lang w:val="hy-AM" w:eastAsia="en-US"/>
        </w:rPr>
        <w:softHyphen/>
        <w:t>ված փոխառությունների, սուբսիդիաների տրամադրման, սեփական կապիտալի համալրման կամ այլ վճարումներ կատարելու անհրաժեշտության, ինչպես նաև Ընկերություն</w:t>
      </w:r>
      <w:r w:rsidRPr="00A83C94">
        <w:rPr>
          <w:b w:val="0"/>
          <w:szCs w:val="22"/>
          <w:lang w:val="hy-AM" w:eastAsia="en-US"/>
        </w:rPr>
        <w:softHyphen/>
        <w:t>ների կողմից պե</w:t>
      </w:r>
      <w:r w:rsidRPr="00A83C94">
        <w:rPr>
          <w:b w:val="0"/>
          <w:szCs w:val="22"/>
          <w:lang w:val="hy-AM" w:eastAsia="en-US"/>
        </w:rPr>
        <w:softHyphen/>
        <w:t>տա</w:t>
      </w:r>
      <w:r w:rsidRPr="00A83C94">
        <w:rPr>
          <w:b w:val="0"/>
          <w:szCs w:val="22"/>
          <w:lang w:val="hy-AM" w:eastAsia="en-US"/>
        </w:rPr>
        <w:softHyphen/>
        <w:t>կան բյուջե կանխատեսված շահութաբաժինների, ստացված վարկային միջոցների օգտա</w:t>
      </w:r>
      <w:r w:rsidRPr="00A83C94">
        <w:rPr>
          <w:b w:val="0"/>
          <w:szCs w:val="22"/>
          <w:lang w:val="hy-AM" w:eastAsia="en-US"/>
        </w:rPr>
        <w:softHyphen/>
        <w:t>գործ</w:t>
      </w:r>
      <w:r w:rsidRPr="00A83C94">
        <w:rPr>
          <w:b w:val="0"/>
          <w:szCs w:val="22"/>
          <w:lang w:val="hy-AM" w:eastAsia="en-US"/>
        </w:rPr>
        <w:softHyphen/>
        <w:t xml:space="preserve">ման դիմաց հաշվարկված տոկոսների չվճարման և մայր գումարների չմարման։ </w:t>
      </w:r>
    </w:p>
    <w:p w14:paraId="225C7BFD" w14:textId="77777777" w:rsidR="00682DEF" w:rsidRPr="00A83C94" w:rsidRDefault="00682DEF" w:rsidP="00682DEF">
      <w:pPr>
        <w:spacing w:before="40" w:after="60" w:line="276" w:lineRule="auto"/>
        <w:ind w:firstLine="450"/>
        <w:contextualSpacing w:val="0"/>
        <w:rPr>
          <w:b w:val="0"/>
          <w:bCs/>
          <w:caps/>
          <w:szCs w:val="22"/>
          <w:lang w:val="hy-AM" w:eastAsia="en-US"/>
        </w:rPr>
      </w:pPr>
      <w:r w:rsidRPr="00A83C94">
        <w:rPr>
          <w:szCs w:val="22"/>
          <w:lang w:val="hy-AM" w:eastAsia="en-US"/>
        </w:rPr>
        <w:t>Հարկաբյուջետային ռիսկերի գնահատման մեթոդաբանություն</w:t>
      </w:r>
    </w:p>
    <w:p w14:paraId="510D6DF4" w14:textId="77777777" w:rsidR="00682DEF" w:rsidRPr="00A83C94" w:rsidRDefault="00682DEF" w:rsidP="00682DEF">
      <w:pPr>
        <w:spacing w:before="40" w:after="60" w:line="276" w:lineRule="auto"/>
        <w:ind w:firstLine="450"/>
        <w:contextualSpacing w:val="0"/>
        <w:rPr>
          <w:b w:val="0"/>
          <w:szCs w:val="22"/>
          <w:lang w:val="hy-AM" w:eastAsia="en-US"/>
        </w:rPr>
      </w:pPr>
      <w:r w:rsidRPr="00A83C94">
        <w:rPr>
          <w:b w:val="0"/>
          <w:szCs w:val="22"/>
          <w:lang w:val="hy-AM" w:eastAsia="en-US"/>
        </w:rPr>
        <w:t>Ընկերությունների կողմից ներկայացված ֆինանսական հաշվետվությունների հիման վրա հարկաբյուջետային ռիսկերի գնահատման համար կիրառվել է Արժույթի միջազգային հիմնադրամի (ԱՄՀ) կողմից հրապարակված՝ «Կորպորատիվ հատվածից առաջացող ֆիսկալ ռիսկերի կառավարման ուղեցույց»-ում (այսուհետ՝ ԱՄՀ ուղեցույց), ինչպես նաև Ասիական զարգացման բանկի խորհրդատուի հետ մշակված և ՀՀ ֆինանսների նախարարի 14.09.2018թ. N439-Ա հրամանով հաստատված Ֆիսկալ ռիսկերի գնահատման ձեռնարկ-ում ներկայացված մեթոդաբա</w:t>
      </w:r>
      <w:r w:rsidRPr="00A83C94">
        <w:rPr>
          <w:b w:val="0"/>
          <w:szCs w:val="22"/>
          <w:lang w:val="hy-AM" w:eastAsia="en-US"/>
        </w:rPr>
        <w:softHyphen/>
        <w:t>նությունը</w:t>
      </w:r>
      <w:r w:rsidRPr="00A83C94">
        <w:rPr>
          <w:b w:val="0"/>
          <w:szCs w:val="22"/>
          <w:vertAlign w:val="superscript"/>
          <w:lang w:val="hy-AM" w:eastAsia="en-US"/>
        </w:rPr>
        <w:footnoteReference w:id="32"/>
      </w:r>
      <w:r w:rsidRPr="00A83C94">
        <w:rPr>
          <w:b w:val="0"/>
          <w:szCs w:val="22"/>
          <w:lang w:val="hy-AM" w:eastAsia="en-US"/>
        </w:rPr>
        <w:t>, ինչպես նաև ՀՀ կառավարության 06.11.2020թ. «Պետություն-մասնավոր գործընկերության ծրագրերի գծով Հայաստանի Հանրապետության պայմանական պարտավորությունների հաշվարկման և գնահատման մեթոդաբանությունը սահմանելու մասին» N1785-Լ որոշմամբ սահմանված մեթոդաբանությունը:</w:t>
      </w:r>
    </w:p>
    <w:p w14:paraId="0B4009B4" w14:textId="77777777" w:rsidR="00682DEF" w:rsidRPr="00A83C94" w:rsidRDefault="00682DEF" w:rsidP="00682DEF">
      <w:pPr>
        <w:spacing w:before="0" w:line="276" w:lineRule="auto"/>
        <w:contextualSpacing w:val="0"/>
        <w:rPr>
          <w:szCs w:val="22"/>
          <w:lang w:val="hy-AM"/>
        </w:rPr>
      </w:pPr>
      <w:r w:rsidRPr="00A83C94">
        <w:rPr>
          <w:szCs w:val="22"/>
          <w:lang w:val="hy-AM"/>
        </w:rPr>
        <w:t>Պետական և համայնքային մասնակցությամբ ընկերությունների պորտֆելի նկարագրություն</w:t>
      </w:r>
    </w:p>
    <w:p w14:paraId="32C0EC9F" w14:textId="77777777" w:rsidR="00682DEF" w:rsidRPr="00A83C94" w:rsidRDefault="00682DEF" w:rsidP="00682DEF">
      <w:pPr>
        <w:shd w:val="clear" w:color="auto" w:fill="FFFFFF"/>
        <w:spacing w:before="0" w:line="276" w:lineRule="auto"/>
        <w:ind w:right="150" w:firstLine="360"/>
        <w:contextualSpacing w:val="0"/>
        <w:rPr>
          <w:b w:val="0"/>
          <w:szCs w:val="22"/>
          <w:lang w:val="hy-AM"/>
        </w:rPr>
      </w:pPr>
      <w:r w:rsidRPr="00A83C94">
        <w:rPr>
          <w:b w:val="0"/>
          <w:szCs w:val="22"/>
          <w:lang w:val="hy-AM"/>
        </w:rPr>
        <w:t>2020թ. տարեկան տվյալների հիման վրա ֆինանսատնտեսական դիտարկումներ է իրականացրել ՀՀ վարչապետի աշխատակազմի, ՀՀ նախարարությունների, դրանց ենթակա մարմինների, ՀՀ մարզպետարանների՝ թվով 24 գերատեսչությունների, ինչպես նաև Երևանի քաղաքապետարանի և ՀՀ հանրային հեռարձակողի խորհուրդի ենթակայության ընդհանուր թվով 206 ընկերություններ, որոնց սեփական կապիտալի հանրագումարը կազմել է 252.4 մլրդ ՀՀ դրամ, իսկ ակտիվները՝ 752.5 մլրդ ՀՀ դրամ։ 2020թ</w:t>
      </w:r>
      <w:r w:rsidRPr="00A83C94">
        <w:rPr>
          <w:rFonts w:ascii="Cambria Math" w:hAnsi="Cambria Math"/>
          <w:b w:val="0"/>
          <w:szCs w:val="22"/>
          <w:lang w:val="hy-AM"/>
        </w:rPr>
        <w:t>․</w:t>
      </w:r>
      <w:r w:rsidRPr="00A83C94">
        <w:rPr>
          <w:b w:val="0"/>
          <w:szCs w:val="22"/>
          <w:lang w:val="hy-AM"/>
        </w:rPr>
        <w:t xml:space="preserve"> ընթացքում այդ ընկերություններից վնասով աշխատել են թվով՝ 64 (2019թ. դիտարկված ընկերություններից վնասով աշխատել են թվով 48-ը)։ </w:t>
      </w:r>
    </w:p>
    <w:p w14:paraId="2E426C60"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2020 թվականի դեկտեմբերի 31-ի դրությամբ գործունեության դադարեցման կամ վերակազմակերպման գործընթացում են գտնվել թվով 15 ընկերություն: Ընկերությունների 61%-ը (թվով՝ 126 ընկերություն) գործում են տարածքային կառավարման մարմինների ենթակայությամբ, որոնց ակտիվների հանրագումարը կազմում է ընդհանուր դիտանցված ընկերությունների 10%-ը): </w:t>
      </w:r>
    </w:p>
    <w:p w14:paraId="512DA590" w14:textId="77777777" w:rsidR="00B4692E" w:rsidRPr="00A83C94" w:rsidRDefault="00B4692E" w:rsidP="00682DEF">
      <w:pPr>
        <w:shd w:val="clear" w:color="auto" w:fill="FFFFFF"/>
        <w:spacing w:before="0" w:line="276" w:lineRule="auto"/>
        <w:ind w:right="150" w:firstLine="450"/>
        <w:contextualSpacing w:val="0"/>
        <w:rPr>
          <w:b w:val="0"/>
          <w:bCs/>
          <w:color w:val="4F81BD" w:themeColor="accent1"/>
          <w:sz w:val="18"/>
          <w:szCs w:val="18"/>
          <w:lang w:val="hy-AM"/>
        </w:rPr>
      </w:pPr>
    </w:p>
    <w:p w14:paraId="454465D5" w14:textId="3612C631" w:rsidR="00682DEF" w:rsidRPr="00A83C94" w:rsidRDefault="00682DEF" w:rsidP="00682DEF">
      <w:pPr>
        <w:shd w:val="clear" w:color="auto" w:fill="FFFFFF"/>
        <w:spacing w:before="0" w:line="276" w:lineRule="auto"/>
        <w:ind w:right="150" w:firstLine="450"/>
        <w:contextualSpacing w:val="0"/>
        <w:rPr>
          <w:rFonts w:eastAsia="Calibri"/>
          <w:bCs/>
          <w:i/>
          <w:color w:val="4F81BD" w:themeColor="accent1"/>
          <w:sz w:val="20"/>
          <w:szCs w:val="20"/>
          <w:lang w:val="hy-AM" w:eastAsia="en-US"/>
        </w:rPr>
      </w:pPr>
      <w:r w:rsidRPr="00A83C94">
        <w:rPr>
          <w:b w:val="0"/>
          <w:bCs/>
          <w:color w:val="4F81BD" w:themeColor="accent1"/>
          <w:sz w:val="18"/>
          <w:szCs w:val="18"/>
          <w:lang w:val="hy-AM"/>
        </w:rPr>
        <w:t>Աղյուսակ</w:t>
      </w:r>
      <w:r w:rsidR="006C390E" w:rsidRPr="008B1D49">
        <w:rPr>
          <w:b w:val="0"/>
          <w:bCs/>
          <w:color w:val="4F81BD" w:themeColor="accent1"/>
          <w:sz w:val="18"/>
          <w:szCs w:val="18"/>
          <w:lang w:val="hy-AM"/>
        </w:rPr>
        <w:t xml:space="preserve"> 1</w:t>
      </w:r>
      <w:r w:rsidRPr="00A83C94">
        <w:rPr>
          <w:b w:val="0"/>
          <w:bCs/>
          <w:color w:val="4F81BD" w:themeColor="accent1"/>
          <w:sz w:val="18"/>
          <w:szCs w:val="18"/>
          <w:lang w:val="hy-AM"/>
        </w:rPr>
        <w:t xml:space="preserve">. </w:t>
      </w:r>
      <w:r w:rsidRPr="00A83C94">
        <w:rPr>
          <w:rFonts w:eastAsia="Calibri"/>
          <w:bCs/>
          <w:i/>
          <w:color w:val="4F81BD" w:themeColor="accent1"/>
          <w:sz w:val="20"/>
          <w:szCs w:val="20"/>
          <w:lang w:val="hy-AM" w:eastAsia="en-US"/>
        </w:rPr>
        <w:t>Պետական և համայնքային մասնակցությամբ ընկերությունները՝ ըստ կառավարող մարմինների</w:t>
      </w:r>
    </w:p>
    <w:p w14:paraId="6C0376BD"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9"/>
        <w:gridCol w:w="602"/>
      </w:tblGrid>
      <w:tr w:rsidR="00682DEF" w:rsidRPr="00A83C94" w14:paraId="4DDB5BFC" w14:textId="77777777" w:rsidTr="00B4692E">
        <w:trPr>
          <w:trHeight w:val="288"/>
        </w:trPr>
        <w:tc>
          <w:tcPr>
            <w:tcW w:w="0" w:type="auto"/>
            <w:hideMark/>
          </w:tcPr>
          <w:p w14:paraId="5BEF331C"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տարածքային կառավարման և ենթակառուցվածքների նախարարություն</w:t>
            </w:r>
          </w:p>
        </w:tc>
        <w:tc>
          <w:tcPr>
            <w:tcW w:w="0" w:type="auto"/>
            <w:vAlign w:val="center"/>
            <w:hideMark/>
          </w:tcPr>
          <w:p w14:paraId="02889C28"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14</w:t>
            </w:r>
          </w:p>
        </w:tc>
      </w:tr>
      <w:tr w:rsidR="00682DEF" w:rsidRPr="00A83C94" w14:paraId="7AF3A488" w14:textId="77777777" w:rsidTr="00B4692E">
        <w:trPr>
          <w:trHeight w:val="288"/>
        </w:trPr>
        <w:tc>
          <w:tcPr>
            <w:tcW w:w="0" w:type="auto"/>
            <w:hideMark/>
          </w:tcPr>
          <w:p w14:paraId="7364A7E4"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պետական գույքի կառավարման կոմիտե</w:t>
            </w:r>
          </w:p>
        </w:tc>
        <w:tc>
          <w:tcPr>
            <w:tcW w:w="0" w:type="auto"/>
            <w:vAlign w:val="center"/>
            <w:hideMark/>
          </w:tcPr>
          <w:p w14:paraId="7789C265"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13</w:t>
            </w:r>
          </w:p>
        </w:tc>
      </w:tr>
      <w:tr w:rsidR="00682DEF" w:rsidRPr="00A83C94" w14:paraId="5AF27297" w14:textId="77777777" w:rsidTr="00B4692E">
        <w:trPr>
          <w:trHeight w:val="288"/>
        </w:trPr>
        <w:tc>
          <w:tcPr>
            <w:tcW w:w="0" w:type="auto"/>
            <w:hideMark/>
          </w:tcPr>
          <w:p w14:paraId="6FFC01BF"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առողջապահության նախարարություն</w:t>
            </w:r>
          </w:p>
        </w:tc>
        <w:tc>
          <w:tcPr>
            <w:tcW w:w="0" w:type="auto"/>
            <w:vAlign w:val="center"/>
            <w:hideMark/>
          </w:tcPr>
          <w:p w14:paraId="31DBDE78"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13</w:t>
            </w:r>
          </w:p>
        </w:tc>
      </w:tr>
      <w:tr w:rsidR="00682DEF" w:rsidRPr="00A83C94" w14:paraId="78A864D7" w14:textId="77777777" w:rsidTr="00B4692E">
        <w:trPr>
          <w:trHeight w:val="288"/>
        </w:trPr>
        <w:tc>
          <w:tcPr>
            <w:tcW w:w="0" w:type="auto"/>
            <w:vAlign w:val="center"/>
            <w:hideMark/>
          </w:tcPr>
          <w:p w14:paraId="2222F242"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rFonts w:cs="Calibri"/>
                <w:b w:val="0"/>
                <w:color w:val="000000"/>
                <w:szCs w:val="22"/>
                <w:lang w:val="en-US" w:eastAsia="en-US"/>
              </w:rPr>
              <w:t xml:space="preserve">ՀՀ </w:t>
            </w:r>
            <w:r w:rsidRPr="00A83C94">
              <w:rPr>
                <w:rFonts w:cs="Calibri"/>
                <w:b w:val="0"/>
                <w:color w:val="000000"/>
                <w:szCs w:val="22"/>
                <w:lang w:val="hy-AM" w:eastAsia="en-US"/>
              </w:rPr>
              <w:t>վ</w:t>
            </w:r>
            <w:r w:rsidRPr="00A83C94">
              <w:rPr>
                <w:rFonts w:cs="Calibri"/>
                <w:b w:val="0"/>
                <w:color w:val="000000"/>
                <w:szCs w:val="22"/>
                <w:lang w:val="en-US" w:eastAsia="en-US"/>
              </w:rPr>
              <w:t>արչապետի աշխատակազմ</w:t>
            </w:r>
          </w:p>
        </w:tc>
        <w:tc>
          <w:tcPr>
            <w:tcW w:w="0" w:type="auto"/>
            <w:vAlign w:val="center"/>
            <w:hideMark/>
          </w:tcPr>
          <w:p w14:paraId="31B49AEE"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5</w:t>
            </w:r>
          </w:p>
        </w:tc>
      </w:tr>
      <w:tr w:rsidR="00682DEF" w:rsidRPr="00A83C94" w14:paraId="6AE893CE" w14:textId="77777777" w:rsidTr="00B4692E">
        <w:trPr>
          <w:trHeight w:val="288"/>
        </w:trPr>
        <w:tc>
          <w:tcPr>
            <w:tcW w:w="0" w:type="auto"/>
            <w:vAlign w:val="center"/>
            <w:hideMark/>
          </w:tcPr>
          <w:p w14:paraId="6F3177C6"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rFonts w:cs="Calibri"/>
                <w:b w:val="0"/>
                <w:color w:val="000000"/>
                <w:szCs w:val="22"/>
                <w:lang w:val="en-US" w:eastAsia="en-US"/>
              </w:rPr>
              <w:t>ՀՀ էկոնոմիկայի նախարարություն</w:t>
            </w:r>
          </w:p>
        </w:tc>
        <w:tc>
          <w:tcPr>
            <w:tcW w:w="0" w:type="auto"/>
            <w:vAlign w:val="center"/>
            <w:hideMark/>
          </w:tcPr>
          <w:p w14:paraId="57CCE7E1"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6</w:t>
            </w:r>
          </w:p>
        </w:tc>
      </w:tr>
      <w:tr w:rsidR="00682DEF" w:rsidRPr="00A83C94" w14:paraId="2A70696D" w14:textId="77777777" w:rsidTr="00B4692E">
        <w:trPr>
          <w:trHeight w:val="288"/>
        </w:trPr>
        <w:tc>
          <w:tcPr>
            <w:tcW w:w="0" w:type="auto"/>
            <w:hideMark/>
          </w:tcPr>
          <w:p w14:paraId="777B2358"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 xml:space="preserve">ՀՀ պաշտպանության նախարարություն </w:t>
            </w:r>
          </w:p>
        </w:tc>
        <w:tc>
          <w:tcPr>
            <w:tcW w:w="0" w:type="auto"/>
            <w:vAlign w:val="center"/>
            <w:hideMark/>
          </w:tcPr>
          <w:p w14:paraId="4A07DB2F"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7</w:t>
            </w:r>
          </w:p>
        </w:tc>
      </w:tr>
      <w:tr w:rsidR="00682DEF" w:rsidRPr="00A83C94" w14:paraId="391072C9" w14:textId="77777777" w:rsidTr="00B4692E">
        <w:trPr>
          <w:trHeight w:val="288"/>
        </w:trPr>
        <w:tc>
          <w:tcPr>
            <w:tcW w:w="0" w:type="auto"/>
            <w:hideMark/>
          </w:tcPr>
          <w:p w14:paraId="35893BC9"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կրթության, գիտության, մշակույթի և սպորտի նախարարություն</w:t>
            </w:r>
          </w:p>
        </w:tc>
        <w:tc>
          <w:tcPr>
            <w:tcW w:w="0" w:type="auto"/>
            <w:vAlign w:val="center"/>
            <w:hideMark/>
          </w:tcPr>
          <w:p w14:paraId="6CC768E8"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5</w:t>
            </w:r>
          </w:p>
        </w:tc>
      </w:tr>
      <w:tr w:rsidR="00682DEF" w:rsidRPr="00A83C94" w14:paraId="1035647A" w14:textId="77777777" w:rsidTr="00B4692E">
        <w:trPr>
          <w:trHeight w:val="288"/>
        </w:trPr>
        <w:tc>
          <w:tcPr>
            <w:tcW w:w="0" w:type="auto"/>
            <w:hideMark/>
          </w:tcPr>
          <w:p w14:paraId="47104F14"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բարձր տեխնոլոգիական արդյունաբերության նախարարություն</w:t>
            </w:r>
          </w:p>
        </w:tc>
        <w:tc>
          <w:tcPr>
            <w:tcW w:w="0" w:type="auto"/>
            <w:vAlign w:val="center"/>
            <w:hideMark/>
          </w:tcPr>
          <w:p w14:paraId="57B685BC"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8</w:t>
            </w:r>
          </w:p>
        </w:tc>
      </w:tr>
      <w:tr w:rsidR="00682DEF" w:rsidRPr="00A83C94" w14:paraId="14340B74" w14:textId="77777777" w:rsidTr="00B4692E">
        <w:trPr>
          <w:trHeight w:val="288"/>
        </w:trPr>
        <w:tc>
          <w:tcPr>
            <w:tcW w:w="0" w:type="auto"/>
            <w:hideMark/>
          </w:tcPr>
          <w:p w14:paraId="6B5C545D"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քաղաքացիական ավիացիայի կոմիտե</w:t>
            </w:r>
          </w:p>
        </w:tc>
        <w:tc>
          <w:tcPr>
            <w:tcW w:w="0" w:type="auto"/>
            <w:vAlign w:val="center"/>
            <w:hideMark/>
          </w:tcPr>
          <w:p w14:paraId="501D6EE4"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3</w:t>
            </w:r>
          </w:p>
        </w:tc>
      </w:tr>
      <w:tr w:rsidR="00682DEF" w:rsidRPr="00A83C94" w14:paraId="58BDE65C" w14:textId="77777777" w:rsidTr="00B4692E">
        <w:trPr>
          <w:trHeight w:val="288"/>
        </w:trPr>
        <w:tc>
          <w:tcPr>
            <w:tcW w:w="0" w:type="auto"/>
            <w:hideMark/>
          </w:tcPr>
          <w:p w14:paraId="2BA826D3"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հանրային հեռարձակողի խորհուրդ</w:t>
            </w:r>
          </w:p>
        </w:tc>
        <w:tc>
          <w:tcPr>
            <w:tcW w:w="0" w:type="auto"/>
            <w:vAlign w:val="center"/>
            <w:hideMark/>
          </w:tcPr>
          <w:p w14:paraId="6CE643A4"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3</w:t>
            </w:r>
          </w:p>
        </w:tc>
      </w:tr>
      <w:tr w:rsidR="00682DEF" w:rsidRPr="00A83C94" w14:paraId="1190958C" w14:textId="77777777" w:rsidTr="00B4692E">
        <w:trPr>
          <w:trHeight w:val="288"/>
        </w:trPr>
        <w:tc>
          <w:tcPr>
            <w:tcW w:w="0" w:type="auto"/>
            <w:hideMark/>
          </w:tcPr>
          <w:p w14:paraId="083B33F6"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արտակարգ իրավիճակների նախարարություն</w:t>
            </w:r>
          </w:p>
        </w:tc>
        <w:tc>
          <w:tcPr>
            <w:tcW w:w="0" w:type="auto"/>
            <w:vAlign w:val="center"/>
            <w:hideMark/>
          </w:tcPr>
          <w:p w14:paraId="6245245B"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1</w:t>
            </w:r>
          </w:p>
        </w:tc>
      </w:tr>
      <w:tr w:rsidR="00682DEF" w:rsidRPr="00A83C94" w14:paraId="21412CBE" w14:textId="77777777" w:rsidTr="00B4692E">
        <w:trPr>
          <w:trHeight w:val="288"/>
        </w:trPr>
        <w:tc>
          <w:tcPr>
            <w:tcW w:w="0" w:type="auto"/>
            <w:hideMark/>
          </w:tcPr>
          <w:p w14:paraId="72C5D135"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արդարադատության նախարարություն</w:t>
            </w:r>
          </w:p>
        </w:tc>
        <w:tc>
          <w:tcPr>
            <w:tcW w:w="0" w:type="auto"/>
            <w:vAlign w:val="center"/>
            <w:hideMark/>
          </w:tcPr>
          <w:p w14:paraId="29F7C4AF"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1</w:t>
            </w:r>
          </w:p>
        </w:tc>
      </w:tr>
      <w:tr w:rsidR="00682DEF" w:rsidRPr="00A83C94" w14:paraId="3A7CE87C" w14:textId="77777777" w:rsidTr="00B4692E">
        <w:trPr>
          <w:trHeight w:val="288"/>
        </w:trPr>
        <w:tc>
          <w:tcPr>
            <w:tcW w:w="0" w:type="auto"/>
            <w:hideMark/>
          </w:tcPr>
          <w:p w14:paraId="5C5E2D38"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շրջակա միջավայրի նախարարություն</w:t>
            </w:r>
          </w:p>
        </w:tc>
        <w:tc>
          <w:tcPr>
            <w:tcW w:w="0" w:type="auto"/>
            <w:vAlign w:val="center"/>
            <w:hideMark/>
          </w:tcPr>
          <w:p w14:paraId="23F9A007"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1</w:t>
            </w:r>
          </w:p>
        </w:tc>
      </w:tr>
      <w:tr w:rsidR="00682DEF" w:rsidRPr="00A83C94" w14:paraId="5E6FEA9C" w14:textId="77777777" w:rsidTr="00B4692E">
        <w:trPr>
          <w:trHeight w:val="288"/>
        </w:trPr>
        <w:tc>
          <w:tcPr>
            <w:tcW w:w="0" w:type="auto"/>
            <w:hideMark/>
          </w:tcPr>
          <w:p w14:paraId="64EFC2DF"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Երևանի քաղաքապետարան</w:t>
            </w:r>
          </w:p>
        </w:tc>
        <w:tc>
          <w:tcPr>
            <w:tcW w:w="0" w:type="auto"/>
            <w:vAlign w:val="center"/>
            <w:hideMark/>
          </w:tcPr>
          <w:p w14:paraId="5D13DF71"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48</w:t>
            </w:r>
          </w:p>
        </w:tc>
      </w:tr>
      <w:tr w:rsidR="00682DEF" w:rsidRPr="00A83C94" w14:paraId="0ACACA31" w14:textId="77777777" w:rsidTr="00B4692E">
        <w:trPr>
          <w:trHeight w:val="288"/>
        </w:trPr>
        <w:tc>
          <w:tcPr>
            <w:tcW w:w="0" w:type="auto"/>
            <w:hideMark/>
          </w:tcPr>
          <w:p w14:paraId="0688467B"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Շիրակի մարզպետարան</w:t>
            </w:r>
          </w:p>
        </w:tc>
        <w:tc>
          <w:tcPr>
            <w:tcW w:w="0" w:type="auto"/>
            <w:vAlign w:val="center"/>
            <w:hideMark/>
          </w:tcPr>
          <w:p w14:paraId="35048E10"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20</w:t>
            </w:r>
          </w:p>
        </w:tc>
      </w:tr>
      <w:tr w:rsidR="00682DEF" w:rsidRPr="00A83C94" w14:paraId="7716F0D6" w14:textId="77777777" w:rsidTr="00B4692E">
        <w:trPr>
          <w:trHeight w:val="288"/>
        </w:trPr>
        <w:tc>
          <w:tcPr>
            <w:tcW w:w="0" w:type="auto"/>
            <w:hideMark/>
          </w:tcPr>
          <w:p w14:paraId="20BB6D21"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Լոռու մարզպետարան</w:t>
            </w:r>
          </w:p>
        </w:tc>
        <w:tc>
          <w:tcPr>
            <w:tcW w:w="0" w:type="auto"/>
            <w:vAlign w:val="center"/>
            <w:hideMark/>
          </w:tcPr>
          <w:p w14:paraId="51564EB9"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14</w:t>
            </w:r>
          </w:p>
        </w:tc>
      </w:tr>
      <w:tr w:rsidR="00682DEF" w:rsidRPr="00A83C94" w14:paraId="0B9B7DAB" w14:textId="77777777" w:rsidTr="00B4692E">
        <w:trPr>
          <w:trHeight w:val="288"/>
        </w:trPr>
        <w:tc>
          <w:tcPr>
            <w:tcW w:w="0" w:type="auto"/>
            <w:hideMark/>
          </w:tcPr>
          <w:p w14:paraId="46223595"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Գեղարքունիքի մարզպետարան</w:t>
            </w:r>
          </w:p>
        </w:tc>
        <w:tc>
          <w:tcPr>
            <w:tcW w:w="0" w:type="auto"/>
            <w:vAlign w:val="center"/>
            <w:hideMark/>
          </w:tcPr>
          <w:p w14:paraId="296E6814"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hy-AM" w:eastAsia="en-US"/>
              </w:rPr>
              <w:t>8</w:t>
            </w:r>
          </w:p>
        </w:tc>
      </w:tr>
      <w:tr w:rsidR="00682DEF" w:rsidRPr="00A83C94" w14:paraId="1B554939" w14:textId="77777777" w:rsidTr="00B4692E">
        <w:trPr>
          <w:trHeight w:val="288"/>
        </w:trPr>
        <w:tc>
          <w:tcPr>
            <w:tcW w:w="0" w:type="auto"/>
            <w:hideMark/>
          </w:tcPr>
          <w:p w14:paraId="6730B7A6"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Կոտայքի մարզպետարան</w:t>
            </w:r>
          </w:p>
        </w:tc>
        <w:tc>
          <w:tcPr>
            <w:tcW w:w="0" w:type="auto"/>
            <w:vAlign w:val="center"/>
            <w:hideMark/>
          </w:tcPr>
          <w:p w14:paraId="530253CA"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b w:val="0"/>
                <w:color w:val="000000"/>
                <w:szCs w:val="22"/>
                <w:lang w:val="hy-AM" w:eastAsia="en-US"/>
              </w:rPr>
              <w:t>8</w:t>
            </w:r>
          </w:p>
        </w:tc>
      </w:tr>
      <w:tr w:rsidR="00682DEF" w:rsidRPr="00A83C94" w14:paraId="0E9BAAD4" w14:textId="77777777" w:rsidTr="00B4692E">
        <w:trPr>
          <w:trHeight w:val="288"/>
        </w:trPr>
        <w:tc>
          <w:tcPr>
            <w:tcW w:w="0" w:type="auto"/>
            <w:noWrap/>
            <w:hideMark/>
          </w:tcPr>
          <w:p w14:paraId="31E6C535"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Սյունիքի մարզպետարան</w:t>
            </w:r>
          </w:p>
        </w:tc>
        <w:tc>
          <w:tcPr>
            <w:tcW w:w="0" w:type="auto"/>
            <w:noWrap/>
            <w:vAlign w:val="center"/>
            <w:hideMark/>
          </w:tcPr>
          <w:p w14:paraId="7D285040"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7</w:t>
            </w:r>
          </w:p>
        </w:tc>
      </w:tr>
      <w:tr w:rsidR="00682DEF" w:rsidRPr="00A83C94" w14:paraId="431039FE" w14:textId="77777777" w:rsidTr="00B4692E">
        <w:trPr>
          <w:trHeight w:val="288"/>
        </w:trPr>
        <w:tc>
          <w:tcPr>
            <w:tcW w:w="0" w:type="auto"/>
            <w:noWrap/>
            <w:hideMark/>
          </w:tcPr>
          <w:p w14:paraId="04F538FF"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Արարատի մարզպետարան</w:t>
            </w:r>
          </w:p>
        </w:tc>
        <w:tc>
          <w:tcPr>
            <w:tcW w:w="0" w:type="auto"/>
            <w:noWrap/>
            <w:vAlign w:val="center"/>
            <w:hideMark/>
          </w:tcPr>
          <w:p w14:paraId="4E984808"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6</w:t>
            </w:r>
          </w:p>
        </w:tc>
      </w:tr>
      <w:tr w:rsidR="00682DEF" w:rsidRPr="00A83C94" w14:paraId="22FE6987" w14:textId="77777777" w:rsidTr="00B4692E">
        <w:trPr>
          <w:trHeight w:val="288"/>
        </w:trPr>
        <w:tc>
          <w:tcPr>
            <w:tcW w:w="0" w:type="auto"/>
            <w:noWrap/>
            <w:hideMark/>
          </w:tcPr>
          <w:p w14:paraId="608D8C01"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Արմավիրի մարզպետարան</w:t>
            </w:r>
          </w:p>
        </w:tc>
        <w:tc>
          <w:tcPr>
            <w:tcW w:w="0" w:type="auto"/>
            <w:noWrap/>
            <w:vAlign w:val="center"/>
            <w:hideMark/>
          </w:tcPr>
          <w:p w14:paraId="3140EE30"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5</w:t>
            </w:r>
          </w:p>
        </w:tc>
      </w:tr>
      <w:tr w:rsidR="00682DEF" w:rsidRPr="00A83C94" w14:paraId="262AE9B6" w14:textId="77777777" w:rsidTr="00B4692E">
        <w:trPr>
          <w:trHeight w:val="288"/>
        </w:trPr>
        <w:tc>
          <w:tcPr>
            <w:tcW w:w="0" w:type="auto"/>
            <w:noWrap/>
            <w:hideMark/>
          </w:tcPr>
          <w:p w14:paraId="15231B77"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 xml:space="preserve">Տավուշի մարզպետարան </w:t>
            </w:r>
          </w:p>
        </w:tc>
        <w:tc>
          <w:tcPr>
            <w:tcW w:w="0" w:type="auto"/>
            <w:noWrap/>
            <w:vAlign w:val="center"/>
            <w:hideMark/>
          </w:tcPr>
          <w:p w14:paraId="7EE15947"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3</w:t>
            </w:r>
          </w:p>
        </w:tc>
      </w:tr>
      <w:tr w:rsidR="00682DEF" w:rsidRPr="00A83C94" w14:paraId="232ED11C" w14:textId="77777777" w:rsidTr="00B4692E">
        <w:trPr>
          <w:trHeight w:val="288"/>
        </w:trPr>
        <w:tc>
          <w:tcPr>
            <w:tcW w:w="0" w:type="auto"/>
            <w:noWrap/>
            <w:hideMark/>
          </w:tcPr>
          <w:p w14:paraId="5754BAC4"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ՀՀ Վայոց Ձորի Մարզպետարան</w:t>
            </w:r>
          </w:p>
        </w:tc>
        <w:tc>
          <w:tcPr>
            <w:tcW w:w="0" w:type="auto"/>
            <w:noWrap/>
            <w:vAlign w:val="center"/>
            <w:hideMark/>
          </w:tcPr>
          <w:p w14:paraId="688DCE43"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3</w:t>
            </w:r>
          </w:p>
        </w:tc>
      </w:tr>
      <w:tr w:rsidR="00682DEF" w:rsidRPr="00A83C94" w14:paraId="14ACAC8C" w14:textId="77777777" w:rsidTr="00B4692E">
        <w:trPr>
          <w:trHeight w:val="288"/>
        </w:trPr>
        <w:tc>
          <w:tcPr>
            <w:tcW w:w="0" w:type="auto"/>
            <w:noWrap/>
            <w:hideMark/>
          </w:tcPr>
          <w:p w14:paraId="5618E0CF"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en-US" w:eastAsia="en-US"/>
              </w:rPr>
              <w:t xml:space="preserve">ՀՀ </w:t>
            </w:r>
            <w:r w:rsidRPr="00A83C94">
              <w:rPr>
                <w:b w:val="0"/>
                <w:szCs w:val="22"/>
                <w:lang w:val="hy-AM" w:eastAsia="en-US"/>
              </w:rPr>
              <w:t>Արագածտնի մարզպետարան</w:t>
            </w:r>
          </w:p>
        </w:tc>
        <w:tc>
          <w:tcPr>
            <w:tcW w:w="0" w:type="auto"/>
            <w:noWrap/>
            <w:vAlign w:val="center"/>
            <w:hideMark/>
          </w:tcPr>
          <w:p w14:paraId="13754389" w14:textId="77777777" w:rsidR="00682DEF" w:rsidRPr="00A83C94" w:rsidRDefault="00682DEF" w:rsidP="00682DEF">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2</w:t>
            </w:r>
          </w:p>
        </w:tc>
      </w:tr>
      <w:tr w:rsidR="00682DEF" w:rsidRPr="00A83C94" w14:paraId="135C4601" w14:textId="77777777" w:rsidTr="00B4692E">
        <w:trPr>
          <w:trHeight w:val="288"/>
        </w:trPr>
        <w:tc>
          <w:tcPr>
            <w:tcW w:w="0" w:type="auto"/>
            <w:shd w:val="clear" w:color="auto" w:fill="D5DCE4"/>
          </w:tcPr>
          <w:p w14:paraId="3F643F2A" w14:textId="77777777" w:rsidR="00682DEF" w:rsidRPr="00A83C94" w:rsidRDefault="00682DEF" w:rsidP="00682DEF">
            <w:pPr>
              <w:spacing w:before="0" w:line="240" w:lineRule="auto"/>
              <w:ind w:firstLine="0"/>
              <w:contextualSpacing w:val="0"/>
              <w:jc w:val="left"/>
              <w:rPr>
                <w:b w:val="0"/>
                <w:szCs w:val="22"/>
                <w:lang w:val="hy-AM" w:eastAsia="en-US"/>
              </w:rPr>
            </w:pPr>
            <w:r w:rsidRPr="00A83C94">
              <w:rPr>
                <w:b w:val="0"/>
                <w:szCs w:val="22"/>
                <w:lang w:val="hy-AM" w:eastAsia="en-US"/>
              </w:rPr>
              <w:t>ԸՆԴԱՄԵՆԸ</w:t>
            </w:r>
          </w:p>
        </w:tc>
        <w:tc>
          <w:tcPr>
            <w:tcW w:w="0" w:type="auto"/>
            <w:shd w:val="clear" w:color="auto" w:fill="D5DCE4"/>
          </w:tcPr>
          <w:p w14:paraId="03D812F7" w14:textId="77777777" w:rsidR="00682DEF" w:rsidRPr="00A83C94" w:rsidRDefault="00682DEF" w:rsidP="00682DEF">
            <w:pPr>
              <w:spacing w:before="0" w:line="240" w:lineRule="auto"/>
              <w:ind w:firstLine="0"/>
              <w:contextualSpacing w:val="0"/>
              <w:jc w:val="center"/>
              <w:rPr>
                <w:b w:val="0"/>
                <w:szCs w:val="22"/>
                <w:lang w:val="hy-AM" w:eastAsia="en-US"/>
              </w:rPr>
            </w:pPr>
            <w:r w:rsidRPr="00A83C94">
              <w:rPr>
                <w:b w:val="0"/>
                <w:szCs w:val="22"/>
                <w:lang w:val="hy-AM" w:eastAsia="en-US"/>
              </w:rPr>
              <w:t>206</w:t>
            </w:r>
          </w:p>
        </w:tc>
      </w:tr>
    </w:tbl>
    <w:p w14:paraId="55F657A6" w14:textId="77777777" w:rsidR="00682DEF" w:rsidRPr="00A83C94" w:rsidRDefault="00682DEF" w:rsidP="00682DEF">
      <w:pPr>
        <w:spacing w:before="40" w:line="240" w:lineRule="auto"/>
        <w:ind w:firstLine="709"/>
        <w:contextualSpacing w:val="0"/>
        <w:rPr>
          <w:sz w:val="20"/>
          <w:szCs w:val="20"/>
          <w:lang w:val="hy-AM" w:eastAsia="en-US"/>
        </w:rPr>
      </w:pPr>
    </w:p>
    <w:p w14:paraId="668D597D" w14:textId="1E5DCE65" w:rsidR="00682DEF" w:rsidRPr="00A83C94" w:rsidRDefault="00682DEF" w:rsidP="00682DEF">
      <w:pPr>
        <w:spacing w:before="0" w:line="276" w:lineRule="auto"/>
        <w:ind w:firstLine="0"/>
        <w:contextualSpacing w:val="0"/>
        <w:rPr>
          <w:color w:val="1F4E79"/>
          <w:sz w:val="24"/>
          <w:lang w:val="hy-AM"/>
        </w:rPr>
      </w:pPr>
    </w:p>
    <w:p w14:paraId="0FC3CC3D" w14:textId="77777777" w:rsidR="00B4692E" w:rsidRPr="00A83C94" w:rsidRDefault="00B4692E" w:rsidP="00682DEF">
      <w:pPr>
        <w:spacing w:before="0" w:line="276" w:lineRule="auto"/>
        <w:ind w:firstLine="0"/>
        <w:contextualSpacing w:val="0"/>
        <w:rPr>
          <w:color w:val="1F4E79"/>
          <w:sz w:val="24"/>
          <w:lang w:val="hy-AM"/>
        </w:rPr>
      </w:pPr>
    </w:p>
    <w:p w14:paraId="57AEF69C" w14:textId="77777777" w:rsidR="00682DEF" w:rsidRPr="00A83C94" w:rsidRDefault="00682DEF" w:rsidP="00682DEF">
      <w:pPr>
        <w:spacing w:before="0" w:line="276" w:lineRule="auto"/>
        <w:ind w:firstLine="0"/>
        <w:contextualSpacing w:val="0"/>
        <w:rPr>
          <w:color w:val="1F4E79"/>
          <w:sz w:val="24"/>
          <w:lang w:val="hy-AM"/>
        </w:rPr>
      </w:pPr>
    </w:p>
    <w:p w14:paraId="6E37B595" w14:textId="77777777" w:rsidR="00682DEF" w:rsidRPr="00A83C94" w:rsidRDefault="00682DEF" w:rsidP="00682DEF">
      <w:pPr>
        <w:spacing w:before="40" w:after="60" w:line="312" w:lineRule="auto"/>
        <w:ind w:left="1325" w:hanging="1325"/>
        <w:contextualSpacing w:val="0"/>
        <w:rPr>
          <w:rFonts w:eastAsia="Calibri"/>
          <w:bCs/>
          <w:i/>
          <w:color w:val="4F81BD" w:themeColor="accent1"/>
          <w:sz w:val="20"/>
          <w:szCs w:val="20"/>
          <w:lang w:val="hy-AM" w:eastAsia="en-US"/>
        </w:rPr>
      </w:pPr>
      <w:r w:rsidRPr="00A83C94">
        <w:rPr>
          <w:rFonts w:eastAsia="Calibri"/>
          <w:bCs/>
          <w:color w:val="4F81BD" w:themeColor="accent1"/>
          <w:sz w:val="18"/>
          <w:szCs w:val="18"/>
          <w:lang w:val="hy-AM" w:eastAsia="en-US"/>
        </w:rPr>
        <w:t>Գծապատկեր 1.</w:t>
      </w:r>
      <w:r w:rsidRPr="00A83C94">
        <w:rPr>
          <w:caps/>
          <w:spacing w:val="10"/>
          <w:sz w:val="18"/>
          <w:szCs w:val="18"/>
          <w:lang w:val="hy-AM" w:eastAsia="en-US"/>
        </w:rPr>
        <w:t xml:space="preserve"> </w:t>
      </w:r>
      <w:r w:rsidRPr="00A83C94">
        <w:rPr>
          <w:rFonts w:eastAsia="Calibri"/>
          <w:bCs/>
          <w:i/>
          <w:color w:val="4F81BD" w:themeColor="accent1"/>
          <w:sz w:val="20"/>
          <w:szCs w:val="20"/>
          <w:lang w:val="hy-AM" w:eastAsia="en-US"/>
        </w:rPr>
        <w:t>Պետական և համայնքային մասնակցությամբ ընկերությունների ակտիվներն ըստ ոլորտների՝ 752.5 մլրդ ՀՀ դրամ</w:t>
      </w:r>
    </w:p>
    <w:p w14:paraId="6A3DF915" w14:textId="77777777" w:rsidR="00682DEF" w:rsidRPr="00A83C94" w:rsidRDefault="00682DEF" w:rsidP="00682DEF">
      <w:pPr>
        <w:spacing w:before="0" w:after="160" w:line="276" w:lineRule="auto"/>
        <w:ind w:firstLine="450"/>
        <w:contextualSpacing w:val="0"/>
        <w:rPr>
          <w:b w:val="0"/>
          <w:color w:val="000000"/>
          <w:szCs w:val="22"/>
          <w:lang w:val="hy-AM"/>
        </w:rPr>
      </w:pPr>
      <w:r w:rsidRPr="00A83C94">
        <w:rPr>
          <w:b w:val="0"/>
          <w:noProof/>
          <w:szCs w:val="22"/>
          <w:lang w:val="en-US" w:eastAsia="en-US"/>
        </w:rPr>
        <w:drawing>
          <wp:inline distT="0" distB="0" distL="0" distR="0" wp14:anchorId="224318D2" wp14:editId="031BF0F5">
            <wp:extent cx="5943600" cy="3018155"/>
            <wp:effectExtent l="0" t="0" r="0" b="10795"/>
            <wp:docPr id="158" name="Chart 158">
              <a:extLst xmlns:a="http://schemas.openxmlformats.org/drawingml/2006/main">
                <a:ext uri="{FF2B5EF4-FFF2-40B4-BE49-F238E27FC236}">
                  <a16:creationId xmlns:a16="http://schemas.microsoft.com/office/drawing/2014/main" id="{B92010EB-6BA9-498B-9C3D-F865C1C7B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6898074" w14:textId="77777777" w:rsidR="00682DEF" w:rsidRPr="00A83C94" w:rsidRDefault="00682DEF" w:rsidP="00682DEF">
      <w:pPr>
        <w:spacing w:before="40" w:after="60" w:line="312" w:lineRule="auto"/>
        <w:ind w:left="1325" w:hanging="1325"/>
        <w:contextualSpacing w:val="0"/>
        <w:rPr>
          <w:b w:val="0"/>
          <w:caps/>
          <w:spacing w:val="10"/>
          <w:sz w:val="18"/>
          <w:szCs w:val="18"/>
          <w:lang w:val="hy-AM" w:eastAsia="en-US"/>
        </w:rPr>
      </w:pPr>
    </w:p>
    <w:p w14:paraId="4411DC93" w14:textId="77777777" w:rsidR="00682DEF" w:rsidRPr="00A83C94" w:rsidRDefault="00682DEF" w:rsidP="00682DEF">
      <w:pPr>
        <w:spacing w:before="0" w:line="276" w:lineRule="auto"/>
        <w:ind w:firstLine="0"/>
        <w:contextualSpacing w:val="0"/>
        <w:rPr>
          <w:color w:val="1F4E79"/>
          <w:sz w:val="24"/>
          <w:lang w:val="hy-AM"/>
        </w:rPr>
      </w:pPr>
    </w:p>
    <w:p w14:paraId="7C47C598" w14:textId="77777777" w:rsidR="00682DEF" w:rsidRPr="00A83C94" w:rsidRDefault="00682DEF" w:rsidP="00682DEF">
      <w:pPr>
        <w:keepNext/>
        <w:widowControl w:val="0"/>
        <w:spacing w:before="0" w:line="240" w:lineRule="auto"/>
        <w:ind w:left="1325" w:hanging="1325"/>
        <w:contextualSpacing w:val="0"/>
        <w:rPr>
          <w:rFonts w:eastAsia="Calibri"/>
          <w:bCs/>
          <w:i/>
          <w:color w:val="4F81BD" w:themeColor="accent1"/>
          <w:sz w:val="20"/>
          <w:szCs w:val="20"/>
          <w:lang w:val="hy-AM" w:eastAsia="en-US"/>
        </w:rPr>
      </w:pPr>
      <w:r w:rsidRPr="00A83C94">
        <w:rPr>
          <w:rFonts w:eastAsia="Calibri"/>
          <w:bCs/>
          <w:color w:val="4F81BD" w:themeColor="accent1"/>
          <w:sz w:val="18"/>
          <w:szCs w:val="18"/>
          <w:lang w:val="hy-AM" w:eastAsia="en-US"/>
        </w:rPr>
        <w:t>Գծապատկեր 2.</w:t>
      </w:r>
      <w:r w:rsidRPr="00A83C94">
        <w:rPr>
          <w:rFonts w:cs="Sylfaen"/>
          <w:bCs/>
          <w:sz w:val="20"/>
          <w:szCs w:val="20"/>
          <w:lang w:val="hy-AM" w:eastAsia="en-US"/>
        </w:rPr>
        <w:t xml:space="preserve"> </w:t>
      </w:r>
      <w:r w:rsidRPr="00A83C94">
        <w:rPr>
          <w:rFonts w:eastAsia="Calibri"/>
          <w:bCs/>
          <w:i/>
          <w:color w:val="4F81BD" w:themeColor="accent1"/>
          <w:sz w:val="20"/>
          <w:szCs w:val="20"/>
          <w:lang w:val="hy-AM" w:eastAsia="en-US"/>
        </w:rPr>
        <w:t>Պետական և համայնքային մասնակցությամբ ընկերությունների սեփական կապիտալը, ըստ ոլորտների՝ 252.4 մլրդ ՀՀ դրամ</w:t>
      </w:r>
    </w:p>
    <w:p w14:paraId="68746262" w14:textId="77777777" w:rsidR="00682DEF" w:rsidRPr="00A83C94" w:rsidRDefault="00682DEF" w:rsidP="00682DEF">
      <w:pPr>
        <w:keepNext/>
        <w:widowControl w:val="0"/>
        <w:spacing w:before="0" w:line="240" w:lineRule="auto"/>
        <w:ind w:left="1325" w:hanging="1325"/>
        <w:contextualSpacing w:val="0"/>
        <w:rPr>
          <w:rFonts w:cs="Sylfaen"/>
          <w:bCs/>
          <w:sz w:val="20"/>
          <w:szCs w:val="20"/>
          <w:lang w:val="hy-AM" w:eastAsia="en-US"/>
        </w:rPr>
      </w:pPr>
    </w:p>
    <w:p w14:paraId="53EF47B4" w14:textId="77777777" w:rsidR="00682DEF" w:rsidRPr="00A83C94" w:rsidRDefault="00682DEF" w:rsidP="00682DEF">
      <w:pPr>
        <w:keepNext/>
        <w:spacing w:before="0" w:after="200" w:line="240" w:lineRule="auto"/>
        <w:ind w:firstLine="0"/>
        <w:jc w:val="left"/>
        <w:rPr>
          <w:rFonts w:eastAsia="Calibri"/>
          <w:b w:val="0"/>
          <w:i/>
          <w:iCs/>
          <w:color w:val="44546A"/>
          <w:sz w:val="19"/>
          <w:szCs w:val="19"/>
          <w:lang w:val="hy-AM"/>
        </w:rPr>
      </w:pPr>
      <w:r w:rsidRPr="00A83C94">
        <w:rPr>
          <w:noProof/>
          <w:lang w:val="hy-AM"/>
        </w:rPr>
        <w:t xml:space="preserve"> </w:t>
      </w:r>
      <w:r w:rsidRPr="00A83C94">
        <w:rPr>
          <w:noProof/>
          <w:lang w:val="en-US" w:eastAsia="en-US"/>
        </w:rPr>
        <w:drawing>
          <wp:inline distT="0" distB="0" distL="0" distR="0" wp14:anchorId="61F7911D" wp14:editId="7186E285">
            <wp:extent cx="5617923" cy="2605153"/>
            <wp:effectExtent l="0" t="0" r="1905" b="5080"/>
            <wp:docPr id="159" name="Chart 159">
              <a:extLst xmlns:a="http://schemas.openxmlformats.org/drawingml/2006/main">
                <a:ext uri="{FF2B5EF4-FFF2-40B4-BE49-F238E27FC236}">
                  <a16:creationId xmlns:a16="http://schemas.microsoft.com/office/drawing/2014/main" id="{288C2ADF-7148-4A62-9E5F-6181EB326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D9EB922" w14:textId="77777777" w:rsidR="00682DEF" w:rsidRPr="00A83C94" w:rsidRDefault="00682DEF" w:rsidP="00682DEF">
      <w:pPr>
        <w:keepNext/>
        <w:spacing w:before="0" w:after="200" w:line="240" w:lineRule="auto"/>
        <w:ind w:firstLine="0"/>
        <w:jc w:val="left"/>
        <w:rPr>
          <w:b w:val="0"/>
          <w:caps/>
          <w:spacing w:val="10"/>
          <w:sz w:val="18"/>
          <w:szCs w:val="18"/>
          <w:lang w:val="hy-AM"/>
        </w:rPr>
      </w:pPr>
    </w:p>
    <w:p w14:paraId="6D3100AD" w14:textId="77777777" w:rsidR="00682DEF" w:rsidRPr="00A83C94" w:rsidRDefault="00682DEF" w:rsidP="00682DEF">
      <w:pPr>
        <w:shd w:val="clear" w:color="auto" w:fill="FFFFFF"/>
        <w:spacing w:before="0" w:line="276" w:lineRule="auto"/>
        <w:ind w:right="20" w:firstLine="540"/>
        <w:rPr>
          <w:b w:val="0"/>
          <w:szCs w:val="22"/>
          <w:lang w:val="hy-AM"/>
        </w:rPr>
      </w:pPr>
      <w:r w:rsidRPr="00A83C94">
        <w:rPr>
          <w:b w:val="0"/>
          <w:szCs w:val="22"/>
          <w:lang w:val="hy-AM"/>
        </w:rPr>
        <w:t xml:space="preserve">Ինչպես երևում է վերը ներկայացված գծապատկերից առավել էական սեփական կապիտալ ունեցող ընկերությունները գործում են էներգետիկայի, առողջապահության և ջրային ոլորտներում։ </w:t>
      </w:r>
    </w:p>
    <w:p w14:paraId="0BF3D6F3" w14:textId="77777777" w:rsidR="00682DEF" w:rsidRPr="00A83C94" w:rsidRDefault="00682DEF" w:rsidP="00682DEF">
      <w:pPr>
        <w:shd w:val="clear" w:color="auto" w:fill="FFFFFF"/>
        <w:spacing w:before="0" w:line="240" w:lineRule="auto"/>
        <w:ind w:right="150" w:firstLine="0"/>
        <w:rPr>
          <w:color w:val="000000"/>
          <w:lang w:val="hy-AM"/>
        </w:rPr>
      </w:pPr>
    </w:p>
    <w:p w14:paraId="2489E38C" w14:textId="77777777" w:rsidR="00682DEF" w:rsidRPr="00A83C94" w:rsidRDefault="00682DEF" w:rsidP="00682DEF">
      <w:pPr>
        <w:keepNext/>
        <w:spacing w:before="0" w:after="200" w:line="240" w:lineRule="auto"/>
        <w:ind w:firstLine="0"/>
        <w:rPr>
          <w:rFonts w:eastAsia="Calibri"/>
          <w:bCs/>
          <w:i/>
          <w:color w:val="4F81BD" w:themeColor="accent1"/>
          <w:sz w:val="20"/>
          <w:szCs w:val="20"/>
          <w:lang w:val="hy-AM" w:eastAsia="en-US"/>
        </w:rPr>
      </w:pPr>
      <w:r w:rsidRPr="00A83C94">
        <w:rPr>
          <w:rFonts w:eastAsia="Calibri"/>
          <w:bCs/>
          <w:color w:val="4F81BD" w:themeColor="accent1"/>
          <w:sz w:val="18"/>
          <w:szCs w:val="18"/>
          <w:lang w:val="hy-AM" w:eastAsia="en-US"/>
        </w:rPr>
        <w:t>Գծապատկեր 3.</w:t>
      </w:r>
      <w:r w:rsidRPr="00A83C94">
        <w:rPr>
          <w:b w:val="0"/>
          <w:caps/>
          <w:spacing w:val="10"/>
          <w:sz w:val="18"/>
          <w:szCs w:val="18"/>
          <w:lang w:val="hy-AM"/>
        </w:rPr>
        <w:t xml:space="preserve"> </w:t>
      </w:r>
      <w:r w:rsidRPr="00A83C94">
        <w:rPr>
          <w:rFonts w:eastAsia="Calibri"/>
          <w:bCs/>
          <w:i/>
          <w:color w:val="4F81BD" w:themeColor="accent1"/>
          <w:sz w:val="20"/>
          <w:szCs w:val="20"/>
          <w:lang w:val="hy-AM" w:eastAsia="en-US"/>
        </w:rPr>
        <w:t>Պետական և համայնքային մասնակցությամբ ընկերությունների պարտավորությունները, ըստ ոլորտների՝ 522.0 մլրդ ՀՀ դրամ</w:t>
      </w:r>
    </w:p>
    <w:p w14:paraId="58EB3F56" w14:textId="77777777" w:rsidR="00682DEF" w:rsidRPr="00A83C94" w:rsidRDefault="00682DEF" w:rsidP="00682DEF">
      <w:pPr>
        <w:keepNext/>
        <w:spacing w:before="0" w:after="200" w:line="240" w:lineRule="auto"/>
        <w:ind w:firstLine="0"/>
        <w:rPr>
          <w:rFonts w:eastAsia="Calibri"/>
          <w:bCs/>
          <w:i/>
          <w:color w:val="4F81BD" w:themeColor="accent1"/>
          <w:sz w:val="20"/>
          <w:szCs w:val="20"/>
          <w:lang w:val="hy-AM" w:eastAsia="en-US"/>
        </w:rPr>
      </w:pPr>
    </w:p>
    <w:p w14:paraId="53E99909" w14:textId="77777777" w:rsidR="00682DEF" w:rsidRPr="00A83C94" w:rsidRDefault="00682DEF" w:rsidP="00682DEF">
      <w:pPr>
        <w:spacing w:before="0" w:line="276" w:lineRule="auto"/>
        <w:ind w:firstLine="0"/>
        <w:rPr>
          <w:color w:val="000000"/>
          <w:lang w:val="hy-AM"/>
        </w:rPr>
      </w:pPr>
      <w:r w:rsidRPr="00A83C94">
        <w:rPr>
          <w:noProof/>
          <w:lang w:val="hy-AM"/>
        </w:rPr>
        <w:t xml:space="preserve"> </w:t>
      </w:r>
      <w:r w:rsidRPr="00A83C94">
        <w:rPr>
          <w:noProof/>
          <w:lang w:val="en-US" w:eastAsia="en-US"/>
        </w:rPr>
        <w:drawing>
          <wp:inline distT="0" distB="0" distL="0" distR="0" wp14:anchorId="5EAD091E" wp14:editId="2F43A708">
            <wp:extent cx="5522329" cy="2227928"/>
            <wp:effectExtent l="0" t="19050" r="2540" b="1270"/>
            <wp:docPr id="160" name="Chart 160">
              <a:extLst xmlns:a="http://schemas.openxmlformats.org/drawingml/2006/main">
                <a:ext uri="{FF2B5EF4-FFF2-40B4-BE49-F238E27FC236}">
                  <a16:creationId xmlns:a16="http://schemas.microsoft.com/office/drawing/2014/main" id="{E578D1DF-0905-426F-A1B7-A86B59B3B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3A0E375" w14:textId="77777777" w:rsidR="00682DEF" w:rsidRPr="00A83C94" w:rsidRDefault="00682DEF" w:rsidP="00682DEF">
      <w:pPr>
        <w:spacing w:before="0" w:line="276" w:lineRule="auto"/>
        <w:ind w:firstLine="0"/>
        <w:rPr>
          <w:color w:val="000000"/>
          <w:lang w:val="hy-AM"/>
        </w:rPr>
      </w:pPr>
    </w:p>
    <w:p w14:paraId="0E42DCA5" w14:textId="77777777" w:rsidR="00682DEF" w:rsidRPr="00A83C94" w:rsidRDefault="00682DEF" w:rsidP="00682DEF">
      <w:pPr>
        <w:tabs>
          <w:tab w:val="left" w:pos="3669"/>
        </w:tabs>
        <w:spacing w:before="0" w:line="276" w:lineRule="auto"/>
        <w:ind w:firstLine="0"/>
        <w:contextualSpacing w:val="0"/>
        <w:rPr>
          <w:b w:val="0"/>
          <w:szCs w:val="22"/>
          <w:lang w:val="hy-AM"/>
        </w:rPr>
      </w:pPr>
      <w:r w:rsidRPr="00A83C94">
        <w:rPr>
          <w:b w:val="0"/>
          <w:szCs w:val="22"/>
          <w:lang w:val="hy-AM"/>
        </w:rPr>
        <w:t xml:space="preserve">      2020 թվականի վերջի դրությամբ դիտարկված ընկերությունների հանրագումարային պարտավորությունները կազմել են ՀՆԱ ի 8.4%-ը, պարտավորություններից 71%-ը վարկեր են, ինչն իր հերթին կազմում է ՀՆԱ-ի 6%-ը: Գծապատկերի տվյալներից ակնհայտ է, որ պարտավորությունների բաշխվածությունն ըստ ոլորտների արտացոլում է էներգետիկայի ոլորտի զգալի գերակշռումը: Այդ ոլորտի ընկերությունների պարտք/սեփական կապիտալ գործակիցը 2020թ. արդյունքներով կազմում է 3.4: Վարկային պարտավորությունների հետ կապված անհրաժեշտ է նշել, որ էներգետիկայի ոլորտի ընկերություն</w:t>
      </w:r>
      <w:r w:rsidRPr="00A83C94">
        <w:rPr>
          <w:b w:val="0"/>
          <w:szCs w:val="22"/>
          <w:lang w:val="hy-AM"/>
        </w:rPr>
        <w:softHyphen/>
        <w:t xml:space="preserve">ները չունեն ժամկետանց վարկային պարտավորություններ։ </w:t>
      </w:r>
      <w:r w:rsidRPr="00A83C94">
        <w:rPr>
          <w:b w:val="0"/>
          <w:szCs w:val="22"/>
          <w:lang w:val="hy-AM" w:eastAsia="en-US"/>
        </w:rPr>
        <w:t>Ընդ որում «Երևանի ՋԷԿ», «Բարձրավոլտ էլեկտրական ցանցեր» և «Հայկական ատոմային էլեկտրակայան»</w:t>
      </w:r>
      <w:r w:rsidRPr="00A83C94">
        <w:rPr>
          <w:rFonts w:ascii="Courier New" w:hAnsi="Courier New" w:cs="Courier New"/>
          <w:b w:val="0"/>
          <w:szCs w:val="22"/>
          <w:lang w:val="hy-AM" w:eastAsia="en-US"/>
        </w:rPr>
        <w:t> </w:t>
      </w:r>
      <w:r w:rsidRPr="00A83C94">
        <w:rPr>
          <w:b w:val="0"/>
          <w:szCs w:val="22"/>
          <w:lang w:val="hy-AM" w:eastAsia="en-US"/>
        </w:rPr>
        <w:t>ՓԲԸ-ները հանդիսանում են միջազգային կազմակերպությունների և օտարերկրյա պետությունների աջակցությամբ իրակա</w:t>
      </w:r>
      <w:r w:rsidRPr="00A83C94">
        <w:rPr>
          <w:b w:val="0"/>
          <w:szCs w:val="22"/>
          <w:lang w:val="hy-AM" w:eastAsia="en-US"/>
        </w:rPr>
        <w:softHyphen/>
        <w:t xml:space="preserve">նացվող նպատակային վարկային ծրագրերի շրջանակներում ենթավարկային պայմանագրերով այդ ոլորտին տրամադրված վարկային միջոցների խոշորագույն ստացողներից: Միաժամանակ, այդ ընկերությունները նաև գեներացնում են պետական և համայնքային մասնակցությամբ ընկերությունների եկամուտների զգալի մասը՝ 54%-ը (աղյուսակ 2): </w:t>
      </w:r>
    </w:p>
    <w:p w14:paraId="361750F4" w14:textId="77777777" w:rsidR="00682DEF" w:rsidRPr="00A83C94" w:rsidRDefault="00682DEF" w:rsidP="00682DEF">
      <w:pPr>
        <w:spacing w:before="0" w:line="276" w:lineRule="auto"/>
        <w:ind w:firstLine="227"/>
        <w:contextualSpacing w:val="0"/>
        <w:rPr>
          <w:b w:val="0"/>
          <w:szCs w:val="22"/>
          <w:lang w:val="hy-AM" w:eastAsia="en-US"/>
        </w:rPr>
      </w:pPr>
    </w:p>
    <w:p w14:paraId="37895E28" w14:textId="77777777" w:rsidR="00682DEF" w:rsidRPr="00A83C94" w:rsidRDefault="00682DEF" w:rsidP="00682DEF">
      <w:pPr>
        <w:spacing w:before="60" w:after="40"/>
        <w:contextualSpacing w:val="0"/>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Աղյուսակ 2</w:t>
      </w:r>
      <w:r w:rsidRPr="00A83C94">
        <w:rPr>
          <w:caps/>
          <w:spacing w:val="10"/>
          <w:sz w:val="18"/>
          <w:szCs w:val="18"/>
          <w:lang w:val="hy-AM" w:eastAsia="en-US"/>
        </w:rPr>
        <w:t xml:space="preserve"> </w:t>
      </w:r>
      <w:r w:rsidRPr="00A83C94">
        <w:rPr>
          <w:rFonts w:eastAsia="Calibri"/>
          <w:bCs/>
          <w:i/>
          <w:color w:val="4F81BD" w:themeColor="accent1"/>
          <w:sz w:val="20"/>
          <w:szCs w:val="20"/>
          <w:lang w:val="hy-AM" w:eastAsia="en-US"/>
        </w:rPr>
        <w:t xml:space="preserve">Պետական մասնակցությամբ ընկերությունների եկամուտները՝ ըստ ոլորտների             </w:t>
      </w:r>
    </w:p>
    <w:p w14:paraId="2BEE033E" w14:textId="77777777" w:rsidR="00682DEF" w:rsidRPr="00A83C94" w:rsidRDefault="00682DEF" w:rsidP="00682DEF">
      <w:pPr>
        <w:keepNext/>
        <w:spacing w:before="0" w:line="240" w:lineRule="auto"/>
        <w:ind w:firstLine="0"/>
        <w:contextualSpacing w:val="0"/>
        <w:jc w:val="center"/>
        <w:rPr>
          <w:rFonts w:eastAsia="Calibri"/>
          <w:b w:val="0"/>
          <w:i/>
          <w:iCs/>
          <w:sz w:val="18"/>
          <w:szCs w:val="18"/>
          <w:lang w:val="hy-AM" w:eastAsia="en-US"/>
        </w:rPr>
      </w:pPr>
      <w:r w:rsidRPr="00A83C94">
        <w:rPr>
          <w:rFonts w:eastAsia="Calibri"/>
          <w:i/>
          <w:iCs/>
          <w:sz w:val="18"/>
          <w:szCs w:val="18"/>
          <w:lang w:val="hy-AM" w:eastAsia="en-US"/>
        </w:rPr>
        <w:t xml:space="preserve">                                                                                                      </w:t>
      </w:r>
      <w:r w:rsidRPr="00A83C94">
        <w:rPr>
          <w:rFonts w:eastAsia="Calibri"/>
          <w:bCs/>
          <w:i/>
          <w:color w:val="4F81BD" w:themeColor="accent1"/>
          <w:sz w:val="18"/>
          <w:szCs w:val="18"/>
          <w:lang w:val="hy-AM" w:eastAsia="en-US"/>
        </w:rPr>
        <w:t>մլն դրամ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9"/>
        <w:gridCol w:w="990"/>
        <w:gridCol w:w="990"/>
        <w:gridCol w:w="990"/>
        <w:gridCol w:w="1276"/>
      </w:tblGrid>
      <w:tr w:rsidR="000E76D9" w:rsidRPr="00A83C94" w14:paraId="5B704433" w14:textId="77777777" w:rsidTr="000E76D9">
        <w:trPr>
          <w:trHeight w:val="300"/>
        </w:trPr>
        <w:tc>
          <w:tcPr>
            <w:tcW w:w="3829" w:type="dxa"/>
            <w:shd w:val="clear" w:color="auto" w:fill="548DD4" w:themeFill="text2" w:themeFillTint="99"/>
            <w:noWrap/>
            <w:vAlign w:val="bottom"/>
          </w:tcPr>
          <w:p w14:paraId="64FF2BC7" w14:textId="5A817A1A" w:rsidR="000E76D9" w:rsidRPr="000E76D9" w:rsidRDefault="000E76D9" w:rsidP="000E76D9">
            <w:pPr>
              <w:spacing w:before="0" w:line="240" w:lineRule="auto"/>
              <w:ind w:firstLine="0"/>
              <w:contextualSpacing w:val="0"/>
              <w:jc w:val="left"/>
              <w:rPr>
                <w:color w:val="FFFFFF" w:themeColor="background1"/>
                <w:sz w:val="20"/>
                <w:szCs w:val="20"/>
                <w:lang w:val="hy-AM" w:eastAsia="en-US"/>
              </w:rPr>
            </w:pPr>
            <w:r w:rsidRPr="000E76D9">
              <w:rPr>
                <w:color w:val="FFFFFF" w:themeColor="background1"/>
                <w:sz w:val="20"/>
                <w:szCs w:val="20"/>
                <w:lang w:val="hy-AM" w:eastAsia="en-US"/>
              </w:rPr>
              <w:t>Ոլորտ</w:t>
            </w:r>
          </w:p>
        </w:tc>
        <w:tc>
          <w:tcPr>
            <w:tcW w:w="990" w:type="dxa"/>
            <w:shd w:val="clear" w:color="auto" w:fill="548DD4" w:themeFill="text2" w:themeFillTint="99"/>
            <w:noWrap/>
            <w:vAlign w:val="bottom"/>
          </w:tcPr>
          <w:p w14:paraId="2C3F4B5C" w14:textId="1AF11BCC" w:rsidR="000E76D9" w:rsidRPr="000E76D9" w:rsidRDefault="000E76D9" w:rsidP="000E76D9">
            <w:pPr>
              <w:spacing w:before="0" w:line="240" w:lineRule="auto"/>
              <w:ind w:firstLine="0"/>
              <w:contextualSpacing w:val="0"/>
              <w:jc w:val="left"/>
              <w:rPr>
                <w:color w:val="FFFFFF" w:themeColor="background1"/>
                <w:sz w:val="20"/>
                <w:szCs w:val="20"/>
                <w:lang w:val="hy-AM" w:eastAsia="en-US"/>
              </w:rPr>
            </w:pPr>
            <w:r w:rsidRPr="000E76D9">
              <w:rPr>
                <w:color w:val="FFFFFF" w:themeColor="background1"/>
                <w:sz w:val="20"/>
                <w:szCs w:val="20"/>
                <w:lang w:val="hy-AM" w:eastAsia="en-US"/>
              </w:rPr>
              <w:t>2018</w:t>
            </w:r>
          </w:p>
        </w:tc>
        <w:tc>
          <w:tcPr>
            <w:tcW w:w="990" w:type="dxa"/>
            <w:shd w:val="clear" w:color="auto" w:fill="548DD4" w:themeFill="text2" w:themeFillTint="99"/>
            <w:noWrap/>
            <w:vAlign w:val="bottom"/>
          </w:tcPr>
          <w:p w14:paraId="133AC8A3" w14:textId="329E9871" w:rsidR="000E76D9" w:rsidRPr="000E76D9" w:rsidRDefault="000E76D9" w:rsidP="000E76D9">
            <w:pPr>
              <w:spacing w:before="0" w:line="240" w:lineRule="auto"/>
              <w:ind w:firstLine="0"/>
              <w:contextualSpacing w:val="0"/>
              <w:jc w:val="left"/>
              <w:rPr>
                <w:color w:val="FFFFFF" w:themeColor="background1"/>
                <w:sz w:val="20"/>
                <w:szCs w:val="20"/>
                <w:lang w:val="hy-AM" w:eastAsia="en-US"/>
              </w:rPr>
            </w:pPr>
            <w:r w:rsidRPr="000E76D9">
              <w:rPr>
                <w:color w:val="FFFFFF" w:themeColor="background1"/>
                <w:sz w:val="20"/>
                <w:szCs w:val="20"/>
                <w:lang w:val="hy-AM" w:eastAsia="en-US"/>
              </w:rPr>
              <w:t>2019</w:t>
            </w:r>
          </w:p>
        </w:tc>
        <w:tc>
          <w:tcPr>
            <w:tcW w:w="990" w:type="dxa"/>
            <w:shd w:val="clear" w:color="auto" w:fill="548DD4" w:themeFill="text2" w:themeFillTint="99"/>
            <w:noWrap/>
            <w:vAlign w:val="bottom"/>
          </w:tcPr>
          <w:p w14:paraId="512FE23E" w14:textId="1CA4C58E" w:rsidR="000E76D9" w:rsidRPr="000E76D9" w:rsidRDefault="000E76D9" w:rsidP="000E76D9">
            <w:pPr>
              <w:spacing w:before="0" w:line="240" w:lineRule="auto"/>
              <w:ind w:firstLine="0"/>
              <w:contextualSpacing w:val="0"/>
              <w:jc w:val="left"/>
              <w:rPr>
                <w:color w:val="FFFFFF" w:themeColor="background1"/>
                <w:sz w:val="20"/>
                <w:szCs w:val="20"/>
                <w:lang w:val="hy-AM" w:eastAsia="en-US"/>
              </w:rPr>
            </w:pPr>
            <w:r w:rsidRPr="000E76D9">
              <w:rPr>
                <w:color w:val="FFFFFF" w:themeColor="background1"/>
                <w:sz w:val="20"/>
                <w:szCs w:val="20"/>
                <w:lang w:val="hy-AM" w:eastAsia="en-US"/>
              </w:rPr>
              <w:t>2020</w:t>
            </w:r>
          </w:p>
        </w:tc>
        <w:tc>
          <w:tcPr>
            <w:tcW w:w="1276" w:type="dxa"/>
            <w:shd w:val="clear" w:color="auto" w:fill="548DD4" w:themeFill="text2" w:themeFillTint="99"/>
            <w:noWrap/>
            <w:vAlign w:val="bottom"/>
          </w:tcPr>
          <w:p w14:paraId="226471DD" w14:textId="77777777" w:rsidR="000E76D9" w:rsidRPr="000E76D9" w:rsidRDefault="000E76D9" w:rsidP="000E76D9">
            <w:pPr>
              <w:spacing w:before="0" w:line="240" w:lineRule="auto"/>
              <w:ind w:firstLine="0"/>
              <w:contextualSpacing w:val="0"/>
              <w:jc w:val="left"/>
              <w:rPr>
                <w:color w:val="FFFFFF" w:themeColor="background1"/>
                <w:sz w:val="20"/>
                <w:szCs w:val="20"/>
                <w:lang w:val="hy-AM" w:eastAsia="en-US"/>
              </w:rPr>
            </w:pPr>
            <w:r w:rsidRPr="000E76D9">
              <w:rPr>
                <w:color w:val="FFFFFF" w:themeColor="background1"/>
                <w:sz w:val="20"/>
                <w:szCs w:val="20"/>
                <w:lang w:val="hy-AM" w:eastAsia="en-US"/>
              </w:rPr>
              <w:t xml:space="preserve">Տեսակարար կշիռ % </w:t>
            </w:r>
          </w:p>
          <w:p w14:paraId="705DD98F" w14:textId="0270E12A" w:rsidR="000E76D9" w:rsidRPr="000E76D9" w:rsidRDefault="000E76D9" w:rsidP="000E76D9">
            <w:pPr>
              <w:spacing w:before="0" w:line="240" w:lineRule="auto"/>
              <w:ind w:firstLine="0"/>
              <w:contextualSpacing w:val="0"/>
              <w:jc w:val="left"/>
              <w:rPr>
                <w:color w:val="FFFFFF" w:themeColor="background1"/>
                <w:sz w:val="20"/>
                <w:szCs w:val="20"/>
                <w:lang w:val="hy-AM" w:eastAsia="en-US"/>
              </w:rPr>
            </w:pPr>
            <w:r w:rsidRPr="000E76D9">
              <w:rPr>
                <w:color w:val="FFFFFF" w:themeColor="background1"/>
                <w:sz w:val="20"/>
                <w:szCs w:val="20"/>
                <w:lang w:val="hy-AM" w:eastAsia="en-US"/>
              </w:rPr>
              <w:t>(2020)</w:t>
            </w:r>
          </w:p>
        </w:tc>
      </w:tr>
      <w:tr w:rsidR="000E76D9" w:rsidRPr="00A83C94" w14:paraId="4B250C33" w14:textId="77777777" w:rsidTr="00C50DE0">
        <w:trPr>
          <w:trHeight w:val="332"/>
        </w:trPr>
        <w:tc>
          <w:tcPr>
            <w:tcW w:w="3829" w:type="dxa"/>
            <w:shd w:val="clear" w:color="auto" w:fill="D9E2F3"/>
            <w:noWrap/>
            <w:vAlign w:val="bottom"/>
          </w:tcPr>
          <w:p w14:paraId="7CF53F1A"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sz w:val="20"/>
                <w:szCs w:val="20"/>
                <w:lang w:val="hy-AM" w:eastAsia="en-US"/>
              </w:rPr>
              <w:t>էներգետիկա</w:t>
            </w:r>
          </w:p>
        </w:tc>
        <w:tc>
          <w:tcPr>
            <w:tcW w:w="990" w:type="dxa"/>
            <w:shd w:val="clear" w:color="auto" w:fill="D9E2F3"/>
            <w:noWrap/>
            <w:vAlign w:val="bottom"/>
          </w:tcPr>
          <w:p w14:paraId="6782BBD5"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122,451 </w:t>
            </w:r>
          </w:p>
        </w:tc>
        <w:tc>
          <w:tcPr>
            <w:tcW w:w="990" w:type="dxa"/>
            <w:shd w:val="clear" w:color="auto" w:fill="D9E2F3"/>
            <w:noWrap/>
            <w:vAlign w:val="bottom"/>
          </w:tcPr>
          <w:p w14:paraId="1D6CD018"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108,707 </w:t>
            </w:r>
          </w:p>
        </w:tc>
        <w:tc>
          <w:tcPr>
            <w:tcW w:w="990" w:type="dxa"/>
            <w:shd w:val="clear" w:color="auto" w:fill="D9E2F3"/>
            <w:noWrap/>
            <w:vAlign w:val="bottom"/>
          </w:tcPr>
          <w:p w14:paraId="7277E9E7"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117,775 </w:t>
            </w:r>
          </w:p>
        </w:tc>
        <w:tc>
          <w:tcPr>
            <w:tcW w:w="1276" w:type="dxa"/>
            <w:shd w:val="clear" w:color="auto" w:fill="D9E2F3"/>
            <w:noWrap/>
            <w:vAlign w:val="bottom"/>
          </w:tcPr>
          <w:p w14:paraId="7D55442A"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54%</w:t>
            </w:r>
          </w:p>
        </w:tc>
      </w:tr>
      <w:tr w:rsidR="000E76D9" w:rsidRPr="00A83C94" w14:paraId="567BB7EF" w14:textId="77777777" w:rsidTr="00C50DE0">
        <w:trPr>
          <w:trHeight w:val="359"/>
        </w:trPr>
        <w:tc>
          <w:tcPr>
            <w:tcW w:w="3829" w:type="dxa"/>
            <w:noWrap/>
            <w:vAlign w:val="bottom"/>
          </w:tcPr>
          <w:p w14:paraId="6751CDA0"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sz w:val="20"/>
                <w:szCs w:val="20"/>
                <w:lang w:val="hy-AM" w:eastAsia="en-US"/>
              </w:rPr>
              <w:t>Առողջապահություն</w:t>
            </w:r>
          </w:p>
        </w:tc>
        <w:tc>
          <w:tcPr>
            <w:tcW w:w="990" w:type="dxa"/>
            <w:noWrap/>
            <w:vAlign w:val="bottom"/>
          </w:tcPr>
          <w:p w14:paraId="484A6FCE"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65,862 </w:t>
            </w:r>
          </w:p>
        </w:tc>
        <w:tc>
          <w:tcPr>
            <w:tcW w:w="990" w:type="dxa"/>
            <w:noWrap/>
            <w:vAlign w:val="bottom"/>
          </w:tcPr>
          <w:p w14:paraId="6AB01543"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76,135 </w:t>
            </w:r>
          </w:p>
        </w:tc>
        <w:tc>
          <w:tcPr>
            <w:tcW w:w="990" w:type="dxa"/>
            <w:noWrap/>
            <w:vAlign w:val="bottom"/>
          </w:tcPr>
          <w:p w14:paraId="002CACF8"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67,667 </w:t>
            </w:r>
          </w:p>
        </w:tc>
        <w:tc>
          <w:tcPr>
            <w:tcW w:w="1276" w:type="dxa"/>
            <w:noWrap/>
            <w:vAlign w:val="bottom"/>
          </w:tcPr>
          <w:p w14:paraId="4CF462B6"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31%</w:t>
            </w:r>
          </w:p>
        </w:tc>
      </w:tr>
      <w:tr w:rsidR="000E76D9" w:rsidRPr="00A83C94" w14:paraId="3D1094EE" w14:textId="77777777" w:rsidTr="00C50DE0">
        <w:trPr>
          <w:trHeight w:val="350"/>
        </w:trPr>
        <w:tc>
          <w:tcPr>
            <w:tcW w:w="3829" w:type="dxa"/>
            <w:shd w:val="clear" w:color="auto" w:fill="D9E2F3"/>
            <w:noWrap/>
            <w:vAlign w:val="bottom"/>
          </w:tcPr>
          <w:p w14:paraId="634C2F8D"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sz w:val="20"/>
                <w:szCs w:val="20"/>
                <w:lang w:val="hy-AM" w:eastAsia="en-US"/>
              </w:rPr>
              <w:t>Կրթություն</w:t>
            </w:r>
          </w:p>
        </w:tc>
        <w:tc>
          <w:tcPr>
            <w:tcW w:w="990" w:type="dxa"/>
            <w:shd w:val="clear" w:color="auto" w:fill="D9E2F3"/>
            <w:noWrap/>
            <w:vAlign w:val="bottom"/>
          </w:tcPr>
          <w:p w14:paraId="7CC92B5B"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1,924 </w:t>
            </w:r>
          </w:p>
        </w:tc>
        <w:tc>
          <w:tcPr>
            <w:tcW w:w="990" w:type="dxa"/>
            <w:shd w:val="clear" w:color="auto" w:fill="D9E2F3"/>
            <w:noWrap/>
            <w:vAlign w:val="bottom"/>
          </w:tcPr>
          <w:p w14:paraId="4C913AEB"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2,035 </w:t>
            </w:r>
          </w:p>
        </w:tc>
        <w:tc>
          <w:tcPr>
            <w:tcW w:w="990" w:type="dxa"/>
            <w:shd w:val="clear" w:color="auto" w:fill="D9E2F3"/>
            <w:noWrap/>
            <w:vAlign w:val="bottom"/>
          </w:tcPr>
          <w:p w14:paraId="7A8E22C2"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1,997 </w:t>
            </w:r>
          </w:p>
        </w:tc>
        <w:tc>
          <w:tcPr>
            <w:tcW w:w="1276" w:type="dxa"/>
            <w:shd w:val="clear" w:color="auto" w:fill="D9E2F3"/>
            <w:noWrap/>
            <w:vAlign w:val="bottom"/>
          </w:tcPr>
          <w:p w14:paraId="39D86111"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1%</w:t>
            </w:r>
          </w:p>
        </w:tc>
      </w:tr>
      <w:tr w:rsidR="000E76D9" w:rsidRPr="00A83C94" w14:paraId="24BD169A" w14:textId="77777777" w:rsidTr="00C50DE0">
        <w:trPr>
          <w:trHeight w:val="462"/>
        </w:trPr>
        <w:tc>
          <w:tcPr>
            <w:tcW w:w="3829" w:type="dxa"/>
            <w:noWrap/>
            <w:vAlign w:val="bottom"/>
          </w:tcPr>
          <w:p w14:paraId="402E3A70"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sz w:val="20"/>
                <w:szCs w:val="20"/>
                <w:lang w:val="hy-AM" w:eastAsia="en-US"/>
              </w:rPr>
              <w:t>Հեռուստառադիոհեռարձակում, կապ</w:t>
            </w:r>
          </w:p>
        </w:tc>
        <w:tc>
          <w:tcPr>
            <w:tcW w:w="990" w:type="dxa"/>
            <w:noWrap/>
            <w:vAlign w:val="bottom"/>
          </w:tcPr>
          <w:p w14:paraId="4884BB92"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8,534 </w:t>
            </w:r>
          </w:p>
        </w:tc>
        <w:tc>
          <w:tcPr>
            <w:tcW w:w="990" w:type="dxa"/>
            <w:noWrap/>
            <w:vAlign w:val="bottom"/>
          </w:tcPr>
          <w:p w14:paraId="271CA48F"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8,675 </w:t>
            </w:r>
          </w:p>
        </w:tc>
        <w:tc>
          <w:tcPr>
            <w:tcW w:w="990" w:type="dxa"/>
            <w:noWrap/>
            <w:vAlign w:val="bottom"/>
          </w:tcPr>
          <w:p w14:paraId="10E1D798"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8,385 </w:t>
            </w:r>
          </w:p>
        </w:tc>
        <w:tc>
          <w:tcPr>
            <w:tcW w:w="1276" w:type="dxa"/>
            <w:noWrap/>
            <w:vAlign w:val="bottom"/>
          </w:tcPr>
          <w:p w14:paraId="4318AD4C"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4%</w:t>
            </w:r>
          </w:p>
        </w:tc>
      </w:tr>
      <w:tr w:rsidR="000E76D9" w:rsidRPr="00A83C94" w14:paraId="287029C9" w14:textId="77777777" w:rsidTr="00C50DE0">
        <w:trPr>
          <w:trHeight w:val="323"/>
        </w:trPr>
        <w:tc>
          <w:tcPr>
            <w:tcW w:w="3829" w:type="dxa"/>
            <w:shd w:val="clear" w:color="auto" w:fill="D9E2F3"/>
            <w:noWrap/>
            <w:vAlign w:val="bottom"/>
          </w:tcPr>
          <w:p w14:paraId="0518CB32"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sz w:val="20"/>
                <w:szCs w:val="20"/>
                <w:lang w:val="hy-AM" w:eastAsia="en-US"/>
              </w:rPr>
              <w:t>Փոստային կապի ազգային օպերատոր</w:t>
            </w:r>
          </w:p>
        </w:tc>
        <w:tc>
          <w:tcPr>
            <w:tcW w:w="990" w:type="dxa"/>
            <w:shd w:val="clear" w:color="auto" w:fill="D9E2F3"/>
            <w:noWrap/>
            <w:vAlign w:val="bottom"/>
          </w:tcPr>
          <w:p w14:paraId="2337E7F3"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6,864 </w:t>
            </w:r>
          </w:p>
        </w:tc>
        <w:tc>
          <w:tcPr>
            <w:tcW w:w="990" w:type="dxa"/>
            <w:shd w:val="clear" w:color="auto" w:fill="D9E2F3"/>
            <w:noWrap/>
            <w:vAlign w:val="bottom"/>
          </w:tcPr>
          <w:p w14:paraId="32CA2441"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7,919 </w:t>
            </w:r>
          </w:p>
        </w:tc>
        <w:tc>
          <w:tcPr>
            <w:tcW w:w="990" w:type="dxa"/>
            <w:shd w:val="clear" w:color="auto" w:fill="D9E2F3"/>
            <w:noWrap/>
            <w:vAlign w:val="bottom"/>
          </w:tcPr>
          <w:p w14:paraId="0FDD9653"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8,227 </w:t>
            </w:r>
          </w:p>
        </w:tc>
        <w:tc>
          <w:tcPr>
            <w:tcW w:w="1276" w:type="dxa"/>
            <w:shd w:val="clear" w:color="auto" w:fill="D9E2F3"/>
            <w:noWrap/>
            <w:vAlign w:val="bottom"/>
          </w:tcPr>
          <w:p w14:paraId="42DCB748"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4%</w:t>
            </w:r>
          </w:p>
        </w:tc>
      </w:tr>
      <w:tr w:rsidR="000E76D9" w:rsidRPr="00A83C94" w14:paraId="33AF0F7C" w14:textId="77777777" w:rsidTr="00C50DE0">
        <w:trPr>
          <w:trHeight w:val="350"/>
        </w:trPr>
        <w:tc>
          <w:tcPr>
            <w:tcW w:w="3829" w:type="dxa"/>
            <w:noWrap/>
            <w:vAlign w:val="bottom"/>
          </w:tcPr>
          <w:p w14:paraId="71FFDBAF"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sz w:val="20"/>
                <w:szCs w:val="20"/>
                <w:lang w:val="hy-AM" w:eastAsia="en-US"/>
              </w:rPr>
              <w:t>Ուղևորափոխադրում</w:t>
            </w:r>
          </w:p>
        </w:tc>
        <w:tc>
          <w:tcPr>
            <w:tcW w:w="990" w:type="dxa"/>
            <w:noWrap/>
            <w:vAlign w:val="bottom"/>
          </w:tcPr>
          <w:p w14:paraId="7F9BB657"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4,622 </w:t>
            </w:r>
          </w:p>
        </w:tc>
        <w:tc>
          <w:tcPr>
            <w:tcW w:w="990" w:type="dxa"/>
            <w:noWrap/>
            <w:vAlign w:val="bottom"/>
          </w:tcPr>
          <w:p w14:paraId="13AF2BDB"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7,888 </w:t>
            </w:r>
          </w:p>
        </w:tc>
        <w:tc>
          <w:tcPr>
            <w:tcW w:w="990" w:type="dxa"/>
            <w:noWrap/>
            <w:vAlign w:val="bottom"/>
          </w:tcPr>
          <w:p w14:paraId="42323AF6"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2,692 </w:t>
            </w:r>
          </w:p>
        </w:tc>
        <w:tc>
          <w:tcPr>
            <w:tcW w:w="1276" w:type="dxa"/>
            <w:noWrap/>
            <w:vAlign w:val="bottom"/>
          </w:tcPr>
          <w:p w14:paraId="1C0CD75F"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1%</w:t>
            </w:r>
          </w:p>
        </w:tc>
      </w:tr>
      <w:tr w:rsidR="000E76D9" w:rsidRPr="00A83C94" w14:paraId="1B26B439" w14:textId="77777777" w:rsidTr="00C50DE0">
        <w:trPr>
          <w:trHeight w:val="462"/>
        </w:trPr>
        <w:tc>
          <w:tcPr>
            <w:tcW w:w="3829" w:type="dxa"/>
            <w:shd w:val="clear" w:color="auto" w:fill="D9E2F3"/>
            <w:noWrap/>
            <w:vAlign w:val="bottom"/>
          </w:tcPr>
          <w:p w14:paraId="5DF1D5D2"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sz w:val="20"/>
                <w:szCs w:val="20"/>
                <w:lang w:val="hy-AM" w:eastAsia="en-US"/>
              </w:rPr>
              <w:t>Ընդամենը</w:t>
            </w:r>
          </w:p>
        </w:tc>
        <w:tc>
          <w:tcPr>
            <w:tcW w:w="990" w:type="dxa"/>
            <w:shd w:val="clear" w:color="auto" w:fill="D9E2F3"/>
            <w:noWrap/>
            <w:vAlign w:val="bottom"/>
          </w:tcPr>
          <w:p w14:paraId="21A4C7F6"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229,170 </w:t>
            </w:r>
          </w:p>
        </w:tc>
        <w:tc>
          <w:tcPr>
            <w:tcW w:w="990" w:type="dxa"/>
            <w:shd w:val="clear" w:color="auto" w:fill="D9E2F3"/>
            <w:noWrap/>
            <w:vAlign w:val="bottom"/>
          </w:tcPr>
          <w:p w14:paraId="4997E6B5"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228,678 </w:t>
            </w:r>
          </w:p>
        </w:tc>
        <w:tc>
          <w:tcPr>
            <w:tcW w:w="990" w:type="dxa"/>
            <w:shd w:val="clear" w:color="auto" w:fill="D9E2F3"/>
            <w:noWrap/>
            <w:vAlign w:val="bottom"/>
          </w:tcPr>
          <w:p w14:paraId="637A8C63" w14:textId="77777777" w:rsidR="000E76D9" w:rsidRPr="00A83C94" w:rsidRDefault="000E76D9" w:rsidP="000E76D9">
            <w:pPr>
              <w:spacing w:before="0" w:line="240" w:lineRule="auto"/>
              <w:ind w:firstLine="0"/>
              <w:contextualSpacing w:val="0"/>
              <w:jc w:val="right"/>
              <w:rPr>
                <w:b w:val="0"/>
                <w:sz w:val="20"/>
                <w:szCs w:val="20"/>
                <w:lang w:val="hy-AM" w:eastAsia="en-US"/>
              </w:rPr>
            </w:pPr>
            <w:r w:rsidRPr="00A83C94">
              <w:rPr>
                <w:rFonts w:ascii="Calibri" w:hAnsi="Calibri" w:cs="Calibri"/>
                <w:b w:val="0"/>
                <w:color w:val="000000"/>
                <w:szCs w:val="22"/>
                <w:lang w:val="en-US" w:eastAsia="en-US"/>
              </w:rPr>
              <w:t xml:space="preserve"> 218,796 </w:t>
            </w:r>
          </w:p>
        </w:tc>
        <w:tc>
          <w:tcPr>
            <w:tcW w:w="1276" w:type="dxa"/>
            <w:shd w:val="clear" w:color="auto" w:fill="D9E2F3"/>
            <w:noWrap/>
            <w:vAlign w:val="bottom"/>
          </w:tcPr>
          <w:p w14:paraId="6F689B9C" w14:textId="77777777" w:rsidR="000E76D9" w:rsidRPr="00A83C94" w:rsidRDefault="000E76D9" w:rsidP="000E76D9">
            <w:pPr>
              <w:spacing w:before="0" w:line="240" w:lineRule="auto"/>
              <w:ind w:firstLine="0"/>
              <w:contextualSpacing w:val="0"/>
              <w:jc w:val="right"/>
              <w:rPr>
                <w:b w:val="0"/>
                <w:sz w:val="20"/>
                <w:szCs w:val="20"/>
                <w:lang w:val="hy-AM" w:eastAsia="en-US"/>
              </w:rPr>
            </w:pPr>
          </w:p>
        </w:tc>
      </w:tr>
    </w:tbl>
    <w:p w14:paraId="36DCAE9F" w14:textId="77777777" w:rsidR="00682DEF" w:rsidRPr="00A83C94" w:rsidRDefault="00682DEF" w:rsidP="00682DEF">
      <w:pPr>
        <w:spacing w:before="0" w:after="160" w:line="259" w:lineRule="auto"/>
        <w:ind w:firstLine="0"/>
        <w:contextualSpacing w:val="0"/>
        <w:jc w:val="left"/>
        <w:rPr>
          <w:rFonts w:ascii="Calibri" w:eastAsia="Calibri" w:hAnsi="Calibri"/>
          <w:b w:val="0"/>
          <w:szCs w:val="22"/>
          <w:lang w:val="hy-AM" w:eastAsia="en-US"/>
        </w:rPr>
      </w:pPr>
    </w:p>
    <w:p w14:paraId="4B23E147" w14:textId="77777777" w:rsidR="00682DEF" w:rsidRPr="00A83C94" w:rsidRDefault="00682DEF" w:rsidP="00682DEF">
      <w:pPr>
        <w:spacing w:before="0" w:after="160" w:line="259" w:lineRule="auto"/>
        <w:ind w:firstLine="0"/>
        <w:contextualSpacing w:val="0"/>
        <w:rPr>
          <w:szCs w:val="22"/>
          <w:lang w:val="hy-AM"/>
        </w:rPr>
      </w:pPr>
      <w:r w:rsidRPr="00A83C94">
        <w:rPr>
          <w:szCs w:val="22"/>
          <w:lang w:val="hy-AM"/>
        </w:rPr>
        <w:t>ՀԱՐԿԱԲՅՈՒՋԵՏԱՅԻՆ ՌԻՍԿԵՐ ՊԱՐՈՒՆԱԿՈՂ ՊԵՏԱԿԱՆ ՄԱՍՆԱԿՑՈՒԹՅԱՄԲ ԸՆԿԵՐՈՒԹՅՈՒՆՆԵՐԻ ՎԵՐԼՈՒԾՈՒԹՅՈՒՆ</w:t>
      </w:r>
    </w:p>
    <w:p w14:paraId="4B6A202D" w14:textId="7DDB8BEB" w:rsidR="00682DEF" w:rsidRPr="00A83C94" w:rsidRDefault="001336A5" w:rsidP="00682DEF">
      <w:pPr>
        <w:spacing w:before="0" w:after="160" w:line="259" w:lineRule="auto"/>
        <w:ind w:firstLine="0"/>
        <w:contextualSpacing w:val="0"/>
        <w:jc w:val="left"/>
        <w:rPr>
          <w:rFonts w:ascii="Calibri" w:eastAsia="Calibri" w:hAnsi="Calibri"/>
          <w:b w:val="0"/>
          <w:szCs w:val="22"/>
          <w:lang w:val="hy-AM" w:eastAsia="en-US"/>
        </w:rPr>
      </w:pPr>
      <w:r w:rsidRPr="001336A5">
        <w:rPr>
          <w:rFonts w:eastAsia="Calibri"/>
          <w:b w:val="0"/>
          <w:bCs/>
          <w:color w:val="4F81BD" w:themeColor="accent1"/>
          <w:sz w:val="18"/>
          <w:szCs w:val="18"/>
          <w:lang w:val="hy-AM" w:eastAsia="en-US"/>
        </w:rPr>
        <w:t>Աղյուսակ 3</w:t>
      </w:r>
      <w:r w:rsidRPr="00A83C94">
        <w:rPr>
          <w:rFonts w:ascii="Calibri" w:eastAsia="Calibri" w:hAnsi="Calibri"/>
          <w:b w:val="0"/>
          <w:szCs w:val="22"/>
          <w:lang w:val="hy-AM" w:eastAsia="en-US"/>
        </w:rPr>
        <w:t xml:space="preserve"> </w:t>
      </w:r>
      <w:r w:rsidR="00682DEF" w:rsidRPr="00A83C94">
        <w:rPr>
          <w:rFonts w:eastAsia="Calibri"/>
          <w:bCs/>
          <w:i/>
          <w:color w:val="4F81BD" w:themeColor="accent1"/>
          <w:sz w:val="20"/>
          <w:szCs w:val="20"/>
          <w:lang w:val="hy-AM" w:eastAsia="en-US"/>
        </w:rPr>
        <w:t>Բյուջետային վարկեր և երաշխիքներ ունեցող ՊՄԸ ցուցանիշները</w:t>
      </w:r>
      <w:r w:rsidR="00682DEF" w:rsidRPr="00A83C94">
        <w:rPr>
          <w:rFonts w:ascii="Calibri" w:eastAsia="Calibri" w:hAnsi="Calibri"/>
          <w:b w:val="0"/>
          <w:szCs w:val="22"/>
          <w:lang w:val="hy-AM" w:eastAsia="en-US"/>
        </w:rPr>
        <w:t xml:space="preserve"> </w:t>
      </w:r>
    </w:p>
    <w:p w14:paraId="41614753" w14:textId="77777777" w:rsidR="00682DEF" w:rsidRPr="00A83C94" w:rsidRDefault="00682DEF" w:rsidP="00682DEF">
      <w:pPr>
        <w:spacing w:before="0" w:after="160" w:line="259" w:lineRule="auto"/>
        <w:ind w:firstLine="0"/>
        <w:contextualSpacing w:val="0"/>
        <w:jc w:val="right"/>
        <w:rPr>
          <w:rFonts w:eastAsia="Calibri"/>
          <w:bCs/>
          <w:i/>
          <w:color w:val="4F81BD" w:themeColor="accent1"/>
          <w:sz w:val="18"/>
          <w:szCs w:val="18"/>
          <w:lang w:val="en-US" w:eastAsia="en-US"/>
        </w:rPr>
      </w:pPr>
      <w:r w:rsidRPr="00A83C94">
        <w:rPr>
          <w:rFonts w:eastAsia="Calibri"/>
          <w:bCs/>
          <w:color w:val="4F81BD" w:themeColor="accent1"/>
          <w:sz w:val="18"/>
          <w:szCs w:val="18"/>
          <w:lang w:val="hy-AM" w:eastAsia="en-US"/>
        </w:rPr>
        <w:t xml:space="preserve">                                                                                                                                                                 </w:t>
      </w:r>
      <w:r w:rsidRPr="00A83C94">
        <w:rPr>
          <w:rFonts w:eastAsia="Calibri"/>
          <w:bCs/>
          <w:i/>
          <w:color w:val="4F81BD" w:themeColor="accent1"/>
          <w:sz w:val="18"/>
          <w:szCs w:val="18"/>
          <w:lang w:val="hy-AM" w:eastAsia="en-US"/>
        </w:rPr>
        <w:t>մլն դրամ</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850"/>
        <w:gridCol w:w="709"/>
        <w:gridCol w:w="709"/>
        <w:gridCol w:w="708"/>
        <w:gridCol w:w="851"/>
        <w:gridCol w:w="850"/>
        <w:gridCol w:w="851"/>
        <w:gridCol w:w="992"/>
      </w:tblGrid>
      <w:tr w:rsidR="000E76D9" w:rsidRPr="00A83C94" w14:paraId="2594EDC6" w14:textId="77777777" w:rsidTr="000E76D9">
        <w:trPr>
          <w:trHeight w:val="300"/>
        </w:trPr>
        <w:tc>
          <w:tcPr>
            <w:tcW w:w="3823" w:type="dxa"/>
            <w:shd w:val="clear" w:color="auto" w:fill="548DD4" w:themeFill="text2" w:themeFillTint="99"/>
            <w:noWrap/>
          </w:tcPr>
          <w:p w14:paraId="4BFA00FC" w14:textId="6F83421B" w:rsidR="000E76D9" w:rsidRPr="000E76D9" w:rsidRDefault="000E76D9" w:rsidP="000E76D9">
            <w:pPr>
              <w:spacing w:before="0" w:line="259" w:lineRule="auto"/>
              <w:ind w:firstLine="0"/>
              <w:contextualSpacing w:val="0"/>
              <w:jc w:val="left"/>
              <w:rPr>
                <w:rFonts w:cs="Calibri Light"/>
                <w:color w:val="FFFFFF" w:themeColor="background1"/>
                <w:sz w:val="16"/>
                <w:szCs w:val="16"/>
                <w:lang w:val="hy-AM" w:eastAsia="en-US"/>
              </w:rPr>
            </w:pPr>
            <w:r w:rsidRPr="000E76D9">
              <w:rPr>
                <w:rFonts w:cs="Calibri Light"/>
                <w:color w:val="FFFFFF" w:themeColor="background1"/>
                <w:sz w:val="16"/>
                <w:szCs w:val="16"/>
                <w:lang w:val="hy-AM" w:eastAsia="en-US"/>
              </w:rPr>
              <w:t>Ընկերության անվանումը</w:t>
            </w:r>
          </w:p>
        </w:tc>
        <w:tc>
          <w:tcPr>
            <w:tcW w:w="850" w:type="dxa"/>
            <w:shd w:val="clear" w:color="auto" w:fill="548DD4" w:themeFill="text2" w:themeFillTint="99"/>
            <w:noWrap/>
          </w:tcPr>
          <w:p w14:paraId="5104A879" w14:textId="2AB89F75" w:rsidR="000E76D9" w:rsidRPr="000E76D9" w:rsidRDefault="000E76D9" w:rsidP="000E76D9">
            <w:pPr>
              <w:spacing w:before="0" w:line="259" w:lineRule="auto"/>
              <w:ind w:firstLine="0"/>
              <w:contextualSpacing w:val="0"/>
              <w:jc w:val="center"/>
              <w:rPr>
                <w:rFonts w:cs="Calibri Light"/>
                <w:color w:val="FFFFFF" w:themeColor="background1"/>
                <w:sz w:val="18"/>
                <w:szCs w:val="18"/>
                <w:lang w:val="en-US" w:eastAsia="en-US"/>
              </w:rPr>
            </w:pPr>
            <w:r w:rsidRPr="000E76D9">
              <w:rPr>
                <w:rFonts w:cs="Calibri Light"/>
                <w:color w:val="FFFFFF" w:themeColor="background1"/>
                <w:sz w:val="16"/>
                <w:szCs w:val="16"/>
                <w:lang w:val="hy-AM" w:eastAsia="en-US"/>
              </w:rPr>
              <w:t>Բյուջետային վարկեր և երաշխիքներ</w:t>
            </w:r>
          </w:p>
        </w:tc>
        <w:tc>
          <w:tcPr>
            <w:tcW w:w="1418" w:type="dxa"/>
            <w:gridSpan w:val="2"/>
            <w:shd w:val="clear" w:color="auto" w:fill="548DD4" w:themeFill="text2" w:themeFillTint="99"/>
            <w:noWrap/>
          </w:tcPr>
          <w:p w14:paraId="3AC01D7F" w14:textId="6FB721C5" w:rsidR="000E76D9" w:rsidRPr="000E76D9" w:rsidRDefault="000E76D9" w:rsidP="000E76D9">
            <w:pPr>
              <w:spacing w:before="0" w:line="259" w:lineRule="auto"/>
              <w:ind w:firstLine="0"/>
              <w:contextualSpacing w:val="0"/>
              <w:jc w:val="center"/>
              <w:rPr>
                <w:rFonts w:cs="Calibri Light"/>
                <w:color w:val="FFFFFF" w:themeColor="background1"/>
                <w:sz w:val="18"/>
                <w:szCs w:val="18"/>
                <w:lang w:val="en-US" w:eastAsia="en-US"/>
              </w:rPr>
            </w:pPr>
            <w:r w:rsidRPr="000E76D9">
              <w:rPr>
                <w:rFonts w:cs="Calibri Light"/>
                <w:color w:val="FFFFFF" w:themeColor="background1"/>
                <w:sz w:val="16"/>
                <w:szCs w:val="16"/>
                <w:lang w:val="hy-AM" w:eastAsia="en-US"/>
              </w:rPr>
              <w:t>Իրացումից Հասույթ</w:t>
            </w:r>
          </w:p>
        </w:tc>
        <w:tc>
          <w:tcPr>
            <w:tcW w:w="1559" w:type="dxa"/>
            <w:gridSpan w:val="2"/>
            <w:shd w:val="clear" w:color="auto" w:fill="548DD4" w:themeFill="text2" w:themeFillTint="99"/>
            <w:noWrap/>
          </w:tcPr>
          <w:p w14:paraId="77386E6B" w14:textId="4FF40E98" w:rsidR="000E76D9" w:rsidRPr="000E76D9" w:rsidRDefault="000E76D9" w:rsidP="000E76D9">
            <w:pPr>
              <w:spacing w:before="0" w:line="259" w:lineRule="auto"/>
              <w:ind w:firstLine="0"/>
              <w:contextualSpacing w:val="0"/>
              <w:rPr>
                <w:rFonts w:cs="Calibri Light"/>
                <w:color w:val="FFFFFF" w:themeColor="background1"/>
                <w:sz w:val="18"/>
                <w:szCs w:val="18"/>
                <w:lang w:val="hy-AM" w:eastAsia="en-US"/>
              </w:rPr>
            </w:pPr>
            <w:r w:rsidRPr="000E76D9">
              <w:rPr>
                <w:rFonts w:cs="Calibri Light"/>
                <w:color w:val="FFFFFF" w:themeColor="background1"/>
                <w:sz w:val="16"/>
                <w:szCs w:val="16"/>
                <w:lang w:val="hy-AM" w:eastAsia="en-US"/>
              </w:rPr>
              <w:t>Զուտ շահույթ</w:t>
            </w:r>
          </w:p>
        </w:tc>
        <w:tc>
          <w:tcPr>
            <w:tcW w:w="850" w:type="dxa"/>
            <w:shd w:val="clear" w:color="auto" w:fill="548DD4" w:themeFill="text2" w:themeFillTint="99"/>
            <w:noWrap/>
          </w:tcPr>
          <w:p w14:paraId="4AF1048B" w14:textId="2A00936C" w:rsidR="000E76D9" w:rsidRPr="000E76D9" w:rsidRDefault="000E76D9" w:rsidP="000E76D9">
            <w:pPr>
              <w:spacing w:before="0" w:line="259" w:lineRule="auto"/>
              <w:ind w:firstLine="0"/>
              <w:contextualSpacing w:val="0"/>
              <w:jc w:val="center"/>
              <w:rPr>
                <w:rFonts w:cs="Calibri Light"/>
                <w:color w:val="FFFFFF" w:themeColor="background1"/>
                <w:sz w:val="18"/>
                <w:szCs w:val="18"/>
                <w:lang w:val="hy-AM" w:eastAsia="en-US"/>
              </w:rPr>
            </w:pPr>
            <w:r w:rsidRPr="000E76D9">
              <w:rPr>
                <w:rFonts w:cs="Calibri Light"/>
                <w:color w:val="FFFFFF" w:themeColor="background1"/>
                <w:sz w:val="16"/>
                <w:szCs w:val="16"/>
                <w:lang w:val="hy-AM" w:eastAsia="en-US"/>
              </w:rPr>
              <w:t>Կուտակված շահույթ</w:t>
            </w:r>
          </w:p>
        </w:tc>
        <w:tc>
          <w:tcPr>
            <w:tcW w:w="851" w:type="dxa"/>
            <w:shd w:val="clear" w:color="auto" w:fill="548DD4" w:themeFill="text2" w:themeFillTint="99"/>
            <w:noWrap/>
          </w:tcPr>
          <w:p w14:paraId="1B482423" w14:textId="54E15D9F" w:rsidR="000E76D9" w:rsidRPr="000E76D9" w:rsidRDefault="000E76D9" w:rsidP="000E76D9">
            <w:pPr>
              <w:spacing w:before="0" w:line="259" w:lineRule="auto"/>
              <w:ind w:firstLine="0"/>
              <w:contextualSpacing w:val="0"/>
              <w:jc w:val="center"/>
              <w:rPr>
                <w:rFonts w:cs="Calibri Light"/>
                <w:color w:val="FFFFFF" w:themeColor="background1"/>
                <w:sz w:val="18"/>
                <w:szCs w:val="18"/>
                <w:lang w:val="hy-AM" w:eastAsia="en-US"/>
              </w:rPr>
            </w:pPr>
            <w:r w:rsidRPr="000E76D9">
              <w:rPr>
                <w:rFonts w:cs="Calibri Light"/>
                <w:color w:val="FFFFFF" w:themeColor="background1"/>
                <w:sz w:val="16"/>
                <w:szCs w:val="16"/>
                <w:lang w:val="hy-AM" w:eastAsia="en-US"/>
              </w:rPr>
              <w:t>Պարտավորություններ</w:t>
            </w:r>
          </w:p>
        </w:tc>
        <w:tc>
          <w:tcPr>
            <w:tcW w:w="992" w:type="dxa"/>
            <w:vMerge w:val="restart"/>
            <w:shd w:val="clear" w:color="auto" w:fill="548DD4" w:themeFill="text2" w:themeFillTint="99"/>
            <w:noWrap/>
          </w:tcPr>
          <w:p w14:paraId="399F0BD0" w14:textId="53553CE4" w:rsidR="000E76D9" w:rsidRPr="000E76D9" w:rsidRDefault="000E76D9" w:rsidP="000E76D9">
            <w:pPr>
              <w:spacing w:before="0" w:line="259" w:lineRule="auto"/>
              <w:ind w:firstLine="0"/>
              <w:contextualSpacing w:val="0"/>
              <w:rPr>
                <w:rFonts w:cs="Calibri Light"/>
                <w:color w:val="FFFFFF" w:themeColor="background1"/>
                <w:sz w:val="18"/>
                <w:szCs w:val="18"/>
                <w:lang w:val="hy-AM" w:eastAsia="en-US"/>
              </w:rPr>
            </w:pPr>
            <w:r w:rsidRPr="000E76D9">
              <w:rPr>
                <w:rFonts w:cs="Calibri Light"/>
                <w:color w:val="FFFFFF" w:themeColor="background1"/>
                <w:sz w:val="18"/>
                <w:szCs w:val="18"/>
                <w:lang w:val="en-US" w:eastAsia="en-US"/>
              </w:rPr>
              <w:t>Ֆ</w:t>
            </w:r>
            <w:r w:rsidRPr="000E76D9">
              <w:rPr>
                <w:rFonts w:cs="Calibri Light"/>
                <w:color w:val="FFFFFF" w:themeColor="background1"/>
                <w:sz w:val="18"/>
                <w:szCs w:val="18"/>
                <w:lang w:val="hy-AM" w:eastAsia="en-US"/>
              </w:rPr>
              <w:t>իսկալ ռիկսի կարգավիճակ</w:t>
            </w:r>
          </w:p>
        </w:tc>
      </w:tr>
      <w:tr w:rsidR="000E76D9" w:rsidRPr="00A83C94" w14:paraId="3984DE3B" w14:textId="77777777" w:rsidTr="00C50DE0">
        <w:trPr>
          <w:trHeight w:val="300"/>
        </w:trPr>
        <w:tc>
          <w:tcPr>
            <w:tcW w:w="3823" w:type="dxa"/>
            <w:noWrap/>
          </w:tcPr>
          <w:p w14:paraId="5D729C25"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p>
        </w:tc>
        <w:tc>
          <w:tcPr>
            <w:tcW w:w="850" w:type="dxa"/>
            <w:noWrap/>
          </w:tcPr>
          <w:p w14:paraId="10DD21C5" w14:textId="77777777" w:rsidR="000E76D9" w:rsidRPr="00A83C94" w:rsidRDefault="000E76D9" w:rsidP="000E76D9">
            <w:pPr>
              <w:spacing w:before="0" w:line="259" w:lineRule="auto"/>
              <w:ind w:firstLine="0"/>
              <w:contextualSpacing w:val="0"/>
              <w:jc w:val="center"/>
              <w:rPr>
                <w:rFonts w:cs="Calibri Light"/>
                <w:sz w:val="18"/>
                <w:szCs w:val="18"/>
                <w:lang w:val="hy-AM" w:eastAsia="en-US"/>
              </w:rPr>
            </w:pPr>
            <w:r w:rsidRPr="00A83C94">
              <w:rPr>
                <w:rFonts w:cs="Calibri Light"/>
                <w:sz w:val="18"/>
                <w:szCs w:val="18"/>
                <w:lang w:val="en-US" w:eastAsia="en-US"/>
              </w:rPr>
              <w:t xml:space="preserve">2020թ. </w:t>
            </w:r>
          </w:p>
        </w:tc>
        <w:tc>
          <w:tcPr>
            <w:tcW w:w="709" w:type="dxa"/>
            <w:noWrap/>
          </w:tcPr>
          <w:p w14:paraId="0E652C61"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en-US" w:eastAsia="en-US"/>
              </w:rPr>
              <w:t>2019</w:t>
            </w:r>
          </w:p>
        </w:tc>
        <w:tc>
          <w:tcPr>
            <w:tcW w:w="709" w:type="dxa"/>
            <w:noWrap/>
          </w:tcPr>
          <w:p w14:paraId="5A64465A"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en-US" w:eastAsia="en-US"/>
              </w:rPr>
              <w:t>2020</w:t>
            </w:r>
          </w:p>
        </w:tc>
        <w:tc>
          <w:tcPr>
            <w:tcW w:w="708" w:type="dxa"/>
            <w:noWrap/>
          </w:tcPr>
          <w:p w14:paraId="53EBBE9D"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en-US" w:eastAsia="en-US"/>
              </w:rPr>
              <w:t>2019</w:t>
            </w:r>
          </w:p>
        </w:tc>
        <w:tc>
          <w:tcPr>
            <w:tcW w:w="851" w:type="dxa"/>
            <w:noWrap/>
          </w:tcPr>
          <w:p w14:paraId="15FC77A9" w14:textId="77777777" w:rsidR="000E76D9" w:rsidRPr="00A83C94" w:rsidRDefault="000E76D9" w:rsidP="000E76D9">
            <w:pPr>
              <w:spacing w:before="0" w:line="259" w:lineRule="auto"/>
              <w:ind w:firstLine="0"/>
              <w:contextualSpacing w:val="0"/>
              <w:rPr>
                <w:rFonts w:cs="Calibri Light"/>
                <w:sz w:val="18"/>
                <w:szCs w:val="18"/>
                <w:lang w:val="hy-AM" w:eastAsia="en-US"/>
              </w:rPr>
            </w:pPr>
            <w:r w:rsidRPr="00A83C94">
              <w:rPr>
                <w:rFonts w:cs="Calibri Light"/>
                <w:sz w:val="18"/>
                <w:szCs w:val="18"/>
                <w:lang w:val="hy-AM" w:eastAsia="en-US"/>
              </w:rPr>
              <w:t>2020</w:t>
            </w:r>
          </w:p>
        </w:tc>
        <w:tc>
          <w:tcPr>
            <w:tcW w:w="850" w:type="dxa"/>
            <w:noWrap/>
          </w:tcPr>
          <w:p w14:paraId="11875415"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hy-AM" w:eastAsia="en-US"/>
              </w:rPr>
              <w:t>20</w:t>
            </w:r>
            <w:r w:rsidRPr="00A83C94">
              <w:rPr>
                <w:rFonts w:cs="Calibri Light"/>
                <w:sz w:val="18"/>
                <w:szCs w:val="18"/>
                <w:lang w:val="en-US" w:eastAsia="en-US"/>
              </w:rPr>
              <w:t>20</w:t>
            </w:r>
          </w:p>
        </w:tc>
        <w:tc>
          <w:tcPr>
            <w:tcW w:w="851" w:type="dxa"/>
            <w:noWrap/>
          </w:tcPr>
          <w:p w14:paraId="0FB15A43" w14:textId="77777777" w:rsidR="000E76D9" w:rsidRPr="00A83C94" w:rsidRDefault="000E76D9" w:rsidP="000E76D9">
            <w:pPr>
              <w:spacing w:before="0" w:line="259" w:lineRule="auto"/>
              <w:ind w:firstLine="0"/>
              <w:contextualSpacing w:val="0"/>
              <w:jc w:val="center"/>
              <w:rPr>
                <w:rFonts w:cs="Calibri Light"/>
                <w:sz w:val="18"/>
                <w:szCs w:val="18"/>
                <w:lang w:val="hy-AM" w:eastAsia="en-US"/>
              </w:rPr>
            </w:pPr>
            <w:r w:rsidRPr="00A83C94">
              <w:rPr>
                <w:rFonts w:cs="Calibri Light"/>
                <w:sz w:val="18"/>
                <w:szCs w:val="18"/>
                <w:lang w:val="hy-AM" w:eastAsia="en-US"/>
              </w:rPr>
              <w:t>20</w:t>
            </w:r>
            <w:r w:rsidRPr="00A83C94">
              <w:rPr>
                <w:rFonts w:cs="Calibri Light"/>
                <w:sz w:val="18"/>
                <w:szCs w:val="18"/>
                <w:lang w:val="en-US" w:eastAsia="en-US"/>
              </w:rPr>
              <w:t>20</w:t>
            </w:r>
          </w:p>
        </w:tc>
        <w:tc>
          <w:tcPr>
            <w:tcW w:w="992" w:type="dxa"/>
            <w:vMerge/>
            <w:noWrap/>
          </w:tcPr>
          <w:p w14:paraId="21E06B66" w14:textId="77777777" w:rsidR="000E76D9" w:rsidRPr="00A83C94" w:rsidRDefault="000E76D9" w:rsidP="000E76D9">
            <w:pPr>
              <w:spacing w:before="0" w:line="259" w:lineRule="auto"/>
              <w:ind w:firstLine="0"/>
              <w:contextualSpacing w:val="0"/>
              <w:jc w:val="center"/>
              <w:rPr>
                <w:rFonts w:cs="Calibri Light"/>
                <w:sz w:val="18"/>
                <w:szCs w:val="18"/>
                <w:lang w:val="hy-AM" w:eastAsia="en-US"/>
              </w:rPr>
            </w:pPr>
          </w:p>
        </w:tc>
      </w:tr>
      <w:tr w:rsidR="000E76D9" w:rsidRPr="00A83C94" w14:paraId="0E4A745D" w14:textId="77777777" w:rsidTr="00C50DE0">
        <w:trPr>
          <w:trHeight w:val="300"/>
        </w:trPr>
        <w:tc>
          <w:tcPr>
            <w:tcW w:w="3823" w:type="dxa"/>
            <w:noWrap/>
          </w:tcPr>
          <w:p w14:paraId="394E3D6C" w14:textId="77777777" w:rsidR="000E76D9" w:rsidRPr="00A83C94" w:rsidRDefault="000E76D9" w:rsidP="000E76D9">
            <w:pPr>
              <w:spacing w:before="0" w:line="259" w:lineRule="auto"/>
              <w:ind w:firstLine="0"/>
              <w:contextualSpacing w:val="0"/>
              <w:jc w:val="left"/>
              <w:rPr>
                <w:rFonts w:cs="Calibri"/>
                <w:color w:val="000000"/>
                <w:sz w:val="16"/>
                <w:szCs w:val="16"/>
                <w:lang w:val="hy-AM" w:eastAsia="en-US"/>
              </w:rPr>
            </w:pPr>
            <w:r w:rsidRPr="00A83C94">
              <w:rPr>
                <w:sz w:val="16"/>
                <w:szCs w:val="16"/>
                <w:lang w:val="en-US" w:eastAsia="en-US"/>
              </w:rPr>
              <w:t>«Երևանի ջերմաէլեկտրակենտրոն ՓԲԸ</w:t>
            </w:r>
          </w:p>
        </w:tc>
        <w:tc>
          <w:tcPr>
            <w:tcW w:w="850" w:type="dxa"/>
            <w:noWrap/>
          </w:tcPr>
          <w:p w14:paraId="099736B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129,066</w:t>
            </w:r>
          </w:p>
        </w:tc>
        <w:tc>
          <w:tcPr>
            <w:tcW w:w="709" w:type="dxa"/>
            <w:noWrap/>
          </w:tcPr>
          <w:p w14:paraId="091B0C8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74,975 </w:t>
            </w:r>
          </w:p>
        </w:tc>
        <w:tc>
          <w:tcPr>
            <w:tcW w:w="709" w:type="dxa"/>
            <w:noWrap/>
          </w:tcPr>
          <w:p w14:paraId="6DBD8A0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77,310 </w:t>
            </w:r>
          </w:p>
        </w:tc>
        <w:tc>
          <w:tcPr>
            <w:tcW w:w="708" w:type="dxa"/>
            <w:noWrap/>
          </w:tcPr>
          <w:p w14:paraId="1B647A8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1,262 </w:t>
            </w:r>
          </w:p>
        </w:tc>
        <w:tc>
          <w:tcPr>
            <w:tcW w:w="851" w:type="dxa"/>
            <w:noWrap/>
          </w:tcPr>
          <w:p w14:paraId="78BDFE3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(11,972)</w:t>
            </w:r>
          </w:p>
        </w:tc>
        <w:tc>
          <w:tcPr>
            <w:tcW w:w="850" w:type="dxa"/>
            <w:noWrap/>
          </w:tcPr>
          <w:p w14:paraId="2BCF388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(28,463)</w:t>
            </w:r>
          </w:p>
        </w:tc>
        <w:tc>
          <w:tcPr>
            <w:tcW w:w="851" w:type="dxa"/>
            <w:noWrap/>
          </w:tcPr>
          <w:p w14:paraId="47B8B99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154,154 </w:t>
            </w:r>
          </w:p>
        </w:tc>
        <w:tc>
          <w:tcPr>
            <w:tcW w:w="992" w:type="dxa"/>
            <w:noWrap/>
          </w:tcPr>
          <w:p w14:paraId="14B5675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Միջին</w:t>
            </w:r>
          </w:p>
        </w:tc>
      </w:tr>
      <w:tr w:rsidR="000E76D9" w:rsidRPr="00A83C94" w14:paraId="4981D737" w14:textId="77777777" w:rsidTr="00C50DE0">
        <w:trPr>
          <w:trHeight w:val="300"/>
        </w:trPr>
        <w:tc>
          <w:tcPr>
            <w:tcW w:w="3823" w:type="dxa"/>
            <w:noWrap/>
          </w:tcPr>
          <w:p w14:paraId="595EBBA5"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«Հայկական ատոմային էլեկտրակայան ՓԲԸ</w:t>
            </w:r>
          </w:p>
        </w:tc>
        <w:tc>
          <w:tcPr>
            <w:tcW w:w="850" w:type="dxa"/>
            <w:noWrap/>
          </w:tcPr>
          <w:p w14:paraId="22519B0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113,634</w:t>
            </w:r>
          </w:p>
        </w:tc>
        <w:tc>
          <w:tcPr>
            <w:tcW w:w="709" w:type="dxa"/>
            <w:noWrap/>
          </w:tcPr>
          <w:p w14:paraId="2FB65A6E"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22,655 </w:t>
            </w:r>
          </w:p>
        </w:tc>
        <w:tc>
          <w:tcPr>
            <w:tcW w:w="709" w:type="dxa"/>
            <w:noWrap/>
          </w:tcPr>
          <w:p w14:paraId="01B7E87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29,410 </w:t>
            </w:r>
          </w:p>
        </w:tc>
        <w:tc>
          <w:tcPr>
            <w:tcW w:w="708" w:type="dxa"/>
            <w:noWrap/>
          </w:tcPr>
          <w:p w14:paraId="075E8B35"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(1,363)</w:t>
            </w:r>
          </w:p>
        </w:tc>
        <w:tc>
          <w:tcPr>
            <w:tcW w:w="851" w:type="dxa"/>
            <w:noWrap/>
          </w:tcPr>
          <w:p w14:paraId="510F1F8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(12,797)</w:t>
            </w:r>
          </w:p>
        </w:tc>
        <w:tc>
          <w:tcPr>
            <w:tcW w:w="850" w:type="dxa"/>
            <w:noWrap/>
          </w:tcPr>
          <w:p w14:paraId="4C39ACD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17,494 </w:t>
            </w:r>
          </w:p>
        </w:tc>
        <w:tc>
          <w:tcPr>
            <w:tcW w:w="851" w:type="dxa"/>
            <w:noWrap/>
          </w:tcPr>
          <w:p w14:paraId="5BA89C1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138,842 </w:t>
            </w:r>
          </w:p>
        </w:tc>
        <w:tc>
          <w:tcPr>
            <w:tcW w:w="992" w:type="dxa"/>
            <w:noWrap/>
          </w:tcPr>
          <w:p w14:paraId="6E799624"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Էական</w:t>
            </w:r>
          </w:p>
        </w:tc>
      </w:tr>
      <w:tr w:rsidR="000E76D9" w:rsidRPr="00A83C94" w14:paraId="4719E438" w14:textId="77777777" w:rsidTr="00C50DE0">
        <w:trPr>
          <w:trHeight w:val="300"/>
        </w:trPr>
        <w:tc>
          <w:tcPr>
            <w:tcW w:w="3823" w:type="dxa"/>
            <w:noWrap/>
          </w:tcPr>
          <w:p w14:paraId="152A47CD"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«Բարձրավոլտ էլեկտրական ցանցեր ՓԲԸ</w:t>
            </w:r>
          </w:p>
        </w:tc>
        <w:tc>
          <w:tcPr>
            <w:tcW w:w="850" w:type="dxa"/>
            <w:noWrap/>
          </w:tcPr>
          <w:p w14:paraId="12114FC1"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62,871</w:t>
            </w:r>
          </w:p>
        </w:tc>
        <w:tc>
          <w:tcPr>
            <w:tcW w:w="709" w:type="dxa"/>
            <w:noWrap/>
          </w:tcPr>
          <w:p w14:paraId="3D2D4F25"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7,699 </w:t>
            </w:r>
          </w:p>
        </w:tc>
        <w:tc>
          <w:tcPr>
            <w:tcW w:w="709" w:type="dxa"/>
            <w:noWrap/>
          </w:tcPr>
          <w:p w14:paraId="0E42027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7,505 </w:t>
            </w:r>
          </w:p>
        </w:tc>
        <w:tc>
          <w:tcPr>
            <w:tcW w:w="708" w:type="dxa"/>
            <w:noWrap/>
          </w:tcPr>
          <w:p w14:paraId="1565D97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2,439 </w:t>
            </w:r>
          </w:p>
        </w:tc>
        <w:tc>
          <w:tcPr>
            <w:tcW w:w="851" w:type="dxa"/>
            <w:noWrap/>
          </w:tcPr>
          <w:p w14:paraId="7F546738"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(10,575)</w:t>
            </w:r>
          </w:p>
        </w:tc>
        <w:tc>
          <w:tcPr>
            <w:tcW w:w="850" w:type="dxa"/>
            <w:noWrap/>
          </w:tcPr>
          <w:p w14:paraId="6408CA0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3,911 </w:t>
            </w:r>
          </w:p>
        </w:tc>
        <w:tc>
          <w:tcPr>
            <w:tcW w:w="851" w:type="dxa"/>
            <w:noWrap/>
          </w:tcPr>
          <w:p w14:paraId="403A492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116,006 </w:t>
            </w:r>
          </w:p>
        </w:tc>
        <w:tc>
          <w:tcPr>
            <w:tcW w:w="992" w:type="dxa"/>
            <w:noWrap/>
          </w:tcPr>
          <w:p w14:paraId="171621C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Ցածր</w:t>
            </w:r>
          </w:p>
        </w:tc>
      </w:tr>
      <w:tr w:rsidR="000E76D9" w:rsidRPr="00A83C94" w14:paraId="24303BCB" w14:textId="77777777" w:rsidTr="00C50DE0">
        <w:trPr>
          <w:trHeight w:val="300"/>
        </w:trPr>
        <w:tc>
          <w:tcPr>
            <w:tcW w:w="3823" w:type="dxa"/>
            <w:noWrap/>
          </w:tcPr>
          <w:p w14:paraId="475522E4"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«Էլեկտրաէներգետիկական համակարգի օպերատոր» ՓԲԸ</w:t>
            </w:r>
          </w:p>
        </w:tc>
        <w:tc>
          <w:tcPr>
            <w:tcW w:w="850" w:type="dxa"/>
            <w:noWrap/>
          </w:tcPr>
          <w:p w14:paraId="282869E8"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9,214</w:t>
            </w:r>
          </w:p>
        </w:tc>
        <w:tc>
          <w:tcPr>
            <w:tcW w:w="709" w:type="dxa"/>
            <w:noWrap/>
          </w:tcPr>
          <w:p w14:paraId="3173C465"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1,909 </w:t>
            </w:r>
          </w:p>
        </w:tc>
        <w:tc>
          <w:tcPr>
            <w:tcW w:w="709" w:type="dxa"/>
            <w:noWrap/>
          </w:tcPr>
          <w:p w14:paraId="41422BB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2,029 </w:t>
            </w:r>
          </w:p>
        </w:tc>
        <w:tc>
          <w:tcPr>
            <w:tcW w:w="708" w:type="dxa"/>
            <w:noWrap/>
          </w:tcPr>
          <w:p w14:paraId="2294AB5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18 </w:t>
            </w:r>
          </w:p>
        </w:tc>
        <w:tc>
          <w:tcPr>
            <w:tcW w:w="851" w:type="dxa"/>
            <w:noWrap/>
          </w:tcPr>
          <w:p w14:paraId="3C7E96A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(839)</w:t>
            </w:r>
          </w:p>
        </w:tc>
        <w:tc>
          <w:tcPr>
            <w:tcW w:w="850" w:type="dxa"/>
            <w:noWrap/>
          </w:tcPr>
          <w:p w14:paraId="5F66614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1,442 </w:t>
            </w:r>
          </w:p>
        </w:tc>
        <w:tc>
          <w:tcPr>
            <w:tcW w:w="851" w:type="dxa"/>
            <w:noWrap/>
          </w:tcPr>
          <w:p w14:paraId="75AECE1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10,346 </w:t>
            </w:r>
          </w:p>
        </w:tc>
        <w:tc>
          <w:tcPr>
            <w:tcW w:w="992" w:type="dxa"/>
            <w:noWrap/>
          </w:tcPr>
          <w:p w14:paraId="4E2608E6"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Ցածր</w:t>
            </w:r>
          </w:p>
        </w:tc>
      </w:tr>
      <w:tr w:rsidR="000E76D9" w:rsidRPr="00A83C94" w14:paraId="2B9524AA" w14:textId="77777777" w:rsidTr="00C50DE0">
        <w:trPr>
          <w:trHeight w:val="300"/>
        </w:trPr>
        <w:tc>
          <w:tcPr>
            <w:tcW w:w="3823" w:type="dxa"/>
            <w:noWrap/>
          </w:tcPr>
          <w:p w14:paraId="6972A539"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Կարեն</w:t>
            </w:r>
            <w:r w:rsidRPr="00A83C94">
              <w:rPr>
                <w:sz w:val="16"/>
                <w:szCs w:val="16"/>
                <w:lang w:eastAsia="en-US"/>
              </w:rPr>
              <w:t xml:space="preserve"> </w:t>
            </w:r>
            <w:r w:rsidRPr="00A83C94">
              <w:rPr>
                <w:sz w:val="16"/>
                <w:szCs w:val="16"/>
                <w:lang w:val="en-US" w:eastAsia="en-US"/>
              </w:rPr>
              <w:t>Դեմիրճյանի</w:t>
            </w:r>
            <w:r w:rsidRPr="00A83C94">
              <w:rPr>
                <w:sz w:val="16"/>
                <w:szCs w:val="16"/>
                <w:lang w:eastAsia="en-US"/>
              </w:rPr>
              <w:t xml:space="preserve"> </w:t>
            </w:r>
            <w:r w:rsidRPr="00A83C94">
              <w:rPr>
                <w:sz w:val="16"/>
                <w:szCs w:val="16"/>
                <w:lang w:val="en-US" w:eastAsia="en-US"/>
              </w:rPr>
              <w:t>անվան</w:t>
            </w:r>
            <w:r w:rsidRPr="00A83C94">
              <w:rPr>
                <w:sz w:val="16"/>
                <w:szCs w:val="16"/>
                <w:lang w:eastAsia="en-US"/>
              </w:rPr>
              <w:t xml:space="preserve"> </w:t>
            </w:r>
            <w:r w:rsidRPr="00A83C94">
              <w:rPr>
                <w:sz w:val="16"/>
                <w:szCs w:val="16"/>
                <w:lang w:val="en-US" w:eastAsia="en-US"/>
              </w:rPr>
              <w:t>Երևանի</w:t>
            </w:r>
            <w:r w:rsidRPr="00A83C94">
              <w:rPr>
                <w:sz w:val="16"/>
                <w:szCs w:val="16"/>
                <w:lang w:eastAsia="en-US"/>
              </w:rPr>
              <w:t xml:space="preserve"> </w:t>
            </w:r>
            <w:r w:rsidRPr="00A83C94">
              <w:rPr>
                <w:sz w:val="16"/>
                <w:szCs w:val="16"/>
                <w:lang w:val="en-US" w:eastAsia="en-US"/>
              </w:rPr>
              <w:t>մետրոպոլիտեն</w:t>
            </w:r>
            <w:r w:rsidRPr="00A83C94">
              <w:rPr>
                <w:sz w:val="16"/>
                <w:szCs w:val="16"/>
                <w:lang w:eastAsia="en-US"/>
              </w:rPr>
              <w:t xml:space="preserve"> </w:t>
            </w:r>
            <w:r w:rsidRPr="00A83C94">
              <w:rPr>
                <w:sz w:val="16"/>
                <w:szCs w:val="16"/>
                <w:lang w:val="en-US" w:eastAsia="en-US"/>
              </w:rPr>
              <w:t>ՓԲԸ</w:t>
            </w:r>
          </w:p>
        </w:tc>
        <w:tc>
          <w:tcPr>
            <w:tcW w:w="850" w:type="dxa"/>
            <w:noWrap/>
          </w:tcPr>
          <w:p w14:paraId="6E396AA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5,363</w:t>
            </w:r>
          </w:p>
        </w:tc>
        <w:tc>
          <w:tcPr>
            <w:tcW w:w="709" w:type="dxa"/>
            <w:noWrap/>
          </w:tcPr>
          <w:p w14:paraId="2BBE491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4,805 </w:t>
            </w:r>
          </w:p>
        </w:tc>
        <w:tc>
          <w:tcPr>
            <w:tcW w:w="709" w:type="dxa"/>
            <w:noWrap/>
          </w:tcPr>
          <w:p w14:paraId="3E05B8F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1,094 </w:t>
            </w:r>
          </w:p>
        </w:tc>
        <w:tc>
          <w:tcPr>
            <w:tcW w:w="708" w:type="dxa"/>
            <w:noWrap/>
          </w:tcPr>
          <w:p w14:paraId="7C95A08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790 </w:t>
            </w:r>
          </w:p>
        </w:tc>
        <w:tc>
          <w:tcPr>
            <w:tcW w:w="851" w:type="dxa"/>
            <w:noWrap/>
          </w:tcPr>
          <w:p w14:paraId="133BB80E"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(1,220)</w:t>
            </w:r>
          </w:p>
        </w:tc>
        <w:tc>
          <w:tcPr>
            <w:tcW w:w="850" w:type="dxa"/>
            <w:noWrap/>
          </w:tcPr>
          <w:p w14:paraId="7510AB4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557 </w:t>
            </w:r>
          </w:p>
        </w:tc>
        <w:tc>
          <w:tcPr>
            <w:tcW w:w="851" w:type="dxa"/>
            <w:noWrap/>
          </w:tcPr>
          <w:p w14:paraId="1B88AE5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10,178 </w:t>
            </w:r>
          </w:p>
        </w:tc>
        <w:tc>
          <w:tcPr>
            <w:tcW w:w="992" w:type="dxa"/>
            <w:noWrap/>
          </w:tcPr>
          <w:p w14:paraId="65954C18"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Ցածր</w:t>
            </w:r>
          </w:p>
        </w:tc>
      </w:tr>
      <w:tr w:rsidR="000E76D9" w:rsidRPr="00A83C94" w14:paraId="43AB914D" w14:textId="77777777" w:rsidTr="00C50DE0">
        <w:trPr>
          <w:trHeight w:val="300"/>
        </w:trPr>
        <w:tc>
          <w:tcPr>
            <w:tcW w:w="3823" w:type="dxa"/>
            <w:noWrap/>
            <w:hideMark/>
          </w:tcPr>
          <w:p w14:paraId="13AC4F79" w14:textId="77777777" w:rsidR="000E76D9" w:rsidRPr="00A83C94" w:rsidRDefault="000E76D9" w:rsidP="000E76D9">
            <w:pPr>
              <w:spacing w:before="0" w:line="259" w:lineRule="auto"/>
              <w:ind w:firstLine="0"/>
              <w:contextualSpacing w:val="0"/>
              <w:jc w:val="left"/>
              <w:rPr>
                <w:sz w:val="16"/>
                <w:szCs w:val="16"/>
                <w:lang w:val="en-US" w:eastAsia="en-US"/>
              </w:rPr>
            </w:pPr>
            <w:r w:rsidRPr="00A83C94">
              <w:rPr>
                <w:sz w:val="16"/>
                <w:szCs w:val="16"/>
                <w:lang w:val="en-US" w:eastAsia="en-US"/>
              </w:rPr>
              <w:t>Ռադիոիզոտոպների արտադրության կենտրոն ՓԲԸ</w:t>
            </w:r>
          </w:p>
        </w:tc>
        <w:tc>
          <w:tcPr>
            <w:tcW w:w="850" w:type="dxa"/>
            <w:noWrap/>
            <w:hideMark/>
          </w:tcPr>
          <w:p w14:paraId="547193E5"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2,196</w:t>
            </w:r>
          </w:p>
        </w:tc>
        <w:tc>
          <w:tcPr>
            <w:tcW w:w="709" w:type="dxa"/>
            <w:noWrap/>
            <w:hideMark/>
          </w:tcPr>
          <w:p w14:paraId="2443A836"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p>
        </w:tc>
        <w:tc>
          <w:tcPr>
            <w:tcW w:w="709" w:type="dxa"/>
            <w:noWrap/>
            <w:hideMark/>
          </w:tcPr>
          <w:p w14:paraId="5298E84C"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89</w:t>
            </w:r>
          </w:p>
        </w:tc>
        <w:tc>
          <w:tcPr>
            <w:tcW w:w="708" w:type="dxa"/>
            <w:noWrap/>
            <w:hideMark/>
          </w:tcPr>
          <w:p w14:paraId="4F148CCA"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(386)</w:t>
            </w:r>
          </w:p>
        </w:tc>
        <w:tc>
          <w:tcPr>
            <w:tcW w:w="851" w:type="dxa"/>
            <w:noWrap/>
            <w:hideMark/>
          </w:tcPr>
          <w:p w14:paraId="626A11C6"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(272)</w:t>
            </w:r>
          </w:p>
        </w:tc>
        <w:tc>
          <w:tcPr>
            <w:tcW w:w="850" w:type="dxa"/>
            <w:noWrap/>
            <w:hideMark/>
          </w:tcPr>
          <w:p w14:paraId="1A38C474"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(1,734)</w:t>
            </w:r>
          </w:p>
        </w:tc>
        <w:tc>
          <w:tcPr>
            <w:tcW w:w="851" w:type="dxa"/>
            <w:noWrap/>
            <w:hideMark/>
          </w:tcPr>
          <w:p w14:paraId="0ED562B8"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4,548</w:t>
            </w:r>
          </w:p>
        </w:tc>
        <w:tc>
          <w:tcPr>
            <w:tcW w:w="992" w:type="dxa"/>
            <w:noWrap/>
            <w:hideMark/>
          </w:tcPr>
          <w:p w14:paraId="2B38F8BF"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Էական</w:t>
            </w:r>
          </w:p>
        </w:tc>
      </w:tr>
      <w:tr w:rsidR="000E76D9" w:rsidRPr="00A83C94" w14:paraId="507F42A2" w14:textId="77777777" w:rsidTr="00C50DE0">
        <w:trPr>
          <w:trHeight w:val="300"/>
        </w:trPr>
        <w:tc>
          <w:tcPr>
            <w:tcW w:w="3823" w:type="dxa"/>
            <w:noWrap/>
          </w:tcPr>
          <w:p w14:paraId="27F20F9D"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hy-AM" w:eastAsia="en-US"/>
              </w:rPr>
              <w:t>«</w:t>
            </w:r>
            <w:r w:rsidRPr="00A83C94">
              <w:rPr>
                <w:sz w:val="16"/>
                <w:szCs w:val="16"/>
                <w:lang w:val="en-US" w:eastAsia="en-US"/>
              </w:rPr>
              <w:t>Երքաղլույս</w:t>
            </w:r>
            <w:r w:rsidRPr="00A83C94">
              <w:rPr>
                <w:sz w:val="16"/>
                <w:szCs w:val="16"/>
                <w:lang w:val="hy-AM" w:eastAsia="en-US"/>
              </w:rPr>
              <w:t>»</w:t>
            </w:r>
            <w:r w:rsidRPr="00A83C94">
              <w:rPr>
                <w:sz w:val="16"/>
                <w:szCs w:val="16"/>
                <w:lang w:val="en-US" w:eastAsia="en-US"/>
              </w:rPr>
              <w:t xml:space="preserve"> ՓԲԸ</w:t>
            </w:r>
          </w:p>
        </w:tc>
        <w:tc>
          <w:tcPr>
            <w:tcW w:w="850" w:type="dxa"/>
            <w:noWrap/>
          </w:tcPr>
          <w:p w14:paraId="0C4DCF4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254</w:t>
            </w:r>
          </w:p>
        </w:tc>
        <w:tc>
          <w:tcPr>
            <w:tcW w:w="709" w:type="dxa"/>
            <w:noWrap/>
          </w:tcPr>
          <w:p w14:paraId="2016B1F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2,108 </w:t>
            </w:r>
          </w:p>
        </w:tc>
        <w:tc>
          <w:tcPr>
            <w:tcW w:w="709" w:type="dxa"/>
            <w:noWrap/>
          </w:tcPr>
          <w:p w14:paraId="21B50C6C" w14:textId="77777777" w:rsidR="000E76D9" w:rsidRPr="00A83C94" w:rsidRDefault="000E76D9" w:rsidP="000E76D9">
            <w:pPr>
              <w:spacing w:before="0" w:line="259" w:lineRule="auto"/>
              <w:ind w:firstLine="0"/>
              <w:contextualSpacing w:val="0"/>
              <w:rPr>
                <w:rFonts w:cs="Calibri Light"/>
                <w:sz w:val="16"/>
                <w:szCs w:val="16"/>
                <w:lang w:val="hy-AM" w:eastAsia="en-US"/>
              </w:rPr>
            </w:pPr>
            <w:r w:rsidRPr="00A83C94">
              <w:rPr>
                <w:rFonts w:ascii="Calibri" w:hAnsi="Calibri"/>
                <w:color w:val="000000"/>
                <w:sz w:val="16"/>
                <w:szCs w:val="16"/>
                <w:lang w:val="en-US" w:eastAsia="en-US"/>
              </w:rPr>
              <w:t xml:space="preserve">2,158 </w:t>
            </w:r>
          </w:p>
        </w:tc>
        <w:tc>
          <w:tcPr>
            <w:tcW w:w="708" w:type="dxa"/>
            <w:noWrap/>
          </w:tcPr>
          <w:p w14:paraId="39AA429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205 </w:t>
            </w:r>
          </w:p>
        </w:tc>
        <w:tc>
          <w:tcPr>
            <w:tcW w:w="851" w:type="dxa"/>
            <w:noWrap/>
          </w:tcPr>
          <w:p w14:paraId="53CA171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230 </w:t>
            </w:r>
          </w:p>
        </w:tc>
        <w:tc>
          <w:tcPr>
            <w:tcW w:w="850" w:type="dxa"/>
            <w:noWrap/>
          </w:tcPr>
          <w:p w14:paraId="0AE3AA1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471 </w:t>
            </w:r>
          </w:p>
        </w:tc>
        <w:tc>
          <w:tcPr>
            <w:tcW w:w="851" w:type="dxa"/>
            <w:noWrap/>
          </w:tcPr>
          <w:p w14:paraId="5B00EFB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955 </w:t>
            </w:r>
          </w:p>
        </w:tc>
        <w:tc>
          <w:tcPr>
            <w:tcW w:w="992" w:type="dxa"/>
            <w:noWrap/>
          </w:tcPr>
          <w:p w14:paraId="4DF87A7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Էական</w:t>
            </w:r>
          </w:p>
        </w:tc>
      </w:tr>
      <w:tr w:rsidR="000E76D9" w:rsidRPr="00A83C94" w14:paraId="7290E11C" w14:textId="77777777" w:rsidTr="00C50DE0">
        <w:trPr>
          <w:trHeight w:val="300"/>
        </w:trPr>
        <w:tc>
          <w:tcPr>
            <w:tcW w:w="3823" w:type="dxa"/>
            <w:noWrap/>
          </w:tcPr>
          <w:p w14:paraId="3D2C100D"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Համո</w:t>
            </w:r>
            <w:r w:rsidRPr="00A83C94">
              <w:rPr>
                <w:sz w:val="16"/>
                <w:szCs w:val="16"/>
                <w:lang w:eastAsia="en-US"/>
              </w:rPr>
              <w:t xml:space="preserve"> </w:t>
            </w:r>
            <w:r w:rsidRPr="00A83C94">
              <w:rPr>
                <w:sz w:val="16"/>
                <w:szCs w:val="16"/>
                <w:lang w:val="en-US" w:eastAsia="en-US"/>
              </w:rPr>
              <w:t>Բեկնազարյանի</w:t>
            </w:r>
            <w:r w:rsidRPr="00A83C94">
              <w:rPr>
                <w:sz w:val="16"/>
                <w:szCs w:val="16"/>
                <w:lang w:eastAsia="en-US"/>
              </w:rPr>
              <w:t xml:space="preserve"> </w:t>
            </w:r>
            <w:r w:rsidRPr="00A83C94">
              <w:rPr>
                <w:sz w:val="16"/>
                <w:szCs w:val="16"/>
                <w:lang w:val="en-US" w:eastAsia="en-US"/>
              </w:rPr>
              <w:t>անվան</w:t>
            </w:r>
            <w:r w:rsidRPr="00A83C94">
              <w:rPr>
                <w:sz w:val="16"/>
                <w:szCs w:val="16"/>
                <w:lang w:eastAsia="en-US"/>
              </w:rPr>
              <w:t xml:space="preserve"> «</w:t>
            </w:r>
            <w:r w:rsidRPr="00A83C94">
              <w:rPr>
                <w:sz w:val="16"/>
                <w:szCs w:val="16"/>
                <w:lang w:val="en-US" w:eastAsia="en-US"/>
              </w:rPr>
              <w:t>Հայֆիլմ</w:t>
            </w:r>
            <w:r w:rsidRPr="00A83C94">
              <w:rPr>
                <w:sz w:val="16"/>
                <w:szCs w:val="16"/>
                <w:lang w:eastAsia="en-US"/>
              </w:rPr>
              <w:t xml:space="preserve">» </w:t>
            </w:r>
            <w:r w:rsidRPr="00A83C94">
              <w:rPr>
                <w:sz w:val="16"/>
                <w:szCs w:val="16"/>
                <w:lang w:val="en-US" w:eastAsia="en-US"/>
              </w:rPr>
              <w:t>կինոստուդիա</w:t>
            </w:r>
            <w:r w:rsidRPr="00A83C94">
              <w:rPr>
                <w:sz w:val="16"/>
                <w:szCs w:val="16"/>
                <w:lang w:eastAsia="en-US"/>
              </w:rPr>
              <w:t xml:space="preserve"> </w:t>
            </w:r>
            <w:r w:rsidRPr="00A83C94">
              <w:rPr>
                <w:sz w:val="16"/>
                <w:szCs w:val="16"/>
                <w:lang w:val="en-US" w:eastAsia="en-US"/>
              </w:rPr>
              <w:t>ՓԲԸ</w:t>
            </w:r>
          </w:p>
        </w:tc>
        <w:tc>
          <w:tcPr>
            <w:tcW w:w="850" w:type="dxa"/>
            <w:noWrap/>
          </w:tcPr>
          <w:p w14:paraId="5E709C56"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153</w:t>
            </w:r>
          </w:p>
        </w:tc>
        <w:tc>
          <w:tcPr>
            <w:tcW w:w="709" w:type="dxa"/>
            <w:noWrap/>
          </w:tcPr>
          <w:p w14:paraId="212A726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9 </w:t>
            </w:r>
          </w:p>
        </w:tc>
        <w:tc>
          <w:tcPr>
            <w:tcW w:w="709" w:type="dxa"/>
            <w:noWrap/>
          </w:tcPr>
          <w:p w14:paraId="74728C4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13 </w:t>
            </w:r>
          </w:p>
        </w:tc>
        <w:tc>
          <w:tcPr>
            <w:tcW w:w="708" w:type="dxa"/>
            <w:noWrap/>
          </w:tcPr>
          <w:p w14:paraId="697BD9C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(25)</w:t>
            </w:r>
          </w:p>
        </w:tc>
        <w:tc>
          <w:tcPr>
            <w:tcW w:w="851" w:type="dxa"/>
            <w:noWrap/>
          </w:tcPr>
          <w:p w14:paraId="4F5F8A3A"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(28)</w:t>
            </w:r>
          </w:p>
        </w:tc>
        <w:tc>
          <w:tcPr>
            <w:tcW w:w="850" w:type="dxa"/>
            <w:noWrap/>
          </w:tcPr>
          <w:p w14:paraId="1F46BD7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(110)</w:t>
            </w:r>
          </w:p>
        </w:tc>
        <w:tc>
          <w:tcPr>
            <w:tcW w:w="851" w:type="dxa"/>
            <w:noWrap/>
          </w:tcPr>
          <w:p w14:paraId="77DF7BB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182 </w:t>
            </w:r>
          </w:p>
        </w:tc>
        <w:tc>
          <w:tcPr>
            <w:tcW w:w="992" w:type="dxa"/>
            <w:noWrap/>
          </w:tcPr>
          <w:p w14:paraId="539ABEA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Էական</w:t>
            </w:r>
          </w:p>
        </w:tc>
      </w:tr>
      <w:tr w:rsidR="000E76D9" w:rsidRPr="00A83C94" w14:paraId="22C401F6" w14:textId="77777777" w:rsidTr="00C50DE0">
        <w:trPr>
          <w:trHeight w:val="300"/>
        </w:trPr>
        <w:tc>
          <w:tcPr>
            <w:tcW w:w="3823" w:type="dxa"/>
            <w:noWrap/>
          </w:tcPr>
          <w:p w14:paraId="3B18E436"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«Ավտոմատիկա» ՓԲԸ</w:t>
            </w:r>
          </w:p>
        </w:tc>
        <w:tc>
          <w:tcPr>
            <w:tcW w:w="850" w:type="dxa"/>
            <w:noWrap/>
          </w:tcPr>
          <w:p w14:paraId="44F7BAF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89</w:t>
            </w:r>
          </w:p>
        </w:tc>
        <w:tc>
          <w:tcPr>
            <w:tcW w:w="709" w:type="dxa"/>
            <w:noWrap/>
          </w:tcPr>
          <w:p w14:paraId="6ECC7D4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 </w:t>
            </w:r>
          </w:p>
        </w:tc>
        <w:tc>
          <w:tcPr>
            <w:tcW w:w="709" w:type="dxa"/>
            <w:noWrap/>
          </w:tcPr>
          <w:p w14:paraId="35EF0E0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9 </w:t>
            </w:r>
          </w:p>
        </w:tc>
        <w:tc>
          <w:tcPr>
            <w:tcW w:w="708" w:type="dxa"/>
            <w:noWrap/>
          </w:tcPr>
          <w:p w14:paraId="2EFAA29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(57)</w:t>
            </w:r>
          </w:p>
        </w:tc>
        <w:tc>
          <w:tcPr>
            <w:tcW w:w="851" w:type="dxa"/>
            <w:noWrap/>
          </w:tcPr>
          <w:p w14:paraId="603BAE6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(34)</w:t>
            </w:r>
          </w:p>
        </w:tc>
        <w:tc>
          <w:tcPr>
            <w:tcW w:w="850" w:type="dxa"/>
            <w:noWrap/>
          </w:tcPr>
          <w:p w14:paraId="6C9F814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(321)</w:t>
            </w:r>
          </w:p>
        </w:tc>
        <w:tc>
          <w:tcPr>
            <w:tcW w:w="851" w:type="dxa"/>
            <w:noWrap/>
          </w:tcPr>
          <w:p w14:paraId="3E309B4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249 </w:t>
            </w:r>
          </w:p>
        </w:tc>
        <w:tc>
          <w:tcPr>
            <w:tcW w:w="992" w:type="dxa"/>
            <w:noWrap/>
          </w:tcPr>
          <w:p w14:paraId="69C0C14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Էական</w:t>
            </w:r>
          </w:p>
        </w:tc>
      </w:tr>
    </w:tbl>
    <w:p w14:paraId="548BF82F" w14:textId="77777777" w:rsidR="00682DEF" w:rsidRPr="00A83C94" w:rsidRDefault="00682DEF" w:rsidP="00682DEF">
      <w:pPr>
        <w:spacing w:before="0" w:after="160" w:line="259" w:lineRule="auto"/>
        <w:ind w:firstLine="0"/>
        <w:contextualSpacing w:val="0"/>
        <w:jc w:val="left"/>
        <w:rPr>
          <w:rFonts w:ascii="Calibri" w:eastAsia="Calibri" w:hAnsi="Calibri"/>
          <w:b w:val="0"/>
          <w:szCs w:val="22"/>
          <w:lang w:val="hy-AM" w:eastAsia="en-US"/>
        </w:rPr>
      </w:pPr>
    </w:p>
    <w:p w14:paraId="18BCF74C" w14:textId="19BD0B0C" w:rsidR="00682DEF" w:rsidRPr="00A83C94" w:rsidRDefault="00682DEF" w:rsidP="00682DEF">
      <w:pPr>
        <w:spacing w:before="0" w:after="160" w:line="259" w:lineRule="auto"/>
        <w:ind w:firstLine="0"/>
        <w:contextualSpacing w:val="0"/>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Ա</w:t>
      </w:r>
      <w:r w:rsidR="001336A5" w:rsidRPr="001336A5">
        <w:rPr>
          <w:rFonts w:eastAsia="Calibri"/>
          <w:b w:val="0"/>
          <w:bCs/>
          <w:color w:val="4F81BD" w:themeColor="accent1"/>
          <w:sz w:val="18"/>
          <w:szCs w:val="18"/>
          <w:lang w:val="hy-AM" w:eastAsia="en-US"/>
        </w:rPr>
        <w:t>ղյուսակ 4</w:t>
      </w:r>
      <w:r w:rsidR="001336A5" w:rsidRPr="00A83C94">
        <w:rPr>
          <w:rFonts w:eastAsia="Calibri"/>
          <w:bCs/>
          <w:i/>
          <w:color w:val="4F81BD" w:themeColor="accent1"/>
          <w:sz w:val="20"/>
          <w:szCs w:val="20"/>
          <w:lang w:val="hy-AM" w:eastAsia="en-US"/>
        </w:rPr>
        <w:t xml:space="preserve"> </w:t>
      </w:r>
      <w:r w:rsidRPr="00A83C94">
        <w:rPr>
          <w:rFonts w:eastAsia="Calibri"/>
          <w:bCs/>
          <w:i/>
          <w:color w:val="4F81BD" w:themeColor="accent1"/>
          <w:sz w:val="20"/>
          <w:szCs w:val="20"/>
          <w:lang w:val="hy-AM" w:eastAsia="en-US"/>
        </w:rPr>
        <w:t>Խոշոր պարտավորություններ ունեցող պետական և համայնքային մասնակցությամբ ընկերությունների ցուցանիշները</w:t>
      </w:r>
    </w:p>
    <w:p w14:paraId="2467D862" w14:textId="77777777" w:rsidR="00682DEF" w:rsidRPr="00A83C94" w:rsidRDefault="00682DEF" w:rsidP="00682DEF">
      <w:pPr>
        <w:spacing w:before="0" w:after="160" w:line="259" w:lineRule="auto"/>
        <w:ind w:firstLine="0"/>
        <w:contextualSpacing w:val="0"/>
        <w:jc w:val="center"/>
        <w:rPr>
          <w:rFonts w:eastAsia="Calibri"/>
          <w:bCs/>
          <w:i/>
          <w:color w:val="4F81BD" w:themeColor="accent1"/>
          <w:sz w:val="18"/>
          <w:szCs w:val="18"/>
          <w:lang w:val="en-US" w:eastAsia="en-US"/>
        </w:rPr>
      </w:pPr>
      <w:r w:rsidRPr="00A83C94">
        <w:rPr>
          <w:rFonts w:eastAsia="Calibri"/>
          <w:bCs/>
          <w:i/>
          <w:color w:val="4F81BD" w:themeColor="accent1"/>
          <w:sz w:val="18"/>
          <w:szCs w:val="18"/>
          <w:lang w:val="hy-AM" w:eastAsia="en-US"/>
        </w:rPr>
        <w:t xml:space="preserve">                                                                                                                                              </w:t>
      </w:r>
      <w:r w:rsidRPr="00A83C94">
        <w:rPr>
          <w:rFonts w:eastAsia="Calibri"/>
          <w:bCs/>
          <w:i/>
          <w:color w:val="4F81BD" w:themeColor="accent1"/>
          <w:sz w:val="18"/>
          <w:szCs w:val="18"/>
          <w:lang w:val="en-US" w:eastAsia="en-US"/>
        </w:rPr>
        <w:t>մլն դրամ</w:t>
      </w:r>
    </w:p>
    <w:tbl>
      <w:tblPr>
        <w:tblW w:w="4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793"/>
        <w:gridCol w:w="791"/>
        <w:gridCol w:w="527"/>
        <w:gridCol w:w="793"/>
        <w:gridCol w:w="793"/>
        <w:gridCol w:w="527"/>
        <w:gridCol w:w="660"/>
        <w:gridCol w:w="926"/>
      </w:tblGrid>
      <w:tr w:rsidR="000E76D9" w:rsidRPr="00A83C94" w14:paraId="72438F96" w14:textId="77777777" w:rsidTr="000E76D9">
        <w:trPr>
          <w:trHeight w:val="300"/>
        </w:trPr>
        <w:tc>
          <w:tcPr>
            <w:tcW w:w="1857" w:type="pct"/>
            <w:shd w:val="clear" w:color="auto" w:fill="548DD4" w:themeFill="text2" w:themeFillTint="99"/>
            <w:noWrap/>
          </w:tcPr>
          <w:p w14:paraId="3EE4DCCD" w14:textId="7FABC9DD" w:rsidR="000E76D9" w:rsidRPr="000E76D9" w:rsidRDefault="000E76D9" w:rsidP="000E76D9">
            <w:pPr>
              <w:spacing w:before="0" w:line="240" w:lineRule="auto"/>
              <w:ind w:firstLine="0"/>
              <w:contextualSpacing w:val="0"/>
              <w:jc w:val="left"/>
              <w:rPr>
                <w:color w:val="FFFFFF" w:themeColor="background1"/>
                <w:sz w:val="16"/>
                <w:szCs w:val="16"/>
                <w:lang w:val="hy-AM" w:eastAsia="en-US"/>
              </w:rPr>
            </w:pPr>
            <w:r w:rsidRPr="000E76D9">
              <w:rPr>
                <w:rFonts w:ascii="Calibri" w:hAnsi="Calibri" w:cs="Calibri"/>
                <w:color w:val="FFFFFF" w:themeColor="background1"/>
                <w:sz w:val="16"/>
                <w:szCs w:val="16"/>
                <w:lang w:val="hy-AM" w:eastAsia="en-US"/>
              </w:rPr>
              <w:t> </w:t>
            </w:r>
          </w:p>
        </w:tc>
        <w:tc>
          <w:tcPr>
            <w:tcW w:w="1142" w:type="pct"/>
            <w:gridSpan w:val="3"/>
            <w:shd w:val="clear" w:color="auto" w:fill="548DD4" w:themeFill="text2" w:themeFillTint="99"/>
            <w:noWrap/>
            <w:vAlign w:val="center"/>
          </w:tcPr>
          <w:p w14:paraId="6CF77CF6" w14:textId="5A35D431" w:rsidR="000E76D9" w:rsidRPr="000E76D9" w:rsidRDefault="000E76D9" w:rsidP="000E76D9">
            <w:pPr>
              <w:spacing w:before="0" w:line="240" w:lineRule="auto"/>
              <w:ind w:firstLine="0"/>
              <w:contextualSpacing w:val="0"/>
              <w:jc w:val="center"/>
              <w:rPr>
                <w:color w:val="FFFFFF" w:themeColor="background1"/>
                <w:sz w:val="16"/>
                <w:szCs w:val="16"/>
                <w:lang w:val="hy-AM" w:eastAsia="en-US"/>
              </w:rPr>
            </w:pPr>
            <w:r w:rsidRPr="000E76D9">
              <w:rPr>
                <w:color w:val="FFFFFF" w:themeColor="background1"/>
                <w:sz w:val="16"/>
                <w:szCs w:val="16"/>
                <w:lang w:val="hy-AM" w:eastAsia="en-US"/>
              </w:rPr>
              <w:t>Պարտավորություններ</w:t>
            </w:r>
          </w:p>
        </w:tc>
        <w:tc>
          <w:tcPr>
            <w:tcW w:w="1143" w:type="pct"/>
            <w:gridSpan w:val="3"/>
            <w:shd w:val="clear" w:color="auto" w:fill="548DD4" w:themeFill="text2" w:themeFillTint="99"/>
            <w:noWrap/>
            <w:vAlign w:val="center"/>
          </w:tcPr>
          <w:p w14:paraId="6D81D70F" w14:textId="315D05A9" w:rsidR="000E76D9" w:rsidRPr="000E76D9" w:rsidRDefault="000E76D9" w:rsidP="000E76D9">
            <w:pPr>
              <w:spacing w:before="0" w:line="240" w:lineRule="auto"/>
              <w:ind w:firstLine="0"/>
              <w:contextualSpacing w:val="0"/>
              <w:jc w:val="center"/>
              <w:rPr>
                <w:color w:val="FFFFFF" w:themeColor="background1"/>
                <w:sz w:val="16"/>
                <w:szCs w:val="16"/>
                <w:lang w:val="hy-AM" w:eastAsia="en-US"/>
              </w:rPr>
            </w:pPr>
            <w:r w:rsidRPr="000E76D9">
              <w:rPr>
                <w:color w:val="FFFFFF" w:themeColor="background1"/>
                <w:sz w:val="16"/>
                <w:szCs w:val="16"/>
                <w:lang w:val="hy-AM" w:eastAsia="en-US"/>
              </w:rPr>
              <w:t>Ակտիվներ</w:t>
            </w:r>
          </w:p>
        </w:tc>
        <w:tc>
          <w:tcPr>
            <w:tcW w:w="858" w:type="pct"/>
            <w:gridSpan w:val="2"/>
            <w:shd w:val="clear" w:color="auto" w:fill="548DD4" w:themeFill="text2" w:themeFillTint="99"/>
            <w:noWrap/>
            <w:vAlign w:val="center"/>
          </w:tcPr>
          <w:p w14:paraId="292457A8" w14:textId="4BE35AE6" w:rsidR="000E76D9" w:rsidRPr="000E76D9" w:rsidRDefault="000E76D9" w:rsidP="000E76D9">
            <w:pPr>
              <w:spacing w:before="0" w:line="240" w:lineRule="auto"/>
              <w:ind w:firstLine="0"/>
              <w:contextualSpacing w:val="0"/>
              <w:jc w:val="center"/>
              <w:rPr>
                <w:color w:val="FFFFFF" w:themeColor="background1"/>
                <w:sz w:val="16"/>
                <w:szCs w:val="16"/>
                <w:lang w:val="hy-AM" w:eastAsia="en-US"/>
              </w:rPr>
            </w:pPr>
            <w:r w:rsidRPr="000E76D9">
              <w:rPr>
                <w:color w:val="FFFFFF" w:themeColor="background1"/>
                <w:sz w:val="16"/>
                <w:szCs w:val="16"/>
                <w:lang w:val="hy-AM" w:eastAsia="en-US"/>
              </w:rPr>
              <w:t>Սեփական կապիտալ</w:t>
            </w:r>
          </w:p>
        </w:tc>
      </w:tr>
      <w:tr w:rsidR="000E76D9" w:rsidRPr="00A83C94" w14:paraId="6371D53A" w14:textId="77777777" w:rsidTr="000E76D9">
        <w:trPr>
          <w:trHeight w:val="323"/>
        </w:trPr>
        <w:tc>
          <w:tcPr>
            <w:tcW w:w="1857" w:type="pct"/>
            <w:shd w:val="clear" w:color="auto" w:fill="D9E2F3"/>
            <w:noWrap/>
            <w:vAlign w:val="center"/>
          </w:tcPr>
          <w:p w14:paraId="24E8593E"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sz w:val="16"/>
                <w:szCs w:val="16"/>
                <w:lang w:val="hy-AM" w:eastAsia="en-US"/>
              </w:rPr>
              <w:t>Անվանում</w:t>
            </w:r>
          </w:p>
        </w:tc>
        <w:tc>
          <w:tcPr>
            <w:tcW w:w="429" w:type="pct"/>
            <w:shd w:val="clear" w:color="auto" w:fill="D9E2F3"/>
            <w:noWrap/>
            <w:vAlign w:val="center"/>
          </w:tcPr>
          <w:p w14:paraId="00B45ACC"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2019</w:t>
            </w:r>
          </w:p>
        </w:tc>
        <w:tc>
          <w:tcPr>
            <w:tcW w:w="713" w:type="pct"/>
            <w:gridSpan w:val="2"/>
            <w:shd w:val="clear" w:color="auto" w:fill="D9E2F3"/>
            <w:vAlign w:val="center"/>
          </w:tcPr>
          <w:p w14:paraId="220BEB39"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2020</w:t>
            </w:r>
          </w:p>
        </w:tc>
        <w:tc>
          <w:tcPr>
            <w:tcW w:w="429" w:type="pct"/>
            <w:shd w:val="clear" w:color="auto" w:fill="D9E2F3"/>
            <w:noWrap/>
            <w:vAlign w:val="center"/>
          </w:tcPr>
          <w:p w14:paraId="3E4BBC81"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2019</w:t>
            </w:r>
          </w:p>
        </w:tc>
        <w:tc>
          <w:tcPr>
            <w:tcW w:w="714" w:type="pct"/>
            <w:gridSpan w:val="2"/>
            <w:shd w:val="clear" w:color="auto" w:fill="D9E2F3"/>
            <w:vAlign w:val="center"/>
          </w:tcPr>
          <w:p w14:paraId="7A8B7B30"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2020</w:t>
            </w:r>
          </w:p>
        </w:tc>
        <w:tc>
          <w:tcPr>
            <w:tcW w:w="357" w:type="pct"/>
            <w:shd w:val="clear" w:color="auto" w:fill="D9E2F3"/>
            <w:noWrap/>
            <w:vAlign w:val="center"/>
          </w:tcPr>
          <w:p w14:paraId="5401CC2F"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2019</w:t>
            </w:r>
          </w:p>
        </w:tc>
        <w:tc>
          <w:tcPr>
            <w:tcW w:w="501" w:type="pct"/>
            <w:shd w:val="clear" w:color="auto" w:fill="D9E2F3"/>
            <w:noWrap/>
            <w:vAlign w:val="center"/>
          </w:tcPr>
          <w:p w14:paraId="640308B4"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2020</w:t>
            </w:r>
          </w:p>
        </w:tc>
      </w:tr>
      <w:tr w:rsidR="000E76D9" w:rsidRPr="00A83C94" w14:paraId="15A3BC2B" w14:textId="77777777" w:rsidTr="000E76D9">
        <w:trPr>
          <w:trHeight w:val="300"/>
        </w:trPr>
        <w:tc>
          <w:tcPr>
            <w:tcW w:w="1857" w:type="pct"/>
            <w:noWrap/>
            <w:vAlign w:val="bottom"/>
          </w:tcPr>
          <w:p w14:paraId="210E0B3B"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«Երևանի ջերմաէլեկտրակենտրոն» ՓԲԸ</w:t>
            </w:r>
          </w:p>
        </w:tc>
        <w:tc>
          <w:tcPr>
            <w:tcW w:w="429" w:type="pct"/>
            <w:noWrap/>
            <w:vAlign w:val="bottom"/>
          </w:tcPr>
          <w:p w14:paraId="32D1A54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145,619</w:t>
            </w:r>
          </w:p>
        </w:tc>
        <w:tc>
          <w:tcPr>
            <w:tcW w:w="428" w:type="pct"/>
            <w:noWrap/>
            <w:vAlign w:val="bottom"/>
          </w:tcPr>
          <w:p w14:paraId="2FBDB21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154,154</w:t>
            </w:r>
          </w:p>
        </w:tc>
        <w:tc>
          <w:tcPr>
            <w:tcW w:w="285" w:type="pct"/>
            <w:noWrap/>
            <w:vAlign w:val="bottom"/>
          </w:tcPr>
          <w:p w14:paraId="1B66D3E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30%</w:t>
            </w:r>
          </w:p>
        </w:tc>
        <w:tc>
          <w:tcPr>
            <w:tcW w:w="429" w:type="pct"/>
            <w:noWrap/>
            <w:vAlign w:val="bottom"/>
          </w:tcPr>
          <w:p w14:paraId="52DC4F2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148,776</w:t>
            </w:r>
          </w:p>
        </w:tc>
        <w:tc>
          <w:tcPr>
            <w:tcW w:w="429" w:type="pct"/>
            <w:noWrap/>
            <w:vAlign w:val="bottom"/>
          </w:tcPr>
          <w:p w14:paraId="68D5B69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143,878</w:t>
            </w:r>
          </w:p>
        </w:tc>
        <w:tc>
          <w:tcPr>
            <w:tcW w:w="285" w:type="pct"/>
            <w:noWrap/>
            <w:vAlign w:val="bottom"/>
          </w:tcPr>
          <w:p w14:paraId="69CB228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19%</w:t>
            </w:r>
          </w:p>
        </w:tc>
        <w:tc>
          <w:tcPr>
            <w:tcW w:w="357" w:type="pct"/>
            <w:noWrap/>
            <w:vAlign w:val="bottom"/>
          </w:tcPr>
          <w:p w14:paraId="30F9C86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3,157</w:t>
            </w:r>
          </w:p>
        </w:tc>
        <w:tc>
          <w:tcPr>
            <w:tcW w:w="501" w:type="pct"/>
            <w:noWrap/>
            <w:vAlign w:val="bottom"/>
          </w:tcPr>
          <w:p w14:paraId="7988F17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(10,276)</w:t>
            </w:r>
          </w:p>
        </w:tc>
      </w:tr>
      <w:tr w:rsidR="000E76D9" w:rsidRPr="00A83C94" w14:paraId="0E400219" w14:textId="77777777" w:rsidTr="000E76D9">
        <w:trPr>
          <w:trHeight w:val="300"/>
        </w:trPr>
        <w:tc>
          <w:tcPr>
            <w:tcW w:w="1857" w:type="pct"/>
            <w:shd w:val="clear" w:color="auto" w:fill="D9E2F3"/>
            <w:noWrap/>
            <w:vAlign w:val="bottom"/>
          </w:tcPr>
          <w:p w14:paraId="45768CF8"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«Հայկական ատոմային էլեկտրակայան ՓԲԸ</w:t>
            </w:r>
          </w:p>
        </w:tc>
        <w:tc>
          <w:tcPr>
            <w:tcW w:w="429" w:type="pct"/>
            <w:shd w:val="clear" w:color="auto" w:fill="D9E2F3"/>
            <w:noWrap/>
            <w:vAlign w:val="bottom"/>
          </w:tcPr>
          <w:p w14:paraId="700AEDA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129,767</w:t>
            </w:r>
          </w:p>
        </w:tc>
        <w:tc>
          <w:tcPr>
            <w:tcW w:w="428" w:type="pct"/>
            <w:shd w:val="clear" w:color="auto" w:fill="D9E2F3"/>
            <w:noWrap/>
            <w:vAlign w:val="bottom"/>
          </w:tcPr>
          <w:p w14:paraId="6E4BADD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138,842</w:t>
            </w:r>
          </w:p>
        </w:tc>
        <w:tc>
          <w:tcPr>
            <w:tcW w:w="285" w:type="pct"/>
            <w:shd w:val="clear" w:color="auto" w:fill="D9E2F3"/>
            <w:noWrap/>
            <w:vAlign w:val="bottom"/>
          </w:tcPr>
          <w:p w14:paraId="6858849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27%</w:t>
            </w:r>
          </w:p>
        </w:tc>
        <w:tc>
          <w:tcPr>
            <w:tcW w:w="429" w:type="pct"/>
            <w:shd w:val="clear" w:color="auto" w:fill="D9E2F3"/>
            <w:noWrap/>
            <w:vAlign w:val="bottom"/>
          </w:tcPr>
          <w:p w14:paraId="26E3885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177,642</w:t>
            </w:r>
          </w:p>
        </w:tc>
        <w:tc>
          <w:tcPr>
            <w:tcW w:w="429" w:type="pct"/>
            <w:shd w:val="clear" w:color="auto" w:fill="D9E2F3"/>
            <w:noWrap/>
            <w:vAlign w:val="bottom"/>
          </w:tcPr>
          <w:p w14:paraId="01F1881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173,541</w:t>
            </w:r>
          </w:p>
        </w:tc>
        <w:tc>
          <w:tcPr>
            <w:tcW w:w="285" w:type="pct"/>
            <w:shd w:val="clear" w:color="auto" w:fill="D9E2F3"/>
            <w:noWrap/>
            <w:vAlign w:val="bottom"/>
          </w:tcPr>
          <w:p w14:paraId="29FF573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22%</w:t>
            </w:r>
          </w:p>
        </w:tc>
        <w:tc>
          <w:tcPr>
            <w:tcW w:w="357" w:type="pct"/>
            <w:shd w:val="clear" w:color="auto" w:fill="D9E2F3"/>
            <w:noWrap/>
            <w:vAlign w:val="bottom"/>
          </w:tcPr>
          <w:p w14:paraId="43C29A6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47,875</w:t>
            </w:r>
          </w:p>
        </w:tc>
        <w:tc>
          <w:tcPr>
            <w:tcW w:w="501" w:type="pct"/>
            <w:shd w:val="clear" w:color="auto" w:fill="D9E2F3"/>
            <w:noWrap/>
            <w:vAlign w:val="bottom"/>
          </w:tcPr>
          <w:p w14:paraId="1BAB1B3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34,698</w:t>
            </w:r>
          </w:p>
        </w:tc>
      </w:tr>
      <w:tr w:rsidR="000E76D9" w:rsidRPr="00A83C94" w14:paraId="44A4F235" w14:textId="77777777" w:rsidTr="000E76D9">
        <w:trPr>
          <w:trHeight w:val="300"/>
        </w:trPr>
        <w:tc>
          <w:tcPr>
            <w:tcW w:w="1857" w:type="pct"/>
            <w:noWrap/>
            <w:vAlign w:val="bottom"/>
          </w:tcPr>
          <w:p w14:paraId="489D28E3"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«Բարձրավոլտ էլեկտրական ցանցեր ՓԲԸ</w:t>
            </w:r>
          </w:p>
        </w:tc>
        <w:tc>
          <w:tcPr>
            <w:tcW w:w="429" w:type="pct"/>
            <w:noWrap/>
            <w:vAlign w:val="bottom"/>
          </w:tcPr>
          <w:p w14:paraId="503661F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93,894</w:t>
            </w:r>
          </w:p>
        </w:tc>
        <w:tc>
          <w:tcPr>
            <w:tcW w:w="428" w:type="pct"/>
            <w:noWrap/>
            <w:vAlign w:val="bottom"/>
          </w:tcPr>
          <w:p w14:paraId="5158D78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116,006</w:t>
            </w:r>
          </w:p>
        </w:tc>
        <w:tc>
          <w:tcPr>
            <w:tcW w:w="285" w:type="pct"/>
            <w:noWrap/>
            <w:vAlign w:val="bottom"/>
          </w:tcPr>
          <w:p w14:paraId="5850787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22%</w:t>
            </w:r>
          </w:p>
        </w:tc>
        <w:tc>
          <w:tcPr>
            <w:tcW w:w="429" w:type="pct"/>
            <w:noWrap/>
            <w:vAlign w:val="bottom"/>
          </w:tcPr>
          <w:p w14:paraId="2229FF5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119,756</w:t>
            </w:r>
          </w:p>
        </w:tc>
        <w:tc>
          <w:tcPr>
            <w:tcW w:w="429" w:type="pct"/>
            <w:noWrap/>
            <w:vAlign w:val="bottom"/>
          </w:tcPr>
          <w:p w14:paraId="40366AF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131,268</w:t>
            </w:r>
          </w:p>
        </w:tc>
        <w:tc>
          <w:tcPr>
            <w:tcW w:w="285" w:type="pct"/>
            <w:noWrap/>
            <w:vAlign w:val="bottom"/>
          </w:tcPr>
          <w:p w14:paraId="02B2CAA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w:t>
            </w:r>
          </w:p>
        </w:tc>
        <w:tc>
          <w:tcPr>
            <w:tcW w:w="357" w:type="pct"/>
            <w:noWrap/>
            <w:vAlign w:val="bottom"/>
          </w:tcPr>
          <w:p w14:paraId="2014DCE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25,862</w:t>
            </w:r>
          </w:p>
        </w:tc>
        <w:tc>
          <w:tcPr>
            <w:tcW w:w="501" w:type="pct"/>
            <w:noWrap/>
            <w:vAlign w:val="bottom"/>
          </w:tcPr>
          <w:p w14:paraId="5B6B764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15,262</w:t>
            </w:r>
          </w:p>
        </w:tc>
      </w:tr>
      <w:tr w:rsidR="000E76D9" w:rsidRPr="00A83C94" w14:paraId="2BB0E088" w14:textId="77777777" w:rsidTr="000E76D9">
        <w:trPr>
          <w:trHeight w:val="300"/>
        </w:trPr>
        <w:tc>
          <w:tcPr>
            <w:tcW w:w="1857" w:type="pct"/>
            <w:shd w:val="clear" w:color="auto" w:fill="D9E2F3"/>
            <w:noWrap/>
            <w:vAlign w:val="bottom"/>
          </w:tcPr>
          <w:p w14:paraId="06ECBD7D"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Կարեն</w:t>
            </w:r>
            <w:r w:rsidRPr="00A83C94">
              <w:rPr>
                <w:bCs/>
                <w:color w:val="000000"/>
                <w:sz w:val="16"/>
                <w:szCs w:val="16"/>
                <w:lang w:eastAsia="en-US"/>
              </w:rPr>
              <w:t xml:space="preserve"> </w:t>
            </w:r>
            <w:r w:rsidRPr="00A83C94">
              <w:rPr>
                <w:bCs/>
                <w:color w:val="000000"/>
                <w:sz w:val="16"/>
                <w:szCs w:val="16"/>
                <w:lang w:val="en-US" w:eastAsia="en-US"/>
              </w:rPr>
              <w:t>Դեմիրճյանի</w:t>
            </w:r>
            <w:r w:rsidRPr="00A83C94">
              <w:rPr>
                <w:bCs/>
                <w:color w:val="000000"/>
                <w:sz w:val="16"/>
                <w:szCs w:val="16"/>
                <w:lang w:eastAsia="en-US"/>
              </w:rPr>
              <w:t xml:space="preserve"> </w:t>
            </w:r>
            <w:r w:rsidRPr="00A83C94">
              <w:rPr>
                <w:bCs/>
                <w:color w:val="000000"/>
                <w:sz w:val="16"/>
                <w:szCs w:val="16"/>
                <w:lang w:val="en-US" w:eastAsia="en-US"/>
              </w:rPr>
              <w:t>անվան</w:t>
            </w:r>
            <w:r w:rsidRPr="00A83C94">
              <w:rPr>
                <w:bCs/>
                <w:color w:val="000000"/>
                <w:sz w:val="16"/>
                <w:szCs w:val="16"/>
                <w:lang w:eastAsia="en-US"/>
              </w:rPr>
              <w:t xml:space="preserve"> </w:t>
            </w:r>
            <w:r w:rsidRPr="00A83C94">
              <w:rPr>
                <w:bCs/>
                <w:color w:val="000000"/>
                <w:sz w:val="16"/>
                <w:szCs w:val="16"/>
                <w:lang w:val="en-US" w:eastAsia="en-US"/>
              </w:rPr>
              <w:t>Երևանի</w:t>
            </w:r>
            <w:r w:rsidRPr="00A83C94">
              <w:rPr>
                <w:bCs/>
                <w:color w:val="000000"/>
                <w:sz w:val="16"/>
                <w:szCs w:val="16"/>
                <w:lang w:eastAsia="en-US"/>
              </w:rPr>
              <w:t xml:space="preserve"> </w:t>
            </w:r>
            <w:r w:rsidRPr="00A83C94">
              <w:rPr>
                <w:bCs/>
                <w:color w:val="000000"/>
                <w:sz w:val="16"/>
                <w:szCs w:val="16"/>
                <w:lang w:val="en-US" w:eastAsia="en-US"/>
              </w:rPr>
              <w:t>մետրոպոլիտեն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shd w:val="clear" w:color="auto" w:fill="D9E2F3"/>
            <w:noWrap/>
            <w:vAlign w:val="bottom"/>
          </w:tcPr>
          <w:p w14:paraId="432E1CE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10,125</w:t>
            </w:r>
          </w:p>
        </w:tc>
        <w:tc>
          <w:tcPr>
            <w:tcW w:w="428" w:type="pct"/>
            <w:shd w:val="clear" w:color="auto" w:fill="D9E2F3"/>
            <w:noWrap/>
            <w:vAlign w:val="bottom"/>
          </w:tcPr>
          <w:p w14:paraId="5B17C87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10,178</w:t>
            </w:r>
          </w:p>
        </w:tc>
        <w:tc>
          <w:tcPr>
            <w:tcW w:w="285" w:type="pct"/>
            <w:shd w:val="clear" w:color="auto" w:fill="D9E2F3"/>
            <w:noWrap/>
            <w:vAlign w:val="bottom"/>
          </w:tcPr>
          <w:p w14:paraId="3A729BC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shd w:val="clear" w:color="auto" w:fill="D9E2F3"/>
            <w:noWrap/>
            <w:vAlign w:val="bottom"/>
          </w:tcPr>
          <w:p w14:paraId="59CF089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16,104</w:t>
            </w:r>
          </w:p>
        </w:tc>
        <w:tc>
          <w:tcPr>
            <w:tcW w:w="429" w:type="pct"/>
            <w:shd w:val="clear" w:color="auto" w:fill="D9E2F3"/>
            <w:noWrap/>
            <w:vAlign w:val="bottom"/>
          </w:tcPr>
          <w:p w14:paraId="768A81B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14,936</w:t>
            </w:r>
          </w:p>
        </w:tc>
        <w:tc>
          <w:tcPr>
            <w:tcW w:w="285" w:type="pct"/>
            <w:shd w:val="clear" w:color="auto" w:fill="D9E2F3"/>
            <w:noWrap/>
            <w:vAlign w:val="bottom"/>
          </w:tcPr>
          <w:p w14:paraId="3AA048E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shd w:val="clear" w:color="auto" w:fill="D9E2F3"/>
            <w:noWrap/>
            <w:vAlign w:val="bottom"/>
          </w:tcPr>
          <w:p w14:paraId="321917D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5,979</w:t>
            </w:r>
          </w:p>
        </w:tc>
        <w:tc>
          <w:tcPr>
            <w:tcW w:w="501" w:type="pct"/>
            <w:shd w:val="clear" w:color="auto" w:fill="D9E2F3"/>
            <w:noWrap/>
            <w:vAlign w:val="bottom"/>
          </w:tcPr>
          <w:p w14:paraId="07B451C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4,759</w:t>
            </w:r>
          </w:p>
        </w:tc>
      </w:tr>
      <w:tr w:rsidR="000E76D9" w:rsidRPr="00A83C94" w14:paraId="297F1441" w14:textId="77777777" w:rsidTr="000E76D9">
        <w:trPr>
          <w:trHeight w:val="300"/>
        </w:trPr>
        <w:tc>
          <w:tcPr>
            <w:tcW w:w="1857" w:type="pct"/>
            <w:noWrap/>
            <w:vAlign w:val="bottom"/>
          </w:tcPr>
          <w:p w14:paraId="3BA29A9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«Էլեկտրաէներգետիկական համակարգի օպերատոր» ՓԲԸ</w:t>
            </w:r>
          </w:p>
        </w:tc>
        <w:tc>
          <w:tcPr>
            <w:tcW w:w="429" w:type="pct"/>
            <w:noWrap/>
            <w:vAlign w:val="bottom"/>
          </w:tcPr>
          <w:p w14:paraId="6810B2B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9,107</w:t>
            </w:r>
          </w:p>
        </w:tc>
        <w:tc>
          <w:tcPr>
            <w:tcW w:w="428" w:type="pct"/>
            <w:noWrap/>
            <w:vAlign w:val="bottom"/>
          </w:tcPr>
          <w:p w14:paraId="63A53B5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10,346</w:t>
            </w:r>
          </w:p>
        </w:tc>
        <w:tc>
          <w:tcPr>
            <w:tcW w:w="285" w:type="pct"/>
            <w:noWrap/>
            <w:vAlign w:val="bottom"/>
          </w:tcPr>
          <w:p w14:paraId="54E1AA0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noWrap/>
            <w:vAlign w:val="bottom"/>
          </w:tcPr>
          <w:p w14:paraId="7043D3C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13,809</w:t>
            </w:r>
          </w:p>
        </w:tc>
        <w:tc>
          <w:tcPr>
            <w:tcW w:w="429" w:type="pct"/>
            <w:noWrap/>
            <w:vAlign w:val="bottom"/>
          </w:tcPr>
          <w:p w14:paraId="7521982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14,190</w:t>
            </w:r>
          </w:p>
        </w:tc>
        <w:tc>
          <w:tcPr>
            <w:tcW w:w="285" w:type="pct"/>
            <w:noWrap/>
            <w:vAlign w:val="bottom"/>
          </w:tcPr>
          <w:p w14:paraId="24D7A01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noWrap/>
            <w:vAlign w:val="bottom"/>
          </w:tcPr>
          <w:p w14:paraId="7F25263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4,702</w:t>
            </w:r>
          </w:p>
        </w:tc>
        <w:tc>
          <w:tcPr>
            <w:tcW w:w="501" w:type="pct"/>
            <w:noWrap/>
            <w:vAlign w:val="bottom"/>
          </w:tcPr>
          <w:p w14:paraId="4F37C4A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3,844</w:t>
            </w:r>
          </w:p>
        </w:tc>
      </w:tr>
      <w:tr w:rsidR="000E76D9" w:rsidRPr="00A83C94" w14:paraId="6C1BB7E3" w14:textId="77777777" w:rsidTr="000E76D9">
        <w:trPr>
          <w:trHeight w:val="300"/>
        </w:trPr>
        <w:tc>
          <w:tcPr>
            <w:tcW w:w="1857" w:type="pct"/>
            <w:shd w:val="clear" w:color="auto" w:fill="D9E2F3"/>
            <w:noWrap/>
            <w:vAlign w:val="bottom"/>
          </w:tcPr>
          <w:p w14:paraId="0B38CB3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Հայփոստ» ՓԲԸ</w:t>
            </w:r>
          </w:p>
        </w:tc>
        <w:tc>
          <w:tcPr>
            <w:tcW w:w="429" w:type="pct"/>
            <w:shd w:val="clear" w:color="auto" w:fill="D9E2F3"/>
            <w:noWrap/>
            <w:vAlign w:val="bottom"/>
          </w:tcPr>
          <w:p w14:paraId="1CD7FEE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10,427</w:t>
            </w:r>
          </w:p>
        </w:tc>
        <w:tc>
          <w:tcPr>
            <w:tcW w:w="428" w:type="pct"/>
            <w:shd w:val="clear" w:color="auto" w:fill="D9E2F3"/>
            <w:noWrap/>
            <w:vAlign w:val="bottom"/>
          </w:tcPr>
          <w:p w14:paraId="2559BCA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11,248</w:t>
            </w:r>
          </w:p>
        </w:tc>
        <w:tc>
          <w:tcPr>
            <w:tcW w:w="285" w:type="pct"/>
            <w:shd w:val="clear" w:color="auto" w:fill="D9E2F3"/>
            <w:noWrap/>
            <w:vAlign w:val="bottom"/>
          </w:tcPr>
          <w:p w14:paraId="7EA828D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shd w:val="clear" w:color="auto" w:fill="D9E2F3"/>
            <w:noWrap/>
            <w:vAlign w:val="bottom"/>
          </w:tcPr>
          <w:p w14:paraId="1434955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24,342</w:t>
            </w:r>
          </w:p>
        </w:tc>
        <w:tc>
          <w:tcPr>
            <w:tcW w:w="429" w:type="pct"/>
            <w:shd w:val="clear" w:color="auto" w:fill="D9E2F3"/>
            <w:noWrap/>
            <w:vAlign w:val="bottom"/>
          </w:tcPr>
          <w:p w14:paraId="405198D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24,621</w:t>
            </w:r>
          </w:p>
        </w:tc>
        <w:tc>
          <w:tcPr>
            <w:tcW w:w="285" w:type="pct"/>
            <w:shd w:val="clear" w:color="auto" w:fill="D9E2F3"/>
            <w:noWrap/>
            <w:vAlign w:val="bottom"/>
          </w:tcPr>
          <w:p w14:paraId="156194C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w:t>
            </w:r>
          </w:p>
        </w:tc>
        <w:tc>
          <w:tcPr>
            <w:tcW w:w="357" w:type="pct"/>
            <w:shd w:val="clear" w:color="auto" w:fill="D9E2F3"/>
            <w:noWrap/>
            <w:vAlign w:val="bottom"/>
          </w:tcPr>
          <w:p w14:paraId="5B96396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13,915</w:t>
            </w:r>
          </w:p>
        </w:tc>
        <w:tc>
          <w:tcPr>
            <w:tcW w:w="501" w:type="pct"/>
            <w:shd w:val="clear" w:color="auto" w:fill="D9E2F3"/>
            <w:noWrap/>
            <w:vAlign w:val="bottom"/>
          </w:tcPr>
          <w:p w14:paraId="2D247EA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13,373</w:t>
            </w:r>
          </w:p>
        </w:tc>
      </w:tr>
      <w:tr w:rsidR="000E76D9" w:rsidRPr="00A83C94" w14:paraId="28A2473F" w14:textId="77777777" w:rsidTr="000E76D9">
        <w:trPr>
          <w:trHeight w:val="300"/>
        </w:trPr>
        <w:tc>
          <w:tcPr>
            <w:tcW w:w="1857" w:type="pct"/>
            <w:noWrap/>
            <w:vAlign w:val="bottom"/>
          </w:tcPr>
          <w:p w14:paraId="7E6A7CE4"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Ծաղկաձորի գլխավոր մարզահամալիր ՓԲԸ</w:t>
            </w:r>
          </w:p>
        </w:tc>
        <w:tc>
          <w:tcPr>
            <w:tcW w:w="429" w:type="pct"/>
            <w:noWrap/>
            <w:vAlign w:val="bottom"/>
          </w:tcPr>
          <w:p w14:paraId="564639B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8,607</w:t>
            </w:r>
          </w:p>
        </w:tc>
        <w:tc>
          <w:tcPr>
            <w:tcW w:w="428" w:type="pct"/>
            <w:noWrap/>
            <w:vAlign w:val="bottom"/>
          </w:tcPr>
          <w:p w14:paraId="5F217AF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w:t>
            </w:r>
          </w:p>
        </w:tc>
        <w:tc>
          <w:tcPr>
            <w:tcW w:w="285" w:type="pct"/>
            <w:noWrap/>
            <w:vAlign w:val="bottom"/>
          </w:tcPr>
          <w:p w14:paraId="22786E1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01243FF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8,646</w:t>
            </w:r>
          </w:p>
        </w:tc>
        <w:tc>
          <w:tcPr>
            <w:tcW w:w="429" w:type="pct"/>
            <w:noWrap/>
            <w:vAlign w:val="bottom"/>
          </w:tcPr>
          <w:p w14:paraId="66B60DB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w:t>
            </w:r>
          </w:p>
        </w:tc>
        <w:tc>
          <w:tcPr>
            <w:tcW w:w="285" w:type="pct"/>
            <w:noWrap/>
            <w:vAlign w:val="bottom"/>
          </w:tcPr>
          <w:p w14:paraId="7139076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33DE3BF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39</w:t>
            </w:r>
          </w:p>
        </w:tc>
        <w:tc>
          <w:tcPr>
            <w:tcW w:w="501" w:type="pct"/>
            <w:noWrap/>
            <w:vAlign w:val="bottom"/>
          </w:tcPr>
          <w:p w14:paraId="6FAF06B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w:t>
            </w:r>
          </w:p>
        </w:tc>
      </w:tr>
      <w:tr w:rsidR="000E76D9" w:rsidRPr="00A83C94" w14:paraId="60CD91E9" w14:textId="77777777" w:rsidTr="000E76D9">
        <w:trPr>
          <w:trHeight w:val="300"/>
        </w:trPr>
        <w:tc>
          <w:tcPr>
            <w:tcW w:w="1857" w:type="pct"/>
            <w:shd w:val="clear" w:color="auto" w:fill="D9E2F3"/>
            <w:noWrap/>
            <w:vAlign w:val="bottom"/>
          </w:tcPr>
          <w:p w14:paraId="7493F38E"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Հայսատանի հանրային հեռուստաընկերություն» ՓԲԸ</w:t>
            </w:r>
          </w:p>
        </w:tc>
        <w:tc>
          <w:tcPr>
            <w:tcW w:w="429" w:type="pct"/>
            <w:shd w:val="clear" w:color="auto" w:fill="D9E2F3"/>
            <w:noWrap/>
            <w:vAlign w:val="bottom"/>
          </w:tcPr>
          <w:p w14:paraId="6AF38D3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5,680</w:t>
            </w:r>
          </w:p>
        </w:tc>
        <w:tc>
          <w:tcPr>
            <w:tcW w:w="428" w:type="pct"/>
            <w:shd w:val="clear" w:color="auto" w:fill="D9E2F3"/>
            <w:noWrap/>
            <w:vAlign w:val="bottom"/>
          </w:tcPr>
          <w:p w14:paraId="1C7D4FE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4,198</w:t>
            </w:r>
          </w:p>
        </w:tc>
        <w:tc>
          <w:tcPr>
            <w:tcW w:w="285" w:type="pct"/>
            <w:shd w:val="clear" w:color="auto" w:fill="D9E2F3"/>
            <w:noWrap/>
            <w:vAlign w:val="bottom"/>
          </w:tcPr>
          <w:p w14:paraId="0E6FDB9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shd w:val="clear" w:color="auto" w:fill="D9E2F3"/>
            <w:noWrap/>
            <w:vAlign w:val="bottom"/>
          </w:tcPr>
          <w:p w14:paraId="7447F4F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8,840</w:t>
            </w:r>
          </w:p>
        </w:tc>
        <w:tc>
          <w:tcPr>
            <w:tcW w:w="429" w:type="pct"/>
            <w:shd w:val="clear" w:color="auto" w:fill="D9E2F3"/>
            <w:noWrap/>
            <w:vAlign w:val="bottom"/>
          </w:tcPr>
          <w:p w14:paraId="078C872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7,810</w:t>
            </w:r>
          </w:p>
        </w:tc>
        <w:tc>
          <w:tcPr>
            <w:tcW w:w="285" w:type="pct"/>
            <w:shd w:val="clear" w:color="auto" w:fill="D9E2F3"/>
            <w:noWrap/>
            <w:vAlign w:val="bottom"/>
          </w:tcPr>
          <w:p w14:paraId="3529FFF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shd w:val="clear" w:color="auto" w:fill="D9E2F3"/>
            <w:noWrap/>
            <w:vAlign w:val="bottom"/>
          </w:tcPr>
          <w:p w14:paraId="274E93C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3,160</w:t>
            </w:r>
          </w:p>
        </w:tc>
        <w:tc>
          <w:tcPr>
            <w:tcW w:w="501" w:type="pct"/>
            <w:shd w:val="clear" w:color="auto" w:fill="D9E2F3"/>
            <w:noWrap/>
            <w:vAlign w:val="bottom"/>
          </w:tcPr>
          <w:p w14:paraId="0C8837B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3,612</w:t>
            </w:r>
          </w:p>
        </w:tc>
      </w:tr>
      <w:tr w:rsidR="000E76D9" w:rsidRPr="00A83C94" w14:paraId="35A669FC" w14:textId="77777777" w:rsidTr="000E76D9">
        <w:trPr>
          <w:trHeight w:val="300"/>
        </w:trPr>
        <w:tc>
          <w:tcPr>
            <w:tcW w:w="1857" w:type="pct"/>
            <w:noWrap/>
            <w:vAlign w:val="bottom"/>
          </w:tcPr>
          <w:p w14:paraId="49638736"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eastAsia="en-US"/>
              </w:rPr>
              <w:t>«</w:t>
            </w:r>
            <w:r w:rsidRPr="00A83C94">
              <w:rPr>
                <w:bCs/>
                <w:color w:val="000000"/>
                <w:sz w:val="16"/>
                <w:szCs w:val="16"/>
                <w:lang w:val="en-US" w:eastAsia="en-US"/>
              </w:rPr>
              <w:t>Վ</w:t>
            </w:r>
            <w:r w:rsidRPr="00A83C94">
              <w:rPr>
                <w:bCs/>
                <w:color w:val="000000"/>
                <w:sz w:val="16"/>
                <w:szCs w:val="16"/>
                <w:lang w:eastAsia="en-US"/>
              </w:rPr>
              <w:t xml:space="preserve">. </w:t>
            </w:r>
            <w:r w:rsidRPr="00A83C94">
              <w:rPr>
                <w:bCs/>
                <w:color w:val="000000"/>
                <w:sz w:val="16"/>
                <w:szCs w:val="16"/>
                <w:lang w:val="en-US" w:eastAsia="en-US"/>
              </w:rPr>
              <w:t>Ա</w:t>
            </w:r>
            <w:r w:rsidRPr="00A83C94">
              <w:rPr>
                <w:bCs/>
                <w:color w:val="000000"/>
                <w:sz w:val="16"/>
                <w:szCs w:val="16"/>
                <w:lang w:eastAsia="en-US"/>
              </w:rPr>
              <w:t xml:space="preserve">. </w:t>
            </w:r>
            <w:r w:rsidRPr="00A83C94">
              <w:rPr>
                <w:bCs/>
                <w:color w:val="000000"/>
                <w:sz w:val="16"/>
                <w:szCs w:val="16"/>
                <w:lang w:val="en-US" w:eastAsia="en-US"/>
              </w:rPr>
              <w:t>Ֆանարջյանի</w:t>
            </w:r>
            <w:r w:rsidRPr="00A83C94">
              <w:rPr>
                <w:bCs/>
                <w:color w:val="000000"/>
                <w:sz w:val="16"/>
                <w:szCs w:val="16"/>
                <w:lang w:eastAsia="en-US"/>
              </w:rPr>
              <w:t xml:space="preserve"> </w:t>
            </w:r>
            <w:r w:rsidRPr="00A83C94">
              <w:rPr>
                <w:bCs/>
                <w:color w:val="000000"/>
                <w:sz w:val="16"/>
                <w:szCs w:val="16"/>
                <w:lang w:val="en-US" w:eastAsia="en-US"/>
              </w:rPr>
              <w:t>անվան</w:t>
            </w:r>
            <w:r w:rsidRPr="00A83C94">
              <w:rPr>
                <w:bCs/>
                <w:color w:val="000000"/>
                <w:sz w:val="16"/>
                <w:szCs w:val="16"/>
                <w:lang w:eastAsia="en-US"/>
              </w:rPr>
              <w:t xml:space="preserve"> </w:t>
            </w:r>
            <w:r w:rsidRPr="00A83C94">
              <w:rPr>
                <w:bCs/>
                <w:color w:val="000000"/>
                <w:sz w:val="16"/>
                <w:szCs w:val="16"/>
                <w:lang w:val="en-US" w:eastAsia="en-US"/>
              </w:rPr>
              <w:t>ուռուցքաբանության</w:t>
            </w:r>
            <w:r w:rsidRPr="00A83C94">
              <w:rPr>
                <w:bCs/>
                <w:color w:val="000000"/>
                <w:sz w:val="16"/>
                <w:szCs w:val="16"/>
                <w:lang w:eastAsia="en-US"/>
              </w:rPr>
              <w:t xml:space="preserve"> </w:t>
            </w:r>
            <w:r w:rsidRPr="00A83C94">
              <w:rPr>
                <w:bCs/>
                <w:color w:val="000000"/>
                <w:sz w:val="16"/>
                <w:szCs w:val="16"/>
                <w:lang w:val="en-US" w:eastAsia="en-US"/>
              </w:rPr>
              <w:t>ազգային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noWrap/>
            <w:vAlign w:val="bottom"/>
          </w:tcPr>
          <w:p w14:paraId="0A470E3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6,150</w:t>
            </w:r>
          </w:p>
        </w:tc>
        <w:tc>
          <w:tcPr>
            <w:tcW w:w="428" w:type="pct"/>
            <w:noWrap/>
            <w:vAlign w:val="bottom"/>
          </w:tcPr>
          <w:p w14:paraId="62F9278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4,064</w:t>
            </w:r>
          </w:p>
        </w:tc>
        <w:tc>
          <w:tcPr>
            <w:tcW w:w="285" w:type="pct"/>
            <w:noWrap/>
            <w:vAlign w:val="bottom"/>
          </w:tcPr>
          <w:p w14:paraId="0B6E2DD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noWrap/>
            <w:vAlign w:val="bottom"/>
          </w:tcPr>
          <w:p w14:paraId="1CE0D1F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6,150</w:t>
            </w:r>
          </w:p>
        </w:tc>
        <w:tc>
          <w:tcPr>
            <w:tcW w:w="429" w:type="pct"/>
            <w:noWrap/>
            <w:vAlign w:val="bottom"/>
          </w:tcPr>
          <w:p w14:paraId="77E2DFA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6,893</w:t>
            </w:r>
          </w:p>
        </w:tc>
        <w:tc>
          <w:tcPr>
            <w:tcW w:w="285" w:type="pct"/>
            <w:noWrap/>
            <w:vAlign w:val="bottom"/>
          </w:tcPr>
          <w:p w14:paraId="55AB8A2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noWrap/>
            <w:vAlign w:val="bottom"/>
          </w:tcPr>
          <w:p w14:paraId="30DFA45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2,969</w:t>
            </w:r>
          </w:p>
        </w:tc>
        <w:tc>
          <w:tcPr>
            <w:tcW w:w="501" w:type="pct"/>
            <w:noWrap/>
            <w:vAlign w:val="bottom"/>
          </w:tcPr>
          <w:p w14:paraId="0EB0F4A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2,829</w:t>
            </w:r>
          </w:p>
        </w:tc>
      </w:tr>
      <w:tr w:rsidR="000E76D9" w:rsidRPr="00A83C94" w14:paraId="3075A9A3" w14:textId="77777777" w:rsidTr="000E76D9">
        <w:trPr>
          <w:trHeight w:val="300"/>
        </w:trPr>
        <w:tc>
          <w:tcPr>
            <w:tcW w:w="1857" w:type="pct"/>
            <w:shd w:val="clear" w:color="auto" w:fill="D9E2F3"/>
            <w:noWrap/>
            <w:vAlign w:val="bottom"/>
          </w:tcPr>
          <w:p w14:paraId="4C3CAEAE"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Նաիրիտ-2» ՓԲԸ</w:t>
            </w:r>
          </w:p>
        </w:tc>
        <w:tc>
          <w:tcPr>
            <w:tcW w:w="429" w:type="pct"/>
            <w:shd w:val="clear" w:color="auto" w:fill="D9E2F3"/>
            <w:noWrap/>
            <w:vAlign w:val="bottom"/>
          </w:tcPr>
          <w:p w14:paraId="4F0623A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6,110</w:t>
            </w:r>
          </w:p>
        </w:tc>
        <w:tc>
          <w:tcPr>
            <w:tcW w:w="428" w:type="pct"/>
            <w:shd w:val="clear" w:color="auto" w:fill="D9E2F3"/>
            <w:noWrap/>
            <w:vAlign w:val="bottom"/>
          </w:tcPr>
          <w:p w14:paraId="39927A5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6,117</w:t>
            </w:r>
          </w:p>
        </w:tc>
        <w:tc>
          <w:tcPr>
            <w:tcW w:w="285" w:type="pct"/>
            <w:shd w:val="clear" w:color="auto" w:fill="D9E2F3"/>
            <w:noWrap/>
            <w:vAlign w:val="bottom"/>
          </w:tcPr>
          <w:p w14:paraId="436CFA3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shd w:val="clear" w:color="auto" w:fill="D9E2F3"/>
            <w:noWrap/>
            <w:vAlign w:val="bottom"/>
          </w:tcPr>
          <w:p w14:paraId="46C7947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15,284</w:t>
            </w:r>
          </w:p>
        </w:tc>
        <w:tc>
          <w:tcPr>
            <w:tcW w:w="429" w:type="pct"/>
            <w:shd w:val="clear" w:color="auto" w:fill="D9E2F3"/>
            <w:noWrap/>
            <w:vAlign w:val="bottom"/>
          </w:tcPr>
          <w:p w14:paraId="7197E24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14,609</w:t>
            </w:r>
          </w:p>
        </w:tc>
        <w:tc>
          <w:tcPr>
            <w:tcW w:w="285" w:type="pct"/>
            <w:shd w:val="clear" w:color="auto" w:fill="D9E2F3"/>
            <w:noWrap/>
            <w:vAlign w:val="bottom"/>
          </w:tcPr>
          <w:p w14:paraId="6AD00B4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shd w:val="clear" w:color="auto" w:fill="D9E2F3"/>
            <w:noWrap/>
            <w:vAlign w:val="bottom"/>
          </w:tcPr>
          <w:p w14:paraId="4A4E05E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9,174</w:t>
            </w:r>
          </w:p>
        </w:tc>
        <w:tc>
          <w:tcPr>
            <w:tcW w:w="501" w:type="pct"/>
            <w:shd w:val="clear" w:color="auto" w:fill="D9E2F3"/>
            <w:noWrap/>
            <w:vAlign w:val="bottom"/>
          </w:tcPr>
          <w:p w14:paraId="2E4537A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8,492</w:t>
            </w:r>
          </w:p>
        </w:tc>
      </w:tr>
      <w:tr w:rsidR="000E76D9" w:rsidRPr="00A83C94" w14:paraId="27FBF135" w14:textId="77777777" w:rsidTr="000E76D9">
        <w:trPr>
          <w:trHeight w:val="300"/>
        </w:trPr>
        <w:tc>
          <w:tcPr>
            <w:tcW w:w="1857" w:type="pct"/>
            <w:noWrap/>
            <w:vAlign w:val="bottom"/>
          </w:tcPr>
          <w:p w14:paraId="2CF99820"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Նորք</w:t>
            </w:r>
            <w:r w:rsidRPr="00A83C94">
              <w:rPr>
                <w:bCs/>
                <w:color w:val="000000"/>
                <w:sz w:val="16"/>
                <w:szCs w:val="16"/>
                <w:lang w:eastAsia="en-US"/>
              </w:rPr>
              <w:t xml:space="preserve"> </w:t>
            </w:r>
            <w:r w:rsidRPr="00A83C94">
              <w:rPr>
                <w:bCs/>
                <w:color w:val="000000"/>
                <w:sz w:val="16"/>
                <w:szCs w:val="16"/>
                <w:lang w:val="en-US" w:eastAsia="en-US"/>
              </w:rPr>
              <w:t>Մարաշ</w:t>
            </w:r>
            <w:r w:rsidRPr="00A83C94">
              <w:rPr>
                <w:bCs/>
                <w:color w:val="000000"/>
                <w:sz w:val="16"/>
                <w:szCs w:val="16"/>
                <w:lang w:eastAsia="en-US"/>
              </w:rPr>
              <w:t xml:space="preserve"> </w:t>
            </w:r>
            <w:r w:rsidRPr="00A83C94">
              <w:rPr>
                <w:bCs/>
                <w:color w:val="000000"/>
                <w:sz w:val="16"/>
                <w:szCs w:val="16"/>
                <w:lang w:val="en-US" w:eastAsia="en-US"/>
              </w:rPr>
              <w:t>բժշկական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noWrap/>
            <w:vAlign w:val="bottom"/>
          </w:tcPr>
          <w:p w14:paraId="7E4DC92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5,741</w:t>
            </w:r>
          </w:p>
        </w:tc>
        <w:tc>
          <w:tcPr>
            <w:tcW w:w="428" w:type="pct"/>
            <w:noWrap/>
            <w:vAlign w:val="bottom"/>
          </w:tcPr>
          <w:p w14:paraId="092AF2F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6,321</w:t>
            </w:r>
          </w:p>
        </w:tc>
        <w:tc>
          <w:tcPr>
            <w:tcW w:w="285" w:type="pct"/>
            <w:noWrap/>
            <w:vAlign w:val="bottom"/>
          </w:tcPr>
          <w:p w14:paraId="4FB7320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noWrap/>
            <w:vAlign w:val="bottom"/>
          </w:tcPr>
          <w:p w14:paraId="42067FD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5,822</w:t>
            </w:r>
          </w:p>
        </w:tc>
        <w:tc>
          <w:tcPr>
            <w:tcW w:w="429" w:type="pct"/>
            <w:noWrap/>
            <w:vAlign w:val="bottom"/>
          </w:tcPr>
          <w:p w14:paraId="0E636AB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5,542</w:t>
            </w:r>
          </w:p>
        </w:tc>
        <w:tc>
          <w:tcPr>
            <w:tcW w:w="285" w:type="pct"/>
            <w:noWrap/>
            <w:vAlign w:val="bottom"/>
          </w:tcPr>
          <w:p w14:paraId="1702DCB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noWrap/>
            <w:vAlign w:val="bottom"/>
          </w:tcPr>
          <w:p w14:paraId="63DAC66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80</w:t>
            </w:r>
          </w:p>
        </w:tc>
        <w:tc>
          <w:tcPr>
            <w:tcW w:w="501" w:type="pct"/>
            <w:noWrap/>
            <w:vAlign w:val="bottom"/>
          </w:tcPr>
          <w:p w14:paraId="5AF945E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(779)</w:t>
            </w:r>
          </w:p>
        </w:tc>
      </w:tr>
      <w:tr w:rsidR="000E76D9" w:rsidRPr="00A83C94" w14:paraId="5C6C12D7" w14:textId="77777777" w:rsidTr="000E76D9">
        <w:trPr>
          <w:trHeight w:val="300"/>
        </w:trPr>
        <w:tc>
          <w:tcPr>
            <w:tcW w:w="1857" w:type="pct"/>
            <w:shd w:val="clear" w:color="auto" w:fill="D9E2F3"/>
            <w:noWrap/>
            <w:vAlign w:val="bottom"/>
          </w:tcPr>
          <w:p w14:paraId="076157DF"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Ռադիոիզոտոպների արտադրության կենտրոն» ՓԲԸ</w:t>
            </w:r>
          </w:p>
        </w:tc>
        <w:tc>
          <w:tcPr>
            <w:tcW w:w="429" w:type="pct"/>
            <w:shd w:val="clear" w:color="auto" w:fill="D9E2F3"/>
            <w:noWrap/>
            <w:vAlign w:val="bottom"/>
          </w:tcPr>
          <w:p w14:paraId="3C74C2C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2,889</w:t>
            </w:r>
          </w:p>
        </w:tc>
        <w:tc>
          <w:tcPr>
            <w:tcW w:w="428" w:type="pct"/>
            <w:shd w:val="clear" w:color="auto" w:fill="D9E2F3"/>
            <w:noWrap/>
            <w:vAlign w:val="bottom"/>
          </w:tcPr>
          <w:p w14:paraId="6661320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4,548</w:t>
            </w:r>
          </w:p>
        </w:tc>
        <w:tc>
          <w:tcPr>
            <w:tcW w:w="285" w:type="pct"/>
            <w:shd w:val="clear" w:color="auto" w:fill="D9E2F3"/>
            <w:noWrap/>
            <w:vAlign w:val="bottom"/>
          </w:tcPr>
          <w:p w14:paraId="39C9C37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shd w:val="clear" w:color="auto" w:fill="D9E2F3"/>
            <w:noWrap/>
            <w:vAlign w:val="bottom"/>
          </w:tcPr>
          <w:p w14:paraId="0C5C5C3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2,470</w:t>
            </w:r>
          </w:p>
        </w:tc>
        <w:tc>
          <w:tcPr>
            <w:tcW w:w="429" w:type="pct"/>
            <w:shd w:val="clear" w:color="auto" w:fill="D9E2F3"/>
            <w:noWrap/>
            <w:vAlign w:val="bottom"/>
          </w:tcPr>
          <w:p w14:paraId="4E495A8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3,857</w:t>
            </w:r>
          </w:p>
        </w:tc>
        <w:tc>
          <w:tcPr>
            <w:tcW w:w="285" w:type="pct"/>
            <w:shd w:val="clear" w:color="auto" w:fill="D9E2F3"/>
            <w:noWrap/>
            <w:vAlign w:val="bottom"/>
          </w:tcPr>
          <w:p w14:paraId="6F21E22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shd w:val="clear" w:color="auto" w:fill="D9E2F3"/>
            <w:noWrap/>
            <w:vAlign w:val="bottom"/>
          </w:tcPr>
          <w:p w14:paraId="01ECC89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(419)</w:t>
            </w:r>
          </w:p>
        </w:tc>
        <w:tc>
          <w:tcPr>
            <w:tcW w:w="501" w:type="pct"/>
            <w:shd w:val="clear" w:color="auto" w:fill="D9E2F3"/>
            <w:noWrap/>
            <w:vAlign w:val="bottom"/>
          </w:tcPr>
          <w:p w14:paraId="73D8BA3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(691)</w:t>
            </w:r>
          </w:p>
        </w:tc>
      </w:tr>
      <w:tr w:rsidR="000E76D9" w:rsidRPr="00A83C94" w14:paraId="6F74772C" w14:textId="77777777" w:rsidTr="000E76D9">
        <w:trPr>
          <w:trHeight w:val="300"/>
        </w:trPr>
        <w:tc>
          <w:tcPr>
            <w:tcW w:w="1857" w:type="pct"/>
            <w:noWrap/>
            <w:vAlign w:val="bottom"/>
          </w:tcPr>
          <w:p w14:paraId="391BAAA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Արտաշատի բժշկական կենտրոն ՓԲԸ</w:t>
            </w:r>
          </w:p>
        </w:tc>
        <w:tc>
          <w:tcPr>
            <w:tcW w:w="429" w:type="pct"/>
            <w:noWrap/>
            <w:vAlign w:val="bottom"/>
          </w:tcPr>
          <w:p w14:paraId="756DCB3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2,483</w:t>
            </w:r>
          </w:p>
        </w:tc>
        <w:tc>
          <w:tcPr>
            <w:tcW w:w="428" w:type="pct"/>
            <w:noWrap/>
            <w:vAlign w:val="bottom"/>
          </w:tcPr>
          <w:p w14:paraId="101ABA7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18</w:t>
            </w:r>
          </w:p>
        </w:tc>
        <w:tc>
          <w:tcPr>
            <w:tcW w:w="285" w:type="pct"/>
            <w:noWrap/>
            <w:vAlign w:val="bottom"/>
          </w:tcPr>
          <w:p w14:paraId="6C6FBF2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1604C17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2,404</w:t>
            </w:r>
          </w:p>
        </w:tc>
        <w:tc>
          <w:tcPr>
            <w:tcW w:w="429" w:type="pct"/>
            <w:noWrap/>
            <w:vAlign w:val="bottom"/>
          </w:tcPr>
          <w:p w14:paraId="4F7EAF9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2,539</w:t>
            </w:r>
          </w:p>
        </w:tc>
        <w:tc>
          <w:tcPr>
            <w:tcW w:w="285" w:type="pct"/>
            <w:noWrap/>
            <w:vAlign w:val="bottom"/>
          </w:tcPr>
          <w:p w14:paraId="4A23515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47F4E28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2,383</w:t>
            </w:r>
          </w:p>
        </w:tc>
        <w:tc>
          <w:tcPr>
            <w:tcW w:w="501" w:type="pct"/>
            <w:noWrap/>
            <w:vAlign w:val="bottom"/>
          </w:tcPr>
          <w:p w14:paraId="18A43AE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1,988</w:t>
            </w:r>
          </w:p>
        </w:tc>
      </w:tr>
      <w:tr w:rsidR="000E76D9" w:rsidRPr="00A83C94" w14:paraId="18B7A0CA" w14:textId="77777777" w:rsidTr="000E76D9">
        <w:trPr>
          <w:trHeight w:val="300"/>
        </w:trPr>
        <w:tc>
          <w:tcPr>
            <w:tcW w:w="1857" w:type="pct"/>
            <w:shd w:val="clear" w:color="auto" w:fill="D9E2F3"/>
            <w:noWrap/>
            <w:vAlign w:val="bottom"/>
          </w:tcPr>
          <w:p w14:paraId="620CC938"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Սուրբ</w:t>
            </w:r>
            <w:r w:rsidRPr="00A83C94">
              <w:rPr>
                <w:bCs/>
                <w:color w:val="000000"/>
                <w:sz w:val="16"/>
                <w:szCs w:val="16"/>
                <w:lang w:eastAsia="en-US"/>
              </w:rPr>
              <w:t xml:space="preserve"> </w:t>
            </w:r>
            <w:r w:rsidRPr="00A83C94">
              <w:rPr>
                <w:bCs/>
                <w:color w:val="000000"/>
                <w:sz w:val="16"/>
                <w:szCs w:val="16"/>
                <w:lang w:val="en-US" w:eastAsia="en-US"/>
              </w:rPr>
              <w:t>Գրիգոր</w:t>
            </w:r>
            <w:r w:rsidRPr="00A83C94">
              <w:rPr>
                <w:bCs/>
                <w:color w:val="000000"/>
                <w:sz w:val="16"/>
                <w:szCs w:val="16"/>
                <w:lang w:eastAsia="en-US"/>
              </w:rPr>
              <w:t xml:space="preserve"> </w:t>
            </w:r>
            <w:r w:rsidRPr="00A83C94">
              <w:rPr>
                <w:bCs/>
                <w:color w:val="000000"/>
                <w:sz w:val="16"/>
                <w:szCs w:val="16"/>
                <w:lang w:val="en-US" w:eastAsia="en-US"/>
              </w:rPr>
              <w:t>Լուսավորիչ</w:t>
            </w:r>
            <w:r w:rsidRPr="00A83C94">
              <w:rPr>
                <w:bCs/>
                <w:color w:val="000000"/>
                <w:sz w:val="16"/>
                <w:szCs w:val="16"/>
                <w:lang w:eastAsia="en-US"/>
              </w:rPr>
              <w:t xml:space="preserve"> </w:t>
            </w:r>
            <w:r w:rsidRPr="00A83C94">
              <w:rPr>
                <w:bCs/>
                <w:color w:val="000000"/>
                <w:sz w:val="16"/>
                <w:szCs w:val="16"/>
                <w:lang w:val="en-US" w:eastAsia="en-US"/>
              </w:rPr>
              <w:t>բժշկական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shd w:val="clear" w:color="auto" w:fill="D9E2F3"/>
            <w:noWrap/>
            <w:vAlign w:val="bottom"/>
          </w:tcPr>
          <w:p w14:paraId="1F905B7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2,454</w:t>
            </w:r>
          </w:p>
        </w:tc>
        <w:tc>
          <w:tcPr>
            <w:tcW w:w="428" w:type="pct"/>
            <w:shd w:val="clear" w:color="auto" w:fill="D9E2F3"/>
            <w:noWrap/>
            <w:vAlign w:val="bottom"/>
          </w:tcPr>
          <w:p w14:paraId="001189D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8,265</w:t>
            </w:r>
          </w:p>
        </w:tc>
        <w:tc>
          <w:tcPr>
            <w:tcW w:w="285" w:type="pct"/>
            <w:shd w:val="clear" w:color="auto" w:fill="D9E2F3"/>
            <w:noWrap/>
            <w:vAlign w:val="bottom"/>
          </w:tcPr>
          <w:p w14:paraId="3BE2045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shd w:val="clear" w:color="auto" w:fill="D9E2F3"/>
            <w:noWrap/>
            <w:vAlign w:val="bottom"/>
          </w:tcPr>
          <w:p w14:paraId="68CDC53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11,617</w:t>
            </w:r>
          </w:p>
        </w:tc>
        <w:tc>
          <w:tcPr>
            <w:tcW w:w="429" w:type="pct"/>
            <w:shd w:val="clear" w:color="auto" w:fill="D9E2F3"/>
            <w:noWrap/>
            <w:vAlign w:val="bottom"/>
          </w:tcPr>
          <w:p w14:paraId="3913B24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17,378</w:t>
            </w:r>
          </w:p>
        </w:tc>
        <w:tc>
          <w:tcPr>
            <w:tcW w:w="285" w:type="pct"/>
            <w:shd w:val="clear" w:color="auto" w:fill="D9E2F3"/>
            <w:noWrap/>
            <w:vAlign w:val="bottom"/>
          </w:tcPr>
          <w:p w14:paraId="43AA81A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shd w:val="clear" w:color="auto" w:fill="D9E2F3"/>
            <w:noWrap/>
            <w:vAlign w:val="bottom"/>
          </w:tcPr>
          <w:p w14:paraId="7F3D41F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9,163</w:t>
            </w:r>
          </w:p>
        </w:tc>
        <w:tc>
          <w:tcPr>
            <w:tcW w:w="501" w:type="pct"/>
            <w:shd w:val="clear" w:color="auto" w:fill="D9E2F3"/>
            <w:noWrap/>
            <w:vAlign w:val="bottom"/>
          </w:tcPr>
          <w:p w14:paraId="6C19113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9,113</w:t>
            </w:r>
          </w:p>
        </w:tc>
      </w:tr>
      <w:tr w:rsidR="000E76D9" w:rsidRPr="00A83C94" w14:paraId="40BF47F8" w14:textId="77777777" w:rsidTr="000E76D9">
        <w:trPr>
          <w:trHeight w:val="300"/>
        </w:trPr>
        <w:tc>
          <w:tcPr>
            <w:tcW w:w="1857" w:type="pct"/>
            <w:noWrap/>
            <w:vAlign w:val="bottom"/>
          </w:tcPr>
          <w:p w14:paraId="57A0257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eastAsia="en-US"/>
              </w:rPr>
              <w:t>«</w:t>
            </w:r>
            <w:r w:rsidRPr="00A83C94">
              <w:rPr>
                <w:bCs/>
                <w:color w:val="000000"/>
                <w:sz w:val="16"/>
                <w:szCs w:val="16"/>
                <w:lang w:val="en-US" w:eastAsia="en-US"/>
              </w:rPr>
              <w:t>Պրոֆեսոր</w:t>
            </w:r>
            <w:r w:rsidRPr="00A83C94">
              <w:rPr>
                <w:bCs/>
                <w:color w:val="000000"/>
                <w:sz w:val="16"/>
                <w:szCs w:val="16"/>
                <w:lang w:eastAsia="en-US"/>
              </w:rPr>
              <w:t xml:space="preserve"> </w:t>
            </w:r>
            <w:r w:rsidRPr="00A83C94">
              <w:rPr>
                <w:bCs/>
                <w:color w:val="000000"/>
                <w:sz w:val="16"/>
                <w:szCs w:val="16"/>
                <w:lang w:val="en-US" w:eastAsia="en-US"/>
              </w:rPr>
              <w:t>Ռ</w:t>
            </w:r>
            <w:r w:rsidRPr="00A83C94">
              <w:rPr>
                <w:bCs/>
                <w:color w:val="000000"/>
                <w:sz w:val="16"/>
                <w:szCs w:val="16"/>
                <w:lang w:eastAsia="en-US"/>
              </w:rPr>
              <w:t xml:space="preserve">. </w:t>
            </w:r>
            <w:r w:rsidRPr="00A83C94">
              <w:rPr>
                <w:bCs/>
                <w:color w:val="000000"/>
                <w:sz w:val="16"/>
                <w:szCs w:val="16"/>
                <w:lang w:val="en-US" w:eastAsia="en-US"/>
              </w:rPr>
              <w:t>Օ</w:t>
            </w:r>
            <w:r w:rsidRPr="00A83C94">
              <w:rPr>
                <w:bCs/>
                <w:color w:val="000000"/>
                <w:sz w:val="16"/>
                <w:szCs w:val="16"/>
                <w:lang w:eastAsia="en-US"/>
              </w:rPr>
              <w:t xml:space="preserve">. </w:t>
            </w:r>
            <w:r w:rsidRPr="00A83C94">
              <w:rPr>
                <w:bCs/>
                <w:color w:val="000000"/>
                <w:sz w:val="16"/>
                <w:szCs w:val="16"/>
                <w:lang w:val="en-US" w:eastAsia="en-US"/>
              </w:rPr>
              <w:t>Յոլյանի</w:t>
            </w:r>
            <w:r w:rsidRPr="00A83C94">
              <w:rPr>
                <w:bCs/>
                <w:color w:val="000000"/>
                <w:sz w:val="16"/>
                <w:szCs w:val="16"/>
                <w:lang w:eastAsia="en-US"/>
              </w:rPr>
              <w:t xml:space="preserve"> </w:t>
            </w:r>
            <w:r w:rsidRPr="00A83C94">
              <w:rPr>
                <w:bCs/>
                <w:color w:val="000000"/>
                <w:sz w:val="16"/>
                <w:szCs w:val="16"/>
                <w:lang w:val="en-US" w:eastAsia="en-US"/>
              </w:rPr>
              <w:t>անվան</w:t>
            </w:r>
            <w:r w:rsidRPr="00A83C94">
              <w:rPr>
                <w:bCs/>
                <w:color w:val="000000"/>
                <w:sz w:val="16"/>
                <w:szCs w:val="16"/>
                <w:lang w:eastAsia="en-US"/>
              </w:rPr>
              <w:t xml:space="preserve"> </w:t>
            </w:r>
            <w:r w:rsidRPr="00A83C94">
              <w:rPr>
                <w:bCs/>
                <w:color w:val="000000"/>
                <w:sz w:val="16"/>
                <w:szCs w:val="16"/>
                <w:lang w:val="en-US" w:eastAsia="en-US"/>
              </w:rPr>
              <w:t>արյունաբանական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noWrap/>
            <w:vAlign w:val="bottom"/>
          </w:tcPr>
          <w:p w14:paraId="35C96BD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2,126</w:t>
            </w:r>
          </w:p>
        </w:tc>
        <w:tc>
          <w:tcPr>
            <w:tcW w:w="428" w:type="pct"/>
            <w:noWrap/>
            <w:vAlign w:val="bottom"/>
          </w:tcPr>
          <w:p w14:paraId="0B3BFB3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1,927</w:t>
            </w:r>
          </w:p>
        </w:tc>
        <w:tc>
          <w:tcPr>
            <w:tcW w:w="285" w:type="pct"/>
            <w:noWrap/>
            <w:vAlign w:val="bottom"/>
          </w:tcPr>
          <w:p w14:paraId="172239F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1716744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6,446</w:t>
            </w:r>
          </w:p>
        </w:tc>
        <w:tc>
          <w:tcPr>
            <w:tcW w:w="429" w:type="pct"/>
            <w:noWrap/>
            <w:vAlign w:val="bottom"/>
          </w:tcPr>
          <w:p w14:paraId="537870F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6,158</w:t>
            </w:r>
          </w:p>
        </w:tc>
        <w:tc>
          <w:tcPr>
            <w:tcW w:w="285" w:type="pct"/>
            <w:noWrap/>
            <w:vAlign w:val="bottom"/>
          </w:tcPr>
          <w:p w14:paraId="4E924FA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noWrap/>
            <w:vAlign w:val="bottom"/>
          </w:tcPr>
          <w:p w14:paraId="5E07968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4,320</w:t>
            </w:r>
          </w:p>
        </w:tc>
        <w:tc>
          <w:tcPr>
            <w:tcW w:w="501" w:type="pct"/>
            <w:noWrap/>
            <w:vAlign w:val="bottom"/>
          </w:tcPr>
          <w:p w14:paraId="6426D4D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4,231</w:t>
            </w:r>
          </w:p>
        </w:tc>
      </w:tr>
      <w:tr w:rsidR="000E76D9" w:rsidRPr="00A83C94" w14:paraId="26E40045" w14:textId="77777777" w:rsidTr="000E76D9">
        <w:trPr>
          <w:trHeight w:val="300"/>
        </w:trPr>
        <w:tc>
          <w:tcPr>
            <w:tcW w:w="1857" w:type="pct"/>
            <w:shd w:val="clear" w:color="auto" w:fill="D9E2F3"/>
            <w:noWrap/>
            <w:vAlign w:val="bottom"/>
          </w:tcPr>
          <w:p w14:paraId="0538BA1B"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Հայավտոկայան ՓԲԸ</w:t>
            </w:r>
          </w:p>
        </w:tc>
        <w:tc>
          <w:tcPr>
            <w:tcW w:w="429" w:type="pct"/>
            <w:shd w:val="clear" w:color="auto" w:fill="D9E2F3"/>
            <w:noWrap/>
            <w:vAlign w:val="bottom"/>
          </w:tcPr>
          <w:p w14:paraId="6C485C7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1,246</w:t>
            </w:r>
          </w:p>
        </w:tc>
        <w:tc>
          <w:tcPr>
            <w:tcW w:w="428" w:type="pct"/>
            <w:shd w:val="clear" w:color="auto" w:fill="D9E2F3"/>
            <w:noWrap/>
            <w:vAlign w:val="bottom"/>
          </w:tcPr>
          <w:p w14:paraId="2F0F7BE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1,243</w:t>
            </w:r>
          </w:p>
        </w:tc>
        <w:tc>
          <w:tcPr>
            <w:tcW w:w="285" w:type="pct"/>
            <w:shd w:val="clear" w:color="auto" w:fill="D9E2F3"/>
            <w:noWrap/>
            <w:vAlign w:val="bottom"/>
          </w:tcPr>
          <w:p w14:paraId="0011E5F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shd w:val="clear" w:color="auto" w:fill="D9E2F3"/>
            <w:noWrap/>
            <w:vAlign w:val="bottom"/>
          </w:tcPr>
          <w:p w14:paraId="49B0681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1,339</w:t>
            </w:r>
          </w:p>
        </w:tc>
        <w:tc>
          <w:tcPr>
            <w:tcW w:w="429" w:type="pct"/>
            <w:shd w:val="clear" w:color="auto" w:fill="D9E2F3"/>
            <w:noWrap/>
            <w:vAlign w:val="bottom"/>
          </w:tcPr>
          <w:p w14:paraId="0F96CE2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1,366</w:t>
            </w:r>
          </w:p>
        </w:tc>
        <w:tc>
          <w:tcPr>
            <w:tcW w:w="285" w:type="pct"/>
            <w:shd w:val="clear" w:color="auto" w:fill="D9E2F3"/>
            <w:noWrap/>
            <w:vAlign w:val="bottom"/>
          </w:tcPr>
          <w:p w14:paraId="2770207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shd w:val="clear" w:color="auto" w:fill="D9E2F3"/>
            <w:noWrap/>
            <w:vAlign w:val="bottom"/>
          </w:tcPr>
          <w:p w14:paraId="139B1F3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93</w:t>
            </w:r>
          </w:p>
        </w:tc>
        <w:tc>
          <w:tcPr>
            <w:tcW w:w="501" w:type="pct"/>
            <w:shd w:val="clear" w:color="auto" w:fill="D9E2F3"/>
            <w:noWrap/>
            <w:vAlign w:val="bottom"/>
          </w:tcPr>
          <w:p w14:paraId="41098FF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123</w:t>
            </w:r>
          </w:p>
        </w:tc>
      </w:tr>
      <w:tr w:rsidR="000E76D9" w:rsidRPr="00A83C94" w14:paraId="2BCE5717" w14:textId="77777777" w:rsidTr="000E76D9">
        <w:trPr>
          <w:trHeight w:val="300"/>
        </w:trPr>
        <w:tc>
          <w:tcPr>
            <w:tcW w:w="1857" w:type="pct"/>
            <w:noWrap/>
            <w:vAlign w:val="bottom"/>
          </w:tcPr>
          <w:p w14:paraId="13EB2A3D"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Շտապբուժօգնություն» ՓԲԸ</w:t>
            </w:r>
          </w:p>
        </w:tc>
        <w:tc>
          <w:tcPr>
            <w:tcW w:w="429" w:type="pct"/>
            <w:noWrap/>
            <w:vAlign w:val="bottom"/>
          </w:tcPr>
          <w:p w14:paraId="3FC0317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1,811</w:t>
            </w:r>
          </w:p>
        </w:tc>
        <w:tc>
          <w:tcPr>
            <w:tcW w:w="428" w:type="pct"/>
            <w:noWrap/>
            <w:vAlign w:val="bottom"/>
          </w:tcPr>
          <w:p w14:paraId="4B366AC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1,630</w:t>
            </w:r>
          </w:p>
        </w:tc>
        <w:tc>
          <w:tcPr>
            <w:tcW w:w="285" w:type="pct"/>
            <w:noWrap/>
            <w:vAlign w:val="bottom"/>
          </w:tcPr>
          <w:p w14:paraId="01AA8E1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0719B44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3,520</w:t>
            </w:r>
          </w:p>
        </w:tc>
        <w:tc>
          <w:tcPr>
            <w:tcW w:w="429" w:type="pct"/>
            <w:noWrap/>
            <w:vAlign w:val="bottom"/>
          </w:tcPr>
          <w:p w14:paraId="0025591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3,244</w:t>
            </w:r>
          </w:p>
        </w:tc>
        <w:tc>
          <w:tcPr>
            <w:tcW w:w="285" w:type="pct"/>
            <w:noWrap/>
            <w:vAlign w:val="bottom"/>
          </w:tcPr>
          <w:p w14:paraId="33D8982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1751C69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1,709</w:t>
            </w:r>
          </w:p>
        </w:tc>
        <w:tc>
          <w:tcPr>
            <w:tcW w:w="501" w:type="pct"/>
            <w:noWrap/>
            <w:vAlign w:val="bottom"/>
          </w:tcPr>
          <w:p w14:paraId="373C9FE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1,613</w:t>
            </w:r>
          </w:p>
        </w:tc>
      </w:tr>
      <w:tr w:rsidR="000E76D9" w:rsidRPr="00A83C94" w14:paraId="749166DE" w14:textId="77777777" w:rsidTr="000E76D9">
        <w:trPr>
          <w:trHeight w:val="300"/>
        </w:trPr>
        <w:tc>
          <w:tcPr>
            <w:tcW w:w="1857" w:type="pct"/>
            <w:shd w:val="clear" w:color="auto" w:fill="D9E2F3"/>
            <w:noWrap/>
            <w:vAlign w:val="bottom"/>
          </w:tcPr>
          <w:p w14:paraId="25EFCF25"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eastAsia="en-US"/>
              </w:rPr>
              <w:t>«</w:t>
            </w:r>
            <w:r w:rsidRPr="00A83C94">
              <w:rPr>
                <w:bCs/>
                <w:color w:val="000000"/>
                <w:sz w:val="16"/>
                <w:szCs w:val="16"/>
                <w:lang w:val="en-US" w:eastAsia="en-US"/>
              </w:rPr>
              <w:t>Շիրակացու</w:t>
            </w:r>
            <w:r w:rsidRPr="00A83C94">
              <w:rPr>
                <w:bCs/>
                <w:color w:val="000000"/>
                <w:sz w:val="16"/>
                <w:szCs w:val="16"/>
                <w:lang w:eastAsia="en-US"/>
              </w:rPr>
              <w:t xml:space="preserve"> </w:t>
            </w:r>
            <w:r w:rsidRPr="00A83C94">
              <w:rPr>
                <w:bCs/>
                <w:color w:val="000000"/>
                <w:sz w:val="16"/>
                <w:szCs w:val="16"/>
                <w:lang w:val="en-US" w:eastAsia="en-US"/>
              </w:rPr>
              <w:t>ճեմարան</w:t>
            </w:r>
            <w:r w:rsidRPr="00A83C94">
              <w:rPr>
                <w:bCs/>
                <w:color w:val="000000"/>
                <w:sz w:val="16"/>
                <w:szCs w:val="16"/>
                <w:lang w:eastAsia="en-US"/>
              </w:rPr>
              <w:t xml:space="preserve">» </w:t>
            </w:r>
            <w:r w:rsidRPr="00A83C94">
              <w:rPr>
                <w:bCs/>
                <w:color w:val="000000"/>
                <w:sz w:val="16"/>
                <w:szCs w:val="16"/>
                <w:lang w:val="en-US" w:eastAsia="en-US"/>
              </w:rPr>
              <w:t>միջազգային</w:t>
            </w:r>
            <w:r w:rsidRPr="00A83C94">
              <w:rPr>
                <w:bCs/>
                <w:color w:val="000000"/>
                <w:sz w:val="16"/>
                <w:szCs w:val="16"/>
                <w:lang w:eastAsia="en-US"/>
              </w:rPr>
              <w:t xml:space="preserve"> </w:t>
            </w:r>
            <w:r w:rsidRPr="00A83C94">
              <w:rPr>
                <w:bCs/>
                <w:color w:val="000000"/>
                <w:sz w:val="16"/>
                <w:szCs w:val="16"/>
                <w:lang w:val="en-US" w:eastAsia="en-US"/>
              </w:rPr>
              <w:t>գիտակրթական</w:t>
            </w:r>
            <w:r w:rsidRPr="00A83C94">
              <w:rPr>
                <w:bCs/>
                <w:color w:val="000000"/>
                <w:sz w:val="16"/>
                <w:szCs w:val="16"/>
                <w:lang w:eastAsia="en-US"/>
              </w:rPr>
              <w:t xml:space="preserve"> </w:t>
            </w:r>
            <w:r w:rsidRPr="00A83C94">
              <w:rPr>
                <w:bCs/>
                <w:color w:val="000000"/>
                <w:sz w:val="16"/>
                <w:szCs w:val="16"/>
                <w:lang w:val="en-US" w:eastAsia="en-US"/>
              </w:rPr>
              <w:t>համալիր</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shd w:val="clear" w:color="auto" w:fill="D9E2F3"/>
            <w:noWrap/>
            <w:vAlign w:val="bottom"/>
          </w:tcPr>
          <w:p w14:paraId="7BEA845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1,698</w:t>
            </w:r>
          </w:p>
        </w:tc>
        <w:tc>
          <w:tcPr>
            <w:tcW w:w="428" w:type="pct"/>
            <w:shd w:val="clear" w:color="auto" w:fill="D9E2F3"/>
            <w:noWrap/>
            <w:vAlign w:val="bottom"/>
          </w:tcPr>
          <w:p w14:paraId="6EE4363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1,555</w:t>
            </w:r>
          </w:p>
        </w:tc>
        <w:tc>
          <w:tcPr>
            <w:tcW w:w="285" w:type="pct"/>
            <w:shd w:val="clear" w:color="auto" w:fill="D9E2F3"/>
            <w:noWrap/>
            <w:vAlign w:val="bottom"/>
          </w:tcPr>
          <w:p w14:paraId="44013E7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shd w:val="clear" w:color="auto" w:fill="D9E2F3"/>
            <w:noWrap/>
            <w:vAlign w:val="bottom"/>
          </w:tcPr>
          <w:p w14:paraId="7EC71F2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2,307</w:t>
            </w:r>
          </w:p>
        </w:tc>
        <w:tc>
          <w:tcPr>
            <w:tcW w:w="429" w:type="pct"/>
            <w:shd w:val="clear" w:color="auto" w:fill="D9E2F3"/>
            <w:noWrap/>
            <w:vAlign w:val="bottom"/>
          </w:tcPr>
          <w:p w14:paraId="3802B13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2,354</w:t>
            </w:r>
          </w:p>
        </w:tc>
        <w:tc>
          <w:tcPr>
            <w:tcW w:w="285" w:type="pct"/>
            <w:shd w:val="clear" w:color="auto" w:fill="D9E2F3"/>
            <w:noWrap/>
            <w:vAlign w:val="bottom"/>
          </w:tcPr>
          <w:p w14:paraId="5A54B49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shd w:val="clear" w:color="auto" w:fill="D9E2F3"/>
            <w:noWrap/>
            <w:vAlign w:val="bottom"/>
          </w:tcPr>
          <w:p w14:paraId="7EA0CE2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609</w:t>
            </w:r>
          </w:p>
        </w:tc>
        <w:tc>
          <w:tcPr>
            <w:tcW w:w="501" w:type="pct"/>
            <w:shd w:val="clear" w:color="auto" w:fill="D9E2F3"/>
            <w:noWrap/>
            <w:vAlign w:val="bottom"/>
          </w:tcPr>
          <w:p w14:paraId="7A10E0E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799</w:t>
            </w:r>
          </w:p>
        </w:tc>
      </w:tr>
      <w:tr w:rsidR="000E76D9" w:rsidRPr="00A83C94" w14:paraId="2097DA58" w14:textId="77777777" w:rsidTr="000E76D9">
        <w:trPr>
          <w:trHeight w:val="300"/>
        </w:trPr>
        <w:tc>
          <w:tcPr>
            <w:tcW w:w="1857" w:type="pct"/>
            <w:noWrap/>
            <w:vAlign w:val="bottom"/>
          </w:tcPr>
          <w:p w14:paraId="09244837"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Փարկինգ Սիթի Սերվիս ՓԲԸ</w:t>
            </w:r>
          </w:p>
        </w:tc>
        <w:tc>
          <w:tcPr>
            <w:tcW w:w="429" w:type="pct"/>
            <w:noWrap/>
            <w:vAlign w:val="bottom"/>
          </w:tcPr>
          <w:p w14:paraId="4FF3194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1,744</w:t>
            </w:r>
          </w:p>
        </w:tc>
        <w:tc>
          <w:tcPr>
            <w:tcW w:w="428" w:type="pct"/>
            <w:noWrap/>
            <w:vAlign w:val="bottom"/>
          </w:tcPr>
          <w:p w14:paraId="3C1EAF6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1,034</w:t>
            </w:r>
          </w:p>
        </w:tc>
        <w:tc>
          <w:tcPr>
            <w:tcW w:w="285" w:type="pct"/>
            <w:noWrap/>
            <w:vAlign w:val="bottom"/>
          </w:tcPr>
          <w:p w14:paraId="003D16F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42A6827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1,020</w:t>
            </w:r>
          </w:p>
        </w:tc>
        <w:tc>
          <w:tcPr>
            <w:tcW w:w="429" w:type="pct"/>
            <w:noWrap/>
            <w:vAlign w:val="bottom"/>
          </w:tcPr>
          <w:p w14:paraId="08E87B7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933</w:t>
            </w:r>
          </w:p>
        </w:tc>
        <w:tc>
          <w:tcPr>
            <w:tcW w:w="285" w:type="pct"/>
            <w:noWrap/>
            <w:vAlign w:val="bottom"/>
          </w:tcPr>
          <w:p w14:paraId="59D5FAE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0106FB8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(723)</w:t>
            </w:r>
          </w:p>
        </w:tc>
        <w:tc>
          <w:tcPr>
            <w:tcW w:w="501" w:type="pct"/>
            <w:noWrap/>
            <w:vAlign w:val="bottom"/>
          </w:tcPr>
          <w:p w14:paraId="03EC702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(102)</w:t>
            </w:r>
          </w:p>
        </w:tc>
      </w:tr>
      <w:tr w:rsidR="000E76D9" w:rsidRPr="00A83C94" w14:paraId="7A263A03" w14:textId="77777777" w:rsidTr="000E76D9">
        <w:trPr>
          <w:trHeight w:val="300"/>
        </w:trPr>
        <w:tc>
          <w:tcPr>
            <w:tcW w:w="1857" w:type="pct"/>
            <w:shd w:val="clear" w:color="auto" w:fill="D9E2F3"/>
            <w:noWrap/>
            <w:vAlign w:val="bottom"/>
          </w:tcPr>
          <w:p w14:paraId="7CA03432" w14:textId="77777777" w:rsidR="000E76D9" w:rsidRPr="00A83C94" w:rsidRDefault="000E76D9" w:rsidP="000E76D9">
            <w:pPr>
              <w:spacing w:before="0" w:line="240" w:lineRule="auto"/>
              <w:ind w:firstLine="0"/>
              <w:contextualSpacing w:val="0"/>
              <w:jc w:val="left"/>
              <w:rPr>
                <w:sz w:val="17"/>
                <w:szCs w:val="17"/>
                <w:lang w:val="hy-AM" w:eastAsia="en-US"/>
              </w:rPr>
            </w:pPr>
            <w:r w:rsidRPr="00A83C94">
              <w:rPr>
                <w:bCs/>
                <w:sz w:val="17"/>
                <w:szCs w:val="17"/>
                <w:lang w:val="hy-AM" w:eastAsia="en-US"/>
              </w:rPr>
              <w:t>Ընդամենը</w:t>
            </w:r>
          </w:p>
        </w:tc>
        <w:tc>
          <w:tcPr>
            <w:tcW w:w="429" w:type="pct"/>
            <w:shd w:val="clear" w:color="auto" w:fill="D9E2F3"/>
            <w:noWrap/>
            <w:vAlign w:val="bottom"/>
          </w:tcPr>
          <w:p w14:paraId="28FF54F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504,076</w:t>
            </w:r>
          </w:p>
        </w:tc>
        <w:tc>
          <w:tcPr>
            <w:tcW w:w="428" w:type="pct"/>
            <w:shd w:val="clear" w:color="auto" w:fill="D9E2F3"/>
            <w:noWrap/>
            <w:vAlign w:val="bottom"/>
          </w:tcPr>
          <w:p w14:paraId="666C690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522,325</w:t>
            </w:r>
          </w:p>
        </w:tc>
        <w:tc>
          <w:tcPr>
            <w:tcW w:w="285" w:type="pct"/>
            <w:shd w:val="clear" w:color="auto" w:fill="D9E2F3"/>
            <w:noWrap/>
            <w:vAlign w:val="bottom"/>
          </w:tcPr>
          <w:p w14:paraId="6805A900" w14:textId="77777777" w:rsidR="000E76D9" w:rsidRPr="00A83C94" w:rsidRDefault="000E76D9" w:rsidP="000E76D9">
            <w:pPr>
              <w:spacing w:before="0" w:line="240" w:lineRule="auto"/>
              <w:ind w:firstLine="0"/>
              <w:contextualSpacing w:val="0"/>
              <w:jc w:val="center"/>
              <w:rPr>
                <w:sz w:val="16"/>
                <w:szCs w:val="16"/>
                <w:lang w:val="hy-AM" w:eastAsia="en-US"/>
              </w:rPr>
            </w:pPr>
          </w:p>
        </w:tc>
        <w:tc>
          <w:tcPr>
            <w:tcW w:w="429" w:type="pct"/>
            <w:shd w:val="clear" w:color="auto" w:fill="D9E2F3"/>
            <w:noWrap/>
            <w:vAlign w:val="bottom"/>
          </w:tcPr>
          <w:p w14:paraId="3C314A1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818,641</w:t>
            </w:r>
          </w:p>
        </w:tc>
        <w:tc>
          <w:tcPr>
            <w:tcW w:w="429" w:type="pct"/>
            <w:shd w:val="clear" w:color="auto" w:fill="D9E2F3"/>
            <w:noWrap/>
            <w:vAlign w:val="bottom"/>
          </w:tcPr>
          <w:p w14:paraId="49F3BC6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777,154</w:t>
            </w:r>
          </w:p>
        </w:tc>
        <w:tc>
          <w:tcPr>
            <w:tcW w:w="285" w:type="pct"/>
            <w:shd w:val="clear" w:color="auto" w:fill="D9E2F3"/>
            <w:noWrap/>
            <w:vAlign w:val="bottom"/>
          </w:tcPr>
          <w:p w14:paraId="268EAA49" w14:textId="77777777" w:rsidR="000E76D9" w:rsidRPr="00A83C94" w:rsidRDefault="000E76D9" w:rsidP="000E76D9">
            <w:pPr>
              <w:spacing w:before="0" w:line="240" w:lineRule="auto"/>
              <w:ind w:firstLine="0"/>
              <w:contextualSpacing w:val="0"/>
              <w:jc w:val="center"/>
              <w:rPr>
                <w:sz w:val="16"/>
                <w:szCs w:val="16"/>
                <w:lang w:val="hy-AM" w:eastAsia="en-US"/>
              </w:rPr>
            </w:pPr>
          </w:p>
        </w:tc>
        <w:tc>
          <w:tcPr>
            <w:tcW w:w="357" w:type="pct"/>
            <w:shd w:val="clear" w:color="auto" w:fill="D9E2F3"/>
            <w:noWrap/>
            <w:vAlign w:val="bottom"/>
          </w:tcPr>
          <w:p w14:paraId="4A276C37" w14:textId="77777777" w:rsidR="000E76D9" w:rsidRPr="00A83C94" w:rsidRDefault="000E76D9" w:rsidP="000E76D9">
            <w:pPr>
              <w:spacing w:before="0" w:line="240" w:lineRule="auto"/>
              <w:ind w:firstLine="0"/>
              <w:contextualSpacing w:val="0"/>
              <w:jc w:val="center"/>
              <w:rPr>
                <w:sz w:val="16"/>
                <w:szCs w:val="16"/>
                <w:lang w:val="hy-AM" w:eastAsia="en-US"/>
              </w:rPr>
            </w:pPr>
          </w:p>
        </w:tc>
        <w:tc>
          <w:tcPr>
            <w:tcW w:w="501" w:type="pct"/>
            <w:shd w:val="clear" w:color="auto" w:fill="D9E2F3"/>
            <w:noWrap/>
            <w:vAlign w:val="bottom"/>
          </w:tcPr>
          <w:p w14:paraId="656F4E93" w14:textId="77777777" w:rsidR="000E76D9" w:rsidRPr="00A83C94" w:rsidRDefault="000E76D9" w:rsidP="000E76D9">
            <w:pPr>
              <w:spacing w:before="0" w:line="240" w:lineRule="auto"/>
              <w:ind w:firstLine="0"/>
              <w:contextualSpacing w:val="0"/>
              <w:jc w:val="center"/>
              <w:rPr>
                <w:sz w:val="16"/>
                <w:szCs w:val="16"/>
                <w:lang w:val="hy-AM" w:eastAsia="en-US"/>
              </w:rPr>
            </w:pPr>
          </w:p>
        </w:tc>
      </w:tr>
    </w:tbl>
    <w:p w14:paraId="278C7269" w14:textId="77777777" w:rsidR="00682DEF" w:rsidRPr="00A83C94" w:rsidRDefault="00682DEF" w:rsidP="00682DEF">
      <w:pPr>
        <w:spacing w:before="0" w:after="160" w:line="259" w:lineRule="auto"/>
        <w:ind w:firstLine="0"/>
        <w:contextualSpacing w:val="0"/>
        <w:rPr>
          <w:rFonts w:ascii="Calibri" w:eastAsia="Calibri" w:hAnsi="Calibri"/>
          <w:b w:val="0"/>
          <w:szCs w:val="22"/>
          <w:lang w:val="hy-AM" w:eastAsia="en-US"/>
        </w:rPr>
      </w:pPr>
      <w:r w:rsidRPr="00A83C94">
        <w:rPr>
          <w:rFonts w:eastAsia="Calibri"/>
          <w:bCs/>
          <w:i/>
          <w:color w:val="4F81BD" w:themeColor="accent1"/>
          <w:sz w:val="20"/>
          <w:szCs w:val="20"/>
          <w:lang w:val="en-US" w:eastAsia="en-US"/>
        </w:rPr>
        <w:t xml:space="preserve">      </w:t>
      </w:r>
      <w:r w:rsidRPr="00A83C94">
        <w:rPr>
          <w:rFonts w:ascii="Calibri" w:eastAsia="Calibri" w:hAnsi="Calibri"/>
          <w:b w:val="0"/>
          <w:szCs w:val="22"/>
          <w:lang w:val="hy-AM" w:eastAsia="en-US"/>
        </w:rPr>
        <w:t xml:space="preserve">     </w:t>
      </w:r>
    </w:p>
    <w:p w14:paraId="520E0095" w14:textId="77777777" w:rsidR="00682DEF" w:rsidRPr="00A83C94" w:rsidRDefault="00682DEF" w:rsidP="00682DEF">
      <w:pPr>
        <w:shd w:val="clear" w:color="auto" w:fill="FFFFFF"/>
        <w:spacing w:before="0" w:line="276" w:lineRule="auto"/>
        <w:ind w:right="150" w:firstLine="227"/>
        <w:contextualSpacing w:val="0"/>
        <w:rPr>
          <w:b w:val="0"/>
          <w:color w:val="000000"/>
          <w:szCs w:val="22"/>
          <w:lang w:val="hy-AM"/>
        </w:rPr>
      </w:pPr>
      <w:r w:rsidRPr="00A83C94">
        <w:rPr>
          <w:b w:val="0"/>
          <w:color w:val="000000"/>
          <w:szCs w:val="22"/>
          <w:lang w:val="hy-AM"/>
        </w:rPr>
        <w:t xml:space="preserve">Ճգնաժամային տարվա ազդեցությամբ պայմանավորված՝ արտարժույթով արտահայտված պարտավորությունների առկայության պարագայում՝ փոխարժեքի տատանումը հանգեցրել է պարտավորությունների վերագնահատման և համապատասխանաբար փոխարժեքային տարբերությունից վնասների, որոնք արտահայտվել են շահութաբերության կտրուկ անկմամբ։ Միաժամանակ, չնայած ճգնաժամային տարվա ազդեցությանը՝ արձանագրվել է հասույթի ավելացում՝ էներգետիկայի և առողջապահության  ոլորտներում: </w:t>
      </w:r>
    </w:p>
    <w:p w14:paraId="7E39372E" w14:textId="77777777" w:rsidR="00682DEF" w:rsidRPr="00A83C94" w:rsidRDefault="00682DEF" w:rsidP="00682DEF">
      <w:pPr>
        <w:shd w:val="clear" w:color="auto" w:fill="FFFFFF"/>
        <w:spacing w:before="0" w:line="276" w:lineRule="auto"/>
        <w:ind w:right="150" w:firstLine="227"/>
        <w:contextualSpacing w:val="0"/>
        <w:rPr>
          <w:b w:val="0"/>
          <w:color w:val="000000"/>
          <w:szCs w:val="22"/>
          <w:lang w:val="hy-AM"/>
        </w:rPr>
      </w:pPr>
      <w:r w:rsidRPr="00A83C94">
        <w:rPr>
          <w:b w:val="0"/>
          <w:color w:val="000000"/>
          <w:szCs w:val="22"/>
          <w:lang w:val="hy-AM"/>
        </w:rPr>
        <w:t>Հաջորդիվ ներկայացված են խոշոր կուտակված վնասներ ունեցող պետական բաժնեմասնակցությամբ ընկերությունները:</w:t>
      </w:r>
    </w:p>
    <w:p w14:paraId="7406E4DB" w14:textId="77777777" w:rsidR="00682DEF" w:rsidRPr="00A83C94" w:rsidRDefault="00682DEF" w:rsidP="00682DEF">
      <w:pPr>
        <w:shd w:val="clear" w:color="auto" w:fill="FFFFFF"/>
        <w:spacing w:before="0" w:line="240" w:lineRule="auto"/>
        <w:ind w:right="150" w:firstLine="0"/>
        <w:contextualSpacing w:val="0"/>
        <w:rPr>
          <w:rFonts w:ascii="Sylfaen" w:hAnsi="Sylfaen"/>
          <w:b w:val="0"/>
          <w:color w:val="000000"/>
          <w:szCs w:val="22"/>
          <w:lang w:val="hy-AM"/>
        </w:rPr>
      </w:pPr>
    </w:p>
    <w:p w14:paraId="47869D38" w14:textId="76FC046F" w:rsidR="00682DEF" w:rsidRPr="00A83C94" w:rsidRDefault="001336A5" w:rsidP="00682DEF">
      <w:pPr>
        <w:spacing w:before="60" w:after="40"/>
        <w:contextualSpacing w:val="0"/>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Աղյուսակ 5</w:t>
      </w:r>
      <w:r w:rsidR="00682DEF" w:rsidRPr="00A83C94">
        <w:rPr>
          <w:caps/>
          <w:spacing w:val="10"/>
          <w:sz w:val="18"/>
          <w:szCs w:val="18"/>
          <w:lang w:val="hy-AM" w:eastAsia="en-US"/>
        </w:rPr>
        <w:t xml:space="preserve"> </w:t>
      </w:r>
      <w:r w:rsidR="00682DEF" w:rsidRPr="00A83C94">
        <w:rPr>
          <w:rFonts w:eastAsia="Calibri"/>
          <w:bCs/>
          <w:i/>
          <w:color w:val="4F81BD" w:themeColor="accent1"/>
          <w:sz w:val="20"/>
          <w:szCs w:val="20"/>
          <w:lang w:val="hy-AM" w:eastAsia="en-US"/>
        </w:rPr>
        <w:t>Առավելագույն կուտակված վնաս արձանագրված պետական մասնակցությամբ ընկերությունների ցուցանիշները</w:t>
      </w:r>
      <w:r w:rsidR="00682DEF" w:rsidRPr="00A83C94">
        <w:rPr>
          <w:lang w:val="hy-AM"/>
        </w:rPr>
        <w:t xml:space="preserve">                                                                                        </w:t>
      </w:r>
      <w:r w:rsidR="00682DEF" w:rsidRPr="00A83C94">
        <w:rPr>
          <w:rFonts w:eastAsia="Calibri"/>
          <w:bCs/>
          <w:i/>
          <w:color w:val="4F81BD" w:themeColor="accent1"/>
          <w:sz w:val="18"/>
          <w:szCs w:val="18"/>
          <w:lang w:val="hy-AM" w:eastAsia="en-US"/>
        </w:rPr>
        <w:t>մլն դրամ</w:t>
      </w:r>
    </w:p>
    <w:tbl>
      <w:tblPr>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800"/>
        <w:gridCol w:w="825"/>
        <w:gridCol w:w="734"/>
        <w:gridCol w:w="1032"/>
        <w:gridCol w:w="678"/>
        <w:gridCol w:w="759"/>
        <w:gridCol w:w="825"/>
        <w:gridCol w:w="1157"/>
      </w:tblGrid>
      <w:tr w:rsidR="000E76D9" w:rsidRPr="00A83C94" w14:paraId="0A1F5997" w14:textId="77777777" w:rsidTr="000E76D9">
        <w:trPr>
          <w:trHeight w:val="300"/>
        </w:trPr>
        <w:tc>
          <w:tcPr>
            <w:tcW w:w="3448" w:type="dxa"/>
            <w:vMerge w:val="restart"/>
            <w:shd w:val="clear" w:color="auto" w:fill="548DD4" w:themeFill="text2" w:themeFillTint="99"/>
          </w:tcPr>
          <w:p w14:paraId="124A4A55" w14:textId="3DF340DB" w:rsidR="000E76D9" w:rsidRPr="000E76D9" w:rsidRDefault="000E76D9" w:rsidP="000E76D9">
            <w:pPr>
              <w:spacing w:before="0" w:after="200" w:line="240" w:lineRule="auto"/>
              <w:ind w:firstLine="0"/>
              <w:contextualSpacing w:val="0"/>
              <w:jc w:val="left"/>
              <w:rPr>
                <w:rFonts w:cs="Calibri"/>
                <w:bCs/>
                <w:color w:val="FFFFFF" w:themeColor="background1"/>
                <w:sz w:val="16"/>
                <w:szCs w:val="16"/>
                <w:lang w:val="hy-AM" w:eastAsia="en-US"/>
              </w:rPr>
            </w:pPr>
            <w:r w:rsidRPr="000E76D9">
              <w:rPr>
                <w:rFonts w:cs="Calibri"/>
                <w:color w:val="FFFFFF" w:themeColor="background1"/>
                <w:sz w:val="16"/>
                <w:szCs w:val="16"/>
                <w:lang w:val="hy-AM" w:eastAsia="en-US"/>
              </w:rPr>
              <w:t>Ընկերության Անվանում</w:t>
            </w:r>
          </w:p>
        </w:tc>
        <w:tc>
          <w:tcPr>
            <w:tcW w:w="1625" w:type="dxa"/>
            <w:gridSpan w:val="2"/>
            <w:shd w:val="clear" w:color="auto" w:fill="548DD4" w:themeFill="text2" w:themeFillTint="99"/>
            <w:noWrap/>
          </w:tcPr>
          <w:p w14:paraId="47126250" w14:textId="3C49DA1D"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Կուտակված վնաս</w:t>
            </w:r>
          </w:p>
        </w:tc>
        <w:tc>
          <w:tcPr>
            <w:tcW w:w="1766" w:type="dxa"/>
            <w:gridSpan w:val="2"/>
            <w:shd w:val="clear" w:color="auto" w:fill="548DD4" w:themeFill="text2" w:themeFillTint="99"/>
            <w:noWrap/>
          </w:tcPr>
          <w:p w14:paraId="27528330" w14:textId="017D93FD"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Իրացումից հասույթ</w:t>
            </w:r>
          </w:p>
        </w:tc>
        <w:tc>
          <w:tcPr>
            <w:tcW w:w="1437" w:type="dxa"/>
            <w:gridSpan w:val="2"/>
            <w:shd w:val="clear" w:color="auto" w:fill="548DD4" w:themeFill="text2" w:themeFillTint="99"/>
            <w:noWrap/>
          </w:tcPr>
          <w:p w14:paraId="237F8009" w14:textId="0D67E197"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Զուտ շահույթ</w:t>
            </w:r>
          </w:p>
        </w:tc>
        <w:tc>
          <w:tcPr>
            <w:tcW w:w="1982" w:type="dxa"/>
            <w:gridSpan w:val="2"/>
            <w:shd w:val="clear" w:color="auto" w:fill="548DD4" w:themeFill="text2" w:themeFillTint="99"/>
            <w:noWrap/>
          </w:tcPr>
          <w:p w14:paraId="6D5FAA90" w14:textId="4D640C6B"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Պարտավորություններ</w:t>
            </w:r>
          </w:p>
        </w:tc>
      </w:tr>
      <w:tr w:rsidR="000E76D9" w:rsidRPr="00A83C94" w14:paraId="1E800DEB" w14:textId="77777777" w:rsidTr="00C50DE0">
        <w:trPr>
          <w:trHeight w:val="300"/>
        </w:trPr>
        <w:tc>
          <w:tcPr>
            <w:tcW w:w="3448" w:type="dxa"/>
            <w:vMerge/>
            <w:hideMark/>
          </w:tcPr>
          <w:p w14:paraId="6FBCB252" w14:textId="77777777" w:rsidR="000E76D9" w:rsidRPr="00A83C94" w:rsidRDefault="000E76D9" w:rsidP="000E76D9">
            <w:pPr>
              <w:spacing w:before="0" w:after="200" w:line="240" w:lineRule="auto"/>
              <w:ind w:firstLine="0"/>
              <w:contextualSpacing w:val="0"/>
              <w:jc w:val="left"/>
              <w:rPr>
                <w:rFonts w:cs="Calibri"/>
                <w:bCs/>
                <w:sz w:val="16"/>
                <w:szCs w:val="16"/>
                <w:lang w:val="en-US" w:eastAsia="en-US"/>
              </w:rPr>
            </w:pPr>
          </w:p>
        </w:tc>
        <w:tc>
          <w:tcPr>
            <w:tcW w:w="1625" w:type="dxa"/>
            <w:gridSpan w:val="2"/>
            <w:noWrap/>
            <w:hideMark/>
          </w:tcPr>
          <w:p w14:paraId="3511E408"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c>
          <w:tcPr>
            <w:tcW w:w="734" w:type="dxa"/>
            <w:noWrap/>
            <w:hideMark/>
          </w:tcPr>
          <w:p w14:paraId="0A65E4A5"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2019</w:t>
            </w:r>
          </w:p>
        </w:tc>
        <w:tc>
          <w:tcPr>
            <w:tcW w:w="1032" w:type="dxa"/>
            <w:noWrap/>
            <w:hideMark/>
          </w:tcPr>
          <w:p w14:paraId="02014A56"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c>
          <w:tcPr>
            <w:tcW w:w="678" w:type="dxa"/>
            <w:noWrap/>
            <w:hideMark/>
          </w:tcPr>
          <w:p w14:paraId="068D8828"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2019</w:t>
            </w:r>
          </w:p>
        </w:tc>
        <w:tc>
          <w:tcPr>
            <w:tcW w:w="759" w:type="dxa"/>
            <w:noWrap/>
            <w:hideMark/>
          </w:tcPr>
          <w:p w14:paraId="7EAD21E0"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c>
          <w:tcPr>
            <w:tcW w:w="825" w:type="dxa"/>
            <w:noWrap/>
            <w:hideMark/>
          </w:tcPr>
          <w:p w14:paraId="52F979D0"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2019</w:t>
            </w:r>
          </w:p>
        </w:tc>
        <w:tc>
          <w:tcPr>
            <w:tcW w:w="1157" w:type="dxa"/>
            <w:noWrap/>
            <w:hideMark/>
          </w:tcPr>
          <w:p w14:paraId="47C2FD66"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r>
      <w:tr w:rsidR="000E76D9" w:rsidRPr="00A83C94" w14:paraId="35E43608" w14:textId="77777777" w:rsidTr="00C50DE0">
        <w:trPr>
          <w:trHeight w:val="300"/>
        </w:trPr>
        <w:tc>
          <w:tcPr>
            <w:tcW w:w="3448" w:type="dxa"/>
            <w:hideMark/>
          </w:tcPr>
          <w:p w14:paraId="31A2BE5F"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Ջրառ ՓԲԸ</w:t>
            </w:r>
          </w:p>
        </w:tc>
        <w:tc>
          <w:tcPr>
            <w:tcW w:w="800" w:type="dxa"/>
            <w:noWrap/>
            <w:hideMark/>
          </w:tcPr>
          <w:p w14:paraId="4B6E1FB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(34,676)</w:t>
            </w:r>
          </w:p>
        </w:tc>
        <w:tc>
          <w:tcPr>
            <w:tcW w:w="825" w:type="dxa"/>
            <w:noWrap/>
            <w:hideMark/>
          </w:tcPr>
          <w:p w14:paraId="5AC3D48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44%</w:t>
            </w:r>
          </w:p>
        </w:tc>
        <w:tc>
          <w:tcPr>
            <w:tcW w:w="734" w:type="dxa"/>
            <w:noWrap/>
            <w:hideMark/>
          </w:tcPr>
          <w:p w14:paraId="25BDDE9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1,277</w:t>
            </w:r>
          </w:p>
        </w:tc>
        <w:tc>
          <w:tcPr>
            <w:tcW w:w="1032" w:type="dxa"/>
            <w:noWrap/>
            <w:hideMark/>
          </w:tcPr>
          <w:p w14:paraId="0012327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1,271</w:t>
            </w:r>
          </w:p>
        </w:tc>
        <w:tc>
          <w:tcPr>
            <w:tcW w:w="678" w:type="dxa"/>
            <w:noWrap/>
            <w:hideMark/>
          </w:tcPr>
          <w:p w14:paraId="552785C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(3,093)</w:t>
            </w:r>
          </w:p>
        </w:tc>
        <w:tc>
          <w:tcPr>
            <w:tcW w:w="759" w:type="dxa"/>
            <w:noWrap/>
            <w:hideMark/>
          </w:tcPr>
          <w:p w14:paraId="68440F1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(893)</w:t>
            </w:r>
          </w:p>
        </w:tc>
        <w:tc>
          <w:tcPr>
            <w:tcW w:w="825" w:type="dxa"/>
            <w:noWrap/>
            <w:hideMark/>
          </w:tcPr>
          <w:p w14:paraId="1604C1A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365</w:t>
            </w:r>
          </w:p>
        </w:tc>
        <w:tc>
          <w:tcPr>
            <w:tcW w:w="1157" w:type="dxa"/>
            <w:noWrap/>
            <w:hideMark/>
          </w:tcPr>
          <w:p w14:paraId="4F84D4C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385</w:t>
            </w:r>
          </w:p>
        </w:tc>
      </w:tr>
      <w:tr w:rsidR="000E76D9" w:rsidRPr="00A83C94" w14:paraId="1CD533C3" w14:textId="77777777" w:rsidTr="00C50DE0">
        <w:trPr>
          <w:trHeight w:val="300"/>
        </w:trPr>
        <w:tc>
          <w:tcPr>
            <w:tcW w:w="3448" w:type="dxa"/>
            <w:hideMark/>
          </w:tcPr>
          <w:p w14:paraId="0EF992EC"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«Երևանի ջերմաէլեկտրակենտրոն ՓԲԸ</w:t>
            </w:r>
          </w:p>
        </w:tc>
        <w:tc>
          <w:tcPr>
            <w:tcW w:w="800" w:type="dxa"/>
            <w:noWrap/>
            <w:hideMark/>
          </w:tcPr>
          <w:p w14:paraId="17861C3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(28,463)</w:t>
            </w:r>
          </w:p>
        </w:tc>
        <w:tc>
          <w:tcPr>
            <w:tcW w:w="825" w:type="dxa"/>
            <w:noWrap/>
            <w:hideMark/>
          </w:tcPr>
          <w:p w14:paraId="0EF4169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36%</w:t>
            </w:r>
          </w:p>
        </w:tc>
        <w:tc>
          <w:tcPr>
            <w:tcW w:w="734" w:type="dxa"/>
            <w:noWrap/>
            <w:hideMark/>
          </w:tcPr>
          <w:p w14:paraId="451428D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74,975</w:t>
            </w:r>
          </w:p>
        </w:tc>
        <w:tc>
          <w:tcPr>
            <w:tcW w:w="1032" w:type="dxa"/>
            <w:noWrap/>
            <w:hideMark/>
          </w:tcPr>
          <w:p w14:paraId="3170064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77,310</w:t>
            </w:r>
          </w:p>
        </w:tc>
        <w:tc>
          <w:tcPr>
            <w:tcW w:w="678" w:type="dxa"/>
            <w:noWrap/>
            <w:hideMark/>
          </w:tcPr>
          <w:p w14:paraId="31AE2F9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1,262</w:t>
            </w:r>
          </w:p>
        </w:tc>
        <w:tc>
          <w:tcPr>
            <w:tcW w:w="759" w:type="dxa"/>
            <w:noWrap/>
            <w:hideMark/>
          </w:tcPr>
          <w:p w14:paraId="026433C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(11,972)</w:t>
            </w:r>
          </w:p>
        </w:tc>
        <w:tc>
          <w:tcPr>
            <w:tcW w:w="825" w:type="dxa"/>
            <w:noWrap/>
            <w:hideMark/>
          </w:tcPr>
          <w:p w14:paraId="5923528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145,619</w:t>
            </w:r>
          </w:p>
        </w:tc>
        <w:tc>
          <w:tcPr>
            <w:tcW w:w="1157" w:type="dxa"/>
            <w:noWrap/>
            <w:hideMark/>
          </w:tcPr>
          <w:p w14:paraId="3B21DAD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154,154</w:t>
            </w:r>
          </w:p>
        </w:tc>
      </w:tr>
      <w:tr w:rsidR="000E76D9" w:rsidRPr="00A83C94" w14:paraId="61FAA5A3" w14:textId="77777777" w:rsidTr="00C50DE0">
        <w:trPr>
          <w:trHeight w:val="300"/>
        </w:trPr>
        <w:tc>
          <w:tcPr>
            <w:tcW w:w="3448" w:type="dxa"/>
            <w:hideMark/>
          </w:tcPr>
          <w:p w14:paraId="3A2F8885"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«Արմենիկում» ՓԲԸ</w:t>
            </w:r>
          </w:p>
        </w:tc>
        <w:tc>
          <w:tcPr>
            <w:tcW w:w="800" w:type="dxa"/>
            <w:noWrap/>
            <w:hideMark/>
          </w:tcPr>
          <w:p w14:paraId="4C95377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(1,427)</w:t>
            </w:r>
          </w:p>
        </w:tc>
        <w:tc>
          <w:tcPr>
            <w:tcW w:w="825" w:type="dxa"/>
            <w:noWrap/>
            <w:hideMark/>
          </w:tcPr>
          <w:p w14:paraId="137EF38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08516D92"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89</w:t>
            </w:r>
          </w:p>
        </w:tc>
        <w:tc>
          <w:tcPr>
            <w:tcW w:w="1032" w:type="dxa"/>
            <w:noWrap/>
            <w:hideMark/>
          </w:tcPr>
          <w:p w14:paraId="36E5204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37</w:t>
            </w:r>
          </w:p>
        </w:tc>
        <w:tc>
          <w:tcPr>
            <w:tcW w:w="678" w:type="dxa"/>
            <w:noWrap/>
            <w:hideMark/>
          </w:tcPr>
          <w:p w14:paraId="0F13298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(13)</w:t>
            </w:r>
          </w:p>
        </w:tc>
        <w:tc>
          <w:tcPr>
            <w:tcW w:w="759" w:type="dxa"/>
            <w:noWrap/>
            <w:hideMark/>
          </w:tcPr>
          <w:p w14:paraId="6D2C86D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w:t>
            </w:r>
          </w:p>
        </w:tc>
        <w:tc>
          <w:tcPr>
            <w:tcW w:w="825" w:type="dxa"/>
            <w:noWrap/>
            <w:hideMark/>
          </w:tcPr>
          <w:p w14:paraId="603ECB4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1,523</w:t>
            </w:r>
          </w:p>
        </w:tc>
        <w:tc>
          <w:tcPr>
            <w:tcW w:w="1157" w:type="dxa"/>
            <w:noWrap/>
            <w:hideMark/>
          </w:tcPr>
          <w:p w14:paraId="6409AB3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1,526</w:t>
            </w:r>
          </w:p>
        </w:tc>
      </w:tr>
      <w:tr w:rsidR="000E76D9" w:rsidRPr="00A83C94" w14:paraId="20EABEF2" w14:textId="77777777" w:rsidTr="00C50DE0">
        <w:trPr>
          <w:trHeight w:val="300"/>
        </w:trPr>
        <w:tc>
          <w:tcPr>
            <w:tcW w:w="3448" w:type="dxa"/>
            <w:hideMark/>
          </w:tcPr>
          <w:p w14:paraId="67B148B0"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Փարկինգ Սիթի Սերվիս ՓԲԸ</w:t>
            </w:r>
          </w:p>
        </w:tc>
        <w:tc>
          <w:tcPr>
            <w:tcW w:w="800" w:type="dxa"/>
            <w:noWrap/>
            <w:hideMark/>
          </w:tcPr>
          <w:p w14:paraId="173E660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(2,303)</w:t>
            </w:r>
          </w:p>
        </w:tc>
        <w:tc>
          <w:tcPr>
            <w:tcW w:w="825" w:type="dxa"/>
            <w:noWrap/>
            <w:hideMark/>
          </w:tcPr>
          <w:p w14:paraId="4FDDB99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w:t>
            </w:r>
          </w:p>
        </w:tc>
        <w:tc>
          <w:tcPr>
            <w:tcW w:w="734" w:type="dxa"/>
            <w:noWrap/>
            <w:hideMark/>
          </w:tcPr>
          <w:p w14:paraId="0825D0E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376</w:t>
            </w:r>
          </w:p>
        </w:tc>
        <w:tc>
          <w:tcPr>
            <w:tcW w:w="1032" w:type="dxa"/>
            <w:noWrap/>
            <w:hideMark/>
          </w:tcPr>
          <w:p w14:paraId="2DCB780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374</w:t>
            </w:r>
          </w:p>
        </w:tc>
        <w:tc>
          <w:tcPr>
            <w:tcW w:w="678" w:type="dxa"/>
            <w:noWrap/>
            <w:hideMark/>
          </w:tcPr>
          <w:p w14:paraId="71C9273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(175)</w:t>
            </w:r>
          </w:p>
        </w:tc>
        <w:tc>
          <w:tcPr>
            <w:tcW w:w="759" w:type="dxa"/>
            <w:noWrap/>
            <w:hideMark/>
          </w:tcPr>
          <w:p w14:paraId="4CF183E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(156)</w:t>
            </w:r>
          </w:p>
        </w:tc>
        <w:tc>
          <w:tcPr>
            <w:tcW w:w="825" w:type="dxa"/>
            <w:noWrap/>
            <w:hideMark/>
          </w:tcPr>
          <w:p w14:paraId="685E0D8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1,744</w:t>
            </w:r>
          </w:p>
        </w:tc>
        <w:tc>
          <w:tcPr>
            <w:tcW w:w="1157" w:type="dxa"/>
            <w:noWrap/>
            <w:hideMark/>
          </w:tcPr>
          <w:p w14:paraId="7B3AFC3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1,034</w:t>
            </w:r>
          </w:p>
        </w:tc>
      </w:tr>
      <w:tr w:rsidR="000E76D9" w:rsidRPr="00A83C94" w14:paraId="0B887AAC" w14:textId="77777777" w:rsidTr="00C50DE0">
        <w:trPr>
          <w:trHeight w:val="540"/>
        </w:trPr>
        <w:tc>
          <w:tcPr>
            <w:tcW w:w="3448" w:type="dxa"/>
            <w:hideMark/>
          </w:tcPr>
          <w:p w14:paraId="68AC1238"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Ռադիոիզոտոպների արտադրության կենտրոն ՓԲԸ</w:t>
            </w:r>
          </w:p>
        </w:tc>
        <w:tc>
          <w:tcPr>
            <w:tcW w:w="800" w:type="dxa"/>
            <w:noWrap/>
            <w:hideMark/>
          </w:tcPr>
          <w:p w14:paraId="2C43D30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(1,734)</w:t>
            </w:r>
          </w:p>
        </w:tc>
        <w:tc>
          <w:tcPr>
            <w:tcW w:w="825" w:type="dxa"/>
            <w:noWrap/>
            <w:hideMark/>
          </w:tcPr>
          <w:p w14:paraId="410451F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5DCA66E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w:t>
            </w:r>
          </w:p>
        </w:tc>
        <w:tc>
          <w:tcPr>
            <w:tcW w:w="1032" w:type="dxa"/>
            <w:noWrap/>
            <w:hideMark/>
          </w:tcPr>
          <w:p w14:paraId="38DB49E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89</w:t>
            </w:r>
          </w:p>
        </w:tc>
        <w:tc>
          <w:tcPr>
            <w:tcW w:w="678" w:type="dxa"/>
            <w:noWrap/>
            <w:hideMark/>
          </w:tcPr>
          <w:p w14:paraId="4FAFA29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(386)</w:t>
            </w:r>
          </w:p>
        </w:tc>
        <w:tc>
          <w:tcPr>
            <w:tcW w:w="759" w:type="dxa"/>
            <w:noWrap/>
            <w:hideMark/>
          </w:tcPr>
          <w:p w14:paraId="1FFCB1F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(272)</w:t>
            </w:r>
          </w:p>
        </w:tc>
        <w:tc>
          <w:tcPr>
            <w:tcW w:w="825" w:type="dxa"/>
            <w:noWrap/>
            <w:hideMark/>
          </w:tcPr>
          <w:p w14:paraId="3C439B3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2,889</w:t>
            </w:r>
          </w:p>
        </w:tc>
        <w:tc>
          <w:tcPr>
            <w:tcW w:w="1157" w:type="dxa"/>
            <w:noWrap/>
            <w:hideMark/>
          </w:tcPr>
          <w:p w14:paraId="08A70C1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4,548</w:t>
            </w:r>
          </w:p>
        </w:tc>
      </w:tr>
      <w:tr w:rsidR="000E76D9" w:rsidRPr="00A83C94" w14:paraId="1A0A5FAD" w14:textId="77777777" w:rsidTr="00C50DE0">
        <w:trPr>
          <w:trHeight w:val="300"/>
        </w:trPr>
        <w:tc>
          <w:tcPr>
            <w:tcW w:w="3448" w:type="dxa"/>
            <w:noWrap/>
            <w:hideMark/>
          </w:tcPr>
          <w:p w14:paraId="0DD6CC90"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Երևանի ավտոբուս ՓԲԸ</w:t>
            </w:r>
          </w:p>
        </w:tc>
        <w:tc>
          <w:tcPr>
            <w:tcW w:w="800" w:type="dxa"/>
            <w:noWrap/>
            <w:hideMark/>
          </w:tcPr>
          <w:p w14:paraId="04726D02"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(2,012)</w:t>
            </w:r>
          </w:p>
        </w:tc>
        <w:tc>
          <w:tcPr>
            <w:tcW w:w="825" w:type="dxa"/>
            <w:noWrap/>
            <w:hideMark/>
          </w:tcPr>
          <w:p w14:paraId="34CC9E2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w:t>
            </w:r>
          </w:p>
        </w:tc>
        <w:tc>
          <w:tcPr>
            <w:tcW w:w="734" w:type="dxa"/>
            <w:noWrap/>
            <w:hideMark/>
          </w:tcPr>
          <w:p w14:paraId="28DBE90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1,958</w:t>
            </w:r>
          </w:p>
        </w:tc>
        <w:tc>
          <w:tcPr>
            <w:tcW w:w="1032" w:type="dxa"/>
            <w:noWrap/>
            <w:hideMark/>
          </w:tcPr>
          <w:p w14:paraId="1787877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874</w:t>
            </w:r>
          </w:p>
        </w:tc>
        <w:tc>
          <w:tcPr>
            <w:tcW w:w="678" w:type="dxa"/>
            <w:noWrap/>
            <w:hideMark/>
          </w:tcPr>
          <w:p w14:paraId="4565870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(260)</w:t>
            </w:r>
          </w:p>
        </w:tc>
        <w:tc>
          <w:tcPr>
            <w:tcW w:w="759" w:type="dxa"/>
            <w:noWrap/>
            <w:hideMark/>
          </w:tcPr>
          <w:p w14:paraId="62F8D48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(817)</w:t>
            </w:r>
          </w:p>
        </w:tc>
        <w:tc>
          <w:tcPr>
            <w:tcW w:w="825" w:type="dxa"/>
            <w:noWrap/>
            <w:hideMark/>
          </w:tcPr>
          <w:p w14:paraId="7EFD39F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1,004</w:t>
            </w:r>
          </w:p>
        </w:tc>
        <w:tc>
          <w:tcPr>
            <w:tcW w:w="1157" w:type="dxa"/>
            <w:noWrap/>
            <w:hideMark/>
          </w:tcPr>
          <w:p w14:paraId="53A5C88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2,518</w:t>
            </w:r>
          </w:p>
        </w:tc>
      </w:tr>
      <w:tr w:rsidR="000E76D9" w:rsidRPr="00A83C94" w14:paraId="3B6708CC" w14:textId="77777777" w:rsidTr="00C50DE0">
        <w:trPr>
          <w:trHeight w:val="300"/>
        </w:trPr>
        <w:tc>
          <w:tcPr>
            <w:tcW w:w="3448" w:type="dxa"/>
            <w:hideMark/>
          </w:tcPr>
          <w:p w14:paraId="1B051CA8"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Երևանի ոսկերչական գործարան ՓԲԸ</w:t>
            </w:r>
          </w:p>
        </w:tc>
        <w:tc>
          <w:tcPr>
            <w:tcW w:w="800" w:type="dxa"/>
            <w:noWrap/>
            <w:hideMark/>
          </w:tcPr>
          <w:p w14:paraId="2E29245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(1,737)</w:t>
            </w:r>
          </w:p>
        </w:tc>
        <w:tc>
          <w:tcPr>
            <w:tcW w:w="825" w:type="dxa"/>
            <w:noWrap/>
            <w:hideMark/>
          </w:tcPr>
          <w:p w14:paraId="7B63BFC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3CC0E22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29</w:t>
            </w:r>
          </w:p>
        </w:tc>
        <w:tc>
          <w:tcPr>
            <w:tcW w:w="1032" w:type="dxa"/>
            <w:noWrap/>
            <w:hideMark/>
          </w:tcPr>
          <w:p w14:paraId="4EB1AAB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18</w:t>
            </w:r>
          </w:p>
        </w:tc>
        <w:tc>
          <w:tcPr>
            <w:tcW w:w="678" w:type="dxa"/>
            <w:noWrap/>
            <w:hideMark/>
          </w:tcPr>
          <w:p w14:paraId="10EE3A0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(141)</w:t>
            </w:r>
          </w:p>
        </w:tc>
        <w:tc>
          <w:tcPr>
            <w:tcW w:w="759" w:type="dxa"/>
            <w:noWrap/>
            <w:hideMark/>
          </w:tcPr>
          <w:p w14:paraId="1E35877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(108)</w:t>
            </w:r>
          </w:p>
        </w:tc>
        <w:tc>
          <w:tcPr>
            <w:tcW w:w="825" w:type="dxa"/>
            <w:noWrap/>
            <w:hideMark/>
          </w:tcPr>
          <w:p w14:paraId="069BE24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166</w:t>
            </w:r>
          </w:p>
        </w:tc>
        <w:tc>
          <w:tcPr>
            <w:tcW w:w="1157" w:type="dxa"/>
            <w:noWrap/>
            <w:hideMark/>
          </w:tcPr>
          <w:p w14:paraId="2543F6F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165</w:t>
            </w:r>
          </w:p>
        </w:tc>
      </w:tr>
      <w:tr w:rsidR="000E76D9" w:rsidRPr="00A83C94" w14:paraId="6B2E9B8A" w14:textId="77777777" w:rsidTr="00C50DE0">
        <w:trPr>
          <w:trHeight w:val="540"/>
        </w:trPr>
        <w:tc>
          <w:tcPr>
            <w:tcW w:w="3448" w:type="dxa"/>
            <w:hideMark/>
          </w:tcPr>
          <w:p w14:paraId="7AC95F7C" w14:textId="77777777" w:rsidR="000E76D9" w:rsidRPr="00A83C94" w:rsidRDefault="000E76D9" w:rsidP="000E76D9">
            <w:pPr>
              <w:spacing w:before="0" w:after="200" w:line="240" w:lineRule="auto"/>
              <w:ind w:firstLine="0"/>
              <w:contextualSpacing w:val="0"/>
              <w:jc w:val="left"/>
              <w:rPr>
                <w:rFonts w:cs="Calibri"/>
                <w:bCs/>
                <w:color w:val="000000"/>
                <w:sz w:val="16"/>
                <w:szCs w:val="16"/>
                <w:lang w:eastAsia="en-US"/>
              </w:rPr>
            </w:pPr>
            <w:r w:rsidRPr="00A83C94">
              <w:rPr>
                <w:rFonts w:cs="Calibri"/>
                <w:bCs/>
                <w:color w:val="000000"/>
                <w:sz w:val="16"/>
                <w:szCs w:val="16"/>
                <w:lang w:val="en-US" w:eastAsia="en-US"/>
              </w:rPr>
              <w:t>Համո</w:t>
            </w:r>
            <w:r w:rsidRPr="00A83C94">
              <w:rPr>
                <w:rFonts w:cs="Calibri"/>
                <w:bCs/>
                <w:color w:val="000000"/>
                <w:sz w:val="16"/>
                <w:szCs w:val="16"/>
                <w:lang w:eastAsia="en-US"/>
              </w:rPr>
              <w:t xml:space="preserve"> </w:t>
            </w:r>
            <w:r w:rsidRPr="00A83C94">
              <w:rPr>
                <w:rFonts w:cs="Calibri"/>
                <w:bCs/>
                <w:color w:val="000000"/>
                <w:sz w:val="16"/>
                <w:szCs w:val="16"/>
                <w:lang w:val="en-US" w:eastAsia="en-US"/>
              </w:rPr>
              <w:t>Բեկնազարյանի</w:t>
            </w:r>
            <w:r w:rsidRPr="00A83C94">
              <w:rPr>
                <w:rFonts w:cs="Calibri"/>
                <w:bCs/>
                <w:color w:val="000000"/>
                <w:sz w:val="16"/>
                <w:szCs w:val="16"/>
                <w:lang w:eastAsia="en-US"/>
              </w:rPr>
              <w:t xml:space="preserve"> </w:t>
            </w:r>
            <w:r w:rsidRPr="00A83C94">
              <w:rPr>
                <w:rFonts w:cs="Calibri"/>
                <w:bCs/>
                <w:color w:val="000000"/>
                <w:sz w:val="16"/>
                <w:szCs w:val="16"/>
                <w:lang w:val="en-US" w:eastAsia="en-US"/>
              </w:rPr>
              <w:t>անվան</w:t>
            </w:r>
            <w:r w:rsidRPr="00A83C94">
              <w:rPr>
                <w:rFonts w:cs="Calibri"/>
                <w:bCs/>
                <w:color w:val="000000"/>
                <w:sz w:val="16"/>
                <w:szCs w:val="16"/>
                <w:lang w:eastAsia="en-US"/>
              </w:rPr>
              <w:t xml:space="preserve"> «</w:t>
            </w:r>
            <w:r w:rsidRPr="00A83C94">
              <w:rPr>
                <w:rFonts w:cs="Calibri"/>
                <w:bCs/>
                <w:color w:val="000000"/>
                <w:sz w:val="16"/>
                <w:szCs w:val="16"/>
                <w:lang w:val="en-US" w:eastAsia="en-US"/>
              </w:rPr>
              <w:t>Հայֆիլմ</w:t>
            </w:r>
            <w:r w:rsidRPr="00A83C94">
              <w:rPr>
                <w:rFonts w:cs="Calibri"/>
                <w:bCs/>
                <w:color w:val="000000"/>
                <w:sz w:val="16"/>
                <w:szCs w:val="16"/>
                <w:lang w:eastAsia="en-US"/>
              </w:rPr>
              <w:t xml:space="preserve">» </w:t>
            </w:r>
            <w:r w:rsidRPr="00A83C94">
              <w:rPr>
                <w:rFonts w:cs="Calibri"/>
                <w:bCs/>
                <w:color w:val="000000"/>
                <w:sz w:val="16"/>
                <w:szCs w:val="16"/>
                <w:lang w:val="en-US" w:eastAsia="en-US"/>
              </w:rPr>
              <w:t>կինոստուդիա</w:t>
            </w:r>
            <w:r w:rsidRPr="00A83C94">
              <w:rPr>
                <w:rFonts w:cs="Calibri"/>
                <w:bCs/>
                <w:color w:val="000000"/>
                <w:sz w:val="16"/>
                <w:szCs w:val="16"/>
                <w:lang w:eastAsia="en-US"/>
              </w:rPr>
              <w:t xml:space="preserve"> </w:t>
            </w:r>
            <w:r w:rsidRPr="00A83C94">
              <w:rPr>
                <w:rFonts w:cs="Calibri"/>
                <w:bCs/>
                <w:color w:val="000000"/>
                <w:sz w:val="16"/>
                <w:szCs w:val="16"/>
                <w:lang w:val="en-US" w:eastAsia="en-US"/>
              </w:rPr>
              <w:t>ՓԲԸ</w:t>
            </w:r>
          </w:p>
        </w:tc>
        <w:tc>
          <w:tcPr>
            <w:tcW w:w="800" w:type="dxa"/>
            <w:noWrap/>
            <w:hideMark/>
          </w:tcPr>
          <w:p w14:paraId="1A610F0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(110)</w:t>
            </w:r>
          </w:p>
        </w:tc>
        <w:tc>
          <w:tcPr>
            <w:tcW w:w="825" w:type="dxa"/>
            <w:noWrap/>
            <w:hideMark/>
          </w:tcPr>
          <w:p w14:paraId="188A90D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0%</w:t>
            </w:r>
          </w:p>
        </w:tc>
        <w:tc>
          <w:tcPr>
            <w:tcW w:w="734" w:type="dxa"/>
            <w:noWrap/>
            <w:hideMark/>
          </w:tcPr>
          <w:p w14:paraId="16E2F69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9</w:t>
            </w:r>
          </w:p>
        </w:tc>
        <w:tc>
          <w:tcPr>
            <w:tcW w:w="1032" w:type="dxa"/>
            <w:noWrap/>
            <w:hideMark/>
          </w:tcPr>
          <w:p w14:paraId="1C1A2BE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13</w:t>
            </w:r>
          </w:p>
        </w:tc>
        <w:tc>
          <w:tcPr>
            <w:tcW w:w="678" w:type="dxa"/>
            <w:noWrap/>
            <w:hideMark/>
          </w:tcPr>
          <w:p w14:paraId="3313609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(25)</w:t>
            </w:r>
          </w:p>
        </w:tc>
        <w:tc>
          <w:tcPr>
            <w:tcW w:w="759" w:type="dxa"/>
            <w:noWrap/>
            <w:hideMark/>
          </w:tcPr>
          <w:p w14:paraId="096C42C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(28)</w:t>
            </w:r>
          </w:p>
        </w:tc>
        <w:tc>
          <w:tcPr>
            <w:tcW w:w="825" w:type="dxa"/>
            <w:noWrap/>
            <w:hideMark/>
          </w:tcPr>
          <w:p w14:paraId="194A138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495</w:t>
            </w:r>
          </w:p>
        </w:tc>
        <w:tc>
          <w:tcPr>
            <w:tcW w:w="1157" w:type="dxa"/>
            <w:noWrap/>
            <w:hideMark/>
          </w:tcPr>
          <w:p w14:paraId="49DAD51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182</w:t>
            </w:r>
          </w:p>
        </w:tc>
      </w:tr>
      <w:tr w:rsidR="000E76D9" w:rsidRPr="00A83C94" w14:paraId="2C31BF7E" w14:textId="77777777" w:rsidTr="00C50DE0">
        <w:trPr>
          <w:trHeight w:val="300"/>
        </w:trPr>
        <w:tc>
          <w:tcPr>
            <w:tcW w:w="3448" w:type="dxa"/>
            <w:hideMark/>
          </w:tcPr>
          <w:p w14:paraId="7611ED73"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Նաիրիտ-2 ՓԲԸ</w:t>
            </w:r>
          </w:p>
        </w:tc>
        <w:tc>
          <w:tcPr>
            <w:tcW w:w="800" w:type="dxa"/>
            <w:noWrap/>
            <w:hideMark/>
          </w:tcPr>
          <w:p w14:paraId="28CF396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(1,391)</w:t>
            </w:r>
          </w:p>
        </w:tc>
        <w:tc>
          <w:tcPr>
            <w:tcW w:w="825" w:type="dxa"/>
            <w:noWrap/>
            <w:hideMark/>
          </w:tcPr>
          <w:p w14:paraId="30DA228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3B6B3D0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w:t>
            </w:r>
          </w:p>
        </w:tc>
        <w:tc>
          <w:tcPr>
            <w:tcW w:w="1032" w:type="dxa"/>
            <w:noWrap/>
            <w:hideMark/>
          </w:tcPr>
          <w:p w14:paraId="1C121BC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w:t>
            </w:r>
          </w:p>
        </w:tc>
        <w:tc>
          <w:tcPr>
            <w:tcW w:w="678" w:type="dxa"/>
            <w:noWrap/>
            <w:hideMark/>
          </w:tcPr>
          <w:p w14:paraId="7DC0650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(348)</w:t>
            </w:r>
          </w:p>
        </w:tc>
        <w:tc>
          <w:tcPr>
            <w:tcW w:w="759" w:type="dxa"/>
            <w:noWrap/>
            <w:hideMark/>
          </w:tcPr>
          <w:p w14:paraId="58F09F2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(682)</w:t>
            </w:r>
          </w:p>
        </w:tc>
        <w:tc>
          <w:tcPr>
            <w:tcW w:w="825" w:type="dxa"/>
            <w:noWrap/>
            <w:hideMark/>
          </w:tcPr>
          <w:p w14:paraId="22174EE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6,110</w:t>
            </w:r>
          </w:p>
        </w:tc>
        <w:tc>
          <w:tcPr>
            <w:tcW w:w="1157" w:type="dxa"/>
            <w:noWrap/>
            <w:hideMark/>
          </w:tcPr>
          <w:p w14:paraId="733AA75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6,117</w:t>
            </w:r>
          </w:p>
        </w:tc>
      </w:tr>
      <w:tr w:rsidR="000E76D9" w:rsidRPr="00A83C94" w14:paraId="40236F1B" w14:textId="77777777" w:rsidTr="00C50DE0">
        <w:trPr>
          <w:trHeight w:val="300"/>
        </w:trPr>
        <w:tc>
          <w:tcPr>
            <w:tcW w:w="3448" w:type="dxa"/>
            <w:hideMark/>
          </w:tcPr>
          <w:p w14:paraId="0B8C225D"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Գյումրու բժշկական կենտրոն ՓԲԸ</w:t>
            </w:r>
          </w:p>
        </w:tc>
        <w:tc>
          <w:tcPr>
            <w:tcW w:w="800" w:type="dxa"/>
            <w:noWrap/>
            <w:hideMark/>
          </w:tcPr>
          <w:p w14:paraId="1A0EF83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(559)</w:t>
            </w:r>
          </w:p>
        </w:tc>
        <w:tc>
          <w:tcPr>
            <w:tcW w:w="825" w:type="dxa"/>
            <w:noWrap/>
            <w:hideMark/>
          </w:tcPr>
          <w:p w14:paraId="4B562DA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w:t>
            </w:r>
          </w:p>
        </w:tc>
        <w:tc>
          <w:tcPr>
            <w:tcW w:w="734" w:type="dxa"/>
            <w:noWrap/>
            <w:hideMark/>
          </w:tcPr>
          <w:p w14:paraId="442326C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1,687</w:t>
            </w:r>
          </w:p>
        </w:tc>
        <w:tc>
          <w:tcPr>
            <w:tcW w:w="1032" w:type="dxa"/>
            <w:noWrap/>
            <w:hideMark/>
          </w:tcPr>
          <w:p w14:paraId="1394885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1,580</w:t>
            </w:r>
          </w:p>
        </w:tc>
        <w:tc>
          <w:tcPr>
            <w:tcW w:w="678" w:type="dxa"/>
            <w:noWrap/>
            <w:hideMark/>
          </w:tcPr>
          <w:p w14:paraId="443EA9A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w:t>
            </w:r>
          </w:p>
        </w:tc>
        <w:tc>
          <w:tcPr>
            <w:tcW w:w="759" w:type="dxa"/>
            <w:noWrap/>
            <w:hideMark/>
          </w:tcPr>
          <w:p w14:paraId="33001D4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(82)</w:t>
            </w:r>
          </w:p>
        </w:tc>
        <w:tc>
          <w:tcPr>
            <w:tcW w:w="825" w:type="dxa"/>
            <w:noWrap/>
            <w:hideMark/>
          </w:tcPr>
          <w:p w14:paraId="2670E97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1,169</w:t>
            </w:r>
          </w:p>
        </w:tc>
        <w:tc>
          <w:tcPr>
            <w:tcW w:w="1157" w:type="dxa"/>
            <w:noWrap/>
            <w:hideMark/>
          </w:tcPr>
          <w:p w14:paraId="54B85F0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1,276</w:t>
            </w:r>
          </w:p>
        </w:tc>
      </w:tr>
      <w:tr w:rsidR="000E76D9" w:rsidRPr="00A83C94" w14:paraId="5495FC7C" w14:textId="77777777" w:rsidTr="00C50DE0">
        <w:trPr>
          <w:trHeight w:val="300"/>
        </w:trPr>
        <w:tc>
          <w:tcPr>
            <w:tcW w:w="3448" w:type="dxa"/>
            <w:noWrap/>
            <w:hideMark/>
          </w:tcPr>
          <w:p w14:paraId="2A6A428A" w14:textId="77777777" w:rsidR="000E76D9" w:rsidRPr="00A83C94" w:rsidRDefault="000E76D9" w:rsidP="000E76D9">
            <w:pPr>
              <w:spacing w:before="0" w:after="200" w:line="240" w:lineRule="auto"/>
              <w:ind w:firstLine="0"/>
              <w:contextualSpacing w:val="0"/>
              <w:jc w:val="left"/>
              <w:rPr>
                <w:rFonts w:cs="Calibri"/>
                <w:bCs/>
                <w:color w:val="000000"/>
                <w:sz w:val="16"/>
                <w:szCs w:val="16"/>
                <w:lang w:eastAsia="en-US"/>
              </w:rPr>
            </w:pPr>
            <w:r w:rsidRPr="00A83C94">
              <w:rPr>
                <w:rFonts w:cs="Calibri"/>
                <w:bCs/>
                <w:color w:val="000000"/>
                <w:sz w:val="16"/>
                <w:szCs w:val="16"/>
                <w:lang w:val="en-US" w:eastAsia="en-US"/>
              </w:rPr>
              <w:t>Նորք</w:t>
            </w:r>
            <w:r w:rsidRPr="00A83C94">
              <w:rPr>
                <w:rFonts w:cs="Calibri"/>
                <w:bCs/>
                <w:color w:val="000000"/>
                <w:sz w:val="16"/>
                <w:szCs w:val="16"/>
                <w:lang w:eastAsia="en-US"/>
              </w:rPr>
              <w:t xml:space="preserve"> </w:t>
            </w:r>
            <w:r w:rsidRPr="00A83C94">
              <w:rPr>
                <w:rFonts w:cs="Calibri"/>
                <w:bCs/>
                <w:color w:val="000000"/>
                <w:sz w:val="16"/>
                <w:szCs w:val="16"/>
                <w:lang w:val="en-US" w:eastAsia="en-US"/>
              </w:rPr>
              <w:t>Մարաշ</w:t>
            </w:r>
            <w:r w:rsidRPr="00A83C94">
              <w:rPr>
                <w:rFonts w:cs="Calibri"/>
                <w:bCs/>
                <w:color w:val="000000"/>
                <w:sz w:val="16"/>
                <w:szCs w:val="16"/>
                <w:lang w:eastAsia="en-US"/>
              </w:rPr>
              <w:t xml:space="preserve"> </w:t>
            </w:r>
            <w:r w:rsidRPr="00A83C94">
              <w:rPr>
                <w:rFonts w:cs="Calibri"/>
                <w:bCs/>
                <w:color w:val="000000"/>
                <w:sz w:val="16"/>
                <w:szCs w:val="16"/>
                <w:lang w:val="en-US" w:eastAsia="en-US"/>
              </w:rPr>
              <w:t>բժշկական</w:t>
            </w:r>
            <w:r w:rsidRPr="00A83C94">
              <w:rPr>
                <w:rFonts w:cs="Calibri"/>
                <w:bCs/>
                <w:color w:val="000000"/>
                <w:sz w:val="16"/>
                <w:szCs w:val="16"/>
                <w:lang w:eastAsia="en-US"/>
              </w:rPr>
              <w:t xml:space="preserve"> </w:t>
            </w:r>
            <w:r w:rsidRPr="00A83C94">
              <w:rPr>
                <w:rFonts w:cs="Calibri"/>
                <w:bCs/>
                <w:color w:val="000000"/>
                <w:sz w:val="16"/>
                <w:szCs w:val="16"/>
                <w:lang w:val="en-US" w:eastAsia="en-US"/>
              </w:rPr>
              <w:t>կենտրոն</w:t>
            </w:r>
            <w:r w:rsidRPr="00A83C94">
              <w:rPr>
                <w:rFonts w:cs="Calibri"/>
                <w:bCs/>
                <w:color w:val="000000"/>
                <w:sz w:val="16"/>
                <w:szCs w:val="16"/>
                <w:lang w:eastAsia="en-US"/>
              </w:rPr>
              <w:t xml:space="preserve"> </w:t>
            </w:r>
            <w:r w:rsidRPr="00A83C94">
              <w:rPr>
                <w:rFonts w:cs="Calibri"/>
                <w:bCs/>
                <w:color w:val="000000"/>
                <w:sz w:val="16"/>
                <w:szCs w:val="16"/>
                <w:lang w:val="en-US" w:eastAsia="en-US"/>
              </w:rPr>
              <w:t>ՓԲԸ</w:t>
            </w:r>
          </w:p>
        </w:tc>
        <w:tc>
          <w:tcPr>
            <w:tcW w:w="800" w:type="dxa"/>
            <w:noWrap/>
            <w:hideMark/>
          </w:tcPr>
          <w:p w14:paraId="498778E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(1,262)</w:t>
            </w:r>
          </w:p>
        </w:tc>
        <w:tc>
          <w:tcPr>
            <w:tcW w:w="825" w:type="dxa"/>
            <w:noWrap/>
            <w:hideMark/>
          </w:tcPr>
          <w:p w14:paraId="6D362EC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52AD619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4,945</w:t>
            </w:r>
          </w:p>
        </w:tc>
        <w:tc>
          <w:tcPr>
            <w:tcW w:w="1032" w:type="dxa"/>
            <w:noWrap/>
            <w:hideMark/>
          </w:tcPr>
          <w:p w14:paraId="608664E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4,989</w:t>
            </w:r>
          </w:p>
        </w:tc>
        <w:tc>
          <w:tcPr>
            <w:tcW w:w="678" w:type="dxa"/>
            <w:noWrap/>
            <w:hideMark/>
          </w:tcPr>
          <w:p w14:paraId="1EDACE5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39</w:t>
            </w:r>
          </w:p>
        </w:tc>
        <w:tc>
          <w:tcPr>
            <w:tcW w:w="759" w:type="dxa"/>
            <w:noWrap/>
            <w:hideMark/>
          </w:tcPr>
          <w:p w14:paraId="4B2A84D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(951)</w:t>
            </w:r>
          </w:p>
        </w:tc>
        <w:tc>
          <w:tcPr>
            <w:tcW w:w="825" w:type="dxa"/>
            <w:noWrap/>
            <w:hideMark/>
          </w:tcPr>
          <w:p w14:paraId="393736E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5,741</w:t>
            </w:r>
          </w:p>
        </w:tc>
        <w:tc>
          <w:tcPr>
            <w:tcW w:w="1157" w:type="dxa"/>
            <w:noWrap/>
            <w:hideMark/>
          </w:tcPr>
          <w:p w14:paraId="1640F22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6,321</w:t>
            </w:r>
          </w:p>
        </w:tc>
      </w:tr>
      <w:tr w:rsidR="000E76D9" w:rsidRPr="00A83C94" w14:paraId="11A7F796" w14:textId="77777777" w:rsidTr="00C50DE0">
        <w:trPr>
          <w:trHeight w:val="300"/>
        </w:trPr>
        <w:tc>
          <w:tcPr>
            <w:tcW w:w="3448" w:type="dxa"/>
            <w:hideMark/>
          </w:tcPr>
          <w:p w14:paraId="1903FDBC"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«Ավտոմատիկա» ՓԲԸ</w:t>
            </w:r>
          </w:p>
        </w:tc>
        <w:tc>
          <w:tcPr>
            <w:tcW w:w="800" w:type="dxa"/>
            <w:noWrap/>
            <w:hideMark/>
          </w:tcPr>
          <w:p w14:paraId="4929E33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(321)</w:t>
            </w:r>
          </w:p>
        </w:tc>
        <w:tc>
          <w:tcPr>
            <w:tcW w:w="825" w:type="dxa"/>
            <w:noWrap/>
            <w:hideMark/>
          </w:tcPr>
          <w:p w14:paraId="66FED7F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0%</w:t>
            </w:r>
          </w:p>
        </w:tc>
        <w:tc>
          <w:tcPr>
            <w:tcW w:w="734" w:type="dxa"/>
            <w:noWrap/>
            <w:hideMark/>
          </w:tcPr>
          <w:p w14:paraId="59AF61B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w:t>
            </w:r>
          </w:p>
        </w:tc>
        <w:tc>
          <w:tcPr>
            <w:tcW w:w="1032" w:type="dxa"/>
            <w:noWrap/>
            <w:hideMark/>
          </w:tcPr>
          <w:p w14:paraId="38456F0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9</w:t>
            </w:r>
          </w:p>
        </w:tc>
        <w:tc>
          <w:tcPr>
            <w:tcW w:w="678" w:type="dxa"/>
            <w:noWrap/>
            <w:hideMark/>
          </w:tcPr>
          <w:p w14:paraId="5AC1DB9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(57)</w:t>
            </w:r>
          </w:p>
        </w:tc>
        <w:tc>
          <w:tcPr>
            <w:tcW w:w="759" w:type="dxa"/>
            <w:noWrap/>
            <w:hideMark/>
          </w:tcPr>
          <w:p w14:paraId="5A127E4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(34)</w:t>
            </w:r>
          </w:p>
        </w:tc>
        <w:tc>
          <w:tcPr>
            <w:tcW w:w="825" w:type="dxa"/>
            <w:noWrap/>
            <w:hideMark/>
          </w:tcPr>
          <w:p w14:paraId="12837A1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338</w:t>
            </w:r>
          </w:p>
        </w:tc>
        <w:tc>
          <w:tcPr>
            <w:tcW w:w="1157" w:type="dxa"/>
            <w:noWrap/>
            <w:hideMark/>
          </w:tcPr>
          <w:p w14:paraId="58F0318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249</w:t>
            </w:r>
          </w:p>
        </w:tc>
      </w:tr>
      <w:tr w:rsidR="000E76D9" w:rsidRPr="00A83C94" w14:paraId="576C9E2C" w14:textId="77777777" w:rsidTr="00C50DE0">
        <w:trPr>
          <w:trHeight w:val="300"/>
        </w:trPr>
        <w:tc>
          <w:tcPr>
            <w:tcW w:w="3448" w:type="dxa"/>
            <w:noWrap/>
            <w:hideMark/>
          </w:tcPr>
          <w:p w14:paraId="73D1E12C"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Ալավերդու բժշկական կենտրոն ՓԲԸ</w:t>
            </w:r>
          </w:p>
        </w:tc>
        <w:tc>
          <w:tcPr>
            <w:tcW w:w="800" w:type="dxa"/>
            <w:noWrap/>
            <w:hideMark/>
          </w:tcPr>
          <w:p w14:paraId="55B8513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(198)</w:t>
            </w:r>
          </w:p>
        </w:tc>
        <w:tc>
          <w:tcPr>
            <w:tcW w:w="825" w:type="dxa"/>
            <w:noWrap/>
            <w:hideMark/>
          </w:tcPr>
          <w:p w14:paraId="1B108B1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0%</w:t>
            </w:r>
          </w:p>
        </w:tc>
        <w:tc>
          <w:tcPr>
            <w:tcW w:w="734" w:type="dxa"/>
            <w:noWrap/>
            <w:hideMark/>
          </w:tcPr>
          <w:p w14:paraId="64B5B31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643</w:t>
            </w:r>
          </w:p>
        </w:tc>
        <w:tc>
          <w:tcPr>
            <w:tcW w:w="1032" w:type="dxa"/>
            <w:noWrap/>
            <w:hideMark/>
          </w:tcPr>
          <w:p w14:paraId="29A49E9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575</w:t>
            </w:r>
          </w:p>
        </w:tc>
        <w:tc>
          <w:tcPr>
            <w:tcW w:w="678" w:type="dxa"/>
            <w:noWrap/>
            <w:hideMark/>
          </w:tcPr>
          <w:p w14:paraId="2B6434B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26</w:t>
            </w:r>
          </w:p>
        </w:tc>
        <w:tc>
          <w:tcPr>
            <w:tcW w:w="759" w:type="dxa"/>
            <w:noWrap/>
            <w:hideMark/>
          </w:tcPr>
          <w:p w14:paraId="3E47E72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w:t>
            </w:r>
          </w:p>
        </w:tc>
        <w:tc>
          <w:tcPr>
            <w:tcW w:w="825" w:type="dxa"/>
            <w:noWrap/>
            <w:hideMark/>
          </w:tcPr>
          <w:p w14:paraId="677B178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750</w:t>
            </w:r>
          </w:p>
        </w:tc>
        <w:tc>
          <w:tcPr>
            <w:tcW w:w="1157" w:type="dxa"/>
            <w:noWrap/>
            <w:hideMark/>
          </w:tcPr>
          <w:p w14:paraId="7843ADB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672</w:t>
            </w:r>
          </w:p>
        </w:tc>
      </w:tr>
    </w:tbl>
    <w:p w14:paraId="7CFCE382" w14:textId="77777777" w:rsidR="00682DEF" w:rsidRPr="00A83C94" w:rsidRDefault="00682DEF" w:rsidP="00682DEF">
      <w:pPr>
        <w:shd w:val="clear" w:color="auto" w:fill="FFFFFF"/>
        <w:spacing w:before="0" w:line="276" w:lineRule="auto"/>
        <w:ind w:right="20" w:firstLine="227"/>
        <w:contextualSpacing w:val="0"/>
        <w:rPr>
          <w:b w:val="0"/>
          <w:szCs w:val="22"/>
          <w:lang w:val="hy-AM" w:eastAsia="en-US"/>
        </w:rPr>
      </w:pPr>
      <w:r w:rsidRPr="00A83C94">
        <w:rPr>
          <w:b w:val="0"/>
          <w:szCs w:val="22"/>
          <w:lang w:val="hy-AM" w:eastAsia="en-US"/>
        </w:rPr>
        <w:t xml:space="preserve">2019 թվականի </w:t>
      </w:r>
      <w:r w:rsidRPr="00A83C94">
        <w:rPr>
          <w:b w:val="0"/>
          <w:szCs w:val="22"/>
          <w:lang w:val="en-US" w:eastAsia="en-US"/>
        </w:rPr>
        <w:t>դեկտեմբերի</w:t>
      </w:r>
      <w:r w:rsidRPr="00A83C94">
        <w:rPr>
          <w:b w:val="0"/>
          <w:szCs w:val="22"/>
          <w:lang w:eastAsia="en-US"/>
        </w:rPr>
        <w:t xml:space="preserve"> 31-</w:t>
      </w:r>
      <w:r w:rsidRPr="00A83C94">
        <w:rPr>
          <w:b w:val="0"/>
          <w:szCs w:val="22"/>
          <w:lang w:val="en-US" w:eastAsia="en-US"/>
        </w:rPr>
        <w:t>ի</w:t>
      </w:r>
      <w:r w:rsidRPr="00A83C94">
        <w:rPr>
          <w:b w:val="0"/>
          <w:szCs w:val="22"/>
          <w:lang w:val="hy-AM" w:eastAsia="en-US"/>
        </w:rPr>
        <w:t xml:space="preserve"> դրությամբ Էական կուտակված վնաս էին արձանագրել մասնավորապես ջրային ոլորտի ընկերությունները։ Այդ ոլորտի մասով արձանագրված վնասի առաջացման պատճառները հիմնականում պայմանավորված են ՀԾԿՀ-ի կողմից դեռևս 2007թ. հաստատված սակագներով, որոնց հաշվարկների մեջ ներառված չեն ամորտիզացիոն մասհանումները: 2020 թվականին տեղի է ունեցել այդ ընկերությունների միացման ձևով վերակազմավորում, ինչը նվազեցրել է հնարավոր ֆիսկալ ռիսկերը։ Անհրաժեշտ է նշել նաև, որ ջրային ոլորտի ընկերությունները չեն ունեցել ժամկետանց վարկային պարտավորություններ, ինչպես նաև ՀՀ կառավարության կողմից բյուջետային երաշխիքներ չեն ստացել:</w:t>
      </w:r>
    </w:p>
    <w:p w14:paraId="0CB0F727" w14:textId="77777777" w:rsidR="00682DEF" w:rsidRPr="00A83C94" w:rsidRDefault="00682DEF" w:rsidP="00682DEF">
      <w:pPr>
        <w:shd w:val="clear" w:color="auto" w:fill="FFFFFF"/>
        <w:spacing w:before="0" w:line="240" w:lineRule="auto"/>
        <w:ind w:right="150" w:firstLine="227"/>
        <w:contextualSpacing w:val="0"/>
        <w:rPr>
          <w:b w:val="0"/>
          <w:szCs w:val="22"/>
          <w:lang w:val="hy-AM" w:eastAsia="en-US"/>
        </w:rPr>
      </w:pPr>
      <w:r w:rsidRPr="00A83C94">
        <w:rPr>
          <w:b w:val="0"/>
          <w:szCs w:val="22"/>
          <w:lang w:val="hy-AM" w:eastAsia="en-US"/>
        </w:rPr>
        <w:t>2020 թվականի արդյունքներով որոշ խոշոր 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ստորև աղյուսակում:</w:t>
      </w:r>
    </w:p>
    <w:p w14:paraId="7C064FA2" w14:textId="1FDAF576" w:rsidR="00682DEF" w:rsidRPr="00A83C94" w:rsidRDefault="00682DEF" w:rsidP="00682DEF">
      <w:pPr>
        <w:spacing w:before="60" w:after="40"/>
        <w:contextualSpacing w:val="0"/>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 xml:space="preserve">Աղյուսակ </w:t>
      </w:r>
      <w:r w:rsidR="006C390E" w:rsidRPr="001336A5">
        <w:rPr>
          <w:rFonts w:eastAsia="Calibri"/>
          <w:b w:val="0"/>
          <w:bCs/>
          <w:color w:val="4F81BD" w:themeColor="accent1"/>
          <w:sz w:val="18"/>
          <w:szCs w:val="18"/>
          <w:lang w:val="hy-AM" w:eastAsia="en-US"/>
        </w:rPr>
        <w:t>6</w:t>
      </w:r>
      <w:r w:rsidRPr="00A83C94">
        <w:rPr>
          <w:rFonts w:eastAsia="Calibri"/>
          <w:bCs/>
          <w:i/>
          <w:color w:val="4F81BD" w:themeColor="accent1"/>
          <w:sz w:val="20"/>
          <w:szCs w:val="20"/>
          <w:lang w:val="hy-AM" w:eastAsia="en-US"/>
        </w:rPr>
        <w:t xml:space="preserve"> Պետական մասնակցությամբ ընկերությունների ֆինանսական գործակիցները</w:t>
      </w:r>
    </w:p>
    <w:tbl>
      <w:tblPr>
        <w:tblW w:w="10322" w:type="dxa"/>
        <w:tblInd w:w="-688" w:type="dxa"/>
        <w:tblLayout w:type="fixed"/>
        <w:tblLook w:val="04A0" w:firstRow="1" w:lastRow="0" w:firstColumn="1" w:lastColumn="0" w:noHBand="0" w:noVBand="1"/>
      </w:tblPr>
      <w:tblGrid>
        <w:gridCol w:w="2951"/>
        <w:gridCol w:w="709"/>
        <w:gridCol w:w="709"/>
        <w:gridCol w:w="850"/>
        <w:gridCol w:w="851"/>
        <w:gridCol w:w="709"/>
        <w:gridCol w:w="586"/>
        <w:gridCol w:w="767"/>
        <w:gridCol w:w="826"/>
        <w:gridCol w:w="725"/>
        <w:gridCol w:w="639"/>
      </w:tblGrid>
      <w:tr w:rsidR="000E76D9" w:rsidRPr="00A83C94" w14:paraId="7C84D8AB" w14:textId="77777777" w:rsidTr="000E76D9">
        <w:trPr>
          <w:trHeight w:val="1290"/>
        </w:trPr>
        <w:tc>
          <w:tcPr>
            <w:tcW w:w="2951" w:type="dxa"/>
            <w:tcBorders>
              <w:top w:val="single" w:sz="4" w:space="0" w:color="auto"/>
              <w:left w:val="single" w:sz="4" w:space="0" w:color="auto"/>
              <w:bottom w:val="single" w:sz="4" w:space="0" w:color="auto"/>
            </w:tcBorders>
            <w:shd w:val="clear" w:color="auto" w:fill="548DD4" w:themeFill="text2" w:themeFillTint="99"/>
            <w:noWrap/>
          </w:tcPr>
          <w:p w14:paraId="1929EA19" w14:textId="4A09AD73"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Ընկերության անվանումը</w:t>
            </w:r>
          </w:p>
        </w:tc>
        <w:tc>
          <w:tcPr>
            <w:tcW w:w="1418" w:type="dxa"/>
            <w:gridSpan w:val="2"/>
            <w:tcBorders>
              <w:top w:val="single" w:sz="4" w:space="0" w:color="auto"/>
              <w:left w:val="single" w:sz="4" w:space="0" w:color="auto"/>
              <w:bottom w:val="single" w:sz="4" w:space="0" w:color="auto"/>
            </w:tcBorders>
            <w:shd w:val="clear" w:color="auto" w:fill="548DD4" w:themeFill="text2" w:themeFillTint="99"/>
          </w:tcPr>
          <w:p w14:paraId="78067873" w14:textId="46062F1F"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Ծախսերի վերականգնման գործակից</w:t>
            </w:r>
          </w:p>
        </w:tc>
        <w:tc>
          <w:tcPr>
            <w:tcW w:w="1701" w:type="dxa"/>
            <w:gridSpan w:val="2"/>
            <w:tcBorders>
              <w:top w:val="single" w:sz="4" w:space="0" w:color="auto"/>
              <w:left w:val="single" w:sz="4" w:space="0" w:color="auto"/>
              <w:bottom w:val="single" w:sz="4" w:space="0" w:color="auto"/>
            </w:tcBorders>
            <w:shd w:val="clear" w:color="auto" w:fill="548DD4" w:themeFill="text2" w:themeFillTint="99"/>
          </w:tcPr>
          <w:p w14:paraId="2B47DCE6" w14:textId="2618BE04"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Զուտ շահույթի մարժա(%)</w:t>
            </w:r>
          </w:p>
        </w:tc>
        <w:tc>
          <w:tcPr>
            <w:tcW w:w="1295" w:type="dxa"/>
            <w:gridSpan w:val="2"/>
            <w:tcBorders>
              <w:top w:val="single" w:sz="4" w:space="0" w:color="auto"/>
              <w:left w:val="single" w:sz="4" w:space="0" w:color="auto"/>
              <w:bottom w:val="single" w:sz="4" w:space="0" w:color="auto"/>
            </w:tcBorders>
            <w:shd w:val="clear" w:color="auto" w:fill="548DD4" w:themeFill="text2" w:themeFillTint="99"/>
          </w:tcPr>
          <w:p w14:paraId="7EF2269D" w14:textId="5A61AAB7"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Պարտքի սպասարկման գործակից</w:t>
            </w:r>
          </w:p>
        </w:tc>
        <w:tc>
          <w:tcPr>
            <w:tcW w:w="1593" w:type="dxa"/>
            <w:gridSpan w:val="2"/>
            <w:tcBorders>
              <w:top w:val="single" w:sz="4" w:space="0" w:color="auto"/>
              <w:left w:val="single" w:sz="4" w:space="0" w:color="auto"/>
              <w:bottom w:val="single" w:sz="4" w:space="0" w:color="auto"/>
            </w:tcBorders>
            <w:shd w:val="clear" w:color="auto" w:fill="548DD4" w:themeFill="text2" w:themeFillTint="99"/>
          </w:tcPr>
          <w:p w14:paraId="2AC044AE" w14:textId="5B8B353C"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Վերաֆինանսավորման գործակից</w:t>
            </w:r>
          </w:p>
        </w:tc>
        <w:tc>
          <w:tcPr>
            <w:tcW w:w="1364"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tcPr>
          <w:p w14:paraId="2D179390" w14:textId="6268EB81"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Z- միավոր</w:t>
            </w:r>
          </w:p>
        </w:tc>
      </w:tr>
      <w:tr w:rsidR="000E76D9" w:rsidRPr="00A83C94" w14:paraId="052BF3F8" w14:textId="77777777" w:rsidTr="00B814B9">
        <w:tblPrEx>
          <w:tblBorders>
            <w:top w:val="single" w:sz="2" w:space="0" w:color="8EAADB"/>
            <w:left w:val="single" w:sz="2" w:space="0" w:color="8EAADB"/>
            <w:bottom w:val="single" w:sz="2" w:space="0" w:color="8EAADB"/>
            <w:right w:val="single" w:sz="2" w:space="0" w:color="8EAADB"/>
            <w:insideH w:val="single" w:sz="2" w:space="0" w:color="8EAADB"/>
            <w:insideV w:val="single" w:sz="2" w:space="0" w:color="8EAADB"/>
          </w:tblBorders>
          <w:tblCellMar>
            <w:left w:w="60" w:type="dxa"/>
            <w:right w:w="60" w:type="dxa"/>
          </w:tblCellMar>
        </w:tblPrEx>
        <w:trPr>
          <w:trHeight w:val="160"/>
        </w:trPr>
        <w:tc>
          <w:tcPr>
            <w:tcW w:w="2951" w:type="dxa"/>
            <w:tcBorders>
              <w:top w:val="single" w:sz="4" w:space="0" w:color="auto"/>
              <w:left w:val="single" w:sz="4" w:space="0" w:color="auto"/>
              <w:bottom w:val="single" w:sz="4" w:space="0" w:color="auto"/>
              <w:right w:val="single" w:sz="4" w:space="0" w:color="auto"/>
            </w:tcBorders>
            <w:shd w:val="clear" w:color="auto" w:fill="D9E2F3"/>
            <w:noWrap/>
          </w:tcPr>
          <w:p w14:paraId="0F7924C4" w14:textId="77777777" w:rsidR="000E76D9" w:rsidRPr="00A83C94" w:rsidRDefault="000E76D9" w:rsidP="000E76D9">
            <w:pPr>
              <w:spacing w:before="0" w:line="240" w:lineRule="auto"/>
              <w:ind w:firstLine="0"/>
              <w:contextualSpacing w:val="0"/>
              <w:jc w:val="center"/>
              <w:rPr>
                <w:b w:val="0"/>
                <w:sz w:val="16"/>
                <w:szCs w:val="16"/>
                <w:lang w:val="hy-AM"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584246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97676C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40B6F8C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467286E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AEA7A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7163B4E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191FAA9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6EE0C80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4067D9C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6B1AFB6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2020</w:t>
            </w:r>
          </w:p>
        </w:tc>
      </w:tr>
      <w:tr w:rsidR="000E76D9" w:rsidRPr="00A83C94" w14:paraId="4C98CEAA"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noWrap/>
            <w:vAlign w:val="center"/>
          </w:tcPr>
          <w:p w14:paraId="023B1849"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«Երևանի ջերմաէլեկտրակենտրոն ՓԲԸ</w:t>
            </w:r>
          </w:p>
        </w:tc>
        <w:tc>
          <w:tcPr>
            <w:tcW w:w="709" w:type="dxa"/>
            <w:tcBorders>
              <w:top w:val="single" w:sz="4" w:space="0" w:color="auto"/>
              <w:left w:val="single" w:sz="4" w:space="0" w:color="auto"/>
              <w:bottom w:val="single" w:sz="4" w:space="0" w:color="auto"/>
              <w:right w:val="single" w:sz="4" w:space="0" w:color="auto"/>
            </w:tcBorders>
            <w:noWrap/>
          </w:tcPr>
          <w:p w14:paraId="301F5BE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1.06</w:t>
            </w:r>
          </w:p>
        </w:tc>
        <w:tc>
          <w:tcPr>
            <w:tcW w:w="709" w:type="dxa"/>
            <w:tcBorders>
              <w:top w:val="single" w:sz="4" w:space="0" w:color="auto"/>
              <w:left w:val="single" w:sz="4" w:space="0" w:color="auto"/>
              <w:bottom w:val="single" w:sz="4" w:space="0" w:color="auto"/>
              <w:right w:val="single" w:sz="4" w:space="0" w:color="auto"/>
            </w:tcBorders>
            <w:noWrap/>
          </w:tcPr>
          <w:p w14:paraId="3E16377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1.08</w:t>
            </w:r>
          </w:p>
        </w:tc>
        <w:tc>
          <w:tcPr>
            <w:tcW w:w="850" w:type="dxa"/>
            <w:tcBorders>
              <w:top w:val="single" w:sz="4" w:space="0" w:color="auto"/>
              <w:left w:val="single" w:sz="4" w:space="0" w:color="auto"/>
              <w:bottom w:val="single" w:sz="4" w:space="0" w:color="auto"/>
              <w:right w:val="single" w:sz="4" w:space="0" w:color="auto"/>
            </w:tcBorders>
            <w:noWrap/>
          </w:tcPr>
          <w:p w14:paraId="7559B83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1.68</w:t>
            </w:r>
          </w:p>
        </w:tc>
        <w:tc>
          <w:tcPr>
            <w:tcW w:w="851" w:type="dxa"/>
            <w:tcBorders>
              <w:top w:val="single" w:sz="4" w:space="0" w:color="auto"/>
              <w:left w:val="single" w:sz="4" w:space="0" w:color="auto"/>
              <w:bottom w:val="single" w:sz="4" w:space="0" w:color="auto"/>
              <w:right w:val="single" w:sz="4" w:space="0" w:color="auto"/>
            </w:tcBorders>
            <w:noWrap/>
          </w:tcPr>
          <w:p w14:paraId="0DFC67A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(15.49)</w:t>
            </w:r>
          </w:p>
        </w:tc>
        <w:tc>
          <w:tcPr>
            <w:tcW w:w="709" w:type="dxa"/>
            <w:tcBorders>
              <w:top w:val="single" w:sz="4" w:space="0" w:color="auto"/>
              <w:left w:val="single" w:sz="4" w:space="0" w:color="auto"/>
              <w:bottom w:val="single" w:sz="4" w:space="0" w:color="auto"/>
              <w:right w:val="single" w:sz="4" w:space="0" w:color="auto"/>
            </w:tcBorders>
            <w:noWrap/>
          </w:tcPr>
          <w:p w14:paraId="2722281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0.12</w:t>
            </w:r>
          </w:p>
        </w:tc>
        <w:tc>
          <w:tcPr>
            <w:tcW w:w="586" w:type="dxa"/>
            <w:tcBorders>
              <w:top w:val="single" w:sz="4" w:space="0" w:color="auto"/>
              <w:left w:val="single" w:sz="4" w:space="0" w:color="auto"/>
              <w:bottom w:val="single" w:sz="4" w:space="0" w:color="auto"/>
              <w:right w:val="single" w:sz="4" w:space="0" w:color="auto"/>
            </w:tcBorders>
            <w:noWrap/>
          </w:tcPr>
          <w:p w14:paraId="64690F2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0.28</w:t>
            </w:r>
          </w:p>
        </w:tc>
        <w:tc>
          <w:tcPr>
            <w:tcW w:w="767" w:type="dxa"/>
            <w:tcBorders>
              <w:top w:val="single" w:sz="4" w:space="0" w:color="auto"/>
              <w:left w:val="single" w:sz="4" w:space="0" w:color="auto"/>
              <w:bottom w:val="single" w:sz="4" w:space="0" w:color="auto"/>
              <w:right w:val="single" w:sz="4" w:space="0" w:color="auto"/>
            </w:tcBorders>
            <w:noWrap/>
          </w:tcPr>
          <w:p w14:paraId="2D778E0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2.78</w:t>
            </w:r>
          </w:p>
        </w:tc>
        <w:tc>
          <w:tcPr>
            <w:tcW w:w="826" w:type="dxa"/>
            <w:tcBorders>
              <w:top w:val="single" w:sz="4" w:space="0" w:color="auto"/>
              <w:left w:val="single" w:sz="4" w:space="0" w:color="auto"/>
              <w:bottom w:val="single" w:sz="4" w:space="0" w:color="auto"/>
              <w:right w:val="single" w:sz="4" w:space="0" w:color="auto"/>
            </w:tcBorders>
            <w:noWrap/>
          </w:tcPr>
          <w:p w14:paraId="5E919A1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6.74</w:t>
            </w:r>
          </w:p>
        </w:tc>
        <w:tc>
          <w:tcPr>
            <w:tcW w:w="725" w:type="dxa"/>
            <w:tcBorders>
              <w:top w:val="single" w:sz="4" w:space="0" w:color="auto"/>
              <w:left w:val="single" w:sz="4" w:space="0" w:color="auto"/>
              <w:bottom w:val="single" w:sz="4" w:space="0" w:color="auto"/>
              <w:right w:val="single" w:sz="4" w:space="0" w:color="auto"/>
            </w:tcBorders>
            <w:noWrap/>
          </w:tcPr>
          <w:p w14:paraId="12D1002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(0.67)</w:t>
            </w:r>
          </w:p>
        </w:tc>
        <w:tc>
          <w:tcPr>
            <w:tcW w:w="639" w:type="dxa"/>
            <w:tcBorders>
              <w:top w:val="single" w:sz="4" w:space="0" w:color="auto"/>
              <w:left w:val="single" w:sz="4" w:space="0" w:color="auto"/>
              <w:bottom w:val="single" w:sz="4" w:space="0" w:color="auto"/>
              <w:right w:val="single" w:sz="4" w:space="0" w:color="auto"/>
            </w:tcBorders>
            <w:noWrap/>
          </w:tcPr>
          <w:p w14:paraId="76FFC0E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(1.44)</w:t>
            </w:r>
          </w:p>
        </w:tc>
      </w:tr>
      <w:tr w:rsidR="000E76D9" w:rsidRPr="00A83C94" w14:paraId="06731405"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shd w:val="clear" w:color="auto" w:fill="D9E2F3"/>
            <w:noWrap/>
            <w:vAlign w:val="center"/>
          </w:tcPr>
          <w:p w14:paraId="1D3D1AC3"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«Հայկական ատոմային էլեկտրակայան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4C387DD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0.84</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E4144A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0.87</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18F38B7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(11.13)</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5239408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(43.51)</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796E142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4.58</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0F08C99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0.29</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5F2B0F4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(6.41)</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11F5298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3.65</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0547C02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8.37</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2CA30E9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7.73</w:t>
            </w:r>
          </w:p>
        </w:tc>
      </w:tr>
      <w:tr w:rsidR="000E76D9" w:rsidRPr="00A83C94" w14:paraId="22399551"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noWrap/>
            <w:vAlign w:val="center"/>
          </w:tcPr>
          <w:p w14:paraId="07D3A58A"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bCs/>
                <w:sz w:val="16"/>
                <w:szCs w:val="16"/>
                <w:lang w:val="hy-AM" w:eastAsia="en-US"/>
              </w:rPr>
              <w:t>«Բարձրավոլտ էլեկտրական ցանցեր ՓԲԸ</w:t>
            </w:r>
          </w:p>
        </w:tc>
        <w:tc>
          <w:tcPr>
            <w:tcW w:w="709" w:type="dxa"/>
            <w:tcBorders>
              <w:top w:val="single" w:sz="4" w:space="0" w:color="auto"/>
              <w:left w:val="single" w:sz="4" w:space="0" w:color="auto"/>
              <w:bottom w:val="single" w:sz="4" w:space="0" w:color="auto"/>
              <w:right w:val="single" w:sz="4" w:space="0" w:color="auto"/>
            </w:tcBorders>
            <w:noWrap/>
          </w:tcPr>
          <w:p w14:paraId="5D82489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1.42</w:t>
            </w:r>
          </w:p>
        </w:tc>
        <w:tc>
          <w:tcPr>
            <w:tcW w:w="709" w:type="dxa"/>
            <w:tcBorders>
              <w:top w:val="single" w:sz="4" w:space="0" w:color="auto"/>
              <w:left w:val="single" w:sz="4" w:space="0" w:color="auto"/>
              <w:bottom w:val="single" w:sz="4" w:space="0" w:color="auto"/>
              <w:right w:val="single" w:sz="4" w:space="0" w:color="auto"/>
            </w:tcBorders>
            <w:noWrap/>
          </w:tcPr>
          <w:p w14:paraId="6A26CDA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1.60</w:t>
            </w:r>
          </w:p>
        </w:tc>
        <w:tc>
          <w:tcPr>
            <w:tcW w:w="850" w:type="dxa"/>
            <w:tcBorders>
              <w:top w:val="single" w:sz="4" w:space="0" w:color="auto"/>
              <w:left w:val="single" w:sz="4" w:space="0" w:color="auto"/>
              <w:bottom w:val="single" w:sz="4" w:space="0" w:color="auto"/>
              <w:right w:val="single" w:sz="4" w:space="0" w:color="auto"/>
            </w:tcBorders>
            <w:noWrap/>
          </w:tcPr>
          <w:p w14:paraId="6DAD280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49.15</w:t>
            </w:r>
          </w:p>
        </w:tc>
        <w:tc>
          <w:tcPr>
            <w:tcW w:w="851" w:type="dxa"/>
            <w:tcBorders>
              <w:top w:val="single" w:sz="4" w:space="0" w:color="auto"/>
              <w:left w:val="single" w:sz="4" w:space="0" w:color="auto"/>
              <w:bottom w:val="single" w:sz="4" w:space="0" w:color="auto"/>
              <w:right w:val="single" w:sz="4" w:space="0" w:color="auto"/>
            </w:tcBorders>
            <w:noWrap/>
          </w:tcPr>
          <w:p w14:paraId="26E4BD7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(133.6)</w:t>
            </w:r>
          </w:p>
        </w:tc>
        <w:tc>
          <w:tcPr>
            <w:tcW w:w="709" w:type="dxa"/>
            <w:tcBorders>
              <w:top w:val="single" w:sz="4" w:space="0" w:color="auto"/>
              <w:left w:val="single" w:sz="4" w:space="0" w:color="auto"/>
              <w:bottom w:val="single" w:sz="4" w:space="0" w:color="auto"/>
              <w:right w:val="single" w:sz="4" w:space="0" w:color="auto"/>
            </w:tcBorders>
            <w:noWrap/>
          </w:tcPr>
          <w:p w14:paraId="3045C8C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0.20</w:t>
            </w:r>
          </w:p>
        </w:tc>
        <w:tc>
          <w:tcPr>
            <w:tcW w:w="586" w:type="dxa"/>
            <w:tcBorders>
              <w:top w:val="single" w:sz="4" w:space="0" w:color="auto"/>
              <w:left w:val="single" w:sz="4" w:space="0" w:color="auto"/>
              <w:bottom w:val="single" w:sz="4" w:space="0" w:color="auto"/>
              <w:right w:val="single" w:sz="4" w:space="0" w:color="auto"/>
            </w:tcBorders>
            <w:noWrap/>
          </w:tcPr>
          <w:p w14:paraId="0033B9B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0.21</w:t>
            </w:r>
          </w:p>
        </w:tc>
        <w:tc>
          <w:tcPr>
            <w:tcW w:w="767" w:type="dxa"/>
            <w:tcBorders>
              <w:top w:val="single" w:sz="4" w:space="0" w:color="auto"/>
              <w:left w:val="single" w:sz="4" w:space="0" w:color="auto"/>
              <w:bottom w:val="single" w:sz="4" w:space="0" w:color="auto"/>
              <w:right w:val="single" w:sz="4" w:space="0" w:color="auto"/>
            </w:tcBorders>
            <w:noWrap/>
          </w:tcPr>
          <w:p w14:paraId="5B68189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2.06</w:t>
            </w:r>
          </w:p>
        </w:tc>
        <w:tc>
          <w:tcPr>
            <w:tcW w:w="826" w:type="dxa"/>
            <w:tcBorders>
              <w:top w:val="single" w:sz="4" w:space="0" w:color="auto"/>
              <w:left w:val="single" w:sz="4" w:space="0" w:color="auto"/>
              <w:bottom w:val="single" w:sz="4" w:space="0" w:color="auto"/>
              <w:right w:val="single" w:sz="4" w:space="0" w:color="auto"/>
            </w:tcBorders>
            <w:noWrap/>
          </w:tcPr>
          <w:p w14:paraId="438334E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2.11</w:t>
            </w:r>
          </w:p>
        </w:tc>
        <w:tc>
          <w:tcPr>
            <w:tcW w:w="725" w:type="dxa"/>
            <w:tcBorders>
              <w:top w:val="single" w:sz="4" w:space="0" w:color="auto"/>
              <w:left w:val="single" w:sz="4" w:space="0" w:color="auto"/>
              <w:bottom w:val="single" w:sz="4" w:space="0" w:color="auto"/>
              <w:right w:val="single" w:sz="4" w:space="0" w:color="auto"/>
            </w:tcBorders>
            <w:noWrap/>
          </w:tcPr>
          <w:p w14:paraId="1B91CCC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1.11</w:t>
            </w:r>
          </w:p>
        </w:tc>
        <w:tc>
          <w:tcPr>
            <w:tcW w:w="639" w:type="dxa"/>
            <w:tcBorders>
              <w:top w:val="single" w:sz="4" w:space="0" w:color="auto"/>
              <w:left w:val="single" w:sz="4" w:space="0" w:color="auto"/>
              <w:bottom w:val="single" w:sz="4" w:space="0" w:color="auto"/>
              <w:right w:val="single" w:sz="4" w:space="0" w:color="auto"/>
            </w:tcBorders>
            <w:noWrap/>
          </w:tcPr>
          <w:p w14:paraId="4368B02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0.32</w:t>
            </w:r>
          </w:p>
        </w:tc>
      </w:tr>
      <w:tr w:rsidR="000E76D9" w:rsidRPr="00A83C94" w14:paraId="38B98A96"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shd w:val="clear" w:color="auto" w:fill="D9E2F3"/>
            <w:noWrap/>
          </w:tcPr>
          <w:p w14:paraId="1622082A"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bCs/>
                <w:sz w:val="16"/>
                <w:szCs w:val="16"/>
                <w:lang w:val="hy-AM" w:eastAsia="en-US"/>
              </w:rPr>
              <w:t>«Էլեկտրաէներգետիկական համակարգի օպերատոր»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9FEE8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1.05</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C8E7E8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1.25</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4198871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0.94</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1384325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(41.37)</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518CD08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0.03</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2229CF5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0.02</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390360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0.28</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51A05ED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0.24</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1062DBA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1.20</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3B90AFE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0.60</w:t>
            </w:r>
          </w:p>
        </w:tc>
      </w:tr>
      <w:tr w:rsidR="000E76D9" w:rsidRPr="00A83C94" w14:paraId="5C0E2854"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noWrap/>
          </w:tcPr>
          <w:p w14:paraId="41066985"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Կարեն Դեմիրճյանի անվան Երևանի մետրոպոլիտեն ՓԲԸ</w:t>
            </w:r>
          </w:p>
        </w:tc>
        <w:tc>
          <w:tcPr>
            <w:tcW w:w="709" w:type="dxa"/>
            <w:tcBorders>
              <w:top w:val="single" w:sz="4" w:space="0" w:color="auto"/>
              <w:left w:val="single" w:sz="4" w:space="0" w:color="auto"/>
              <w:bottom w:val="single" w:sz="4" w:space="0" w:color="auto"/>
              <w:right w:val="single" w:sz="4" w:space="0" w:color="auto"/>
            </w:tcBorders>
            <w:noWrap/>
          </w:tcPr>
          <w:p w14:paraId="2E0AE2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1.21</w:t>
            </w:r>
          </w:p>
        </w:tc>
        <w:tc>
          <w:tcPr>
            <w:tcW w:w="709" w:type="dxa"/>
            <w:tcBorders>
              <w:top w:val="single" w:sz="4" w:space="0" w:color="auto"/>
              <w:left w:val="single" w:sz="4" w:space="0" w:color="auto"/>
              <w:bottom w:val="single" w:sz="4" w:space="0" w:color="auto"/>
              <w:right w:val="single" w:sz="4" w:space="0" w:color="auto"/>
            </w:tcBorders>
            <w:noWrap/>
          </w:tcPr>
          <w:p w14:paraId="72A67B4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0.95</w:t>
            </w:r>
          </w:p>
        </w:tc>
        <w:tc>
          <w:tcPr>
            <w:tcW w:w="850" w:type="dxa"/>
            <w:tcBorders>
              <w:top w:val="single" w:sz="4" w:space="0" w:color="auto"/>
              <w:left w:val="single" w:sz="4" w:space="0" w:color="auto"/>
              <w:bottom w:val="single" w:sz="4" w:space="0" w:color="auto"/>
              <w:right w:val="single" w:sz="4" w:space="0" w:color="auto"/>
            </w:tcBorders>
            <w:noWrap/>
          </w:tcPr>
          <w:p w14:paraId="77D5609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22.68</w:t>
            </w:r>
          </w:p>
        </w:tc>
        <w:tc>
          <w:tcPr>
            <w:tcW w:w="851" w:type="dxa"/>
            <w:tcBorders>
              <w:top w:val="single" w:sz="4" w:space="0" w:color="auto"/>
              <w:left w:val="single" w:sz="4" w:space="0" w:color="auto"/>
              <w:bottom w:val="single" w:sz="4" w:space="0" w:color="auto"/>
              <w:right w:val="single" w:sz="4" w:space="0" w:color="auto"/>
            </w:tcBorders>
            <w:noWrap/>
          </w:tcPr>
          <w:p w14:paraId="4FE7411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(44.18)</w:t>
            </w:r>
          </w:p>
        </w:tc>
        <w:tc>
          <w:tcPr>
            <w:tcW w:w="709" w:type="dxa"/>
            <w:tcBorders>
              <w:top w:val="single" w:sz="4" w:space="0" w:color="auto"/>
              <w:left w:val="single" w:sz="4" w:space="0" w:color="auto"/>
              <w:bottom w:val="single" w:sz="4" w:space="0" w:color="auto"/>
              <w:right w:val="single" w:sz="4" w:space="0" w:color="auto"/>
            </w:tcBorders>
            <w:noWrap/>
          </w:tcPr>
          <w:p w14:paraId="75B81CA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0.03</w:t>
            </w:r>
          </w:p>
        </w:tc>
        <w:tc>
          <w:tcPr>
            <w:tcW w:w="586" w:type="dxa"/>
            <w:tcBorders>
              <w:top w:val="single" w:sz="4" w:space="0" w:color="auto"/>
              <w:left w:val="single" w:sz="4" w:space="0" w:color="auto"/>
              <w:bottom w:val="single" w:sz="4" w:space="0" w:color="auto"/>
              <w:right w:val="single" w:sz="4" w:space="0" w:color="auto"/>
            </w:tcBorders>
            <w:noWrap/>
          </w:tcPr>
          <w:p w14:paraId="332F95E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0.10</w:t>
            </w:r>
          </w:p>
        </w:tc>
        <w:tc>
          <w:tcPr>
            <w:tcW w:w="767" w:type="dxa"/>
            <w:tcBorders>
              <w:top w:val="single" w:sz="4" w:space="0" w:color="auto"/>
              <w:left w:val="single" w:sz="4" w:space="0" w:color="auto"/>
              <w:bottom w:val="single" w:sz="4" w:space="0" w:color="auto"/>
              <w:right w:val="single" w:sz="4" w:space="0" w:color="auto"/>
            </w:tcBorders>
            <w:noWrap/>
          </w:tcPr>
          <w:p w14:paraId="4396559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0.68</w:t>
            </w:r>
          </w:p>
        </w:tc>
        <w:tc>
          <w:tcPr>
            <w:tcW w:w="826" w:type="dxa"/>
            <w:tcBorders>
              <w:top w:val="single" w:sz="4" w:space="0" w:color="auto"/>
              <w:left w:val="single" w:sz="4" w:space="0" w:color="auto"/>
              <w:bottom w:val="single" w:sz="4" w:space="0" w:color="auto"/>
              <w:right w:val="single" w:sz="4" w:space="0" w:color="auto"/>
            </w:tcBorders>
            <w:noWrap/>
          </w:tcPr>
          <w:p w14:paraId="795F900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3.22</w:t>
            </w:r>
          </w:p>
        </w:tc>
        <w:tc>
          <w:tcPr>
            <w:tcW w:w="725" w:type="dxa"/>
            <w:tcBorders>
              <w:top w:val="single" w:sz="4" w:space="0" w:color="auto"/>
              <w:left w:val="single" w:sz="4" w:space="0" w:color="auto"/>
              <w:bottom w:val="single" w:sz="4" w:space="0" w:color="auto"/>
              <w:right w:val="single" w:sz="4" w:space="0" w:color="auto"/>
            </w:tcBorders>
            <w:noWrap/>
          </w:tcPr>
          <w:p w14:paraId="6225192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1.58</w:t>
            </w:r>
          </w:p>
        </w:tc>
        <w:tc>
          <w:tcPr>
            <w:tcW w:w="639" w:type="dxa"/>
            <w:tcBorders>
              <w:top w:val="single" w:sz="4" w:space="0" w:color="auto"/>
              <w:left w:val="single" w:sz="4" w:space="0" w:color="auto"/>
              <w:bottom w:val="single" w:sz="4" w:space="0" w:color="auto"/>
              <w:right w:val="single" w:sz="4" w:space="0" w:color="auto"/>
            </w:tcBorders>
            <w:noWrap/>
          </w:tcPr>
          <w:p w14:paraId="444311C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0.27</w:t>
            </w:r>
          </w:p>
        </w:tc>
      </w:tr>
      <w:tr w:rsidR="000E76D9" w:rsidRPr="00A83C94" w14:paraId="53C3EF92"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shd w:val="clear" w:color="auto" w:fill="D9E2F3"/>
            <w:noWrap/>
          </w:tcPr>
          <w:p w14:paraId="262E1654"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Ռադիոիզոտոպների արտադրության կենտրոն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511B590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0.54</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1322F9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0.40</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1D587E7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66F9319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(305.8)</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00F03FD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1BCD76E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3457D31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(0.00)</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284AD84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(0.09)</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5A585B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(2.40)</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0AB819D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(1.96)</w:t>
            </w:r>
          </w:p>
        </w:tc>
      </w:tr>
      <w:tr w:rsidR="000E76D9" w:rsidRPr="00A83C94" w14:paraId="1D461D00"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noWrap/>
          </w:tcPr>
          <w:p w14:paraId="1ECAA329"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Համո Բեկնազարյանի անվան «Հայֆիլմ» կինոստուդիա ՓԲԸ</w:t>
            </w:r>
          </w:p>
        </w:tc>
        <w:tc>
          <w:tcPr>
            <w:tcW w:w="709" w:type="dxa"/>
            <w:tcBorders>
              <w:top w:val="single" w:sz="4" w:space="0" w:color="auto"/>
              <w:left w:val="single" w:sz="4" w:space="0" w:color="auto"/>
              <w:bottom w:val="single" w:sz="4" w:space="0" w:color="auto"/>
              <w:right w:val="single" w:sz="4" w:space="0" w:color="auto"/>
            </w:tcBorders>
            <w:noWrap/>
          </w:tcPr>
          <w:p w14:paraId="5EE21DA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0.31</w:t>
            </w:r>
          </w:p>
        </w:tc>
        <w:tc>
          <w:tcPr>
            <w:tcW w:w="709" w:type="dxa"/>
            <w:tcBorders>
              <w:top w:val="single" w:sz="4" w:space="0" w:color="auto"/>
              <w:left w:val="single" w:sz="4" w:space="0" w:color="auto"/>
              <w:bottom w:val="single" w:sz="4" w:space="0" w:color="auto"/>
              <w:right w:val="single" w:sz="4" w:space="0" w:color="auto"/>
            </w:tcBorders>
            <w:noWrap/>
          </w:tcPr>
          <w:p w14:paraId="2399887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0.42</w:t>
            </w:r>
          </w:p>
        </w:tc>
        <w:tc>
          <w:tcPr>
            <w:tcW w:w="850" w:type="dxa"/>
            <w:tcBorders>
              <w:top w:val="single" w:sz="4" w:space="0" w:color="auto"/>
              <w:left w:val="single" w:sz="4" w:space="0" w:color="auto"/>
              <w:bottom w:val="single" w:sz="4" w:space="0" w:color="auto"/>
              <w:right w:val="single" w:sz="4" w:space="0" w:color="auto"/>
            </w:tcBorders>
            <w:noWrap/>
          </w:tcPr>
          <w:p w14:paraId="5415C29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(268.4)</w:t>
            </w:r>
          </w:p>
        </w:tc>
        <w:tc>
          <w:tcPr>
            <w:tcW w:w="851" w:type="dxa"/>
            <w:tcBorders>
              <w:top w:val="single" w:sz="4" w:space="0" w:color="auto"/>
              <w:left w:val="single" w:sz="4" w:space="0" w:color="auto"/>
              <w:bottom w:val="single" w:sz="4" w:space="0" w:color="auto"/>
              <w:right w:val="single" w:sz="4" w:space="0" w:color="auto"/>
            </w:tcBorders>
            <w:noWrap/>
          </w:tcPr>
          <w:p w14:paraId="61D6972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(218.7)</w:t>
            </w:r>
          </w:p>
        </w:tc>
        <w:tc>
          <w:tcPr>
            <w:tcW w:w="709" w:type="dxa"/>
            <w:tcBorders>
              <w:top w:val="single" w:sz="4" w:space="0" w:color="auto"/>
              <w:left w:val="single" w:sz="4" w:space="0" w:color="auto"/>
              <w:bottom w:val="single" w:sz="4" w:space="0" w:color="auto"/>
              <w:right w:val="single" w:sz="4" w:space="0" w:color="auto"/>
            </w:tcBorders>
            <w:noWrap/>
          </w:tcPr>
          <w:p w14:paraId="0072C3B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noWrap/>
          </w:tcPr>
          <w:p w14:paraId="4DCBDF1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noWrap/>
          </w:tcPr>
          <w:p w14:paraId="213A160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(2.89)</w:t>
            </w:r>
          </w:p>
        </w:tc>
        <w:tc>
          <w:tcPr>
            <w:tcW w:w="826" w:type="dxa"/>
            <w:tcBorders>
              <w:top w:val="single" w:sz="4" w:space="0" w:color="auto"/>
              <w:left w:val="single" w:sz="4" w:space="0" w:color="auto"/>
              <w:bottom w:val="single" w:sz="4" w:space="0" w:color="auto"/>
              <w:right w:val="single" w:sz="4" w:space="0" w:color="auto"/>
            </w:tcBorders>
            <w:noWrap/>
          </w:tcPr>
          <w:p w14:paraId="4C6BD0F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95.32</w:t>
            </w:r>
          </w:p>
        </w:tc>
        <w:tc>
          <w:tcPr>
            <w:tcW w:w="725" w:type="dxa"/>
            <w:tcBorders>
              <w:top w:val="single" w:sz="4" w:space="0" w:color="auto"/>
              <w:left w:val="single" w:sz="4" w:space="0" w:color="auto"/>
              <w:bottom w:val="single" w:sz="4" w:space="0" w:color="auto"/>
              <w:right w:val="single" w:sz="4" w:space="0" w:color="auto"/>
            </w:tcBorders>
            <w:noWrap/>
          </w:tcPr>
          <w:p w14:paraId="5F3CD6C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8.74</w:t>
            </w:r>
          </w:p>
        </w:tc>
        <w:tc>
          <w:tcPr>
            <w:tcW w:w="639" w:type="dxa"/>
            <w:tcBorders>
              <w:top w:val="single" w:sz="4" w:space="0" w:color="auto"/>
              <w:left w:val="single" w:sz="4" w:space="0" w:color="auto"/>
              <w:bottom w:val="single" w:sz="4" w:space="0" w:color="auto"/>
              <w:right w:val="single" w:sz="4" w:space="0" w:color="auto"/>
            </w:tcBorders>
            <w:noWrap/>
          </w:tcPr>
          <w:p w14:paraId="3C08162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7.53</w:t>
            </w:r>
          </w:p>
        </w:tc>
      </w:tr>
      <w:tr w:rsidR="000E76D9" w:rsidRPr="00A83C94" w14:paraId="6A6FA271"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shd w:val="clear" w:color="auto" w:fill="D9E2F3"/>
            <w:noWrap/>
          </w:tcPr>
          <w:p w14:paraId="25D34C23"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Գյումրու բժշկական կենտրոն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61CAAF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1.01</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04D78DD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0.97</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5C68345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0.21</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24AD98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(5.18)</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BD296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(0.16)</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1DE9F07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0.30</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32B9F65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3.94</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232C58E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(10.36)</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775B3B9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3.20</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020A912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2.68</w:t>
            </w:r>
          </w:p>
        </w:tc>
      </w:tr>
      <w:tr w:rsidR="000E76D9" w:rsidRPr="00A83C94" w14:paraId="7B158305"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noWrap/>
          </w:tcPr>
          <w:p w14:paraId="57B7AD0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bCs/>
                <w:sz w:val="16"/>
                <w:szCs w:val="16"/>
                <w:lang w:val="hy-AM" w:eastAsia="en-US"/>
              </w:rPr>
              <w:t>Ջրառ ՓԲԸ</w:t>
            </w:r>
          </w:p>
        </w:tc>
        <w:tc>
          <w:tcPr>
            <w:tcW w:w="709" w:type="dxa"/>
            <w:tcBorders>
              <w:top w:val="single" w:sz="4" w:space="0" w:color="auto"/>
              <w:left w:val="single" w:sz="4" w:space="0" w:color="auto"/>
              <w:bottom w:val="single" w:sz="4" w:space="0" w:color="auto"/>
              <w:right w:val="single" w:sz="4" w:space="0" w:color="auto"/>
            </w:tcBorders>
            <w:noWrap/>
          </w:tcPr>
          <w:p w14:paraId="3C74FC0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0.43</w:t>
            </w:r>
          </w:p>
        </w:tc>
        <w:tc>
          <w:tcPr>
            <w:tcW w:w="709" w:type="dxa"/>
            <w:tcBorders>
              <w:top w:val="single" w:sz="4" w:space="0" w:color="auto"/>
              <w:left w:val="single" w:sz="4" w:space="0" w:color="auto"/>
              <w:bottom w:val="single" w:sz="4" w:space="0" w:color="auto"/>
              <w:right w:val="single" w:sz="4" w:space="0" w:color="auto"/>
            </w:tcBorders>
            <w:noWrap/>
          </w:tcPr>
          <w:p w14:paraId="6EF615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0.71</w:t>
            </w:r>
          </w:p>
        </w:tc>
        <w:tc>
          <w:tcPr>
            <w:tcW w:w="850" w:type="dxa"/>
            <w:tcBorders>
              <w:top w:val="single" w:sz="4" w:space="0" w:color="auto"/>
              <w:left w:val="single" w:sz="4" w:space="0" w:color="auto"/>
              <w:bottom w:val="single" w:sz="4" w:space="0" w:color="auto"/>
              <w:right w:val="single" w:sz="4" w:space="0" w:color="auto"/>
            </w:tcBorders>
            <w:noWrap/>
          </w:tcPr>
          <w:p w14:paraId="71A0D1D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(242.3)</w:t>
            </w:r>
          </w:p>
        </w:tc>
        <w:tc>
          <w:tcPr>
            <w:tcW w:w="851" w:type="dxa"/>
            <w:tcBorders>
              <w:top w:val="single" w:sz="4" w:space="0" w:color="auto"/>
              <w:left w:val="single" w:sz="4" w:space="0" w:color="auto"/>
              <w:bottom w:val="single" w:sz="4" w:space="0" w:color="auto"/>
              <w:right w:val="single" w:sz="4" w:space="0" w:color="auto"/>
            </w:tcBorders>
            <w:noWrap/>
          </w:tcPr>
          <w:p w14:paraId="419FC80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(70.3)</w:t>
            </w:r>
          </w:p>
        </w:tc>
        <w:tc>
          <w:tcPr>
            <w:tcW w:w="709" w:type="dxa"/>
            <w:tcBorders>
              <w:top w:val="single" w:sz="4" w:space="0" w:color="auto"/>
              <w:left w:val="single" w:sz="4" w:space="0" w:color="auto"/>
              <w:bottom w:val="single" w:sz="4" w:space="0" w:color="auto"/>
              <w:right w:val="single" w:sz="4" w:space="0" w:color="auto"/>
            </w:tcBorders>
            <w:noWrap/>
          </w:tcPr>
          <w:p w14:paraId="29CA808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w:t>
            </w:r>
          </w:p>
        </w:tc>
        <w:tc>
          <w:tcPr>
            <w:tcW w:w="586" w:type="dxa"/>
            <w:tcBorders>
              <w:top w:val="single" w:sz="4" w:space="0" w:color="auto"/>
              <w:left w:val="single" w:sz="4" w:space="0" w:color="auto"/>
              <w:bottom w:val="single" w:sz="4" w:space="0" w:color="auto"/>
              <w:right w:val="single" w:sz="4" w:space="0" w:color="auto"/>
            </w:tcBorders>
            <w:noWrap/>
          </w:tcPr>
          <w:p w14:paraId="58B2754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noWrap/>
          </w:tcPr>
          <w:p w14:paraId="514A907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(0.07)</w:t>
            </w:r>
          </w:p>
        </w:tc>
        <w:tc>
          <w:tcPr>
            <w:tcW w:w="826" w:type="dxa"/>
            <w:tcBorders>
              <w:top w:val="single" w:sz="4" w:space="0" w:color="auto"/>
              <w:left w:val="single" w:sz="4" w:space="0" w:color="auto"/>
              <w:bottom w:val="single" w:sz="4" w:space="0" w:color="auto"/>
              <w:right w:val="single" w:sz="4" w:space="0" w:color="auto"/>
            </w:tcBorders>
            <w:noWrap/>
          </w:tcPr>
          <w:p w14:paraId="349422D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(0.13)</w:t>
            </w:r>
          </w:p>
        </w:tc>
        <w:tc>
          <w:tcPr>
            <w:tcW w:w="725" w:type="dxa"/>
            <w:tcBorders>
              <w:top w:val="single" w:sz="4" w:space="0" w:color="auto"/>
              <w:left w:val="single" w:sz="4" w:space="0" w:color="auto"/>
              <w:bottom w:val="single" w:sz="4" w:space="0" w:color="auto"/>
              <w:right w:val="single" w:sz="4" w:space="0" w:color="auto"/>
            </w:tcBorders>
            <w:noWrap/>
          </w:tcPr>
          <w:p w14:paraId="320A034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169.37</w:t>
            </w:r>
          </w:p>
        </w:tc>
        <w:tc>
          <w:tcPr>
            <w:tcW w:w="639" w:type="dxa"/>
            <w:tcBorders>
              <w:top w:val="single" w:sz="4" w:space="0" w:color="auto"/>
              <w:left w:val="single" w:sz="4" w:space="0" w:color="auto"/>
              <w:bottom w:val="single" w:sz="4" w:space="0" w:color="auto"/>
              <w:right w:val="single" w:sz="4" w:space="0" w:color="auto"/>
            </w:tcBorders>
            <w:noWrap/>
          </w:tcPr>
          <w:p w14:paraId="452D6F5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157.9</w:t>
            </w:r>
          </w:p>
        </w:tc>
      </w:tr>
      <w:tr w:rsidR="000E76D9" w:rsidRPr="00A83C94" w14:paraId="1EAB956A"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shd w:val="clear" w:color="auto" w:fill="D9E2F3"/>
            <w:noWrap/>
          </w:tcPr>
          <w:p w14:paraId="035040EB"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Վանաձորի բժշկական կենտրոն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8D732A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0.81</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BE8B0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0.87</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52E981E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(4.31)</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6328A73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(6.77)</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9A413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169358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2DB3DDC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2.40</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6850247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4.70</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6594994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2.33</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10C9897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2.25</w:t>
            </w:r>
          </w:p>
        </w:tc>
      </w:tr>
      <w:tr w:rsidR="000E76D9" w:rsidRPr="00A83C94" w14:paraId="0BE91FD9" w14:textId="77777777" w:rsidTr="00B814B9">
        <w:trPr>
          <w:trHeight w:val="439"/>
        </w:trPr>
        <w:tc>
          <w:tcPr>
            <w:tcW w:w="2951" w:type="dxa"/>
            <w:tcBorders>
              <w:top w:val="single" w:sz="4" w:space="0" w:color="auto"/>
              <w:left w:val="single" w:sz="4" w:space="0" w:color="auto"/>
              <w:bottom w:val="single" w:sz="4" w:space="0" w:color="auto"/>
              <w:right w:val="single" w:sz="4" w:space="0" w:color="auto"/>
            </w:tcBorders>
            <w:noWrap/>
          </w:tcPr>
          <w:p w14:paraId="378FCEA9"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Հայավտոկայարան ՓԲԸ</w:t>
            </w:r>
          </w:p>
        </w:tc>
        <w:tc>
          <w:tcPr>
            <w:tcW w:w="709" w:type="dxa"/>
            <w:tcBorders>
              <w:top w:val="single" w:sz="4" w:space="0" w:color="auto"/>
              <w:left w:val="single" w:sz="4" w:space="0" w:color="auto"/>
              <w:bottom w:val="single" w:sz="4" w:space="0" w:color="auto"/>
              <w:right w:val="single" w:sz="4" w:space="0" w:color="auto"/>
            </w:tcBorders>
            <w:noWrap/>
          </w:tcPr>
          <w:p w14:paraId="22F80A5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0.88</w:t>
            </w:r>
          </w:p>
        </w:tc>
        <w:tc>
          <w:tcPr>
            <w:tcW w:w="709" w:type="dxa"/>
            <w:tcBorders>
              <w:top w:val="single" w:sz="4" w:space="0" w:color="auto"/>
              <w:left w:val="single" w:sz="4" w:space="0" w:color="auto"/>
              <w:bottom w:val="single" w:sz="4" w:space="0" w:color="auto"/>
              <w:right w:val="single" w:sz="4" w:space="0" w:color="auto"/>
            </w:tcBorders>
            <w:noWrap/>
          </w:tcPr>
          <w:p w14:paraId="20B1FA2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1.20</w:t>
            </w:r>
          </w:p>
        </w:tc>
        <w:tc>
          <w:tcPr>
            <w:tcW w:w="850" w:type="dxa"/>
            <w:tcBorders>
              <w:top w:val="single" w:sz="4" w:space="0" w:color="auto"/>
              <w:left w:val="single" w:sz="4" w:space="0" w:color="auto"/>
              <w:bottom w:val="single" w:sz="4" w:space="0" w:color="auto"/>
              <w:right w:val="single" w:sz="4" w:space="0" w:color="auto"/>
            </w:tcBorders>
            <w:noWrap/>
          </w:tcPr>
          <w:p w14:paraId="66D7AE9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(16.59)</w:t>
            </w:r>
          </w:p>
        </w:tc>
        <w:tc>
          <w:tcPr>
            <w:tcW w:w="851" w:type="dxa"/>
            <w:tcBorders>
              <w:top w:val="single" w:sz="4" w:space="0" w:color="auto"/>
              <w:left w:val="single" w:sz="4" w:space="0" w:color="auto"/>
              <w:bottom w:val="single" w:sz="4" w:space="0" w:color="auto"/>
              <w:right w:val="single" w:sz="4" w:space="0" w:color="auto"/>
            </w:tcBorders>
            <w:noWrap/>
          </w:tcPr>
          <w:p w14:paraId="7B51EF0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13.50</w:t>
            </w:r>
          </w:p>
        </w:tc>
        <w:tc>
          <w:tcPr>
            <w:tcW w:w="709" w:type="dxa"/>
            <w:tcBorders>
              <w:top w:val="single" w:sz="4" w:space="0" w:color="auto"/>
              <w:left w:val="single" w:sz="4" w:space="0" w:color="auto"/>
              <w:bottom w:val="single" w:sz="4" w:space="0" w:color="auto"/>
              <w:right w:val="single" w:sz="4" w:space="0" w:color="auto"/>
            </w:tcBorders>
            <w:noWrap/>
          </w:tcPr>
          <w:p w14:paraId="114C02B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noWrap/>
          </w:tcPr>
          <w:p w14:paraId="2C11D7D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0.87</w:t>
            </w:r>
          </w:p>
        </w:tc>
        <w:tc>
          <w:tcPr>
            <w:tcW w:w="767" w:type="dxa"/>
            <w:tcBorders>
              <w:top w:val="single" w:sz="4" w:space="0" w:color="auto"/>
              <w:left w:val="single" w:sz="4" w:space="0" w:color="auto"/>
              <w:bottom w:val="single" w:sz="4" w:space="0" w:color="auto"/>
              <w:right w:val="single" w:sz="4" w:space="0" w:color="auto"/>
            </w:tcBorders>
            <w:noWrap/>
          </w:tcPr>
          <w:p w14:paraId="4391278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0.64</w:t>
            </w:r>
          </w:p>
        </w:tc>
        <w:tc>
          <w:tcPr>
            <w:tcW w:w="826" w:type="dxa"/>
            <w:tcBorders>
              <w:top w:val="single" w:sz="4" w:space="0" w:color="auto"/>
              <w:left w:val="single" w:sz="4" w:space="0" w:color="auto"/>
              <w:bottom w:val="single" w:sz="4" w:space="0" w:color="auto"/>
              <w:right w:val="single" w:sz="4" w:space="0" w:color="auto"/>
            </w:tcBorders>
            <w:noWrap/>
          </w:tcPr>
          <w:p w14:paraId="32A5F4C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1.04</w:t>
            </w:r>
          </w:p>
        </w:tc>
        <w:tc>
          <w:tcPr>
            <w:tcW w:w="725" w:type="dxa"/>
            <w:tcBorders>
              <w:top w:val="single" w:sz="4" w:space="0" w:color="auto"/>
              <w:left w:val="single" w:sz="4" w:space="0" w:color="auto"/>
              <w:bottom w:val="single" w:sz="4" w:space="0" w:color="auto"/>
              <w:right w:val="single" w:sz="4" w:space="0" w:color="auto"/>
            </w:tcBorders>
            <w:noWrap/>
          </w:tcPr>
          <w:p w14:paraId="23AD545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0.54</w:t>
            </w:r>
          </w:p>
        </w:tc>
        <w:tc>
          <w:tcPr>
            <w:tcW w:w="639" w:type="dxa"/>
            <w:tcBorders>
              <w:top w:val="single" w:sz="4" w:space="0" w:color="auto"/>
              <w:left w:val="single" w:sz="4" w:space="0" w:color="auto"/>
              <w:bottom w:val="single" w:sz="4" w:space="0" w:color="auto"/>
              <w:right w:val="single" w:sz="4" w:space="0" w:color="auto"/>
            </w:tcBorders>
            <w:noWrap/>
          </w:tcPr>
          <w:p w14:paraId="4B8A18E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1.03</w:t>
            </w:r>
          </w:p>
        </w:tc>
      </w:tr>
      <w:tr w:rsidR="000E76D9" w:rsidRPr="00813A99" w14:paraId="7EACA460" w14:textId="77777777" w:rsidTr="00B814B9">
        <w:trPr>
          <w:trHeight w:val="917"/>
        </w:trPr>
        <w:tc>
          <w:tcPr>
            <w:tcW w:w="2951" w:type="dxa"/>
            <w:tcBorders>
              <w:top w:val="single" w:sz="4" w:space="0" w:color="auto"/>
              <w:left w:val="single" w:sz="4" w:space="0" w:color="auto"/>
              <w:bottom w:val="single" w:sz="4" w:space="0" w:color="auto"/>
              <w:right w:val="single" w:sz="4" w:space="0" w:color="auto"/>
            </w:tcBorders>
            <w:shd w:val="clear" w:color="auto" w:fill="D9E2F3"/>
            <w:noWrap/>
          </w:tcPr>
          <w:p w14:paraId="09776C7A" w14:textId="77777777" w:rsidR="000E76D9" w:rsidRPr="00A83C94" w:rsidRDefault="000E76D9" w:rsidP="000E76D9">
            <w:pPr>
              <w:spacing w:before="0" w:line="240" w:lineRule="auto"/>
              <w:ind w:firstLine="0"/>
              <w:contextualSpacing w:val="0"/>
              <w:jc w:val="left"/>
              <w:rPr>
                <w:rFonts w:ascii="Calibri" w:hAnsi="Calibri"/>
                <w:b w:val="0"/>
                <w:sz w:val="16"/>
                <w:szCs w:val="16"/>
                <w:lang w:val="hy-AM" w:eastAsia="en-US"/>
              </w:rPr>
            </w:pPr>
            <w:r w:rsidRPr="00A83C94">
              <w:rPr>
                <w:rFonts w:ascii="Calibri" w:hAnsi="Calibri"/>
                <w:bCs/>
                <w:sz w:val="16"/>
                <w:szCs w:val="16"/>
                <w:lang w:val="hy-AM" w:eastAsia="en-US"/>
              </w:rPr>
              <w:t> </w:t>
            </w:r>
            <w:r w:rsidRPr="00A83C94">
              <w:rPr>
                <w:rFonts w:cs="Calibri Light"/>
                <w:bCs/>
                <w:sz w:val="16"/>
                <w:szCs w:val="16"/>
                <w:lang w:val="hy-AM" w:eastAsia="en-US"/>
              </w:rPr>
              <w:t>Թույլատրելի սահմանային նորմա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E2F3"/>
            <w:noWrap/>
          </w:tcPr>
          <w:p w14:paraId="458930F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Առնվազն 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E2F3"/>
            <w:noWrap/>
          </w:tcPr>
          <w:p w14:paraId="3B28CA8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Առնվազն 8%</w:t>
            </w:r>
          </w:p>
        </w:tc>
        <w:tc>
          <w:tcPr>
            <w:tcW w:w="1295" w:type="dxa"/>
            <w:gridSpan w:val="2"/>
            <w:tcBorders>
              <w:top w:val="single" w:sz="4" w:space="0" w:color="auto"/>
              <w:left w:val="single" w:sz="4" w:space="0" w:color="auto"/>
              <w:bottom w:val="single" w:sz="4" w:space="0" w:color="auto"/>
              <w:right w:val="single" w:sz="4" w:space="0" w:color="auto"/>
            </w:tcBorders>
            <w:shd w:val="clear" w:color="auto" w:fill="D9E2F3"/>
            <w:noWrap/>
          </w:tcPr>
          <w:p w14:paraId="26EF53F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Առավելագույնը 0.5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D9E2F3"/>
            <w:noWrap/>
          </w:tcPr>
          <w:p w14:paraId="4676302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Առավելագույնը 1</w:t>
            </w:r>
          </w:p>
        </w:tc>
        <w:tc>
          <w:tcPr>
            <w:tcW w:w="1364" w:type="dxa"/>
            <w:gridSpan w:val="2"/>
            <w:tcBorders>
              <w:top w:val="single" w:sz="4" w:space="0" w:color="auto"/>
              <w:left w:val="single" w:sz="4" w:space="0" w:color="auto"/>
              <w:bottom w:val="single" w:sz="4" w:space="0" w:color="auto"/>
              <w:right w:val="single" w:sz="4" w:space="0" w:color="auto"/>
            </w:tcBorders>
            <w:shd w:val="clear" w:color="auto" w:fill="D9E2F3"/>
          </w:tcPr>
          <w:p w14:paraId="3F2161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Ապահով գոտի Z&gt;2.6, Գորշ գոտի 1.1&lt;Z&lt;2.6, Ծանր գոտի Z&lt;1.1</w:t>
            </w:r>
          </w:p>
        </w:tc>
      </w:tr>
    </w:tbl>
    <w:p w14:paraId="402AED1D" w14:textId="77777777" w:rsidR="00682DEF" w:rsidRPr="00A83C94" w:rsidRDefault="00682DEF" w:rsidP="00682DEF">
      <w:pPr>
        <w:shd w:val="clear" w:color="auto" w:fill="FFFFFF"/>
        <w:spacing w:before="40" w:line="276" w:lineRule="auto"/>
        <w:ind w:left="1" w:right="150" w:firstLine="1"/>
        <w:contextualSpacing w:val="0"/>
        <w:rPr>
          <w:rFonts w:eastAsia="Calibri"/>
          <w:bCs/>
          <w:i/>
          <w:color w:val="4F81BD" w:themeColor="accent1"/>
          <w:sz w:val="20"/>
          <w:szCs w:val="20"/>
          <w:lang w:val="hy-AM" w:eastAsia="en-US"/>
        </w:rPr>
      </w:pPr>
    </w:p>
    <w:p w14:paraId="49D73D4A" w14:textId="77777777" w:rsidR="00682DEF" w:rsidRPr="00A83C94" w:rsidRDefault="00682DEF" w:rsidP="00682DEF">
      <w:pPr>
        <w:shd w:val="clear" w:color="auto" w:fill="FFFFFF"/>
        <w:spacing w:before="40" w:line="276" w:lineRule="auto"/>
        <w:ind w:left="2" w:right="150" w:firstLine="1"/>
        <w:contextualSpacing w:val="0"/>
        <w:rPr>
          <w:b w:val="0"/>
          <w:szCs w:val="22"/>
          <w:lang w:val="hy-AM" w:eastAsia="en-US"/>
        </w:rPr>
      </w:pPr>
      <w:r w:rsidRPr="00A83C94">
        <w:rPr>
          <w:rFonts w:eastAsia="Calibri"/>
          <w:bCs/>
          <w:i/>
          <w:color w:val="4F81BD" w:themeColor="accent1"/>
          <w:sz w:val="20"/>
          <w:szCs w:val="20"/>
          <w:lang w:val="hy-AM" w:eastAsia="en-US"/>
        </w:rPr>
        <w:t xml:space="preserve">    </w:t>
      </w:r>
      <w:r w:rsidRPr="00A83C94">
        <w:rPr>
          <w:b w:val="0"/>
          <w:szCs w:val="22"/>
          <w:lang w:val="hy-AM" w:eastAsia="en-US"/>
        </w:rPr>
        <w:t>Ինչպես երևում է վերը ներկայացված աղյուսակից, սնանկացման կանխատեսման Ալթմանի Z-միավորը վկայում է «Երևանի ջերմաէլեկտրակենտրոն</w:t>
      </w:r>
      <w:r w:rsidRPr="00A83C94">
        <w:rPr>
          <w:b w:val="0"/>
          <w:color w:val="000000"/>
          <w:szCs w:val="22"/>
          <w:lang w:val="hy-AM"/>
        </w:rPr>
        <w:t>»</w:t>
      </w:r>
      <w:r w:rsidRPr="00A83C94">
        <w:rPr>
          <w:b w:val="0"/>
          <w:szCs w:val="22"/>
          <w:lang w:val="hy-AM" w:eastAsia="en-US"/>
        </w:rPr>
        <w:t>, «Բարձրավոլտ Էլեկտրական ցանցեր»,</w:t>
      </w:r>
      <w:r w:rsidRPr="00A83C94">
        <w:rPr>
          <w:rFonts w:eastAsia="Calibri"/>
          <w:b w:val="0"/>
          <w:szCs w:val="22"/>
          <w:lang w:val="hy-AM" w:eastAsia="en-US"/>
        </w:rPr>
        <w:t xml:space="preserve"> </w:t>
      </w:r>
      <w:r w:rsidRPr="00A83C94">
        <w:rPr>
          <w:b w:val="0"/>
          <w:szCs w:val="22"/>
          <w:lang w:val="hy-AM" w:eastAsia="en-US"/>
        </w:rPr>
        <w:t xml:space="preserve">«Էլեկտրաէներգետիկական համակարգի օպերատոր», Կարեն Դեմիրճյանի անվան Երևանի մետրոպոլիտեն, </w:t>
      </w:r>
      <w:r w:rsidRPr="00A83C94">
        <w:rPr>
          <w:rFonts w:cs="Calibri Light"/>
          <w:b w:val="0"/>
          <w:szCs w:val="22"/>
          <w:lang w:val="hy-AM" w:eastAsia="en-US"/>
        </w:rPr>
        <w:t xml:space="preserve">Ռադիոիզոտոպների արտադրության կենտրոն </w:t>
      </w:r>
      <w:r w:rsidRPr="00A83C94">
        <w:rPr>
          <w:b w:val="0"/>
          <w:szCs w:val="22"/>
          <w:lang w:val="hy-AM" w:eastAsia="en-US"/>
        </w:rPr>
        <w:t>և «Հայավտոկայարան» ՓԲԸ-ների ֆինանսական վիճակի վատթարացման նշանակալի հավանականության մասին (գործակիցը գտնվում է սահմանված գորշ գոտում` Z&lt;1.1):</w:t>
      </w:r>
    </w:p>
    <w:p w14:paraId="61570BDC" w14:textId="77777777" w:rsidR="00682DEF" w:rsidRPr="00A83C94" w:rsidRDefault="00682DEF" w:rsidP="00682DEF">
      <w:pPr>
        <w:shd w:val="clear" w:color="auto" w:fill="FFFFFF"/>
        <w:spacing w:before="0" w:line="276" w:lineRule="auto"/>
        <w:ind w:right="150" w:firstLine="227"/>
        <w:contextualSpacing w:val="0"/>
        <w:rPr>
          <w:b w:val="0"/>
          <w:szCs w:val="22"/>
          <w:lang w:val="hy-AM" w:eastAsia="en-US"/>
        </w:rPr>
      </w:pPr>
      <w:r w:rsidRPr="00A83C94">
        <w:rPr>
          <w:b w:val="0"/>
          <w:szCs w:val="22"/>
          <w:lang w:val="hy-AM" w:eastAsia="en-US"/>
        </w:rPr>
        <w:t>Սակայն պետք է հաշվի առնել, որ զուտ շահույթի մարժան դիտարկված ընկերություններում հիմնականում եղել է բացասական, պայմանավորված փոխարժեքային տատանումներից առաջացած վնասներով, այնինչ ծախսերի վերականգման գործակիցը  միջազգային պրակտիկայում ընդունված թույլատրելի սահմանային նորման գերազանցում է «Երևանի ջերմաէլեկտրակենտրոն», «Բարձրավոլտ էլեկտրական ցանցեր, «Էլեկտրաէներգետիկական համակարգի օպերատոր» ՓԲԸ-ներում, իսկ շարունակաբար ցածր է  Ռադիոիզոտոպների արտադրության կենտրոն և Համո Բեկնազարյանի անվան «Հայֆիլմ» կինոստուդիա ՓԲԸ-ներում։ Հաշվի առնելով Ռադիոիզոտոպների արտադրության կենտրոն ՓԲԸ-ի Ալթմանի Z միավորը և լրացուցիչ գործակիցները՝ կարելի է ենթադրել այդ ընկերության հետ կապված ֆիսկալ ռիսկերի նյութականացման բարձր հավանականության մասին։</w:t>
      </w:r>
    </w:p>
    <w:p w14:paraId="636ED7CD" w14:textId="77777777" w:rsidR="00682DEF" w:rsidRPr="00A83C94" w:rsidRDefault="00682DEF" w:rsidP="00682DEF">
      <w:pPr>
        <w:shd w:val="clear" w:color="auto" w:fill="FFFFFF"/>
        <w:spacing w:before="0" w:line="276" w:lineRule="auto"/>
        <w:ind w:right="150" w:firstLine="227"/>
        <w:contextualSpacing w:val="0"/>
        <w:rPr>
          <w:b w:val="0"/>
          <w:szCs w:val="22"/>
          <w:lang w:val="hy-AM" w:eastAsia="en-US"/>
        </w:rPr>
      </w:pPr>
    </w:p>
    <w:p w14:paraId="2E59CE5B" w14:textId="77777777" w:rsidR="00682DEF" w:rsidRPr="00A83C94" w:rsidRDefault="00682DEF" w:rsidP="00B814B9">
      <w:pPr>
        <w:spacing w:before="0" w:line="276" w:lineRule="auto"/>
        <w:ind w:firstLine="227"/>
        <w:contextualSpacing w:val="0"/>
        <w:rPr>
          <w:szCs w:val="22"/>
          <w:lang w:val="hy-AM" w:eastAsia="en-US"/>
        </w:rPr>
      </w:pPr>
      <w:r w:rsidRPr="00A83C94">
        <w:rPr>
          <w:szCs w:val="22"/>
          <w:lang w:val="hy-AM" w:eastAsia="en-US"/>
        </w:rPr>
        <w:t>Էներգետիկայի ոլորտի մասնավոր ընկերություններ</w:t>
      </w:r>
    </w:p>
    <w:p w14:paraId="464E4EB4"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 xml:space="preserve">Հաշվետու ժամանակաշրջանում (2020թ.) էներգետիկայի ոլորտի դիտանցման ենթարկված մասնավոր ընկերությունների (թվով 4 Ընկերություններ) հիմնական գործունեությունից ստացված հանրագումարային եկամուտները նախորդ ժամանակաշրջանի (2019թ.) նկատմամբ ավելացել են 13.0 մլրդ դրամով և կազմել 476.1 մլրդ դրամ: </w:t>
      </w:r>
    </w:p>
    <w:p w14:paraId="452E1A78" w14:textId="77777777" w:rsidR="00682DEF" w:rsidRPr="00A83C94" w:rsidRDefault="00682DEF" w:rsidP="00682DEF">
      <w:pPr>
        <w:spacing w:before="40" w:line="276" w:lineRule="auto"/>
        <w:ind w:firstLine="227"/>
        <w:contextualSpacing w:val="0"/>
        <w:rPr>
          <w:b w:val="0"/>
          <w:szCs w:val="22"/>
          <w:lang w:val="hy-AM" w:eastAsia="en-US"/>
        </w:rPr>
      </w:pPr>
      <w:r w:rsidRPr="00A83C94">
        <w:rPr>
          <w:b w:val="0"/>
          <w:szCs w:val="22"/>
          <w:lang w:val="hy-AM" w:eastAsia="en-US"/>
        </w:rPr>
        <w:t>Հաշվետու ժամանակաշրջանում Ընկերությունների հան</w:t>
      </w:r>
      <w:r w:rsidRPr="00A83C94">
        <w:rPr>
          <w:b w:val="0"/>
          <w:szCs w:val="22"/>
          <w:lang w:val="hy-AM" w:eastAsia="en-US"/>
        </w:rPr>
        <w:softHyphen/>
        <w:t xml:space="preserve">րագումարային ծախսերը կազմել են 451.7 մլրդ դրամ` նախորդ ժամանակաշրջանի 436.3 մլրդ դրամի դիմաց կամ ավել 15.4 մլրդ դրամով (3.5%-ով): </w:t>
      </w:r>
    </w:p>
    <w:p w14:paraId="14BA4796" w14:textId="77777777" w:rsidR="00682DEF" w:rsidRPr="00A83C94" w:rsidRDefault="00682DEF" w:rsidP="00682DEF">
      <w:pPr>
        <w:spacing w:before="40" w:line="276" w:lineRule="auto"/>
        <w:ind w:firstLine="227"/>
        <w:contextualSpacing w:val="0"/>
        <w:rPr>
          <w:b w:val="0"/>
          <w:szCs w:val="22"/>
          <w:lang w:val="hy-AM" w:eastAsia="en-US"/>
        </w:rPr>
      </w:pPr>
      <w:r w:rsidRPr="00A83C94">
        <w:rPr>
          <w:b w:val="0"/>
          <w:szCs w:val="22"/>
          <w:lang w:val="hy-AM" w:eastAsia="en-US"/>
        </w:rPr>
        <w:t>Ընկերությունների 476.1 մլրդ դրամ ընդհանուր եկամուտների և 451.7 մլրդ դրամ ընդհա</w:t>
      </w:r>
      <w:r w:rsidRPr="00A83C94">
        <w:rPr>
          <w:b w:val="0"/>
          <w:szCs w:val="22"/>
          <w:lang w:val="hy-AM" w:eastAsia="en-US"/>
        </w:rPr>
        <w:softHyphen/>
        <w:t xml:space="preserve">նուր ծախսերի արդյունքում հաշվետու ժամանակաշրջանում գործառնական շահույթը կազմել է 24.4 մլրդ դրամ։ </w:t>
      </w:r>
    </w:p>
    <w:p w14:paraId="4958FEBD" w14:textId="77777777" w:rsidR="00682DEF" w:rsidRPr="00A83C94" w:rsidRDefault="00682DEF" w:rsidP="00682DEF">
      <w:pPr>
        <w:spacing w:before="40" w:line="240" w:lineRule="auto"/>
        <w:ind w:firstLine="0"/>
        <w:contextualSpacing w:val="0"/>
        <w:rPr>
          <w:sz w:val="20"/>
          <w:szCs w:val="20"/>
          <w:lang w:val="hy-AM" w:eastAsia="en-US"/>
        </w:rPr>
      </w:pPr>
    </w:p>
    <w:p w14:paraId="763169CE" w14:textId="227AD1C5" w:rsidR="00682DEF" w:rsidRPr="00A83C94" w:rsidRDefault="00682DEF" w:rsidP="00682DEF">
      <w:pPr>
        <w:keepNext/>
        <w:spacing w:before="0" w:line="240" w:lineRule="auto"/>
        <w:ind w:firstLine="0"/>
        <w:contextualSpacing w:val="0"/>
        <w:jc w:val="left"/>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 xml:space="preserve">Աղյուսակ </w:t>
      </w:r>
      <w:r w:rsidR="006C390E" w:rsidRPr="001336A5">
        <w:rPr>
          <w:rFonts w:eastAsia="Calibri"/>
          <w:b w:val="0"/>
          <w:bCs/>
          <w:color w:val="4F81BD" w:themeColor="accent1"/>
          <w:sz w:val="18"/>
          <w:szCs w:val="18"/>
          <w:lang w:val="hy-AM" w:eastAsia="en-US"/>
        </w:rPr>
        <w:t>7</w:t>
      </w:r>
      <w:r w:rsidRPr="00A83C94">
        <w:rPr>
          <w:rFonts w:eastAsia="Calibri"/>
          <w:i/>
          <w:iCs/>
          <w:sz w:val="19"/>
          <w:szCs w:val="19"/>
          <w:lang w:val="hy-AM" w:eastAsia="en-US"/>
        </w:rPr>
        <w:t xml:space="preserve"> </w:t>
      </w:r>
      <w:r w:rsidRPr="00A83C94">
        <w:rPr>
          <w:rFonts w:eastAsia="Calibri"/>
          <w:bCs/>
          <w:i/>
          <w:color w:val="4F81BD" w:themeColor="accent1"/>
          <w:sz w:val="20"/>
          <w:szCs w:val="20"/>
          <w:lang w:val="hy-AM" w:eastAsia="en-US"/>
        </w:rPr>
        <w:t>Էներգետիկայի ոլորտի մասնավոր ընկերությունների հանրագումարային զուտ շահույթը/վնասն ըստ տարիների</w:t>
      </w:r>
    </w:p>
    <w:p w14:paraId="60B4F92C" w14:textId="77777777" w:rsidR="00682DEF" w:rsidRPr="00A83C94" w:rsidRDefault="00682DEF" w:rsidP="00682DEF">
      <w:pPr>
        <w:keepNext/>
        <w:spacing w:before="0" w:line="240" w:lineRule="auto"/>
        <w:ind w:firstLine="0"/>
        <w:contextualSpacing w:val="0"/>
        <w:jc w:val="center"/>
        <w:rPr>
          <w:rFonts w:eastAsia="Calibri"/>
          <w:b w:val="0"/>
          <w:bCs/>
          <w:i/>
          <w:color w:val="4F81BD" w:themeColor="accent1"/>
          <w:sz w:val="18"/>
          <w:szCs w:val="18"/>
          <w:lang w:val="en-US" w:eastAsia="en-US"/>
        </w:rPr>
      </w:pPr>
      <w:r w:rsidRPr="00A83C94">
        <w:rPr>
          <w:rFonts w:eastAsia="Calibri"/>
          <w:b w:val="0"/>
          <w:bCs/>
          <w:i/>
          <w:color w:val="4F81BD" w:themeColor="accent1"/>
          <w:sz w:val="18"/>
          <w:szCs w:val="18"/>
          <w:lang w:val="hy-AM" w:eastAsia="en-US"/>
        </w:rPr>
        <w:t xml:space="preserve">                                                                                                                              </w:t>
      </w:r>
      <w:r w:rsidRPr="00A83C94">
        <w:rPr>
          <w:rFonts w:eastAsia="Calibri"/>
          <w:b w:val="0"/>
          <w:bCs/>
          <w:i/>
          <w:color w:val="4F81BD" w:themeColor="accent1"/>
          <w:sz w:val="18"/>
          <w:szCs w:val="18"/>
          <w:lang w:val="en-US" w:eastAsia="en-US"/>
        </w:rPr>
        <w:t>հազ. դրամ</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418"/>
        <w:gridCol w:w="1559"/>
        <w:gridCol w:w="1418"/>
      </w:tblGrid>
      <w:tr w:rsidR="000E76D9" w:rsidRPr="00A83C94" w14:paraId="2809D391" w14:textId="77777777" w:rsidTr="000E76D9">
        <w:trPr>
          <w:trHeight w:val="431"/>
        </w:trPr>
        <w:tc>
          <w:tcPr>
            <w:tcW w:w="4423" w:type="dxa"/>
            <w:shd w:val="clear" w:color="auto" w:fill="548DD4" w:themeFill="text2" w:themeFillTint="99"/>
          </w:tcPr>
          <w:p w14:paraId="19C7F836" w14:textId="16C05B7B"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Մասնավոր ընկերություններ</w:t>
            </w:r>
          </w:p>
        </w:tc>
        <w:tc>
          <w:tcPr>
            <w:tcW w:w="1418" w:type="dxa"/>
            <w:shd w:val="clear" w:color="auto" w:fill="548DD4" w:themeFill="text2" w:themeFillTint="99"/>
          </w:tcPr>
          <w:p w14:paraId="2789E053" w14:textId="5B28D21B"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2018թ.</w:t>
            </w:r>
          </w:p>
        </w:tc>
        <w:tc>
          <w:tcPr>
            <w:tcW w:w="1559" w:type="dxa"/>
            <w:shd w:val="clear" w:color="auto" w:fill="548DD4" w:themeFill="text2" w:themeFillTint="99"/>
          </w:tcPr>
          <w:p w14:paraId="6F6F862C" w14:textId="592C64A5"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2019թ.</w:t>
            </w:r>
          </w:p>
        </w:tc>
        <w:tc>
          <w:tcPr>
            <w:tcW w:w="1418" w:type="dxa"/>
            <w:shd w:val="clear" w:color="auto" w:fill="548DD4" w:themeFill="text2" w:themeFillTint="99"/>
          </w:tcPr>
          <w:p w14:paraId="247B44C4" w14:textId="72152C88"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2020թ.</w:t>
            </w:r>
          </w:p>
        </w:tc>
      </w:tr>
      <w:tr w:rsidR="000E76D9" w:rsidRPr="00A83C94" w14:paraId="79499FFF" w14:textId="77777777" w:rsidTr="00B814B9">
        <w:trPr>
          <w:trHeight w:val="307"/>
        </w:trPr>
        <w:tc>
          <w:tcPr>
            <w:tcW w:w="4423" w:type="dxa"/>
            <w:shd w:val="clear" w:color="auto" w:fill="D9E2F3"/>
          </w:tcPr>
          <w:p w14:paraId="1C063CA4"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ԸՆԴԱՄԵՆԸ</w:t>
            </w:r>
          </w:p>
        </w:tc>
        <w:tc>
          <w:tcPr>
            <w:tcW w:w="1418" w:type="dxa"/>
            <w:shd w:val="clear" w:color="auto" w:fill="D9E2F3"/>
          </w:tcPr>
          <w:p w14:paraId="365126B0"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16,154,475.0</w:t>
            </w:r>
          </w:p>
        </w:tc>
        <w:tc>
          <w:tcPr>
            <w:tcW w:w="1559" w:type="dxa"/>
            <w:shd w:val="clear" w:color="auto" w:fill="D9E2F3"/>
          </w:tcPr>
          <w:p w14:paraId="6245EFDF"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14,830,506.0</w:t>
            </w:r>
          </w:p>
        </w:tc>
        <w:tc>
          <w:tcPr>
            <w:tcW w:w="1418" w:type="dxa"/>
            <w:shd w:val="clear" w:color="auto" w:fill="D9E2F3"/>
          </w:tcPr>
          <w:p w14:paraId="30103839"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(9,130,092</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43590F77" w14:textId="77777777" w:rsidTr="00B814B9">
        <w:trPr>
          <w:trHeight w:val="360"/>
        </w:trPr>
        <w:tc>
          <w:tcPr>
            <w:tcW w:w="4423" w:type="dxa"/>
          </w:tcPr>
          <w:p w14:paraId="188BE9CF"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1. «Հրազդան</w:t>
            </w:r>
            <w:r w:rsidRPr="00A83C94">
              <w:rPr>
                <w:rFonts w:ascii="Courier New" w:hAnsi="Courier New" w:cs="Courier New"/>
                <w:bCs/>
                <w:sz w:val="18"/>
                <w:szCs w:val="18"/>
                <w:lang w:val="hy-AM" w:eastAsia="en-US"/>
              </w:rPr>
              <w:t> </w:t>
            </w:r>
            <w:r w:rsidRPr="00A83C94">
              <w:rPr>
                <w:bCs/>
                <w:sz w:val="18"/>
                <w:szCs w:val="18"/>
                <w:lang w:val="hy-AM" w:eastAsia="en-US"/>
              </w:rPr>
              <w:t>ՋԷԿ»</w:t>
            </w:r>
            <w:r w:rsidRPr="00A83C94">
              <w:rPr>
                <w:rFonts w:ascii="Courier New" w:hAnsi="Courier New" w:cs="Courier New"/>
                <w:bCs/>
                <w:sz w:val="18"/>
                <w:szCs w:val="18"/>
                <w:lang w:val="hy-AM" w:eastAsia="en-US"/>
              </w:rPr>
              <w:t> </w:t>
            </w:r>
            <w:r w:rsidRPr="00A83C94">
              <w:rPr>
                <w:bCs/>
                <w:sz w:val="18"/>
                <w:szCs w:val="18"/>
                <w:lang w:val="hy-AM" w:eastAsia="en-US"/>
              </w:rPr>
              <w:t>ԲԲԸ</w:t>
            </w:r>
          </w:p>
        </w:tc>
        <w:tc>
          <w:tcPr>
            <w:tcW w:w="1418" w:type="dxa"/>
          </w:tcPr>
          <w:p w14:paraId="4A955A87"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2,835,161.0</w:t>
            </w:r>
          </w:p>
        </w:tc>
        <w:tc>
          <w:tcPr>
            <w:tcW w:w="1559" w:type="dxa"/>
          </w:tcPr>
          <w:p w14:paraId="5EBECCF3"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2,382,469.0</w:t>
            </w:r>
          </w:p>
        </w:tc>
        <w:tc>
          <w:tcPr>
            <w:tcW w:w="1418" w:type="dxa"/>
          </w:tcPr>
          <w:p w14:paraId="58C9734C"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(745,127</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61EBF2B7" w14:textId="77777777" w:rsidTr="00B814B9">
        <w:trPr>
          <w:trHeight w:val="375"/>
        </w:trPr>
        <w:tc>
          <w:tcPr>
            <w:tcW w:w="4423" w:type="dxa"/>
            <w:shd w:val="clear" w:color="auto" w:fill="D9E2F3"/>
          </w:tcPr>
          <w:p w14:paraId="4AB30E70"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2. «Գազպրոմ</w:t>
            </w:r>
            <w:r w:rsidRPr="00A83C94">
              <w:rPr>
                <w:rFonts w:ascii="Courier New" w:hAnsi="Courier New" w:cs="Courier New"/>
                <w:bCs/>
                <w:sz w:val="18"/>
                <w:szCs w:val="18"/>
                <w:lang w:val="hy-AM" w:eastAsia="en-US"/>
              </w:rPr>
              <w:t> </w:t>
            </w:r>
            <w:r w:rsidRPr="00A83C94">
              <w:rPr>
                <w:bCs/>
                <w:sz w:val="18"/>
                <w:szCs w:val="18"/>
                <w:lang w:val="hy-AM" w:eastAsia="en-US"/>
              </w:rPr>
              <w:t>Արմենիա»</w:t>
            </w:r>
            <w:r w:rsidRPr="00A83C94">
              <w:rPr>
                <w:rFonts w:ascii="Courier New" w:hAnsi="Courier New" w:cs="Courier New"/>
                <w:bCs/>
                <w:sz w:val="18"/>
                <w:szCs w:val="18"/>
                <w:lang w:val="hy-AM" w:eastAsia="en-US"/>
              </w:rPr>
              <w:t> </w:t>
            </w:r>
            <w:r w:rsidRPr="00A83C94">
              <w:rPr>
                <w:bCs/>
                <w:sz w:val="18"/>
                <w:szCs w:val="18"/>
                <w:lang w:val="hy-AM" w:eastAsia="en-US"/>
              </w:rPr>
              <w:t>ՓԲԸ</w:t>
            </w:r>
          </w:p>
        </w:tc>
        <w:tc>
          <w:tcPr>
            <w:tcW w:w="1418" w:type="dxa"/>
            <w:shd w:val="clear" w:color="auto" w:fill="D9E2F3"/>
          </w:tcPr>
          <w:p w14:paraId="523DC018"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14,920,000.0</w:t>
            </w:r>
          </w:p>
        </w:tc>
        <w:tc>
          <w:tcPr>
            <w:tcW w:w="1559" w:type="dxa"/>
            <w:shd w:val="clear" w:color="auto" w:fill="D9E2F3"/>
          </w:tcPr>
          <w:p w14:paraId="25FF37A8"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524,000.0</w:t>
            </w:r>
          </w:p>
        </w:tc>
        <w:tc>
          <w:tcPr>
            <w:tcW w:w="1418" w:type="dxa"/>
            <w:shd w:val="clear" w:color="auto" w:fill="D9E2F3"/>
          </w:tcPr>
          <w:p w14:paraId="4B06E0D4"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(701,000</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572362E8" w14:textId="77777777" w:rsidTr="00B814B9">
        <w:trPr>
          <w:trHeight w:val="261"/>
        </w:trPr>
        <w:tc>
          <w:tcPr>
            <w:tcW w:w="4423" w:type="dxa"/>
          </w:tcPr>
          <w:p w14:paraId="33CB3E2F"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3.«Միջազգային</w:t>
            </w:r>
            <w:r w:rsidRPr="00A83C94">
              <w:rPr>
                <w:rFonts w:ascii="Courier New" w:hAnsi="Courier New" w:cs="Courier New"/>
                <w:bCs/>
                <w:sz w:val="18"/>
                <w:szCs w:val="18"/>
                <w:lang w:val="hy-AM" w:eastAsia="en-US"/>
              </w:rPr>
              <w:t> </w:t>
            </w:r>
            <w:r w:rsidRPr="00A83C94">
              <w:rPr>
                <w:bCs/>
                <w:sz w:val="18"/>
                <w:szCs w:val="18"/>
                <w:lang w:val="hy-AM" w:eastAsia="en-US"/>
              </w:rPr>
              <w:t>էներգետիկ</w:t>
            </w:r>
            <w:r w:rsidRPr="00A83C94">
              <w:rPr>
                <w:rFonts w:ascii="Courier New" w:hAnsi="Courier New" w:cs="Courier New"/>
                <w:bCs/>
                <w:sz w:val="18"/>
                <w:szCs w:val="18"/>
                <w:lang w:val="hy-AM" w:eastAsia="en-US"/>
              </w:rPr>
              <w:t> </w:t>
            </w:r>
            <w:r w:rsidRPr="00A83C94">
              <w:rPr>
                <w:bCs/>
                <w:sz w:val="18"/>
                <w:szCs w:val="18"/>
                <w:lang w:val="hy-AM" w:eastAsia="en-US"/>
              </w:rPr>
              <w:t>կորպորացիա» ՓԲԸ</w:t>
            </w:r>
          </w:p>
        </w:tc>
        <w:tc>
          <w:tcPr>
            <w:tcW w:w="1418" w:type="dxa"/>
          </w:tcPr>
          <w:p w14:paraId="171D538A"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(12,353,723.0)</w:t>
            </w:r>
          </w:p>
        </w:tc>
        <w:tc>
          <w:tcPr>
            <w:tcW w:w="1559" w:type="dxa"/>
          </w:tcPr>
          <w:p w14:paraId="5B1A8D07"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159,937.0</w:t>
            </w:r>
          </w:p>
        </w:tc>
        <w:tc>
          <w:tcPr>
            <w:tcW w:w="1418" w:type="dxa"/>
          </w:tcPr>
          <w:p w14:paraId="24A132B7"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(3,107,451</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19E260AB" w14:textId="77777777" w:rsidTr="00B814B9">
        <w:trPr>
          <w:trHeight w:val="285"/>
        </w:trPr>
        <w:tc>
          <w:tcPr>
            <w:tcW w:w="4423" w:type="dxa"/>
            <w:shd w:val="clear" w:color="auto" w:fill="D9E2F3"/>
          </w:tcPr>
          <w:p w14:paraId="0396429D"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4. «Հայաստանի</w:t>
            </w:r>
            <w:r w:rsidRPr="00A83C94">
              <w:rPr>
                <w:rFonts w:ascii="Courier New" w:hAnsi="Courier New" w:cs="Courier New"/>
                <w:bCs/>
                <w:sz w:val="18"/>
                <w:szCs w:val="18"/>
                <w:lang w:val="hy-AM" w:eastAsia="en-US"/>
              </w:rPr>
              <w:t> </w:t>
            </w:r>
            <w:r w:rsidRPr="00A83C94">
              <w:rPr>
                <w:bCs/>
                <w:sz w:val="18"/>
                <w:szCs w:val="18"/>
                <w:lang w:val="hy-AM" w:eastAsia="en-US"/>
              </w:rPr>
              <w:t>էլեկտրական</w:t>
            </w:r>
            <w:r w:rsidRPr="00A83C94">
              <w:rPr>
                <w:rFonts w:ascii="Courier New" w:hAnsi="Courier New" w:cs="Courier New"/>
                <w:bCs/>
                <w:sz w:val="18"/>
                <w:szCs w:val="18"/>
                <w:lang w:val="hy-AM" w:eastAsia="en-US"/>
              </w:rPr>
              <w:t> </w:t>
            </w:r>
            <w:r w:rsidRPr="00A83C94">
              <w:rPr>
                <w:bCs/>
                <w:sz w:val="18"/>
                <w:szCs w:val="18"/>
                <w:lang w:val="hy-AM" w:eastAsia="en-US"/>
              </w:rPr>
              <w:t>ցանցեր»</w:t>
            </w:r>
            <w:r w:rsidRPr="00A83C94">
              <w:rPr>
                <w:rFonts w:ascii="Courier New" w:hAnsi="Courier New" w:cs="Courier New"/>
                <w:bCs/>
                <w:sz w:val="18"/>
                <w:szCs w:val="18"/>
                <w:lang w:val="hy-AM" w:eastAsia="en-US"/>
              </w:rPr>
              <w:t> </w:t>
            </w:r>
            <w:r w:rsidRPr="00A83C94">
              <w:rPr>
                <w:bCs/>
                <w:sz w:val="18"/>
                <w:szCs w:val="18"/>
                <w:lang w:val="hy-AM" w:eastAsia="en-US"/>
              </w:rPr>
              <w:t>ՓԲԸ</w:t>
            </w:r>
          </w:p>
        </w:tc>
        <w:tc>
          <w:tcPr>
            <w:tcW w:w="1418" w:type="dxa"/>
            <w:shd w:val="clear" w:color="auto" w:fill="D9E2F3"/>
          </w:tcPr>
          <w:p w14:paraId="36863CD4"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10,753,037.0</w:t>
            </w:r>
          </w:p>
        </w:tc>
        <w:tc>
          <w:tcPr>
            <w:tcW w:w="1559" w:type="dxa"/>
            <w:shd w:val="clear" w:color="auto" w:fill="D9E2F3"/>
          </w:tcPr>
          <w:p w14:paraId="56D868E8"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11,764,100.0</w:t>
            </w:r>
          </w:p>
        </w:tc>
        <w:tc>
          <w:tcPr>
            <w:tcW w:w="1418" w:type="dxa"/>
            <w:shd w:val="clear" w:color="auto" w:fill="D9E2F3"/>
          </w:tcPr>
          <w:p w14:paraId="473D6898"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(4,576,514</w:t>
            </w:r>
            <w:r w:rsidRPr="00A83C94">
              <w:rPr>
                <w:color w:val="000000"/>
                <w:sz w:val="18"/>
                <w:szCs w:val="18"/>
                <w:lang w:val="hy-AM" w:eastAsia="en-US"/>
              </w:rPr>
              <w:t>.0</w:t>
            </w:r>
            <w:r w:rsidRPr="00A83C94">
              <w:rPr>
                <w:rFonts w:cs="Calibri"/>
                <w:color w:val="000000"/>
                <w:sz w:val="18"/>
                <w:szCs w:val="18"/>
                <w:lang w:val="hy-AM" w:eastAsia="en-US"/>
              </w:rPr>
              <w:t>)</w:t>
            </w:r>
          </w:p>
        </w:tc>
      </w:tr>
    </w:tbl>
    <w:p w14:paraId="1CA3449C" w14:textId="77777777" w:rsidR="00682DEF" w:rsidRPr="00A83C94" w:rsidRDefault="00682DEF" w:rsidP="00682DEF">
      <w:pPr>
        <w:tabs>
          <w:tab w:val="left" w:pos="3669"/>
        </w:tabs>
        <w:spacing w:before="0" w:line="276" w:lineRule="auto"/>
        <w:ind w:firstLine="0"/>
        <w:contextualSpacing w:val="0"/>
        <w:rPr>
          <w:b w:val="0"/>
          <w:szCs w:val="22"/>
          <w:lang w:val="en-US"/>
        </w:rPr>
      </w:pPr>
    </w:p>
    <w:p w14:paraId="3E8BC8E6"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Անհրաժեշտ է նշել, որ ընկերություն</w:t>
      </w:r>
      <w:r w:rsidRPr="00A83C94">
        <w:rPr>
          <w:b w:val="0"/>
          <w:szCs w:val="22"/>
          <w:lang w:val="hy-AM" w:eastAsia="en-US"/>
        </w:rPr>
        <w:softHyphen/>
        <w:t>ները չունեն ժամկետանց վարկային պարտավորություններ։ Ընդ որում «Հայաստանի էլեկտրական ցանցեր» և «Միջազգային էներգետիկ կորպորացիա»</w:t>
      </w:r>
      <w:r w:rsidRPr="00A83C94">
        <w:rPr>
          <w:rFonts w:ascii="Courier New" w:hAnsi="Courier New" w:cs="Courier New"/>
          <w:b w:val="0"/>
          <w:szCs w:val="22"/>
          <w:lang w:val="hy-AM" w:eastAsia="en-US"/>
        </w:rPr>
        <w:t> </w:t>
      </w:r>
      <w:r w:rsidRPr="00A83C94">
        <w:rPr>
          <w:b w:val="0"/>
          <w:szCs w:val="22"/>
          <w:lang w:val="hy-AM" w:eastAsia="en-US"/>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13A6EA30"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14:paraId="0572E39F"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w:t>
      </w:r>
      <w:r w:rsidRPr="00A83C94">
        <w:rPr>
          <w:b w:val="0"/>
          <w:szCs w:val="22"/>
          <w:lang w:val="hy-AM" w:eastAsia="en-US"/>
        </w:rPr>
        <w:softHyphen/>
        <w:t>նային նորմաները ներկայացված են աղյուսակում:</w:t>
      </w:r>
    </w:p>
    <w:p w14:paraId="2392F65F" w14:textId="77777777" w:rsidR="00682DEF" w:rsidRPr="00A83C94" w:rsidRDefault="00682DEF" w:rsidP="00682DEF">
      <w:pPr>
        <w:spacing w:before="0" w:line="276" w:lineRule="auto"/>
        <w:ind w:firstLine="227"/>
        <w:contextualSpacing w:val="0"/>
        <w:rPr>
          <w:b w:val="0"/>
          <w:sz w:val="18"/>
          <w:szCs w:val="18"/>
          <w:lang w:val="hy-AM" w:eastAsia="en-US"/>
        </w:rPr>
      </w:pPr>
    </w:p>
    <w:p w14:paraId="58026969" w14:textId="3FC205D9" w:rsidR="00682DEF" w:rsidRPr="00A83C94" w:rsidRDefault="00682DEF" w:rsidP="00682DEF">
      <w:pPr>
        <w:keepNext/>
        <w:spacing w:before="0" w:line="240" w:lineRule="auto"/>
        <w:ind w:firstLine="0"/>
        <w:contextualSpacing w:val="0"/>
        <w:rPr>
          <w:rFonts w:eastAsia="Calibri"/>
          <w:bCs/>
          <w:i/>
          <w:color w:val="4F81BD" w:themeColor="accent1"/>
          <w:sz w:val="20"/>
          <w:szCs w:val="20"/>
          <w:lang w:val="hy-AM" w:eastAsia="en-US"/>
        </w:rPr>
      </w:pPr>
      <w:r w:rsidRPr="00A83C94">
        <w:rPr>
          <w:rFonts w:eastAsia="Calibri"/>
          <w:b w:val="0"/>
          <w:bCs/>
          <w:color w:val="4F81BD" w:themeColor="accent1"/>
          <w:sz w:val="18"/>
          <w:szCs w:val="18"/>
          <w:lang w:val="hy-AM" w:eastAsia="en-US"/>
        </w:rPr>
        <w:t xml:space="preserve">Աղյուսակ </w:t>
      </w:r>
      <w:r w:rsidR="006C390E" w:rsidRPr="006C390E">
        <w:rPr>
          <w:rFonts w:eastAsia="Calibri"/>
          <w:b w:val="0"/>
          <w:bCs/>
          <w:color w:val="4F81BD" w:themeColor="accent1"/>
          <w:sz w:val="18"/>
          <w:szCs w:val="18"/>
          <w:lang w:val="hy-AM" w:eastAsia="en-US"/>
        </w:rPr>
        <w:t>8</w:t>
      </w:r>
      <w:r w:rsidRPr="00A83C94">
        <w:rPr>
          <w:rFonts w:eastAsia="Calibri"/>
          <w:bCs/>
          <w:i/>
          <w:color w:val="4F81BD" w:themeColor="accent1"/>
          <w:sz w:val="20"/>
          <w:szCs w:val="20"/>
          <w:lang w:val="hy-AM" w:eastAsia="en-US"/>
        </w:rPr>
        <w:t xml:space="preserve"> Էներգետիկայի ոլորտի մասնավոր ընկերությունների հանրագումարային ֆինանսական գործակիցները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898"/>
        <w:gridCol w:w="992"/>
        <w:gridCol w:w="993"/>
        <w:gridCol w:w="2409"/>
      </w:tblGrid>
      <w:tr w:rsidR="000E76D9" w:rsidRPr="00A83C94" w14:paraId="2D18A894" w14:textId="77777777" w:rsidTr="000E76D9">
        <w:trPr>
          <w:trHeight w:val="269"/>
          <w:jc w:val="center"/>
        </w:trPr>
        <w:tc>
          <w:tcPr>
            <w:tcW w:w="3775" w:type="dxa"/>
            <w:shd w:val="clear" w:color="auto" w:fill="548DD4" w:themeFill="text2" w:themeFillTint="99"/>
            <w:vAlign w:val="center"/>
          </w:tcPr>
          <w:p w14:paraId="6F92C53F" w14:textId="66FFAD13" w:rsidR="000E76D9" w:rsidRPr="000E76D9" w:rsidRDefault="000E76D9" w:rsidP="000E76D9">
            <w:pPr>
              <w:spacing w:before="0" w:line="240" w:lineRule="auto"/>
              <w:ind w:firstLine="0"/>
              <w:contextualSpacing w:val="0"/>
              <w:rPr>
                <w:color w:val="FFFFFF" w:themeColor="background1"/>
                <w:sz w:val="20"/>
                <w:szCs w:val="20"/>
                <w:lang w:val="hy-AM" w:eastAsia="en-US"/>
              </w:rPr>
            </w:pPr>
            <w:r w:rsidRPr="000E76D9">
              <w:rPr>
                <w:color w:val="FFFFFF" w:themeColor="background1"/>
                <w:sz w:val="20"/>
                <w:szCs w:val="20"/>
                <w:lang w:val="hy-AM" w:eastAsia="en-US"/>
              </w:rPr>
              <w:t>Ցուցանիշ</w:t>
            </w:r>
          </w:p>
        </w:tc>
        <w:tc>
          <w:tcPr>
            <w:tcW w:w="898" w:type="dxa"/>
            <w:shd w:val="clear" w:color="auto" w:fill="548DD4" w:themeFill="text2" w:themeFillTint="99"/>
            <w:vAlign w:val="center"/>
          </w:tcPr>
          <w:p w14:paraId="6CA5F580" w14:textId="7CA63CD1"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2018թ.</w:t>
            </w:r>
          </w:p>
        </w:tc>
        <w:tc>
          <w:tcPr>
            <w:tcW w:w="992" w:type="dxa"/>
            <w:shd w:val="clear" w:color="auto" w:fill="548DD4" w:themeFill="text2" w:themeFillTint="99"/>
            <w:vAlign w:val="center"/>
          </w:tcPr>
          <w:p w14:paraId="35C813D4" w14:textId="6984FC9D"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2019թ.</w:t>
            </w:r>
          </w:p>
        </w:tc>
        <w:tc>
          <w:tcPr>
            <w:tcW w:w="993" w:type="dxa"/>
            <w:shd w:val="clear" w:color="auto" w:fill="548DD4" w:themeFill="text2" w:themeFillTint="99"/>
            <w:vAlign w:val="center"/>
          </w:tcPr>
          <w:p w14:paraId="57AD8E3F" w14:textId="6E034687"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2020թ.</w:t>
            </w:r>
          </w:p>
        </w:tc>
        <w:tc>
          <w:tcPr>
            <w:tcW w:w="2409" w:type="dxa"/>
            <w:shd w:val="clear" w:color="auto" w:fill="548DD4" w:themeFill="text2" w:themeFillTint="99"/>
          </w:tcPr>
          <w:p w14:paraId="3836E5BF" w14:textId="6A6CC4BB"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Թույլատրելի սահմանային նորմա</w:t>
            </w:r>
          </w:p>
        </w:tc>
      </w:tr>
      <w:tr w:rsidR="000E76D9" w:rsidRPr="00A83C94" w14:paraId="31E44483" w14:textId="77777777" w:rsidTr="000E76D9">
        <w:trPr>
          <w:trHeight w:val="549"/>
          <w:jc w:val="center"/>
        </w:trPr>
        <w:tc>
          <w:tcPr>
            <w:tcW w:w="3775" w:type="dxa"/>
            <w:shd w:val="clear" w:color="auto" w:fill="D9E2F3"/>
            <w:vAlign w:val="center"/>
          </w:tcPr>
          <w:p w14:paraId="26080797"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Ծախսերի վերականգնման գործակից</w:t>
            </w:r>
          </w:p>
        </w:tc>
        <w:tc>
          <w:tcPr>
            <w:tcW w:w="898" w:type="dxa"/>
            <w:shd w:val="clear" w:color="auto" w:fill="D9E2F3"/>
            <w:vAlign w:val="center"/>
          </w:tcPr>
          <w:p w14:paraId="1D17ECD2"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1.1</w:t>
            </w:r>
          </w:p>
        </w:tc>
        <w:tc>
          <w:tcPr>
            <w:tcW w:w="992" w:type="dxa"/>
            <w:shd w:val="clear" w:color="auto" w:fill="D9E2F3"/>
            <w:vAlign w:val="center"/>
          </w:tcPr>
          <w:p w14:paraId="39E4FA46"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1.1</w:t>
            </w:r>
          </w:p>
        </w:tc>
        <w:tc>
          <w:tcPr>
            <w:tcW w:w="993" w:type="dxa"/>
            <w:shd w:val="clear" w:color="auto" w:fill="D9E2F3"/>
            <w:vAlign w:val="center"/>
          </w:tcPr>
          <w:p w14:paraId="20621BEF"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1.1</w:t>
            </w:r>
          </w:p>
        </w:tc>
        <w:tc>
          <w:tcPr>
            <w:tcW w:w="2409" w:type="dxa"/>
            <w:shd w:val="clear" w:color="auto" w:fill="D9E2F3"/>
          </w:tcPr>
          <w:p w14:paraId="6ED664C1"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Առնվազն 1</w:t>
            </w:r>
          </w:p>
        </w:tc>
      </w:tr>
      <w:tr w:rsidR="000E76D9" w:rsidRPr="00A83C94" w14:paraId="2A646BCA" w14:textId="77777777" w:rsidTr="000E76D9">
        <w:trPr>
          <w:trHeight w:val="549"/>
          <w:jc w:val="center"/>
        </w:trPr>
        <w:tc>
          <w:tcPr>
            <w:tcW w:w="3775" w:type="dxa"/>
            <w:vAlign w:val="center"/>
          </w:tcPr>
          <w:p w14:paraId="1D252DEF"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Զուտ շահույթի մարժա(%)</w:t>
            </w:r>
          </w:p>
        </w:tc>
        <w:tc>
          <w:tcPr>
            <w:tcW w:w="898" w:type="dxa"/>
            <w:vAlign w:val="center"/>
          </w:tcPr>
          <w:p w14:paraId="365FE338"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3.7</w:t>
            </w:r>
          </w:p>
        </w:tc>
        <w:tc>
          <w:tcPr>
            <w:tcW w:w="992" w:type="dxa"/>
            <w:vAlign w:val="center"/>
          </w:tcPr>
          <w:p w14:paraId="179CBA6E"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3.2</w:t>
            </w:r>
          </w:p>
        </w:tc>
        <w:tc>
          <w:tcPr>
            <w:tcW w:w="993" w:type="dxa"/>
            <w:vAlign w:val="center"/>
          </w:tcPr>
          <w:p w14:paraId="72A8D4B1"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(1.9)</w:t>
            </w:r>
          </w:p>
        </w:tc>
        <w:tc>
          <w:tcPr>
            <w:tcW w:w="2409" w:type="dxa"/>
          </w:tcPr>
          <w:p w14:paraId="51F4761F"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Առնվազն 8%</w:t>
            </w:r>
          </w:p>
        </w:tc>
      </w:tr>
      <w:tr w:rsidR="000E76D9" w:rsidRPr="00A83C94" w14:paraId="2DAA5E0F" w14:textId="77777777" w:rsidTr="000E76D9">
        <w:trPr>
          <w:trHeight w:val="549"/>
          <w:jc w:val="center"/>
        </w:trPr>
        <w:tc>
          <w:tcPr>
            <w:tcW w:w="3775" w:type="dxa"/>
            <w:shd w:val="clear" w:color="auto" w:fill="D9E2F3"/>
            <w:vAlign w:val="center"/>
          </w:tcPr>
          <w:p w14:paraId="6987E6C4"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Արագ իրացվելիության գործակից</w:t>
            </w:r>
          </w:p>
        </w:tc>
        <w:tc>
          <w:tcPr>
            <w:tcW w:w="898" w:type="dxa"/>
            <w:shd w:val="clear" w:color="auto" w:fill="D9E2F3"/>
            <w:vAlign w:val="center"/>
          </w:tcPr>
          <w:p w14:paraId="1DACEADC"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2.8</w:t>
            </w:r>
          </w:p>
        </w:tc>
        <w:tc>
          <w:tcPr>
            <w:tcW w:w="992" w:type="dxa"/>
            <w:shd w:val="clear" w:color="auto" w:fill="D9E2F3"/>
            <w:vAlign w:val="center"/>
          </w:tcPr>
          <w:p w14:paraId="0DBAC4DB"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2.8</w:t>
            </w:r>
          </w:p>
        </w:tc>
        <w:tc>
          <w:tcPr>
            <w:tcW w:w="993" w:type="dxa"/>
            <w:shd w:val="clear" w:color="auto" w:fill="D9E2F3"/>
            <w:vAlign w:val="center"/>
          </w:tcPr>
          <w:p w14:paraId="511EAB3F"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2.0</w:t>
            </w:r>
          </w:p>
        </w:tc>
        <w:tc>
          <w:tcPr>
            <w:tcW w:w="2409" w:type="dxa"/>
            <w:shd w:val="clear" w:color="auto" w:fill="D9E2F3"/>
          </w:tcPr>
          <w:p w14:paraId="209C77BD"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Առնվազն 1</w:t>
            </w:r>
          </w:p>
        </w:tc>
      </w:tr>
      <w:tr w:rsidR="000E76D9" w:rsidRPr="00A83C94" w14:paraId="386B4A61" w14:textId="77777777" w:rsidTr="000E76D9">
        <w:trPr>
          <w:trHeight w:val="549"/>
          <w:jc w:val="center"/>
        </w:trPr>
        <w:tc>
          <w:tcPr>
            <w:tcW w:w="3775" w:type="dxa"/>
            <w:vAlign w:val="center"/>
          </w:tcPr>
          <w:p w14:paraId="7BE73B77"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Դեբիտորական պարտքերի շրջանառու</w:t>
            </w:r>
            <w:r w:rsidRPr="00A83C94">
              <w:rPr>
                <w:bCs/>
                <w:sz w:val="20"/>
                <w:szCs w:val="20"/>
                <w:lang w:val="hy-AM" w:eastAsia="en-US"/>
              </w:rPr>
              <w:softHyphen/>
              <w:t>թյուն (օր)</w:t>
            </w:r>
          </w:p>
        </w:tc>
        <w:tc>
          <w:tcPr>
            <w:tcW w:w="898" w:type="dxa"/>
            <w:vAlign w:val="center"/>
          </w:tcPr>
          <w:p w14:paraId="70E13226"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54.6</w:t>
            </w:r>
          </w:p>
        </w:tc>
        <w:tc>
          <w:tcPr>
            <w:tcW w:w="992" w:type="dxa"/>
            <w:vAlign w:val="center"/>
          </w:tcPr>
          <w:p w14:paraId="0A4DC7A1"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57.9</w:t>
            </w:r>
          </w:p>
        </w:tc>
        <w:tc>
          <w:tcPr>
            <w:tcW w:w="993" w:type="dxa"/>
            <w:vAlign w:val="center"/>
          </w:tcPr>
          <w:p w14:paraId="64F02DA6"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67.7</w:t>
            </w:r>
          </w:p>
        </w:tc>
        <w:tc>
          <w:tcPr>
            <w:tcW w:w="2409" w:type="dxa"/>
          </w:tcPr>
          <w:p w14:paraId="6D14220D"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Առավելագույնը 60 օր</w:t>
            </w:r>
          </w:p>
        </w:tc>
      </w:tr>
      <w:tr w:rsidR="000E76D9" w:rsidRPr="00A83C94" w14:paraId="1F93D90C" w14:textId="77777777" w:rsidTr="000E76D9">
        <w:trPr>
          <w:trHeight w:val="549"/>
          <w:jc w:val="center"/>
        </w:trPr>
        <w:tc>
          <w:tcPr>
            <w:tcW w:w="3775" w:type="dxa"/>
            <w:shd w:val="clear" w:color="auto" w:fill="D9E2F3"/>
            <w:vAlign w:val="center"/>
          </w:tcPr>
          <w:p w14:paraId="0711363F"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Պարտքի սպասարկման գործակից</w:t>
            </w:r>
          </w:p>
        </w:tc>
        <w:tc>
          <w:tcPr>
            <w:tcW w:w="898" w:type="dxa"/>
            <w:shd w:val="clear" w:color="auto" w:fill="D9E2F3"/>
            <w:vAlign w:val="center"/>
          </w:tcPr>
          <w:p w14:paraId="3A5ABB8B"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0.1</w:t>
            </w:r>
          </w:p>
        </w:tc>
        <w:tc>
          <w:tcPr>
            <w:tcW w:w="992" w:type="dxa"/>
            <w:shd w:val="clear" w:color="auto" w:fill="D9E2F3"/>
            <w:vAlign w:val="center"/>
          </w:tcPr>
          <w:p w14:paraId="45D9A73A"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0.1</w:t>
            </w:r>
          </w:p>
        </w:tc>
        <w:tc>
          <w:tcPr>
            <w:tcW w:w="993" w:type="dxa"/>
            <w:shd w:val="clear" w:color="auto" w:fill="D9E2F3"/>
            <w:vAlign w:val="center"/>
          </w:tcPr>
          <w:p w14:paraId="49F12CD8"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0.1</w:t>
            </w:r>
          </w:p>
        </w:tc>
        <w:tc>
          <w:tcPr>
            <w:tcW w:w="2409" w:type="dxa"/>
            <w:shd w:val="clear" w:color="auto" w:fill="D9E2F3"/>
          </w:tcPr>
          <w:p w14:paraId="44522CF7"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Առավելագույնը 0.5</w:t>
            </w:r>
          </w:p>
        </w:tc>
      </w:tr>
      <w:tr w:rsidR="000E76D9" w:rsidRPr="00A83C94" w14:paraId="53991050" w14:textId="77777777" w:rsidTr="000E76D9">
        <w:trPr>
          <w:trHeight w:val="549"/>
          <w:jc w:val="center"/>
        </w:trPr>
        <w:tc>
          <w:tcPr>
            <w:tcW w:w="3775" w:type="dxa"/>
            <w:vAlign w:val="center"/>
          </w:tcPr>
          <w:p w14:paraId="05FA689F"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Վերաֆինանսավորման գործակից</w:t>
            </w:r>
          </w:p>
        </w:tc>
        <w:tc>
          <w:tcPr>
            <w:tcW w:w="898" w:type="dxa"/>
            <w:vAlign w:val="center"/>
          </w:tcPr>
          <w:p w14:paraId="728C4545"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1.0</w:t>
            </w:r>
          </w:p>
        </w:tc>
        <w:tc>
          <w:tcPr>
            <w:tcW w:w="992" w:type="dxa"/>
            <w:vAlign w:val="center"/>
          </w:tcPr>
          <w:p w14:paraId="0A4A5A09"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0.7</w:t>
            </w:r>
          </w:p>
        </w:tc>
        <w:tc>
          <w:tcPr>
            <w:tcW w:w="993" w:type="dxa"/>
            <w:vAlign w:val="center"/>
          </w:tcPr>
          <w:p w14:paraId="616CC962"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1.8</w:t>
            </w:r>
          </w:p>
        </w:tc>
        <w:tc>
          <w:tcPr>
            <w:tcW w:w="2409" w:type="dxa"/>
          </w:tcPr>
          <w:p w14:paraId="2576A4B2"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Առավելագույնը 1</w:t>
            </w:r>
          </w:p>
        </w:tc>
      </w:tr>
      <w:tr w:rsidR="000E76D9" w:rsidRPr="00A83C94" w14:paraId="143312EC" w14:textId="77777777" w:rsidTr="000E76D9">
        <w:trPr>
          <w:trHeight w:val="698"/>
          <w:jc w:val="center"/>
        </w:trPr>
        <w:tc>
          <w:tcPr>
            <w:tcW w:w="3775" w:type="dxa"/>
            <w:shd w:val="clear" w:color="auto" w:fill="D9E2F3"/>
            <w:vAlign w:val="center"/>
          </w:tcPr>
          <w:p w14:paraId="3213AA20"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Z միավոր</w:t>
            </w:r>
          </w:p>
        </w:tc>
        <w:tc>
          <w:tcPr>
            <w:tcW w:w="898" w:type="dxa"/>
            <w:shd w:val="clear" w:color="auto" w:fill="D9E2F3"/>
            <w:vAlign w:val="center"/>
          </w:tcPr>
          <w:p w14:paraId="37725808"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1.23</w:t>
            </w:r>
          </w:p>
        </w:tc>
        <w:tc>
          <w:tcPr>
            <w:tcW w:w="992" w:type="dxa"/>
            <w:shd w:val="clear" w:color="auto" w:fill="D9E2F3"/>
            <w:vAlign w:val="center"/>
          </w:tcPr>
          <w:p w14:paraId="38A7EC8B"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1.4</w:t>
            </w:r>
          </w:p>
        </w:tc>
        <w:tc>
          <w:tcPr>
            <w:tcW w:w="993" w:type="dxa"/>
            <w:shd w:val="clear" w:color="auto" w:fill="D9E2F3"/>
            <w:vAlign w:val="center"/>
          </w:tcPr>
          <w:p w14:paraId="1D2A6ED5"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0.2</w:t>
            </w:r>
          </w:p>
        </w:tc>
        <w:tc>
          <w:tcPr>
            <w:tcW w:w="2409" w:type="dxa"/>
            <w:shd w:val="clear" w:color="auto" w:fill="D9E2F3"/>
          </w:tcPr>
          <w:p w14:paraId="7FEAAF27"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Ապահով գոտի՝ Z&gt;2.6,</w:t>
            </w:r>
          </w:p>
          <w:p w14:paraId="694E59D6"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Գորշ գոտի` 1.1&lt;Z&lt;2.6,</w:t>
            </w:r>
          </w:p>
          <w:p w14:paraId="7DD94B84"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Ծանր գոտի`Z&lt;1.1:</w:t>
            </w:r>
          </w:p>
        </w:tc>
      </w:tr>
    </w:tbl>
    <w:p w14:paraId="0669A6E7" w14:textId="77777777" w:rsidR="00682DEF" w:rsidRPr="00A83C94" w:rsidRDefault="00682DEF" w:rsidP="00682DEF">
      <w:pPr>
        <w:keepNext/>
        <w:spacing w:before="0" w:line="240" w:lineRule="auto"/>
        <w:ind w:firstLine="0"/>
        <w:contextualSpacing w:val="0"/>
        <w:rPr>
          <w:rFonts w:eastAsia="Calibri"/>
          <w:bCs/>
          <w:i/>
          <w:color w:val="4F81BD" w:themeColor="accent1"/>
          <w:sz w:val="20"/>
          <w:szCs w:val="20"/>
          <w:lang w:val="en-US" w:eastAsia="en-US"/>
        </w:rPr>
      </w:pPr>
    </w:p>
    <w:p w14:paraId="1E34A41E" w14:textId="77777777" w:rsidR="00682DEF" w:rsidRPr="00A83C94" w:rsidRDefault="00682DEF" w:rsidP="00682DEF">
      <w:pPr>
        <w:spacing w:before="0" w:line="276" w:lineRule="auto"/>
        <w:ind w:firstLine="0"/>
        <w:contextualSpacing w:val="0"/>
        <w:rPr>
          <w:color w:val="1F4E79"/>
          <w:sz w:val="24"/>
          <w:lang w:val="hy-AM"/>
        </w:rPr>
      </w:pPr>
    </w:p>
    <w:p w14:paraId="6488CF37"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Ինչպես երևում է աղյուսակից հաշվետու ժամանակաշրջանում սնանկացման կանխատեսման Ալթմանի Z-միավորը վկայում է Ընկերությունների ֆինանսական վիճակի վատթարացման բարձր հավանականության մասին (Z=0.2 գտնվում է սահմանված ծանր գոտում Z&lt;1.1):</w:t>
      </w:r>
    </w:p>
    <w:p w14:paraId="6F825349"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վիճակի վատթարացման բարձր հավանականության մասին:</w:t>
      </w:r>
    </w:p>
    <w:p w14:paraId="75C1FD58"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Զուտ շահույթի մարժան բնութագրում է բիզնեսի գործառնական արդյունավետությունը: Հաշվետու ժամանակաշրջանում նախորդ ժամանակաշրջանի նկատմամբ այս ցուցանիշը ցուցաբերել է նվազման դինամիկա և բավականին ցածր է պրակտիկայում կիրառ</w:t>
      </w:r>
      <w:r w:rsidRPr="00A83C94">
        <w:rPr>
          <w:b w:val="0"/>
          <w:szCs w:val="22"/>
          <w:lang w:val="hy-AM" w:eastAsia="en-US"/>
        </w:rPr>
        <w:softHyphen/>
        <w:t>վող նվազագույն նորմայից, ինչը պայմանավորված է արտարժութային տատանումներից կրած վնասներով:</w:t>
      </w:r>
    </w:p>
    <w:p w14:paraId="2E21137A"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Վերաֆինանսավորման գործակիցը հաշվետու ժամանակաշրջանում նախորդ ժամանակաշրջանի նկատմամբ ավելացել է 1.1 կետով և կազմել է 1.8, որը փաստում է, որ որոշ Ընկերու</w:t>
      </w:r>
      <w:r w:rsidRPr="00A83C94">
        <w:rPr>
          <w:b w:val="0"/>
          <w:szCs w:val="22"/>
          <w:lang w:val="hy-AM" w:eastAsia="en-US"/>
        </w:rPr>
        <w:softHyphen/>
        <w:t>թյուններ ի վիճակի են գործառնություններից ստացվող դրամական հոսքերի հաշվին կատարել իրենց ընթացիկ պարտավորությունները:</w:t>
      </w:r>
    </w:p>
    <w:p w14:paraId="45F5088F" w14:textId="77777777" w:rsidR="00682DEF" w:rsidRPr="00A83C94" w:rsidRDefault="00682DEF" w:rsidP="00682DEF">
      <w:pPr>
        <w:spacing w:before="0" w:line="276" w:lineRule="auto"/>
        <w:ind w:right="23" w:firstLine="227"/>
        <w:contextualSpacing w:val="0"/>
        <w:rPr>
          <w:b w:val="0"/>
          <w:szCs w:val="22"/>
          <w:lang w:val="hy-AM" w:eastAsia="en-US"/>
        </w:rPr>
      </w:pPr>
      <w:r w:rsidRPr="00A83C94">
        <w:rPr>
          <w:b w:val="0"/>
          <w:szCs w:val="22"/>
          <w:lang w:val="hy-AM" w:eastAsia="en-US"/>
        </w:rPr>
        <w:t>Հաշվի առնելով, որ հաշվետու ժամանակաշրջանում Ընկերությունների ֆինանսական ծանր վիճակի հավանականությունը գնահատող Z-միավորը վկայում է Ընկերու</w:t>
      </w:r>
      <w:r w:rsidRPr="00A83C94">
        <w:rPr>
          <w:b w:val="0"/>
          <w:szCs w:val="22"/>
          <w:lang w:val="hy-AM" w:eastAsia="en-US"/>
        </w:rPr>
        <w:softHyphen/>
        <w:t>թյունների ֆինանսական ծանր վիճակի հավանականության մասին (Z=0.2), իսկ լրացուցիչ վեց գործակիցներից երեքը չեն համապատասխանում միջազգային պրակտիկայում կիրառվող շեմային մակարդակին, հետևաբար Ընկերությունների ֆինանսական վիճակի վատթարացման հավանականությունը նշանակալի է, ինչը կարող է ֆիսկալ ռիսկերի նյութականացման պատճառ դառնալ, օրինակ ՀՀ պետական բյուջեից ընկերություններին չնախատեսված փոխառությունների տրամադրում և/կամ պետական բյուջեից ընկերություններին նախատեսված վարկային միջոցների օգտագործման դիմաց հաշվարկված տոկոսների չվճարում:</w:t>
      </w:r>
    </w:p>
    <w:p w14:paraId="64563C99" w14:textId="77777777" w:rsidR="00682DEF" w:rsidRPr="00A83C94" w:rsidRDefault="00682DEF" w:rsidP="00682DEF">
      <w:pPr>
        <w:spacing w:before="0" w:line="276" w:lineRule="auto"/>
        <w:ind w:firstLine="0"/>
        <w:contextualSpacing w:val="0"/>
        <w:jc w:val="center"/>
        <w:rPr>
          <w:szCs w:val="22"/>
          <w:lang w:val="hy-AM"/>
        </w:rPr>
      </w:pPr>
      <w:r w:rsidRPr="00A83C94">
        <w:rPr>
          <w:szCs w:val="22"/>
          <w:lang w:val="hy-AM"/>
        </w:rPr>
        <w:t>ՀԱՄԱՌՈՏ ԱԿՆԱՐԿ</w:t>
      </w:r>
    </w:p>
    <w:p w14:paraId="5B5FB3F0" w14:textId="77777777" w:rsidR="00682DEF" w:rsidRPr="00A83C94" w:rsidRDefault="00682DEF" w:rsidP="00682DEF">
      <w:pPr>
        <w:spacing w:before="0" w:line="276" w:lineRule="auto"/>
        <w:ind w:firstLine="426"/>
        <w:contextualSpacing w:val="0"/>
        <w:jc w:val="center"/>
        <w:rPr>
          <w:szCs w:val="22"/>
          <w:lang w:val="hy-AM"/>
        </w:rPr>
      </w:pPr>
      <w:r w:rsidRPr="00A83C94">
        <w:rPr>
          <w:szCs w:val="22"/>
          <w:lang w:val="hy-AM"/>
        </w:rPr>
        <w:t>ՍՊԵՑԻՖԻԿ ՖԻՍԿԱԼ ՌԻՍԿԵՐԻ ՀԱՄԱՊԱՐՓԱԿ ՇՐՋԱՆԱԿԻ ՎԵՐԱԲԵՐՅԱԼ</w:t>
      </w:r>
    </w:p>
    <w:p w14:paraId="0186EFC8" w14:textId="77777777" w:rsidR="00682DEF" w:rsidRPr="00A83C94" w:rsidRDefault="00682DEF" w:rsidP="00682DEF">
      <w:pPr>
        <w:shd w:val="clear" w:color="auto" w:fill="FFFFFF"/>
        <w:spacing w:before="0" w:line="276" w:lineRule="auto"/>
        <w:ind w:right="20" w:firstLine="450"/>
        <w:contextualSpacing w:val="0"/>
        <w:rPr>
          <w:b w:val="0"/>
          <w:color w:val="000000"/>
          <w:szCs w:val="22"/>
          <w:lang w:val="hy-AM"/>
        </w:rPr>
      </w:pPr>
      <w:r w:rsidRPr="00A83C94">
        <w:rPr>
          <w:b w:val="0"/>
          <w:color w:val="000000"/>
          <w:szCs w:val="22"/>
          <w:lang w:val="hy-AM"/>
        </w:rPr>
        <w:t>Սպեցիֆիկ ֆիսկալ ռիսկերն առաջանում են պայմանական պարտավորությունների կամ այլ անորոշ իրադարձությունների նյութականացման արդյունքում: Այդ իրադարձություններից յուրաքանչյուրը կարող է ենթադրել անհապաղ և/կամ շարունակական ծախսեր՝ պայմանավորված կառավարության բացահայտ պարտավորություններով (պարտավորություններ, որոնք ունեն իրավական կամ պայմանագրային հիմք) կամ թաքնված պարտավորություններով, որոնք սահմանված չեն որևէ օրենքով կամ պայմանագրով:</w:t>
      </w:r>
    </w:p>
    <w:p w14:paraId="30A98D38" w14:textId="77777777" w:rsidR="00682DEF" w:rsidRPr="00A83C94" w:rsidRDefault="00682DEF" w:rsidP="00682DEF">
      <w:pPr>
        <w:shd w:val="clear" w:color="auto" w:fill="FFFFFF"/>
        <w:spacing w:before="0" w:line="276" w:lineRule="auto"/>
        <w:ind w:right="20" w:firstLine="450"/>
        <w:contextualSpacing w:val="0"/>
        <w:rPr>
          <w:b w:val="0"/>
          <w:color w:val="000000"/>
          <w:szCs w:val="22"/>
          <w:lang w:val="hy-AM"/>
        </w:rPr>
      </w:pPr>
      <w:r w:rsidRPr="00A83C94">
        <w:rPr>
          <w:b w:val="0"/>
          <w:color w:val="000000"/>
          <w:szCs w:val="22"/>
          <w:lang w:val="hy-AM"/>
        </w:rPr>
        <w:t>Ստորև կատարված ուսումնասիրությունն արտացոլում է սպեցիֆիկ ֆիսկալ ռիսկերի ընդգրկուն շրջանակը, որի համար հիմք է հանդիսացել ԱԶԲ-ի հետ համատեղ մշակված ֆիսկալ ռիսկերի կառավարման բարելավման 2019-2023 թվականների ճանապարհային քարտեզը:</w:t>
      </w:r>
    </w:p>
    <w:p w14:paraId="739B74B5" w14:textId="77777777" w:rsidR="00682DEF" w:rsidRPr="00A83C94" w:rsidRDefault="00682DEF" w:rsidP="00682DEF">
      <w:pPr>
        <w:shd w:val="clear" w:color="auto" w:fill="FFFFFF"/>
        <w:spacing w:before="0" w:line="276" w:lineRule="auto"/>
        <w:ind w:right="20" w:firstLine="450"/>
        <w:contextualSpacing w:val="0"/>
        <w:rPr>
          <w:b w:val="0"/>
          <w:color w:val="000000"/>
          <w:szCs w:val="22"/>
          <w:lang w:val="hy-AM"/>
        </w:rPr>
      </w:pPr>
    </w:p>
    <w:p w14:paraId="2DD94784" w14:textId="77777777" w:rsidR="00682DEF" w:rsidRPr="00A83C94" w:rsidRDefault="00682DEF" w:rsidP="00CD3E9D">
      <w:pPr>
        <w:spacing w:before="0" w:line="276" w:lineRule="auto"/>
        <w:ind w:firstLine="230"/>
        <w:contextualSpacing w:val="0"/>
        <w:jc w:val="center"/>
        <w:rPr>
          <w:color w:val="000000"/>
          <w:szCs w:val="22"/>
          <w:lang w:val="hy-AM"/>
        </w:rPr>
      </w:pPr>
      <w:r w:rsidRPr="00A83C94">
        <w:rPr>
          <w:color w:val="000000"/>
          <w:szCs w:val="22"/>
          <w:lang w:val="hy-AM"/>
        </w:rPr>
        <w:t>Պետություն-մասնավոր գործընկերության (ՊՄԳ) ձևաչափով գործող պայմանագրերից բխող պայմանական պարտավորությունների վերլուծություն</w:t>
      </w:r>
    </w:p>
    <w:p w14:paraId="039969A6"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Վերլուծության են ենթարկվել ստորև ներկայացված ՊՄԳ ձևաչափով գործող թվով երեք ընկերությունների պայմանագրերը, ինչպես նաև էլեկտրաէներգիայի գնման երեք խոշոր պայմանագրերը (որոնք նույնպես հանդիսանում են պայմանական պարտավորությունների աղբյուր, քանի որ պարունակում են երաշխավորած գնման պայմաններ): </w:t>
      </w:r>
    </w:p>
    <w:p w14:paraId="2F76BEDA"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Ստորև ներկայացվում է նշված 6 ընկերությունների վերաբերյալ ամփոփ տեղեկատվություն:</w:t>
      </w:r>
    </w:p>
    <w:p w14:paraId="798477D9" w14:textId="77777777" w:rsidR="00682DEF" w:rsidRPr="00A83C94" w:rsidRDefault="00682DEF" w:rsidP="00682DEF">
      <w:pPr>
        <w:spacing w:before="0" w:line="240" w:lineRule="auto"/>
        <w:ind w:firstLine="0"/>
        <w:contextualSpacing w:val="0"/>
        <w:jc w:val="left"/>
        <w:rPr>
          <w:b w:val="0"/>
          <w:color w:val="000000"/>
          <w:szCs w:val="22"/>
          <w:lang w:val="hy-AM"/>
        </w:rPr>
      </w:pPr>
    </w:p>
    <w:p w14:paraId="69F6CB0C" w14:textId="4868BBF8" w:rsidR="00682DEF" w:rsidRPr="00A83C94" w:rsidRDefault="00682DEF" w:rsidP="00682DEF">
      <w:pPr>
        <w:keepNext/>
        <w:spacing w:before="0" w:after="200" w:line="240" w:lineRule="auto"/>
        <w:ind w:firstLine="0"/>
        <w:contextualSpacing w:val="0"/>
        <w:jc w:val="left"/>
        <w:rPr>
          <w:rFonts w:eastAsia="Calibri"/>
          <w:bCs/>
          <w:i/>
          <w:color w:val="4F81BD" w:themeColor="accent1"/>
          <w:sz w:val="20"/>
          <w:szCs w:val="20"/>
          <w:lang w:val="hy-AM" w:eastAsia="en-US"/>
        </w:rPr>
      </w:pPr>
      <w:r w:rsidRPr="00A83C94">
        <w:rPr>
          <w:rFonts w:eastAsia="Calibri"/>
          <w:b w:val="0"/>
          <w:bCs/>
          <w:color w:val="4F81BD" w:themeColor="accent1"/>
          <w:sz w:val="18"/>
          <w:szCs w:val="18"/>
          <w:lang w:val="hy-AM" w:eastAsia="en-US"/>
        </w:rPr>
        <w:t xml:space="preserve">Աղյուսակ </w:t>
      </w:r>
      <w:r w:rsidR="006C390E" w:rsidRPr="006C390E">
        <w:rPr>
          <w:rFonts w:eastAsia="Calibri"/>
          <w:b w:val="0"/>
          <w:bCs/>
          <w:color w:val="4F81BD" w:themeColor="accent1"/>
          <w:sz w:val="18"/>
          <w:szCs w:val="18"/>
          <w:lang w:val="hy-AM" w:eastAsia="en-US"/>
        </w:rPr>
        <w:t>9</w:t>
      </w:r>
      <w:r w:rsidRPr="00A83C94">
        <w:rPr>
          <w:rFonts w:eastAsia="Calibri"/>
          <w:bCs/>
          <w:i/>
          <w:color w:val="4F81BD" w:themeColor="accent1"/>
          <w:sz w:val="20"/>
          <w:szCs w:val="20"/>
          <w:lang w:val="hy-AM" w:eastAsia="en-US"/>
        </w:rPr>
        <w:t xml:space="preserve"> Գործող ՊՄԳ և ԷԳՊ պայմանագրերը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166"/>
        <w:gridCol w:w="1144"/>
        <w:gridCol w:w="945"/>
        <w:gridCol w:w="2525"/>
      </w:tblGrid>
      <w:tr w:rsidR="001A2CC1" w:rsidRPr="00813A99" w14:paraId="1D9D5F89" w14:textId="77777777" w:rsidTr="001A2CC1">
        <w:trPr>
          <w:trHeight w:val="1175"/>
        </w:trPr>
        <w:tc>
          <w:tcPr>
            <w:tcW w:w="2966" w:type="dxa"/>
            <w:shd w:val="clear" w:color="auto" w:fill="548DD4" w:themeFill="text2" w:themeFillTint="99"/>
          </w:tcPr>
          <w:p w14:paraId="3BD87815" w14:textId="335E81F4"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Անվանում</w:t>
            </w:r>
          </w:p>
        </w:tc>
        <w:tc>
          <w:tcPr>
            <w:tcW w:w="2166" w:type="dxa"/>
            <w:shd w:val="clear" w:color="auto" w:fill="548DD4" w:themeFill="text2" w:themeFillTint="99"/>
          </w:tcPr>
          <w:p w14:paraId="7A83869B" w14:textId="277936D0"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Ոլորտ</w:t>
            </w:r>
          </w:p>
        </w:tc>
        <w:tc>
          <w:tcPr>
            <w:tcW w:w="1144" w:type="dxa"/>
            <w:shd w:val="clear" w:color="auto" w:fill="548DD4" w:themeFill="text2" w:themeFillTint="99"/>
          </w:tcPr>
          <w:p w14:paraId="22CFE55E" w14:textId="429A74E0"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Սկիզբ</w:t>
            </w:r>
          </w:p>
        </w:tc>
        <w:tc>
          <w:tcPr>
            <w:tcW w:w="945" w:type="dxa"/>
            <w:shd w:val="clear" w:color="auto" w:fill="548DD4" w:themeFill="text2" w:themeFillTint="99"/>
          </w:tcPr>
          <w:p w14:paraId="1C9F00C5" w14:textId="3ABAA550"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Ավարտ</w:t>
            </w:r>
          </w:p>
        </w:tc>
        <w:tc>
          <w:tcPr>
            <w:tcW w:w="2525" w:type="dxa"/>
            <w:shd w:val="clear" w:color="auto" w:fill="548DD4" w:themeFill="text2" w:themeFillTint="99"/>
          </w:tcPr>
          <w:p w14:paraId="1AED5332" w14:textId="250E0956"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Պայմանական պարտավորությունների հարկաբյուջետային ռիսկի կարգավիճակը</w:t>
            </w:r>
          </w:p>
        </w:tc>
      </w:tr>
      <w:tr w:rsidR="001A2CC1" w:rsidRPr="00A83C94" w14:paraId="60DEFE78" w14:textId="77777777" w:rsidTr="001A2CC1">
        <w:trPr>
          <w:trHeight w:val="457"/>
        </w:trPr>
        <w:tc>
          <w:tcPr>
            <w:tcW w:w="2966" w:type="dxa"/>
            <w:vAlign w:val="center"/>
          </w:tcPr>
          <w:p w14:paraId="3966D15A"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«Հարավկովկասյան երկաթուղի» ՓԲԸ</w:t>
            </w:r>
          </w:p>
        </w:tc>
        <w:tc>
          <w:tcPr>
            <w:tcW w:w="2166" w:type="dxa"/>
            <w:vAlign w:val="center"/>
          </w:tcPr>
          <w:p w14:paraId="387A479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 xml:space="preserve">Տրանսպորտ </w:t>
            </w:r>
          </w:p>
        </w:tc>
        <w:tc>
          <w:tcPr>
            <w:tcW w:w="1144" w:type="dxa"/>
            <w:vAlign w:val="center"/>
          </w:tcPr>
          <w:p w14:paraId="4618E97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2008թ.</w:t>
            </w:r>
          </w:p>
        </w:tc>
        <w:tc>
          <w:tcPr>
            <w:tcW w:w="945" w:type="dxa"/>
            <w:vAlign w:val="center"/>
          </w:tcPr>
          <w:p w14:paraId="44C10E89"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2038թ.</w:t>
            </w:r>
          </w:p>
        </w:tc>
        <w:tc>
          <w:tcPr>
            <w:tcW w:w="2525" w:type="dxa"/>
            <w:vAlign w:val="center"/>
          </w:tcPr>
          <w:p w14:paraId="3D57803A"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6210CF5C" w14:textId="77777777" w:rsidTr="001A2CC1">
        <w:trPr>
          <w:trHeight w:val="531"/>
        </w:trPr>
        <w:tc>
          <w:tcPr>
            <w:tcW w:w="2966" w:type="dxa"/>
            <w:shd w:val="clear" w:color="auto" w:fill="D9E2F3"/>
            <w:vAlign w:val="center"/>
          </w:tcPr>
          <w:p w14:paraId="65D533C8"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«Վեոլիա Ջուր» ՓԲԸ</w:t>
            </w:r>
          </w:p>
        </w:tc>
        <w:tc>
          <w:tcPr>
            <w:tcW w:w="2166" w:type="dxa"/>
            <w:shd w:val="clear" w:color="auto" w:fill="D9E2F3"/>
            <w:vAlign w:val="center"/>
          </w:tcPr>
          <w:p w14:paraId="3F3078F7"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Ջրամատակարարում և կեղտաջրերի հեռացում</w:t>
            </w:r>
          </w:p>
        </w:tc>
        <w:tc>
          <w:tcPr>
            <w:tcW w:w="1144" w:type="dxa"/>
            <w:shd w:val="clear" w:color="auto" w:fill="D9E2F3"/>
            <w:vAlign w:val="center"/>
          </w:tcPr>
          <w:p w14:paraId="419D787E"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2016թ.</w:t>
            </w:r>
          </w:p>
        </w:tc>
        <w:tc>
          <w:tcPr>
            <w:tcW w:w="945" w:type="dxa"/>
            <w:shd w:val="clear" w:color="auto" w:fill="D9E2F3"/>
            <w:vAlign w:val="center"/>
          </w:tcPr>
          <w:p w14:paraId="51244EAB"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2031թ.</w:t>
            </w:r>
          </w:p>
        </w:tc>
        <w:tc>
          <w:tcPr>
            <w:tcW w:w="2525" w:type="dxa"/>
            <w:shd w:val="clear" w:color="auto" w:fill="D9E2F3"/>
            <w:vAlign w:val="center"/>
          </w:tcPr>
          <w:p w14:paraId="78EAC83D"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3177D67D" w14:textId="77777777" w:rsidTr="001A2CC1">
        <w:trPr>
          <w:trHeight w:val="244"/>
        </w:trPr>
        <w:tc>
          <w:tcPr>
            <w:tcW w:w="2966" w:type="dxa"/>
            <w:vAlign w:val="center"/>
          </w:tcPr>
          <w:p w14:paraId="39EFD85C"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«Արմենիա միջազգային օդանավակայաններ» ՓԲԸ</w:t>
            </w:r>
          </w:p>
        </w:tc>
        <w:tc>
          <w:tcPr>
            <w:tcW w:w="2166" w:type="dxa"/>
            <w:vAlign w:val="center"/>
          </w:tcPr>
          <w:p w14:paraId="414C1664"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Տրանսպորտ</w:t>
            </w:r>
          </w:p>
        </w:tc>
        <w:tc>
          <w:tcPr>
            <w:tcW w:w="1144" w:type="dxa"/>
            <w:vAlign w:val="center"/>
          </w:tcPr>
          <w:p w14:paraId="1F03D36C"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2002թ.</w:t>
            </w:r>
          </w:p>
        </w:tc>
        <w:tc>
          <w:tcPr>
            <w:tcW w:w="945" w:type="dxa"/>
            <w:vAlign w:val="center"/>
          </w:tcPr>
          <w:p w14:paraId="70D2889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2032թ.</w:t>
            </w:r>
          </w:p>
        </w:tc>
        <w:tc>
          <w:tcPr>
            <w:tcW w:w="2525" w:type="dxa"/>
            <w:vAlign w:val="center"/>
          </w:tcPr>
          <w:p w14:paraId="57CEBEBA"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7E8E5012" w14:textId="77777777" w:rsidTr="001A2CC1">
        <w:trPr>
          <w:trHeight w:val="791"/>
        </w:trPr>
        <w:tc>
          <w:tcPr>
            <w:tcW w:w="2966" w:type="dxa"/>
            <w:shd w:val="clear" w:color="auto" w:fill="D9E2F3"/>
            <w:vAlign w:val="center"/>
          </w:tcPr>
          <w:p w14:paraId="5D6C48FC"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«Քոնթուր Գլոբալ հիդրո կասկադ» ՓԲԸ (Որոտան ՀԷԿ), ԷԳՊ</w:t>
            </w:r>
          </w:p>
        </w:tc>
        <w:tc>
          <w:tcPr>
            <w:tcW w:w="2166" w:type="dxa"/>
            <w:shd w:val="clear" w:color="auto" w:fill="D9E2F3"/>
            <w:vAlign w:val="center"/>
          </w:tcPr>
          <w:p w14:paraId="1E38C1A4"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Էներգետիկա</w:t>
            </w:r>
          </w:p>
        </w:tc>
        <w:tc>
          <w:tcPr>
            <w:tcW w:w="1144" w:type="dxa"/>
            <w:shd w:val="clear" w:color="auto" w:fill="D9E2F3"/>
            <w:vAlign w:val="center"/>
          </w:tcPr>
          <w:p w14:paraId="02697F1B"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2016թ.*</w:t>
            </w:r>
          </w:p>
        </w:tc>
        <w:tc>
          <w:tcPr>
            <w:tcW w:w="945" w:type="dxa"/>
            <w:shd w:val="clear" w:color="auto" w:fill="D9E2F3"/>
            <w:vAlign w:val="center"/>
          </w:tcPr>
          <w:p w14:paraId="243DF013"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2038թ.</w:t>
            </w:r>
          </w:p>
        </w:tc>
        <w:tc>
          <w:tcPr>
            <w:tcW w:w="2525" w:type="dxa"/>
            <w:shd w:val="clear" w:color="auto" w:fill="D9E2F3"/>
            <w:vAlign w:val="center"/>
          </w:tcPr>
          <w:p w14:paraId="772FC46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158D1DED" w14:textId="77777777" w:rsidTr="001A2CC1">
        <w:trPr>
          <w:trHeight w:val="415"/>
        </w:trPr>
        <w:tc>
          <w:tcPr>
            <w:tcW w:w="2966" w:type="dxa"/>
            <w:vAlign w:val="center"/>
          </w:tcPr>
          <w:p w14:paraId="34A2CCA2"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«Արմփաուեր» ՓԲԸ, ԷԳՊ</w:t>
            </w:r>
          </w:p>
        </w:tc>
        <w:tc>
          <w:tcPr>
            <w:tcW w:w="2166" w:type="dxa"/>
            <w:vAlign w:val="center"/>
          </w:tcPr>
          <w:p w14:paraId="649133B3"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Էներգետիկա</w:t>
            </w:r>
          </w:p>
        </w:tc>
        <w:tc>
          <w:tcPr>
            <w:tcW w:w="1144" w:type="dxa"/>
            <w:vAlign w:val="center"/>
          </w:tcPr>
          <w:p w14:paraId="3179337E"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2019թ.*</w:t>
            </w:r>
          </w:p>
        </w:tc>
        <w:tc>
          <w:tcPr>
            <w:tcW w:w="945" w:type="dxa"/>
            <w:vAlign w:val="center"/>
          </w:tcPr>
          <w:p w14:paraId="11B93DF8"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2041թ.</w:t>
            </w:r>
          </w:p>
        </w:tc>
        <w:tc>
          <w:tcPr>
            <w:tcW w:w="2525" w:type="dxa"/>
            <w:vAlign w:val="center"/>
          </w:tcPr>
          <w:p w14:paraId="0A8B1ABB"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Միջին</w:t>
            </w:r>
          </w:p>
        </w:tc>
      </w:tr>
      <w:tr w:rsidR="001A2CC1" w:rsidRPr="00A83C94" w14:paraId="28DA5992" w14:textId="77777777" w:rsidTr="001A2CC1">
        <w:trPr>
          <w:trHeight w:val="647"/>
        </w:trPr>
        <w:tc>
          <w:tcPr>
            <w:tcW w:w="2966" w:type="dxa"/>
            <w:shd w:val="clear" w:color="auto" w:fill="D9E2F3"/>
            <w:vAlign w:val="center"/>
          </w:tcPr>
          <w:p w14:paraId="61C1C418"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«Էֆարվի Մասրիկ» ՓԲԸ, Մասրիկ-1 արևային ֆոտովոլտային էլեկտրակայան, ԷԳՊ</w:t>
            </w:r>
          </w:p>
        </w:tc>
        <w:tc>
          <w:tcPr>
            <w:tcW w:w="2166" w:type="dxa"/>
            <w:shd w:val="clear" w:color="auto" w:fill="D9E2F3"/>
            <w:vAlign w:val="center"/>
          </w:tcPr>
          <w:p w14:paraId="618CB2FF"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Էներգետիկա</w:t>
            </w:r>
          </w:p>
        </w:tc>
        <w:tc>
          <w:tcPr>
            <w:tcW w:w="1144" w:type="dxa"/>
            <w:shd w:val="clear" w:color="auto" w:fill="D9E2F3"/>
            <w:vAlign w:val="center"/>
          </w:tcPr>
          <w:p w14:paraId="6DBBB827"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2021թ.*</w:t>
            </w:r>
          </w:p>
        </w:tc>
        <w:tc>
          <w:tcPr>
            <w:tcW w:w="945" w:type="dxa"/>
            <w:shd w:val="clear" w:color="auto" w:fill="D9E2F3"/>
            <w:vAlign w:val="center"/>
          </w:tcPr>
          <w:p w14:paraId="55949000"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2041թ.</w:t>
            </w:r>
          </w:p>
        </w:tc>
        <w:tc>
          <w:tcPr>
            <w:tcW w:w="2525" w:type="dxa"/>
            <w:shd w:val="clear" w:color="auto" w:fill="D9E2F3"/>
            <w:vAlign w:val="center"/>
          </w:tcPr>
          <w:p w14:paraId="3F653621"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Միջին</w:t>
            </w:r>
          </w:p>
        </w:tc>
      </w:tr>
    </w:tbl>
    <w:p w14:paraId="5BAAF7C0" w14:textId="77777777" w:rsidR="00682DEF" w:rsidRPr="00A83C94" w:rsidRDefault="00682DEF" w:rsidP="00682DEF">
      <w:pPr>
        <w:spacing w:before="0" w:line="240" w:lineRule="auto"/>
        <w:ind w:firstLine="0"/>
        <w:contextualSpacing w:val="0"/>
        <w:rPr>
          <w:rFonts w:eastAsia="Calibri"/>
          <w:b w:val="0"/>
          <w:sz w:val="16"/>
          <w:szCs w:val="16"/>
          <w:lang w:val="hy-AM" w:eastAsia="en-US"/>
        </w:rPr>
      </w:pPr>
      <w:r w:rsidRPr="00A83C94">
        <w:rPr>
          <w:rFonts w:eastAsia="Calibri"/>
          <w:b w:val="0"/>
          <w:sz w:val="16"/>
          <w:szCs w:val="16"/>
          <w:lang w:eastAsia="en-US"/>
        </w:rPr>
        <w:t xml:space="preserve">     </w:t>
      </w:r>
      <w:r w:rsidRPr="00A83C94">
        <w:rPr>
          <w:rFonts w:eastAsia="Calibri"/>
          <w:b w:val="0"/>
          <w:sz w:val="16"/>
          <w:szCs w:val="16"/>
          <w:lang w:val="hy-AM" w:eastAsia="en-US"/>
        </w:rPr>
        <w:t>*գործարքի ֆինանսական պայմանների բավարարման տարի. ԷԳՊ պայմանագրերի փաստացի տևողությունը կազմում է մինչև 25 տարի՝ սկսած ստորագրման տարվանից:</w:t>
      </w:r>
    </w:p>
    <w:p w14:paraId="48EF660E" w14:textId="77777777" w:rsidR="00682DEF" w:rsidRPr="00A83C94" w:rsidRDefault="00682DEF" w:rsidP="00682DEF">
      <w:pPr>
        <w:spacing w:before="0" w:line="240" w:lineRule="auto"/>
        <w:ind w:firstLine="0"/>
        <w:contextualSpacing w:val="0"/>
        <w:rPr>
          <w:rFonts w:eastAsia="Calibri"/>
          <w:b w:val="0"/>
          <w:sz w:val="16"/>
          <w:szCs w:val="16"/>
          <w:lang w:val="hy-AM" w:eastAsia="en-US"/>
        </w:rPr>
      </w:pPr>
    </w:p>
    <w:p w14:paraId="232AF0BE"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ՊՄԳ պայմանագրերի վերլուծության արդյունքում նյութականացման ռիսկի աստիճանը հիմնականում նշանակալի է համարվել ՊՄԳ բոլոր պայմանագրերի համար, հաշվի առնելով, որ ճգնաժամը տարբեր ազդեցություններ է ունենում ընկերությունների դրամական հոսքերի վրա, ինչն իր հերթին մեծացնում է պայմանագրի վերաբանակցման (պայմանագրերում անհաղթահարելի ուժի ազդեցության և տնտեսական հավասարակշռության վերաբերյալ դրույթների հետևանքով) կամ պայմանագրի վաղաժամ դադարեցման (ԷԳՊ դեպքում՝ վաղաժամ հետ գնման) ռիսկերը։ Իսկ շինարարության փուլում գտնվող ծրագրերի («Արմփաուեր» ՓԲԸ և «Էֆարվի Մասրիկ» ՓԲԸ) պարագայում ճգնաժամը հանգեցրել է էական ուշացումների, ինչն իր հերթին կարող է բարձրացնել էական գերածախսեր ունենալու ռիսկը: </w:t>
      </w:r>
    </w:p>
    <w:p w14:paraId="416271B4"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bookmarkStart w:id="327" w:name="_Toc59655558"/>
      <w:r w:rsidRPr="00A83C94">
        <w:rPr>
          <w:rFonts w:eastAsia="Calibri"/>
          <w:color w:val="000000"/>
          <w:szCs w:val="22"/>
          <w:lang w:val="hy-AM" w:eastAsia="en-US"/>
        </w:rPr>
        <w:t>«Հարավկովկասյան երկաթուղի» ՓԲԸ</w:t>
      </w:r>
      <w:bookmarkEnd w:id="327"/>
    </w:p>
    <w:p w14:paraId="78B0E792"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ՀՀ կառավարության 07.02.2008թ. N83-Ա որոշման 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14:paraId="35B0BC6F"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Ծառայությունների ծավալները և երթուղիները համաձայնեցվում են յուրաքանչյուր տարի՝ հաջորդող տարվա համար, հետևաբար պայմանագրի ֆինանսական տարբեր բաղադրիչների ապագա մակարդակները բարդ է կանխատեսել:</w:t>
      </w:r>
    </w:p>
    <w:p w14:paraId="5839B37B"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Կոնցեսիոն պայմանագիրը ներառում է վնասի սուբսիդավորում ուղևորափոխադրման ոչ շահութաբեր ուղղությունների համար, ինչն էլ նյութականացել է յուրաքանչյուր տարի: Սակայն, ըստ պայմանագրի, վճարման ենթակա գումարների առավելագույն չափը սահմանափակվում է կոնցեսիոների կողմից վճարման ենթակա տարեկան կոնցեսիոն վճարի չափով: Համաձայն առկա պատմական տեղեկատվության, կոնցեսիոն պայմանագրի սկզբից ի վեր որևէ այլ պայմանական պարտավորության նյութականացում տեղի չի ունեցել։ </w:t>
      </w:r>
    </w:p>
    <w:p w14:paraId="38A768A0"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Կոնցեսիոն պայմանագիրը նախատեսում է նաև փոխհատուցումներ մի շարք դեպքերում, որոնց նյութականացման ռիսկի հավանականությունն ավելանում է՝ պայմանավորված համավարակի հետ կապված ճգնաժամով։ Այդպիսի դեպքերից են՝</w:t>
      </w:r>
    </w:p>
    <w:p w14:paraId="09658E08" w14:textId="77777777" w:rsidR="00682DEF" w:rsidRPr="00A83C94" w:rsidRDefault="00682DEF" w:rsidP="00682DEF">
      <w:pPr>
        <w:numPr>
          <w:ilvl w:val="0"/>
          <w:numId w:val="59"/>
        </w:numPr>
        <w:spacing w:before="0" w:after="60" w:line="276" w:lineRule="auto"/>
        <w:ind w:left="187" w:firstLine="263"/>
        <w:contextualSpacing w:val="0"/>
        <w:jc w:val="left"/>
        <w:rPr>
          <w:rFonts w:eastAsia="Calibri"/>
          <w:color w:val="000000"/>
          <w:szCs w:val="22"/>
          <w:lang w:val="hy-AM" w:eastAsia="en-US"/>
        </w:rPr>
      </w:pPr>
      <w:r w:rsidRPr="00A83C94">
        <w:rPr>
          <w:rFonts w:eastAsia="Calibri" w:cs="Sylfaen"/>
          <w:b w:val="0"/>
          <w:color w:val="000000"/>
          <w:szCs w:val="22"/>
          <w:lang w:val="hy-AM" w:eastAsia="en-US"/>
        </w:rPr>
        <w:t>Օրենսդրության</w:t>
      </w:r>
      <w:r w:rsidRPr="00A83C94">
        <w:rPr>
          <w:rFonts w:eastAsia="Calibri"/>
          <w:b w:val="0"/>
          <w:color w:val="000000"/>
          <w:szCs w:val="22"/>
          <w:lang w:val="hy-AM" w:eastAsia="en-US"/>
        </w:rPr>
        <w:t xml:space="preserve"> անբարենպաստ փոփոխություն,</w:t>
      </w:r>
    </w:p>
    <w:p w14:paraId="18067C76" w14:textId="77777777" w:rsidR="00682DEF" w:rsidRPr="00A83C94" w:rsidRDefault="00682DEF" w:rsidP="00682DEF">
      <w:pPr>
        <w:numPr>
          <w:ilvl w:val="0"/>
          <w:numId w:val="59"/>
        </w:numPr>
        <w:spacing w:before="0" w:after="60" w:line="276" w:lineRule="auto"/>
        <w:ind w:left="187" w:firstLine="263"/>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Անհաղթահարելի</w:t>
      </w:r>
      <w:r w:rsidRPr="00A83C94">
        <w:rPr>
          <w:rFonts w:eastAsia="Calibri"/>
          <w:b w:val="0"/>
          <w:color w:val="000000"/>
          <w:szCs w:val="22"/>
          <w:lang w:val="hy-AM" w:eastAsia="en-US"/>
        </w:rPr>
        <w:t xml:space="preserve"> ուժի ազդեցության մեղմման ծախսեր,</w:t>
      </w:r>
    </w:p>
    <w:p w14:paraId="4BE16D25" w14:textId="77777777" w:rsidR="00682DEF" w:rsidRPr="00A83C94" w:rsidRDefault="00682DEF" w:rsidP="001A2CC1">
      <w:pPr>
        <w:numPr>
          <w:ilvl w:val="0"/>
          <w:numId w:val="59"/>
        </w:numPr>
        <w:spacing w:before="0" w:after="60" w:line="276" w:lineRule="auto"/>
        <w:ind w:left="0" w:firstLine="450"/>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Անհաղթահարելի</w:t>
      </w:r>
      <w:r w:rsidRPr="00A83C94">
        <w:rPr>
          <w:rFonts w:eastAsia="Calibri"/>
          <w:b w:val="0"/>
          <w:color w:val="000000"/>
          <w:szCs w:val="22"/>
          <w:lang w:val="hy-AM" w:eastAsia="en-US"/>
        </w:rPr>
        <w:t xml:space="preserve"> ուժի ազդեցության հետևանքով պայմանագրի վաղաժամ դադարեցման հետ կապված վճարումներ,</w:t>
      </w:r>
    </w:p>
    <w:p w14:paraId="2224F9B6" w14:textId="77777777" w:rsidR="00682DEF" w:rsidRPr="00A83C94" w:rsidRDefault="00682DEF" w:rsidP="001A2CC1">
      <w:pPr>
        <w:numPr>
          <w:ilvl w:val="0"/>
          <w:numId w:val="59"/>
        </w:numPr>
        <w:spacing w:before="0" w:after="60" w:line="276" w:lineRule="auto"/>
        <w:ind w:left="0" w:firstLine="450"/>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Կոնցեդենտի</w:t>
      </w:r>
      <w:r w:rsidRPr="00A83C94">
        <w:rPr>
          <w:rFonts w:eastAsia="Calibri"/>
          <w:b w:val="0"/>
          <w:color w:val="000000"/>
          <w:szCs w:val="22"/>
          <w:lang w:val="hy-AM" w:eastAsia="en-US"/>
        </w:rPr>
        <w:t xml:space="preserve"> կողմից պարտավորությունների չկատարման հիմքով պայմանագրի վաղաժամ դադարեցման վճարներ, </w:t>
      </w:r>
    </w:p>
    <w:p w14:paraId="7F8C89B7" w14:textId="77777777" w:rsidR="00682DEF" w:rsidRPr="00A83C94" w:rsidRDefault="00682DEF" w:rsidP="001A2CC1">
      <w:pPr>
        <w:numPr>
          <w:ilvl w:val="0"/>
          <w:numId w:val="59"/>
        </w:numPr>
        <w:spacing w:before="0" w:after="60" w:line="276" w:lineRule="auto"/>
        <w:ind w:left="0" w:firstLine="450"/>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Փոխադարձ</w:t>
      </w:r>
      <w:r w:rsidRPr="00A83C94">
        <w:rPr>
          <w:rFonts w:eastAsia="Calibri"/>
          <w:b w:val="0"/>
          <w:color w:val="000000"/>
          <w:szCs w:val="22"/>
          <w:lang w:val="hy-AM" w:eastAsia="en-US"/>
        </w:rPr>
        <w:t xml:space="preserve"> համաձայնությամբ պայմանագրի վաղաժամ դադարեցման վճարներ:</w:t>
      </w:r>
    </w:p>
    <w:p w14:paraId="4D8C2013"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Կոնցեսիոն պայմանագրի վաղաժամ դադարեցման մասով պայմանական պարտավորությունները հիմնականում չափելի են և դրանց առավելագույն ազդեցությունը վատագույն սցենարի դեպքում ներկայում գնահատվում է մոտ 100 մլրդ ՀՀ դրամ</w:t>
      </w:r>
      <w:r w:rsidRPr="00A83C94">
        <w:rPr>
          <w:b w:val="0"/>
          <w:color w:val="000000"/>
          <w:szCs w:val="22"/>
          <w:vertAlign w:val="superscript"/>
          <w:lang w:val="hy-AM"/>
        </w:rPr>
        <w:footnoteReference w:id="33"/>
      </w:r>
      <w:r w:rsidRPr="00A83C94">
        <w:rPr>
          <w:b w:val="0"/>
          <w:color w:val="000000"/>
          <w:szCs w:val="22"/>
          <w:lang w:val="hy-AM"/>
        </w:rPr>
        <w:t xml:space="preserve">, ընդ որում այդ հնարավոր գումարը կոնցեսիոն գործունեության ընթացքում աճում է՝ հաշվի առնելով պայմանագրի պայմանները: </w:t>
      </w:r>
    </w:p>
    <w:p w14:paraId="13B756A4"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Կոնցեսիոն պայմանագրի ֆիսկալ ռիսկայնության կարգավիճակը մինչև համավարակը գնահատվում էր միջին, իսկ համավարակի հետ կապված ճգնաժամով պայմանավորված՝ նշանակալի, չնայած նրան, որ ընկերությունը 2018թ. համեմատ 2019թ. կրկնապատկել է շահույթը, իսկ 2020թ. արձանագրել է նույնիսկ ավելի բարձր շահույթ՝ ի հեճուկս բեռնափոխադրման ծավալների աճի և այլ գործոնների (վնասաբեր ուղևորափոխադրման գործառնություններն էականորեն նվազել են 2020թ., իրականացվել է նաև ակտիվների վաճառք): 2021 թվականի առաջին կիսամյակի բեռնափախադրումների ֆիզիկական ծավալները 3% գերազանցում են 2019 թվականի նույն ժամանակաշրջանը՝ պայմանավորված ներքին բեռնափոխադրումների ծավալների ավելացմամբ 16%-ով, արտաքին ապրանքաշրջանառության նվազման պարագայում։ Իսկ ուղևորափոխադրումների քանակը նույնն է, ինչ 2019 թվականի առաջին կիսամյակում։ </w:t>
      </w:r>
    </w:p>
    <w:p w14:paraId="7B838DF8" w14:textId="77777777" w:rsidR="00682DEF" w:rsidRPr="00A83C94" w:rsidRDefault="00682DEF" w:rsidP="00682DEF">
      <w:pPr>
        <w:spacing w:before="0" w:line="276" w:lineRule="auto"/>
        <w:ind w:firstLine="230"/>
        <w:contextualSpacing w:val="0"/>
        <w:rPr>
          <w:b w:val="0"/>
          <w:bCs/>
          <w:iCs/>
          <w:color w:val="000000"/>
          <w:szCs w:val="22"/>
          <w:lang w:val="hy-AM"/>
        </w:rPr>
      </w:pPr>
      <w:r w:rsidRPr="00A83C94">
        <w:rPr>
          <w:b w:val="0"/>
          <w:bCs/>
          <w:iCs/>
          <w:color w:val="000000"/>
          <w:szCs w:val="22"/>
          <w:lang w:val="hy-AM"/>
        </w:rPr>
        <w:t xml:space="preserve">Ֆիսկալ ռիսկի կարգավիճակը նշանակալի է՝ հիմնվելով պայմանագրում ճգնաժամային ժամանակաշրջանի կարգավորումներով, ինչպես նաև անավարտ վերաբանակցություններով։ </w:t>
      </w:r>
    </w:p>
    <w:p w14:paraId="00EA4C5F"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bookmarkStart w:id="328" w:name="_Toc59655561"/>
      <w:r w:rsidRPr="00A83C94">
        <w:rPr>
          <w:rFonts w:eastAsia="Calibri"/>
          <w:color w:val="000000"/>
          <w:szCs w:val="22"/>
          <w:lang w:val="hy-AM" w:eastAsia="en-US"/>
        </w:rPr>
        <w:t>«Վեոլիա ջուր» ՓԲԸ</w:t>
      </w:r>
      <w:bookmarkEnd w:id="328"/>
    </w:p>
    <w:p w14:paraId="378093EE" w14:textId="77777777" w:rsidR="00682DEF" w:rsidRPr="00A83C94" w:rsidRDefault="00682DEF" w:rsidP="00682DEF">
      <w:pPr>
        <w:shd w:val="clear" w:color="auto" w:fill="FFFFFF"/>
        <w:spacing w:before="0" w:line="276" w:lineRule="auto"/>
        <w:ind w:right="144" w:firstLine="432"/>
        <w:contextualSpacing w:val="0"/>
        <w:rPr>
          <w:rFonts w:eastAsia="Calibri"/>
          <w:b w:val="0"/>
          <w:color w:val="000000"/>
          <w:szCs w:val="22"/>
          <w:lang w:val="hy-AM" w:eastAsia="en-US"/>
        </w:rPr>
      </w:pPr>
      <w:r w:rsidRPr="00A83C94">
        <w:rPr>
          <w:rFonts w:eastAsia="Calibri"/>
          <w:b w:val="0"/>
          <w:color w:val="000000"/>
          <w:szCs w:val="22"/>
          <w:lang w:val="hy-AM" w:eastAsia="en-US"/>
        </w:rPr>
        <w:t>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օգտագործվող ու պահպանվող ջրային համակարգերի և այլ գույքի վարձակալության պայմանագիր` 15 տարի ժամկետով (Վարձակալական պայմանագիր):</w:t>
      </w:r>
    </w:p>
    <w:p w14:paraId="5AB7ECE0" w14:textId="77777777" w:rsidR="00682DEF" w:rsidRPr="00A83C94" w:rsidRDefault="00682DEF" w:rsidP="00682DEF">
      <w:pPr>
        <w:spacing w:before="0" w:line="276" w:lineRule="auto"/>
        <w:ind w:firstLine="227"/>
        <w:contextualSpacing w:val="0"/>
        <w:rPr>
          <w:rFonts w:eastAsia="Calibri"/>
          <w:b w:val="0"/>
          <w:szCs w:val="22"/>
          <w:lang w:val="hy-AM" w:eastAsia="en-US"/>
        </w:rPr>
      </w:pPr>
      <w:r w:rsidRPr="00A83C94">
        <w:rPr>
          <w:rFonts w:eastAsia="Calibri"/>
          <w:b w:val="0"/>
          <w:color w:val="000000"/>
          <w:szCs w:val="22"/>
          <w:lang w:val="hy-AM" w:eastAsia="en-US"/>
        </w:rPr>
        <w:t>Վարձակալական պայմանագրի շրջանակներում առկա են մի շարք նշանակալի պայմանական պարտավորություններ, այդ թվում.</w:t>
      </w:r>
    </w:p>
    <w:p w14:paraId="5D072364"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xml:space="preserve">- Վարձակալի կողմից պարտադիր կապիտալ աշխատանքների ծրագրի շրջանակից դուրս այլ աշխատանքների իրականացման դեպքում Վարձատուի կողմից համապատասխան գումարի փոխհատուցում, </w:t>
      </w:r>
    </w:p>
    <w:p w14:paraId="75E5A13F"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xml:space="preserve">- Բազային սակագնի երաշխիք, որն արդեն երկու անգամ կիրառվել է՝ ներառյալ վարձակալական վճարի կրճատում (արդեն երկու անգամ կիրառվել է), </w:t>
      </w:r>
    </w:p>
    <w:p w14:paraId="0567D9A3"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Վարձակալական պայմանագիրը պարունակում է վերաբանակցությունների և վաղաժամկետ դադարեցման բազմաթիվ դեպքեր։ Առաջիկայում Վարձակալական պայմանագրի վաղաժամկետ դադարեցման ռիսկը համարվել էր ցածր՝ առնվազն մինչև 2025թ., ինչը պայմանավորված էր մինչև կորոնավիրուսի համավարակն իրականացված՝ պայմանագրի վերաբանակցմամբ։ Պայմանագրի վաղաժամ դադարեցման գծով պայմանական պարտավորությունը մասնակի չափելի է և գնահատվել է 74.6 մլրդ դրամ՝ միջանկյալ սցենարի դեպքում, որտեղ նման վճարումը չի կարող գերազանցել ապագա ակնկալվող վարձակալական վճարների գումարը:</w:t>
      </w:r>
    </w:p>
    <w:p w14:paraId="7C14FD7B" w14:textId="77777777" w:rsidR="00682DEF" w:rsidRPr="00A83C94" w:rsidRDefault="00682DEF" w:rsidP="00682DEF">
      <w:pPr>
        <w:spacing w:before="0" w:line="276" w:lineRule="auto"/>
        <w:ind w:firstLine="227"/>
        <w:contextualSpacing w:val="0"/>
        <w:rPr>
          <w:rFonts w:eastAsia="Calibri"/>
          <w:b w:val="0"/>
          <w:szCs w:val="22"/>
          <w:lang w:val="hy-AM" w:eastAsia="en-US"/>
        </w:rPr>
      </w:pPr>
      <w:r w:rsidRPr="00A83C94">
        <w:rPr>
          <w:rFonts w:eastAsia="Calibri"/>
          <w:b w:val="0"/>
          <w:szCs w:val="22"/>
          <w:lang w:val="hy-AM" w:eastAsia="en-US"/>
        </w:rPr>
        <w:t>Մինչև COVID-19 համավարակը, Վարձակալական պայմանագրի գծով պայմանական պարտավորությունների ֆիսկալ ռիսկի կարգավիճակը գնահատվել է միջին, սակայն հաշվի առնելով թարմացված տեղեկատվությունը՝ հարկաբյուջետային ռիսկի կարգավիճակը ներկայում նշանակալի է։ Դա պայմանավորված է դեբիտորական պարտավորությունների հավաքագրման ցուցանիշների վատթարացմամբ և իրավաբանական անձանցից հասույթների 14% նվազմամբ, ինչը հանգեցրել է գործառնական շահույթի 8% նվազման։</w:t>
      </w:r>
    </w:p>
    <w:p w14:paraId="4C4D4B86"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bookmarkStart w:id="329" w:name="_Toc59655564"/>
      <w:r w:rsidRPr="00A83C94">
        <w:rPr>
          <w:rFonts w:eastAsia="Calibri"/>
          <w:color w:val="000000"/>
          <w:szCs w:val="22"/>
          <w:lang w:val="hy-AM" w:eastAsia="en-US"/>
        </w:rPr>
        <w:t>«Արմենիա Միջազգային Օդանավակայաններ» ՓԲԸ</w:t>
      </w:r>
      <w:bookmarkEnd w:id="329"/>
    </w:p>
    <w:p w14:paraId="4C5726A0"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Կոնցեսիոն պայմանագիրը գործում է 2002թ-ից՝ Երևանի «Զվարթնոց» օդանավակայանի համար, իսկ 2007թ-ից ներառում է նաև Գյումրու «Շիրակ» օդանավակայանը: Մայր ընկերությունը աշխարհի օդանավակայանների խոշորագույն օպերատորներից է՝ «Կորպորասիոն Ամերիկա Ս.Ա.» ընկերությունն, որը ցուցակված է Նյու Յորքի ֆոնդային բորսայում:</w:t>
      </w:r>
    </w:p>
    <w:p w14:paraId="4671A4E3"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Խումբը մինչև 2019 թվականը շահութաբերության բարձր ցուցանիշներ ուներ, իսկ ՀՀ-ի դուստր ձեռնարկությունը եղել է ամենաարդյունավետներից մեկը:</w:t>
      </w:r>
    </w:p>
    <w:p w14:paraId="10CF6D5D"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Պայմանագիրը Կոնցեսիոներին հնարավորություն է տալիս միակողմանիորեն երկարացնել կոնցեսիայի տևողությունը:</w:t>
      </w:r>
    </w:p>
    <w:p w14:paraId="00A3348C"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Հաշվի առնելով ընկերության բարձր շահութաբերությունը՝ պայմանագրի վաղաժամ դադարեցման պայմանական պարտավորությունը և ընկերության բիզնես ռիսկը գնահատվել են ցածր։ Սակայն իրավիճակը փոխվել է պայմանավորված համավարակով, քանի որ աշխարհում օդանավակայանների ոլորտը ճգնաժամից առավել տուժածներից մեկն է:</w:t>
      </w:r>
    </w:p>
    <w:p w14:paraId="10239556"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 xml:space="preserve">Ընկերությունը ստիպված եղավ հայցել </w:t>
      </w:r>
      <w:r w:rsidRPr="00A83C94">
        <w:rPr>
          <w:b w:val="0"/>
          <w:color w:val="222222"/>
          <w:szCs w:val="22"/>
          <w:lang w:val="hy-AM" w:eastAsia="es-PE"/>
        </w:rPr>
        <w:t>պայմանագրի ֆինանսական քովենանթի չեղարկում, որը բավարարվեց ֆինանսավորողի կողմից:</w:t>
      </w:r>
    </w:p>
    <w:p w14:paraId="4024B9BE"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«Կորպորասիոն Ամերիկա Ս.Ա.» ընկերության համախմբված դրամական մնացորդները շարունակել են նվազել 2020 թվականի դեկտեմբերի վերջից հետո` չնայած ստացված փոխհատուցումների և վարկերի վերակառուցման համաձայնագրերի։ Այս ցուցանիշը կարող է վկայել այն մասին, որ Խումբը անհրաժեշտության դեպքում չի կարողանա աջակցել «ԱՄՕ» ՓԲԸ-ին։</w:t>
      </w:r>
    </w:p>
    <w:p w14:paraId="5BF68786"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 xml:space="preserve">Ինչպես երևում է Հայաստանի ուղևորափոխադրումների վիճակագրությունից, գործառնական արդյունքների բարելավումը, շարունակվել է 2-րդ եռամսյակում (ուղևորների գրեթե 80% աճ 1 -ին եռամսյակի համեմատ), սակայն թվերը էականորեն ցածր են 2019 նախաճգնաժամային տարվա համեմատ (մոտ 2 անգամ պակաս առաջին կիսամյակի համար)։ </w:t>
      </w:r>
    </w:p>
    <w:p w14:paraId="1BBA0B94"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Բեռնափոխադրումների ծավալները ևս շարունակում են վերականգնվել և առաջին կիսամյակում դրանց ծավալը հասել է 2019թ. մակարդակի 87%-ին։ 2020թ. վերջին եռամսյակն արդեն ցույց էր տվել դրական EBITDA, 2021 թվականի առաջին եռամսյակում արձանագրվեց մոտ 35% EBITDA մարժա՝ ինչպես եկամուտների աճի, այնպես էլ ծախսերի խնայողության շնորհիվ։ 2021թ. երկրորդ եռամսյակում միտումն էլ ավելի է բարելավվել՝ EBITDA- ի մոտ 49% մարժա և, արդյունքում՝ դրական զուտ եկամուտի ցուցանիշ։</w:t>
      </w:r>
    </w:p>
    <w:p w14:paraId="4B5AF5D2"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Կանխիկի մնացորդը 2021 թվականի երկրորդ եռամսյակում աճել է՝ առաջին եռամսյակի համեմատ, կազմելով 27.8 մլն ԱՄՆ դոլար, ինչը համադրելի է 2021 թվականի պարտքի սպասարկման հետ, որը վարկերի վերակառուցման արդյունքում բարձր չէ։ Կանխիկի մնացորդն այժմ շատ մոտ է 2022 թվականին պարտքի սպասարկման գծով սպասվող վճարումներին։</w:t>
      </w:r>
    </w:p>
    <w:p w14:paraId="7B9556F2"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Պայմանավորված Քովիդ-19 «դելտա շտամմի» տարածմամբ պահպանվում է անորոշությունը ընկերության վարկի սպասարկման գծով վճարումները կատարելու կարողության վերաբերյալ այն ժամանակաշրջանում, երբ, համաձայն վարկային համաձայնագրի փոփոխության, կվերսկսվեն մայր գումարի մարումները։ Ժամանակավորապես նվազել է ռիսկն առ այն, որ միջազգային սինդիկացված վարկի շրջանակներում վարկատուները կարող են դեֆոլտ հայտարարել և արագացնել վարկի հետվճարումը և հաշվի առնելով, որ ընկերության բաժնետոմսերը և ակտիվները գրավադրված են ի օգուտ վարկատուների, ՀՀ կառավարությունը կարող է պարտավորված լինել ստանձնելու վարկի մարումը: Պայմանագրի վաղաժամ դադարեցման դեպքում առկա են այլ, ավելի մեծ պարտավորություններ, որոնք սակայն չափելի չեն: Վերը նշված հանգամանքներից ելնելով, սույն ՊՄԳ պայմանագրի գծով պայմանական պարտավորությունների ֆիսկալ ռիսկի կարգավիճակը նշանակալի է:</w:t>
      </w:r>
    </w:p>
    <w:p w14:paraId="2B358411"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«Քոնթուր Գլոբալ հիդրո կասկադ» ՓԲԸ</w:t>
      </w:r>
    </w:p>
    <w:p w14:paraId="3F184748" w14:textId="77777777" w:rsidR="00682DEF" w:rsidRPr="00A83C94" w:rsidRDefault="00682DEF" w:rsidP="00682DEF">
      <w:pPr>
        <w:shd w:val="clear" w:color="auto" w:fill="FFFFFF"/>
        <w:spacing w:before="0" w:line="276" w:lineRule="auto"/>
        <w:ind w:right="20" w:firstLine="230"/>
        <w:contextualSpacing w:val="0"/>
        <w:rPr>
          <w:rFonts w:eastAsia="Calibri" w:cs="Sylfaen"/>
          <w:b w:val="0"/>
          <w:szCs w:val="22"/>
          <w:lang w:val="hy-AM" w:eastAsia="en-US"/>
        </w:rPr>
      </w:pPr>
      <w:r w:rsidRPr="00A83C94">
        <w:rPr>
          <w:rFonts w:eastAsia="Calibri" w:cs="Sylfaen"/>
          <w:b w:val="0"/>
          <w:szCs w:val="22"/>
          <w:lang w:val="hy-AM" w:eastAsia="en-US"/>
        </w:rPr>
        <w:t>Ընկերությունը</w:t>
      </w:r>
      <w:r w:rsidRPr="00A83C94">
        <w:rPr>
          <w:rFonts w:eastAsia="Calibri"/>
          <w:b w:val="0"/>
          <w:szCs w:val="22"/>
          <w:lang w:val="hy-AM" w:eastAsia="en-US"/>
        </w:rPr>
        <w:t xml:space="preserve"> </w:t>
      </w:r>
      <w:r w:rsidRPr="00A83C94">
        <w:rPr>
          <w:rFonts w:eastAsia="Calibri" w:cs="Sylfaen"/>
          <w:b w:val="0"/>
          <w:szCs w:val="22"/>
          <w:lang w:val="hy-AM" w:eastAsia="en-US"/>
        </w:rPr>
        <w:t>հանդիսանում</w:t>
      </w:r>
      <w:r w:rsidRPr="00A83C94">
        <w:rPr>
          <w:rFonts w:eastAsia="Calibri"/>
          <w:b w:val="0"/>
          <w:szCs w:val="22"/>
          <w:lang w:val="hy-AM" w:eastAsia="en-US"/>
        </w:rPr>
        <w:t xml:space="preserve"> </w:t>
      </w:r>
      <w:r w:rsidRPr="00A83C94">
        <w:rPr>
          <w:rFonts w:eastAsia="Calibri" w:cs="Sylfaen"/>
          <w:b w:val="0"/>
          <w:szCs w:val="22"/>
          <w:lang w:val="hy-AM" w:eastAsia="en-US"/>
        </w:rPr>
        <w:t>է</w:t>
      </w:r>
      <w:r w:rsidRPr="00A83C94">
        <w:rPr>
          <w:rFonts w:eastAsia="Calibri"/>
          <w:b w:val="0"/>
          <w:szCs w:val="22"/>
          <w:lang w:val="hy-AM" w:eastAsia="en-US"/>
        </w:rPr>
        <w:t xml:space="preserve"> </w:t>
      </w:r>
      <w:r w:rsidRPr="00A83C94">
        <w:rPr>
          <w:rFonts w:eastAsia="Calibri" w:cs="Sylfaen"/>
          <w:b w:val="0"/>
          <w:szCs w:val="22"/>
          <w:lang w:val="hy-AM" w:eastAsia="en-US"/>
        </w:rPr>
        <w:t>հիդրոէլեկտրաէներգիայի</w:t>
      </w:r>
      <w:r w:rsidRPr="00A83C94">
        <w:rPr>
          <w:rFonts w:eastAsia="Calibri"/>
          <w:b w:val="0"/>
          <w:szCs w:val="22"/>
          <w:lang w:val="hy-AM" w:eastAsia="en-US"/>
        </w:rPr>
        <w:t xml:space="preserve"> </w:t>
      </w:r>
      <w:r w:rsidRPr="00A83C94">
        <w:rPr>
          <w:rFonts w:eastAsia="Calibri" w:cs="Sylfaen"/>
          <w:b w:val="0"/>
          <w:szCs w:val="22"/>
          <w:lang w:val="hy-AM" w:eastAsia="en-US"/>
        </w:rPr>
        <w:t>արտադրության</w:t>
      </w:r>
      <w:r w:rsidRPr="00A83C94">
        <w:rPr>
          <w:rFonts w:eastAsia="Calibri"/>
          <w:b w:val="0"/>
          <w:szCs w:val="22"/>
          <w:lang w:val="hy-AM" w:eastAsia="en-US"/>
        </w:rPr>
        <w:t xml:space="preserve"> </w:t>
      </w:r>
      <w:r w:rsidRPr="00A83C94">
        <w:rPr>
          <w:rFonts w:eastAsia="Calibri" w:cs="Sylfaen"/>
          <w:b w:val="0"/>
          <w:szCs w:val="22"/>
          <w:lang w:val="hy-AM" w:eastAsia="en-US"/>
        </w:rPr>
        <w:t>առանցքային</w:t>
      </w:r>
      <w:r w:rsidRPr="00A83C94">
        <w:rPr>
          <w:rFonts w:eastAsia="Calibri"/>
          <w:b w:val="0"/>
          <w:szCs w:val="22"/>
          <w:lang w:val="hy-AM" w:eastAsia="en-US"/>
        </w:rPr>
        <w:t xml:space="preserve"> </w:t>
      </w:r>
      <w:r w:rsidRPr="00A83C94">
        <w:rPr>
          <w:rFonts w:eastAsia="Calibri" w:cs="Sylfaen"/>
          <w:b w:val="0"/>
          <w:szCs w:val="22"/>
          <w:lang w:val="hy-AM" w:eastAsia="en-US"/>
        </w:rPr>
        <w:t>համալիր</w:t>
      </w:r>
      <w:r w:rsidRPr="00A83C94">
        <w:rPr>
          <w:rFonts w:eastAsia="Calibri"/>
          <w:b w:val="0"/>
          <w:szCs w:val="22"/>
          <w:lang w:val="hy-AM" w:eastAsia="en-US"/>
        </w:rPr>
        <w:t xml:space="preserve">, </w:t>
      </w:r>
      <w:r w:rsidRPr="00A83C94">
        <w:rPr>
          <w:rFonts w:eastAsia="Calibri" w:cs="Sylfaen"/>
          <w:b w:val="0"/>
          <w:szCs w:val="22"/>
          <w:lang w:val="hy-AM" w:eastAsia="en-US"/>
        </w:rPr>
        <w:t>նախկինում</w:t>
      </w:r>
      <w:r w:rsidRPr="00A83C94">
        <w:rPr>
          <w:rFonts w:eastAsia="Calibri"/>
          <w:b w:val="0"/>
          <w:szCs w:val="22"/>
          <w:lang w:val="hy-AM" w:eastAsia="en-US"/>
        </w:rPr>
        <w:t xml:space="preserve"> </w:t>
      </w:r>
      <w:r w:rsidRPr="00A83C94">
        <w:rPr>
          <w:rFonts w:eastAsia="Calibri" w:cs="Sylfaen"/>
          <w:b w:val="0"/>
          <w:szCs w:val="22"/>
          <w:lang w:val="hy-AM" w:eastAsia="en-US"/>
        </w:rPr>
        <w:t>պետական</w:t>
      </w:r>
      <w:r w:rsidRPr="00A83C94">
        <w:rPr>
          <w:rFonts w:eastAsia="Calibri"/>
          <w:b w:val="0"/>
          <w:szCs w:val="22"/>
          <w:lang w:val="hy-AM" w:eastAsia="en-US"/>
        </w:rPr>
        <w:t xml:space="preserve"> </w:t>
      </w:r>
      <w:r w:rsidRPr="00A83C94">
        <w:rPr>
          <w:rFonts w:eastAsia="Calibri" w:cs="Sylfaen"/>
          <w:b w:val="0"/>
          <w:szCs w:val="22"/>
          <w:lang w:val="hy-AM" w:eastAsia="en-US"/>
        </w:rPr>
        <w:t>մասնակցությամբ</w:t>
      </w:r>
      <w:r w:rsidRPr="00A83C94">
        <w:rPr>
          <w:rFonts w:eastAsia="Calibri"/>
          <w:b w:val="0"/>
          <w:szCs w:val="22"/>
          <w:lang w:val="hy-AM" w:eastAsia="en-US"/>
        </w:rPr>
        <w:t xml:space="preserve"> </w:t>
      </w:r>
      <w:r w:rsidRPr="00A83C94">
        <w:rPr>
          <w:rFonts w:eastAsia="Calibri" w:cs="Sylfaen"/>
          <w:b w:val="0"/>
          <w:szCs w:val="22"/>
          <w:lang w:val="hy-AM" w:eastAsia="en-US"/>
        </w:rPr>
        <w:t>ընկերություն</w:t>
      </w:r>
      <w:r w:rsidRPr="00A83C94">
        <w:rPr>
          <w:rFonts w:eastAsia="Calibri"/>
          <w:b w:val="0"/>
          <w:szCs w:val="22"/>
          <w:lang w:val="hy-AM" w:eastAsia="en-US"/>
        </w:rPr>
        <w:t xml:space="preserve"> </w:t>
      </w:r>
      <w:r w:rsidRPr="00A83C94">
        <w:rPr>
          <w:rFonts w:eastAsia="Calibri" w:cs="Sylfaen"/>
          <w:b w:val="0"/>
          <w:szCs w:val="22"/>
          <w:lang w:val="hy-AM" w:eastAsia="en-US"/>
        </w:rPr>
        <w:t>էր</w:t>
      </w:r>
      <w:r w:rsidRPr="00A83C94">
        <w:rPr>
          <w:rFonts w:eastAsia="Calibri"/>
          <w:b w:val="0"/>
          <w:szCs w:val="22"/>
          <w:lang w:val="hy-AM" w:eastAsia="en-US"/>
        </w:rPr>
        <w:t xml:space="preserve">, </w:t>
      </w:r>
      <w:r w:rsidRPr="00A83C94">
        <w:rPr>
          <w:rFonts w:eastAsia="Calibri" w:cs="Sylfaen"/>
          <w:b w:val="0"/>
          <w:szCs w:val="22"/>
          <w:lang w:val="hy-AM" w:eastAsia="en-US"/>
        </w:rPr>
        <w:t>որը</w:t>
      </w:r>
      <w:r w:rsidRPr="00A83C94">
        <w:rPr>
          <w:rFonts w:eastAsia="Calibri"/>
          <w:b w:val="0"/>
          <w:szCs w:val="22"/>
          <w:lang w:val="hy-AM" w:eastAsia="en-US"/>
        </w:rPr>
        <w:t xml:space="preserve"> </w:t>
      </w:r>
      <w:r w:rsidRPr="00A83C94">
        <w:rPr>
          <w:rFonts w:eastAsia="Calibri" w:cs="Sylfaen"/>
          <w:b w:val="0"/>
          <w:szCs w:val="22"/>
          <w:lang w:val="hy-AM" w:eastAsia="en-US"/>
        </w:rPr>
        <w:t>մասնավորեցվել</w:t>
      </w:r>
      <w:r w:rsidRPr="00A83C94">
        <w:rPr>
          <w:rFonts w:eastAsia="Calibri"/>
          <w:b w:val="0"/>
          <w:szCs w:val="22"/>
          <w:lang w:val="hy-AM" w:eastAsia="en-US"/>
        </w:rPr>
        <w:t xml:space="preserve"> </w:t>
      </w:r>
      <w:r w:rsidRPr="00A83C94">
        <w:rPr>
          <w:rFonts w:eastAsia="Calibri" w:cs="Sylfaen"/>
          <w:b w:val="0"/>
          <w:szCs w:val="22"/>
          <w:lang w:val="hy-AM" w:eastAsia="en-US"/>
        </w:rPr>
        <w:t>և</w:t>
      </w:r>
      <w:r w:rsidRPr="00A83C94">
        <w:rPr>
          <w:rFonts w:eastAsia="Calibri"/>
          <w:b w:val="0"/>
          <w:szCs w:val="22"/>
          <w:lang w:val="hy-AM" w:eastAsia="en-US"/>
        </w:rPr>
        <w:t xml:space="preserve"> </w:t>
      </w:r>
      <w:r w:rsidRPr="00A83C94">
        <w:rPr>
          <w:rFonts w:eastAsia="Calibri" w:cs="Sylfaen"/>
          <w:b w:val="0"/>
          <w:szCs w:val="22"/>
          <w:lang w:val="hy-AM" w:eastAsia="en-US"/>
        </w:rPr>
        <w:t>վաճառվել</w:t>
      </w:r>
      <w:r w:rsidRPr="00A83C94">
        <w:rPr>
          <w:rFonts w:eastAsia="Calibri"/>
          <w:b w:val="0"/>
          <w:szCs w:val="22"/>
          <w:lang w:val="hy-AM" w:eastAsia="en-US"/>
        </w:rPr>
        <w:t xml:space="preserve"> </w:t>
      </w:r>
      <w:r w:rsidRPr="00A83C94">
        <w:rPr>
          <w:rFonts w:eastAsia="Calibri" w:cs="Sylfaen"/>
          <w:b w:val="0"/>
          <w:szCs w:val="22"/>
          <w:lang w:val="hy-AM" w:eastAsia="en-US"/>
        </w:rPr>
        <w:t>է</w:t>
      </w:r>
      <w:r w:rsidRPr="00A83C94">
        <w:rPr>
          <w:rFonts w:eastAsia="Calibri"/>
          <w:b w:val="0"/>
          <w:szCs w:val="22"/>
          <w:lang w:val="hy-AM" w:eastAsia="en-US"/>
        </w:rPr>
        <w:t xml:space="preserve"> </w:t>
      </w:r>
      <w:r w:rsidRPr="00A83C94">
        <w:rPr>
          <w:rFonts w:eastAsia="Calibri" w:cs="Sylfaen"/>
          <w:b w:val="0"/>
          <w:szCs w:val="22"/>
          <w:lang w:val="hy-AM" w:eastAsia="en-US"/>
        </w:rPr>
        <w:t>էլեկտրաէներգիայի</w:t>
      </w:r>
      <w:r w:rsidRPr="00A83C94">
        <w:rPr>
          <w:rFonts w:eastAsia="Calibri"/>
          <w:b w:val="0"/>
          <w:szCs w:val="22"/>
          <w:lang w:val="hy-AM" w:eastAsia="en-US"/>
        </w:rPr>
        <w:t xml:space="preserve"> </w:t>
      </w:r>
      <w:r w:rsidRPr="00A83C94">
        <w:rPr>
          <w:rFonts w:eastAsia="Calibri" w:cs="Sylfaen"/>
          <w:b w:val="0"/>
          <w:szCs w:val="22"/>
          <w:lang w:val="hy-AM" w:eastAsia="en-US"/>
        </w:rPr>
        <w:t>արտադրությամբ</w:t>
      </w:r>
      <w:r w:rsidRPr="00A83C94">
        <w:rPr>
          <w:rFonts w:eastAsia="Calibri"/>
          <w:b w:val="0"/>
          <w:szCs w:val="22"/>
          <w:lang w:val="hy-AM" w:eastAsia="en-US"/>
        </w:rPr>
        <w:t xml:space="preserve"> </w:t>
      </w:r>
      <w:r w:rsidRPr="00A83C94">
        <w:rPr>
          <w:rFonts w:eastAsia="Calibri" w:cs="Sylfaen"/>
          <w:b w:val="0"/>
          <w:szCs w:val="22"/>
          <w:lang w:val="hy-AM" w:eastAsia="en-US"/>
        </w:rPr>
        <w:t>զբաղվող</w:t>
      </w:r>
      <w:r w:rsidRPr="00A83C94">
        <w:rPr>
          <w:rFonts w:eastAsia="Calibri"/>
          <w:b w:val="0"/>
          <w:szCs w:val="22"/>
          <w:lang w:val="hy-AM" w:eastAsia="en-US"/>
        </w:rPr>
        <w:t xml:space="preserve"> «</w:t>
      </w:r>
      <w:r w:rsidRPr="00A83C94">
        <w:rPr>
          <w:rFonts w:eastAsia="Calibri" w:cs="Sylfaen"/>
          <w:b w:val="0"/>
          <w:szCs w:val="22"/>
          <w:lang w:val="hy-AM" w:eastAsia="en-US"/>
        </w:rPr>
        <w:t>Քոնթուր</w:t>
      </w:r>
      <w:r w:rsidRPr="00A83C94">
        <w:rPr>
          <w:rFonts w:eastAsia="Calibri"/>
          <w:b w:val="0"/>
          <w:szCs w:val="22"/>
          <w:lang w:val="hy-AM" w:eastAsia="en-US"/>
        </w:rPr>
        <w:t xml:space="preserve"> </w:t>
      </w:r>
      <w:r w:rsidRPr="00A83C94">
        <w:rPr>
          <w:rFonts w:eastAsia="Calibri" w:cs="Sylfaen"/>
          <w:b w:val="0"/>
          <w:szCs w:val="22"/>
          <w:lang w:val="hy-AM" w:eastAsia="en-US"/>
        </w:rPr>
        <w:t>Գլոբալ</w:t>
      </w:r>
      <w:r w:rsidRPr="00A83C94">
        <w:rPr>
          <w:rFonts w:eastAsia="Calibri"/>
          <w:b w:val="0"/>
          <w:szCs w:val="22"/>
          <w:lang w:val="hy-AM" w:eastAsia="en-US"/>
        </w:rPr>
        <w:t xml:space="preserve">» </w:t>
      </w:r>
      <w:r w:rsidRPr="00A83C94">
        <w:rPr>
          <w:rFonts w:eastAsia="Calibri" w:cs="Sylfaen"/>
          <w:b w:val="0"/>
          <w:szCs w:val="22"/>
          <w:lang w:val="hy-AM" w:eastAsia="en-US"/>
        </w:rPr>
        <w:t>խոշոր</w:t>
      </w:r>
      <w:r w:rsidRPr="00A83C94">
        <w:rPr>
          <w:rFonts w:eastAsia="Calibri"/>
          <w:b w:val="0"/>
          <w:szCs w:val="22"/>
          <w:lang w:val="hy-AM" w:eastAsia="en-US"/>
        </w:rPr>
        <w:t xml:space="preserve"> </w:t>
      </w:r>
      <w:r w:rsidRPr="00A83C94">
        <w:rPr>
          <w:rFonts w:eastAsia="Calibri" w:cs="Sylfaen"/>
          <w:b w:val="0"/>
          <w:szCs w:val="22"/>
          <w:lang w:val="hy-AM" w:eastAsia="en-US"/>
        </w:rPr>
        <w:t>միջազգային</w:t>
      </w:r>
      <w:r w:rsidRPr="00A83C94">
        <w:rPr>
          <w:rFonts w:eastAsia="Calibri"/>
          <w:b w:val="0"/>
          <w:szCs w:val="22"/>
          <w:lang w:val="hy-AM" w:eastAsia="en-US"/>
        </w:rPr>
        <w:t xml:space="preserve"> </w:t>
      </w:r>
      <w:r w:rsidRPr="00A83C94">
        <w:rPr>
          <w:rFonts w:eastAsia="Calibri" w:cs="Sylfaen"/>
          <w:b w:val="0"/>
          <w:szCs w:val="22"/>
          <w:lang w:val="hy-AM" w:eastAsia="en-US"/>
        </w:rPr>
        <w:t>խմբին</w:t>
      </w:r>
      <w:r w:rsidRPr="00A83C94">
        <w:rPr>
          <w:rFonts w:eastAsia="Calibri"/>
          <w:b w:val="0"/>
          <w:szCs w:val="22"/>
          <w:lang w:val="hy-AM" w:eastAsia="en-US"/>
        </w:rPr>
        <w:t xml:space="preserve">: Ընկերությունն </w:t>
      </w:r>
      <w:r w:rsidRPr="00A83C94">
        <w:rPr>
          <w:rFonts w:eastAsia="Calibri" w:cs="Sylfaen"/>
          <w:b w:val="0"/>
          <w:szCs w:val="22"/>
          <w:lang w:val="hy-AM" w:eastAsia="en-US"/>
        </w:rPr>
        <w:t>իր</w:t>
      </w:r>
      <w:r w:rsidRPr="00A83C94">
        <w:rPr>
          <w:rFonts w:eastAsia="Calibri"/>
          <w:b w:val="0"/>
          <w:szCs w:val="22"/>
          <w:lang w:val="hy-AM" w:eastAsia="en-US"/>
        </w:rPr>
        <w:t xml:space="preserve"> </w:t>
      </w:r>
      <w:r w:rsidRPr="00A83C94">
        <w:rPr>
          <w:rFonts w:eastAsia="Calibri" w:cs="Sylfaen"/>
          <w:b w:val="0"/>
          <w:szCs w:val="22"/>
          <w:lang w:val="hy-AM" w:eastAsia="en-US"/>
        </w:rPr>
        <w:t>ամբողջ</w:t>
      </w:r>
      <w:r w:rsidRPr="00A83C94">
        <w:rPr>
          <w:rFonts w:eastAsia="Calibri"/>
          <w:b w:val="0"/>
          <w:szCs w:val="22"/>
          <w:lang w:val="hy-AM" w:eastAsia="en-US"/>
        </w:rPr>
        <w:t xml:space="preserve"> </w:t>
      </w:r>
      <w:r w:rsidRPr="00A83C94">
        <w:rPr>
          <w:rFonts w:eastAsia="Calibri" w:cs="Sylfaen"/>
          <w:b w:val="0"/>
          <w:szCs w:val="22"/>
          <w:lang w:val="hy-AM" w:eastAsia="en-US"/>
        </w:rPr>
        <w:t>հզորությունը</w:t>
      </w:r>
      <w:r w:rsidRPr="00A83C94">
        <w:rPr>
          <w:rFonts w:eastAsia="Calibri"/>
          <w:b w:val="0"/>
          <w:szCs w:val="22"/>
          <w:lang w:val="hy-AM" w:eastAsia="en-US"/>
        </w:rPr>
        <w:t xml:space="preserve"> </w:t>
      </w:r>
      <w:r w:rsidRPr="00A83C94">
        <w:rPr>
          <w:rFonts w:eastAsia="Calibri" w:cs="Sylfaen"/>
          <w:b w:val="0"/>
          <w:szCs w:val="22"/>
          <w:lang w:val="hy-AM" w:eastAsia="en-US"/>
        </w:rPr>
        <w:t>և</w:t>
      </w:r>
      <w:r w:rsidRPr="00A83C94">
        <w:rPr>
          <w:rFonts w:eastAsia="Calibri"/>
          <w:b w:val="0"/>
          <w:szCs w:val="22"/>
          <w:lang w:val="hy-AM" w:eastAsia="en-US"/>
        </w:rPr>
        <w:t xml:space="preserve"> </w:t>
      </w:r>
      <w:r w:rsidRPr="00A83C94">
        <w:rPr>
          <w:rFonts w:eastAsia="Calibri" w:cs="Sylfaen"/>
          <w:b w:val="0"/>
          <w:szCs w:val="22"/>
          <w:lang w:val="hy-AM" w:eastAsia="en-US"/>
        </w:rPr>
        <w:t xml:space="preserve">փաստացի արտադրված էլեկտրաէներգիան վաճառում է «Հայաստանի էլեկտրական ցանցեր» ՓԲԸ-ին (ՀԷՑ)՝ ՀԾԿՀ կողմից հաստատված սակագներով: ՀԷՑ ընկերությունը պարտավոր է գնել արտադրված ամբողջ էլեկտրաէներգիան, իսկ չգնելու դեպքում՝ վճարել փոխհատուցում, որը մինչ այժմ չի կիրառվել: Ամենախոշոր պայմանական պարտավորությունը դա պետության կողմից հիմնական միջոցների հետգնման պարտավորությունն է, որոնց արժեքը 2019թ. վերջին կազմել է 90.1 մլրդ դրամ, սակայն հիմնական միջոցների ավելացման հետևանքով այն կդառնա 99.6 մլրդ դրամ: </w:t>
      </w:r>
    </w:p>
    <w:p w14:paraId="21737D75"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Ն</w:t>
      </w:r>
      <w:r w:rsidRPr="00A83C94">
        <w:rPr>
          <w:rFonts w:eastAsia="Calibri" w:cs="Sylfaen"/>
          <w:b w:val="0"/>
          <w:szCs w:val="22"/>
          <w:lang w:val="hy-AM" w:eastAsia="en-US"/>
        </w:rPr>
        <w:t>շենք նաև</w:t>
      </w:r>
      <w:r w:rsidRPr="00A83C94">
        <w:rPr>
          <w:rFonts w:eastAsia="Calibri"/>
          <w:b w:val="0"/>
          <w:szCs w:val="22"/>
          <w:lang w:val="hy-AM" w:eastAsia="en-US"/>
        </w:rPr>
        <w:t>, որ ընկերությունը ներկայում մարում է Վերականգնման վարկերի</w:t>
      </w:r>
      <w:r w:rsidRPr="00A83C94">
        <w:rPr>
          <w:rFonts w:ascii="Calibri" w:eastAsia="Calibri" w:hAnsi="Calibri" w:cs="Calibri"/>
          <w:b w:val="0"/>
          <w:szCs w:val="22"/>
          <w:lang w:val="hy-AM" w:eastAsia="en-US"/>
        </w:rPr>
        <w:t> </w:t>
      </w:r>
      <w:r w:rsidRPr="00A83C94">
        <w:rPr>
          <w:rFonts w:eastAsia="Calibri" w:cs="Sylfaen"/>
          <w:b w:val="0"/>
          <w:szCs w:val="22"/>
          <w:lang w:val="hy-AM" w:eastAsia="en-US"/>
        </w:rPr>
        <w:t>բանկից</w:t>
      </w:r>
      <w:r w:rsidRPr="00A83C94">
        <w:rPr>
          <w:rFonts w:ascii="Calibri" w:eastAsia="Calibri" w:hAnsi="Calibri" w:cs="Calibri"/>
          <w:b w:val="0"/>
          <w:szCs w:val="22"/>
          <w:lang w:val="hy-AM" w:eastAsia="en-US"/>
        </w:rPr>
        <w:t> </w:t>
      </w:r>
      <w:r w:rsidRPr="00A83C94">
        <w:rPr>
          <w:rFonts w:eastAsia="Calibri"/>
          <w:b w:val="0"/>
          <w:szCs w:val="22"/>
          <w:lang w:val="hy-AM" w:eastAsia="en-US"/>
        </w:rPr>
        <w:t>(KfW) Եվրոյով ստացված վարկը, ինչպես նաև 3 այլ ՄՖՀ-ներից, այդ թվում՝ Միջազգային ֆինանսական կորպորացիայից, ԱՄՆ դոլարով ստացված վարկեր (մյուս երկու վարկերը կապված են Նիդերլանդների և Գերմանիայի կառավարությունների հետ), որոնք տրամադրվել են թե մինչ մասնավորեցումը և թե մասնավորեցումից հետո: Հարկ է նկատել նաև, որ 2020թ. ԱՄՆ դոլարի և Եվրոյի փոխարժեքները դրամի նկատմամբ աճել են:</w:t>
      </w:r>
    </w:p>
    <w:p w14:paraId="66A0C559" w14:textId="77777777" w:rsidR="00682DEF" w:rsidRPr="00A83C94" w:rsidRDefault="00682DEF" w:rsidP="00682DEF">
      <w:pPr>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 xml:space="preserve">2019թ. ընկերության գործունեությունը եղել է շահութաբեր: Սակայն, 2020թ. COVID-19 համավարակի հետևանքով տնտեսական ակտիվության կտրուկ նվազման հետ մեկտեղ, ընկերությունն արձանագրել է շատ ավելի ցածր հասույթի մակարդակ (մոտ 25 տոկոս կրճատում), ինչը խիստ ազդեցություն է ունեցել ընկերության գործունեության վրա (ցածր գործառնական շահույթի մակարդակ, դրամական հոսքերի և փոխառու կապիտալից ստացվող եկամտի նվազում): Ի լրումն, ավելացան նաև արտարժույթի փոխարժեքի հետ կապված վնասները՝ ԱՄՆ դոլարի և Եվրոյի նկատմամբ արժեզրկման հետևանքով, ինչը հանգեցրեց պարտքի սպասարկման առավել մեծ ծախսերի: Արդյունքում, 2020թ. զուտ վնասները գերազանցել են հասույթը և ընկերությունն արձանագրել է սեփական կապիտալի բացասական մակարդակ՝ չնայած բաժնետերերի կողմից հավելյալ սեփական կապիտալի ներարկմանը: Ընկերությունը շարունակում է սպասարկել իր վարկերը՝ շնորհիվ բաժնետերերի հավելյալ աջակցության, որոնք տրամադրել են ավելի քան 10 մլրդ դրամ ծավալով արտակարգ աջակցության վարկ (համարժեք է ընկերության 2020թ. հասույթին): </w:t>
      </w:r>
    </w:p>
    <w:p w14:paraId="40BFCAFD" w14:textId="77777777" w:rsidR="00682DEF" w:rsidRPr="00A83C94" w:rsidRDefault="00682DEF" w:rsidP="00682DEF">
      <w:pPr>
        <w:shd w:val="clear" w:color="auto" w:fill="FFFFFF"/>
        <w:spacing w:before="0" w:line="276" w:lineRule="auto"/>
        <w:ind w:right="20" w:firstLine="432"/>
        <w:contextualSpacing w:val="0"/>
        <w:rPr>
          <w:rFonts w:eastAsia="Calibri"/>
          <w:b w:val="0"/>
          <w:bCs/>
          <w:iCs/>
          <w:szCs w:val="22"/>
          <w:lang w:val="hy-AM" w:eastAsia="en-US"/>
        </w:rPr>
      </w:pPr>
      <w:r w:rsidRPr="00A83C94">
        <w:rPr>
          <w:rFonts w:eastAsia="Calibri" w:cs="Sylfaen"/>
          <w:b w:val="0"/>
          <w:bCs/>
          <w:iCs/>
          <w:szCs w:val="22"/>
          <w:lang w:val="hy-AM" w:eastAsia="en-US"/>
        </w:rPr>
        <w:t>Հասույթի</w:t>
      </w:r>
      <w:r w:rsidRPr="00A83C94">
        <w:rPr>
          <w:rFonts w:eastAsia="Calibri"/>
          <w:b w:val="0"/>
          <w:bCs/>
          <w:iCs/>
          <w:szCs w:val="22"/>
          <w:lang w:val="hy-AM" w:eastAsia="en-US"/>
        </w:rPr>
        <w:t xml:space="preserve"> գեներացումը պետք է բարելավվի 2021թ., սակայն վերականգնման տեմպի մասով դեռևս անորոշություն կա: Ֆիսկալ ռիսկի կարգավիճակը նշանակալի է՝ հաշվի առնելով ընկերության ֆինանսական վիճակը և այն փաստը, որ ընկերությանը չեն բավարարում հաստատված սակագները: Ամեն դեպքում, մեղմացուցիչ գործոն է նաև այն, որ բաժնետերերը, որոնք հանդիսացել և 2020թ. ընթացքում շարունակել են հանդիսանալ շահութաբեր ընկերությունների խումբ, 2020թ. ընթացքում աջակցել են ընկերությանը:</w:t>
      </w:r>
    </w:p>
    <w:p w14:paraId="18DB15B8"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«Ռենկո Ս.Պ.Ա.» և «Արմփաուեր» ՓԲԸ (Երևանի նոր ՋԷԿ)</w:t>
      </w:r>
    </w:p>
    <w:p w14:paraId="27DCE419"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Ընկերությունը Երևան քաղաքում կառուցում է ջերմային էլեկտրակայան, հանդիսանում է աշխարհում էլեկտրաէներգիայի արտադրության խոշոր գործունեություն իրականացնող իտալական Ռենկո էներգետիկական խմբի և գերմանական Սիմենս խմբի դուստր ընկերություն: Ծրագիրը գտնվում է շինարարության փուլում: Ծրագրի գնահատված արժեքը կազմում է մոտ 300 միլիոն ԱՄՆ դոլար, որի 70 տոկոսը ֆինանսավորվում է ՄՖԿ վարկի միջոցով: Կոնցեսիայի ժամկետը կազմում է 20 տարի՝ սկսած առևտրային շահագործման մեկնարկից, որը նախատեսվում է 2022թ.: 2020թ. վերջի դրությամբ, ավարտված էին ծրագրի աշխատանքների 75 տոկոսը, իսկ 2021թ. մարտի վերջի դրությամբ՝ 78 տոկոսը: Փաստացի, COVID-19 համավարակի հետևանքով, շինարարության մասով եղել է 168 օր ուշացում, սակայն ընկերության կողմից ձեռնարկված վերջին միջոցները թույլ են տալիս նշված ուշացումը կրճատել 45 օրով: Այս ուշացումից առաջացող գերածախսերը գնահատվում են 6 մլն ԱՄՆ դոլար, իսկ կայանի շահագործման հանձնումը կհետաձգվի առնվազն 4 ամսով: Ենթադրվում է, որ հավելյալ ծախսերը ծածկվելու են բաժնետերերի կամ լրացուցիչ պարտքի ներգրավման միջոցով:</w:t>
      </w:r>
    </w:p>
    <w:p w14:paraId="60276C05"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Հիմնական պայմանական պարտավորությունը ՀՀ կառավարության կողմից պարտավորությունների չկատարման հետևանքով պայմանագրի վաղաժամ դադարեցման դեպքում կայանի հետգնման պարտավորությունն է (նյութականացման դեպքերն են՝ օտարումը, բռնագրավումը, զավթումը, կառավարությանն առնչվող անվճարունակության դեպքի տեղի ունենալը, պայմանագրի շրջանակներում պետության կողմից տրված հավաստիացումների և երաշխիքների էական խախտումը, ծրագրի կառուցման կամ շահագործման՝ Կառուցապատողի կարողության վրա էականորեն և անբարենպաստ կերպով ազդող օրենսդրական փոփոխությունը): Առաջին տարվանից հետո, պայմանական պարտավորության գումարին կավելանա 15 տոկոս հավելավճար՝ ի հավելումն ներդրման գումարի, իսկ այնուհետև գումարը կնվազի տարեկան 4 տոկոսով:</w:t>
      </w:r>
    </w:p>
    <w:p w14:paraId="6367ECF5" w14:textId="77777777" w:rsidR="00682DEF" w:rsidRPr="00A83C94" w:rsidRDefault="00682DEF" w:rsidP="00682DEF">
      <w:pPr>
        <w:shd w:val="clear" w:color="auto" w:fill="FFFFFF"/>
        <w:tabs>
          <w:tab w:val="left" w:pos="10206"/>
        </w:tabs>
        <w:spacing w:before="0" w:line="276" w:lineRule="auto"/>
        <w:ind w:right="144" w:firstLine="230"/>
        <w:contextualSpacing w:val="0"/>
        <w:rPr>
          <w:rFonts w:eastAsia="Calibri"/>
          <w:b w:val="0"/>
          <w:szCs w:val="22"/>
          <w:lang w:val="hy-AM" w:eastAsia="en-US"/>
        </w:rPr>
      </w:pPr>
      <w:r w:rsidRPr="00A83C94">
        <w:rPr>
          <w:rFonts w:eastAsia="Calibri"/>
          <w:b w:val="0"/>
          <w:szCs w:val="22"/>
          <w:lang w:val="hy-AM" w:eastAsia="en-US"/>
        </w:rPr>
        <w:t>Առկա է նաև պետության կողմից երաշխավորված՝ ՀԷՑ ընկերության պարտավորություն՝ գնել արտադրված ամբողջ էլեկտրաէներգիան, իսկ չգնելու դեպքում՝ վճարել փոխհատուցում, սակայն այդ պայմանական պարտավորությունը դեռևս չի գործում, քանի որ կայանը դեռ շահագործման չի հանձնվել:</w:t>
      </w:r>
    </w:p>
    <w:p w14:paraId="24FA577C" w14:textId="77777777" w:rsidR="00682DEF" w:rsidRPr="00A83C94" w:rsidRDefault="00682DEF" w:rsidP="00682DEF">
      <w:pPr>
        <w:shd w:val="clear" w:color="auto" w:fill="FFFFFF"/>
        <w:tabs>
          <w:tab w:val="left" w:pos="10206"/>
        </w:tabs>
        <w:spacing w:before="0" w:line="276" w:lineRule="auto"/>
        <w:ind w:right="144" w:firstLine="230"/>
        <w:contextualSpacing w:val="0"/>
        <w:rPr>
          <w:rFonts w:eastAsia="Calibri"/>
          <w:b w:val="0"/>
          <w:szCs w:val="22"/>
          <w:lang w:val="hy-AM" w:eastAsia="en-US"/>
        </w:rPr>
      </w:pPr>
      <w:r w:rsidRPr="00A83C94">
        <w:rPr>
          <w:rFonts w:eastAsia="Calibri"/>
          <w:b w:val="0"/>
          <w:szCs w:val="22"/>
          <w:lang w:val="hy-AM" w:eastAsia="en-US"/>
        </w:rPr>
        <w:t>Քանի որ ծրագիրն այլևս հնարավոր չէ դադարեցնել կամ էլ ծրագրի իրականացումը ստանձնելու դեպքում պետությունը ստիպված կլինի այն ավարտին հասցնել, ապա ներկայում պայմանական պարտավորությունը սահմանափակվում է ներդրման 300 մլն ԱՄՆ դոլար գումարով: Առևտրային շահագործման մեկնարկից հետո այդ գումարը ժամանակավորապես կբարձրանա:</w:t>
      </w:r>
    </w:p>
    <w:p w14:paraId="32FAF9C7" w14:textId="77777777" w:rsidR="00682DEF" w:rsidRPr="00A83C94" w:rsidRDefault="00682DEF" w:rsidP="00682DEF">
      <w:pPr>
        <w:shd w:val="clear" w:color="auto" w:fill="FFFFFF"/>
        <w:tabs>
          <w:tab w:val="left" w:pos="10206"/>
        </w:tabs>
        <w:spacing w:before="0" w:line="276" w:lineRule="auto"/>
        <w:ind w:right="144" w:firstLine="230"/>
        <w:contextualSpacing w:val="0"/>
        <w:rPr>
          <w:rFonts w:eastAsia="Calibri"/>
          <w:b w:val="0"/>
          <w:bCs/>
          <w:iCs/>
          <w:szCs w:val="22"/>
          <w:lang w:val="hy-AM" w:eastAsia="en-US"/>
        </w:rPr>
      </w:pPr>
      <w:r w:rsidRPr="00A83C94">
        <w:rPr>
          <w:rFonts w:eastAsia="Calibri"/>
          <w:b w:val="0"/>
          <w:bCs/>
          <w:iCs/>
          <w:szCs w:val="22"/>
          <w:lang w:val="hy-AM" w:eastAsia="en-US"/>
        </w:rPr>
        <w:t>Հաշվի առնելով COVID-19 համավարակը, որը հանգեցրել է աշխատանքների էական ուշացման, ինչպես նաև ապագայում վաճառվելիք էլեկտրաէներգիայի հնարավոր ծավալների շուրջ անորոշության (ինչը բարձրացնում է վերը նշված ՀԷՑ-ի պարտավորության ռիսկայնությունը), ծրագրի ֆիսկալ ռիսկի կարգավիճակը գնահատվում է միջին:</w:t>
      </w:r>
    </w:p>
    <w:p w14:paraId="614D16F1"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 xml:space="preserve"> «Մասրիկ-1» արևային ֆոտովոլտային կայան </w:t>
      </w:r>
    </w:p>
    <w:p w14:paraId="6575F89C"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Այս նախագծի շրջանակներում կառուցվում է առաջին ամենամեծ արևային էլեկտրակայանը՝ 55 Մվտ դրվածքային հզորությամբ: Այն պատկանում է La Providencia և FRV իսպանական մասնագիտացված խմբերին և ֆինանսավորվում է IFC-ի, EBRD-ի և Ֆինլանդիայի կառավարության վարկային միջոցներով: Ծրագրի ընդհանուր արժեքը 50.2 մլն ԱՄՆ դոլար է: Ֆինանսական փակումը տեղի է ունեցել 2020թ. հուլիսին, իսկ աշխատանքները նախատեսվում է ավարտել 2022թ-ին:</w:t>
      </w:r>
    </w:p>
    <w:p w14:paraId="79CF6970"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Նախագծի իրականացման արդյունքում առկա են մի շարք պայմանական պարտավորություններ, մասնավորապես արտադրվող էլեկտրաէներգիայի համար գնման երաշխիք ՀՀ կառավարության կողմից, և անբարենպաստ իրադարձությունների դիմաց լրացուցիչ հատուցման իրավունք, որը կարող է առաջանալ միայն շինարարության ավարտից մեկ տարվա ընթացքում:</w:t>
      </w:r>
    </w:p>
    <w:p w14:paraId="250CD5B1"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 xml:space="preserve">Հիմնական պայմանական պարտավորությունը գործարքի ֆինանսական կայացումից հետո վաղաժամ դադարեցումն է՝ ՀՀ կառավարության գործողությունների հետևանքով, տարբեր հիմքերով (ա) Կառավարությունը չի կատարում իր կողմից պարտավորություն հանդիսացող որևէ վճար, (բ) որևէ պետական մարմնի կողմից էքսպրոպրիացիայի կամ հարկադիր ձեռքբերման է ենթարկվել ծրագրի տարածքը, կայանը, գ) Կառավարությանը վերաբերող անվճարունակության դեպք, դ) Օրենքի փոփոխություն կամ անբարենպաստ պայմանի դեպք, որը վերացված կամ փոփոխված չէ 180 (մեկ հարյուր ութսուն) օրվա ընթացքում և անհնար է դարձնում կայանի կառուցումը կամ շահագործումը: Կառուցապատողի կողմից. ե) Կառավարության կողմից Համաձայնագրի ցանկացած այլ էական խախտում, եթե այդ խախտումը չի վերացվել 180 օրվա ընթացքում: </w:t>
      </w:r>
    </w:p>
    <w:p w14:paraId="786E9F45"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Կիրառելի բանաձևը թույլ է տվել հաշվարկել առավելագույնը 26.2 մլրդ ՀՀ դրամի փոխհատուցում, որն այնուհետև կնվազի շինարարության ավարտից հետո: Ինչպես նշվեց, այլ պայմանական պարտավորությունները դեռ չեն կարող չափվել:</w:t>
      </w:r>
    </w:p>
    <w:p w14:paraId="46E10E35" w14:textId="77777777" w:rsidR="00682DEF" w:rsidRPr="00A83C94" w:rsidRDefault="00682DEF" w:rsidP="00682DEF">
      <w:pPr>
        <w:shd w:val="clear" w:color="auto" w:fill="FFFFFF"/>
        <w:tabs>
          <w:tab w:val="left" w:pos="10206"/>
        </w:tabs>
        <w:spacing w:before="0" w:line="276" w:lineRule="auto"/>
        <w:ind w:right="150" w:firstLine="232"/>
        <w:contextualSpacing w:val="0"/>
        <w:rPr>
          <w:b w:val="0"/>
          <w:color w:val="000000"/>
          <w:szCs w:val="22"/>
          <w:lang w:val="hy-AM"/>
        </w:rPr>
      </w:pPr>
      <w:r w:rsidRPr="00A83C94">
        <w:rPr>
          <w:b w:val="0"/>
          <w:color w:val="000000"/>
          <w:szCs w:val="22"/>
          <w:lang w:val="hy-AM"/>
        </w:rPr>
        <w:t>Հաշվի առնելով Covid-19 համավարակի հետևանքներից բխող անորոշությունների ներկա համատեքստը և հովանավորների ֆինանսական վիճակի ու շինարարության առաջընթացի կարգավիճակի վերաբերյալ տեղեկատվության բացակայությունը, նախագծի ֆիսկալ ռիսկի կարգավիճակը դասակարգվում է միջին:</w:t>
      </w:r>
    </w:p>
    <w:p w14:paraId="42EACFB6" w14:textId="77777777" w:rsidR="00682DEF" w:rsidRPr="00A83C94" w:rsidRDefault="00682DEF" w:rsidP="00682DEF">
      <w:pPr>
        <w:spacing w:before="0" w:line="276" w:lineRule="auto"/>
        <w:ind w:firstLine="0"/>
        <w:contextualSpacing w:val="0"/>
        <w:rPr>
          <w:rFonts w:eastAsia="Calibri"/>
          <w:bCs/>
          <w:sz w:val="20"/>
          <w:szCs w:val="20"/>
          <w:lang w:val="hy-AM" w:eastAsia="en-US"/>
        </w:rPr>
      </w:pPr>
      <w:r w:rsidRPr="00A83C94">
        <w:rPr>
          <w:rFonts w:eastAsia="Calibri" w:cs="Sylfaen"/>
          <w:sz w:val="20"/>
          <w:szCs w:val="20"/>
          <w:lang w:val="hy-AM" w:eastAsia="en-US"/>
        </w:rPr>
        <w:t>2020թ</w:t>
      </w:r>
      <w:r w:rsidRPr="00A83C94">
        <w:rPr>
          <w:rFonts w:eastAsia="Calibri"/>
          <w:bCs/>
          <w:sz w:val="20"/>
          <w:szCs w:val="20"/>
          <w:lang w:val="hy-AM" w:eastAsia="en-US"/>
        </w:rPr>
        <w:t>. դեկտեմբերի դրությամբ ՊՄԳ ծրագրերի գծով պայմանական պարտավորությունների ամփոփ աղյուսակ</w:t>
      </w:r>
    </w:p>
    <w:p w14:paraId="452F4565" w14:textId="0D1AAACA" w:rsidR="00682DEF" w:rsidRPr="00A83C94" w:rsidRDefault="00682DEF" w:rsidP="00682DEF">
      <w:pPr>
        <w:keepNext/>
        <w:spacing w:before="0" w:line="240" w:lineRule="auto"/>
        <w:ind w:firstLine="0"/>
        <w:contextualSpacing w:val="0"/>
        <w:jc w:val="left"/>
        <w:rPr>
          <w:rFonts w:eastAsia="Calibri"/>
          <w:bCs/>
          <w:i/>
          <w:color w:val="4F81BD" w:themeColor="accent1"/>
          <w:sz w:val="20"/>
          <w:szCs w:val="20"/>
          <w:lang w:val="hy-AM" w:eastAsia="en-US"/>
        </w:rPr>
      </w:pPr>
      <w:r w:rsidRPr="00A83C94">
        <w:rPr>
          <w:rFonts w:eastAsia="Calibri"/>
          <w:b w:val="0"/>
          <w:bCs/>
          <w:color w:val="4F81BD" w:themeColor="accent1"/>
          <w:sz w:val="20"/>
          <w:szCs w:val="20"/>
          <w:lang w:val="hy-AM" w:eastAsia="en-US"/>
        </w:rPr>
        <w:t>Աղյուսակ 1</w:t>
      </w:r>
      <w:r w:rsidR="006C390E" w:rsidRPr="008B1D49">
        <w:rPr>
          <w:rFonts w:eastAsia="Calibri"/>
          <w:b w:val="0"/>
          <w:bCs/>
          <w:color w:val="4F81BD" w:themeColor="accent1"/>
          <w:sz w:val="20"/>
          <w:szCs w:val="20"/>
          <w:lang w:val="hy-AM" w:eastAsia="en-US"/>
        </w:rPr>
        <w:t>0</w:t>
      </w:r>
      <w:r w:rsidRPr="00A83C94">
        <w:rPr>
          <w:rFonts w:eastAsia="Calibri"/>
          <w:bCs/>
          <w:i/>
          <w:color w:val="4F81BD" w:themeColor="accent1"/>
          <w:sz w:val="20"/>
          <w:szCs w:val="20"/>
          <w:lang w:val="hy-AM" w:eastAsia="en-US"/>
        </w:rPr>
        <w:t xml:space="preserve"> Պայմանական պարտավորությունների ամփոփ հաշվարկ</w:t>
      </w:r>
    </w:p>
    <w:p w14:paraId="41860A15" w14:textId="77777777" w:rsidR="00682DEF" w:rsidRPr="00A83C94" w:rsidRDefault="00682DEF" w:rsidP="00682DEF">
      <w:pPr>
        <w:keepNext/>
        <w:spacing w:before="0" w:line="240" w:lineRule="auto"/>
        <w:ind w:firstLine="0"/>
        <w:contextualSpacing w:val="0"/>
        <w:jc w:val="right"/>
        <w:rPr>
          <w:rFonts w:ascii="Calibri" w:eastAsia="Calibri" w:hAnsi="Calibri"/>
          <w:b w:val="0"/>
          <w:i/>
          <w:iCs/>
          <w:color w:val="44546A"/>
          <w:sz w:val="18"/>
          <w:szCs w:val="18"/>
          <w:lang w:val="hy-AM" w:eastAsia="en-US"/>
        </w:rPr>
      </w:pPr>
      <w:r w:rsidRPr="00A83C94">
        <w:rPr>
          <w:rFonts w:eastAsia="Calibri"/>
          <w:bCs/>
          <w:i/>
          <w:color w:val="4F81BD" w:themeColor="accent1"/>
          <w:sz w:val="20"/>
          <w:szCs w:val="20"/>
          <w:lang w:val="hy-AM" w:eastAsia="en-US"/>
        </w:rPr>
        <w:t xml:space="preserve">                                                                                                        </w:t>
      </w:r>
      <w:r w:rsidRPr="00A83C94">
        <w:rPr>
          <w:rFonts w:eastAsia="Calibri"/>
          <w:bCs/>
          <w:i/>
          <w:color w:val="4F81BD" w:themeColor="accent1"/>
          <w:sz w:val="18"/>
          <w:szCs w:val="18"/>
          <w:lang w:val="hy-AM" w:eastAsia="en-US"/>
        </w:rPr>
        <w:t>մլն</w:t>
      </w:r>
      <w:r w:rsidRPr="00A83C94">
        <w:rPr>
          <w:rFonts w:eastAsia="Calibri"/>
          <w:b w:val="0"/>
          <w:i/>
          <w:iCs/>
          <w:sz w:val="18"/>
          <w:szCs w:val="18"/>
          <w:lang w:val="hy-AM" w:eastAsia="en-US"/>
        </w:rPr>
        <w:t xml:space="preserve"> </w:t>
      </w:r>
      <w:r w:rsidRPr="00A83C94">
        <w:rPr>
          <w:rFonts w:eastAsia="Calibri"/>
          <w:bCs/>
          <w:i/>
          <w:color w:val="4F81BD" w:themeColor="accent1"/>
          <w:sz w:val="18"/>
          <w:szCs w:val="18"/>
          <w:lang w:val="hy-AM" w:eastAsia="en-US"/>
        </w:rPr>
        <w:t>դրամ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079"/>
        <w:gridCol w:w="1942"/>
        <w:gridCol w:w="1296"/>
        <w:gridCol w:w="1313"/>
      </w:tblGrid>
      <w:tr w:rsidR="001A2CC1" w:rsidRPr="00A83C94" w14:paraId="46D6536C" w14:textId="77777777" w:rsidTr="001A2CC1">
        <w:trPr>
          <w:trHeight w:val="310"/>
        </w:trPr>
        <w:tc>
          <w:tcPr>
            <w:tcW w:w="4116" w:type="dxa"/>
            <w:shd w:val="clear" w:color="auto" w:fill="548DD4" w:themeFill="text2" w:themeFillTint="99"/>
          </w:tcPr>
          <w:p w14:paraId="4E3DB207" w14:textId="10C6551D"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Ծրագրի անվանում</w:t>
            </w:r>
          </w:p>
        </w:tc>
        <w:tc>
          <w:tcPr>
            <w:tcW w:w="1079" w:type="dxa"/>
            <w:shd w:val="clear" w:color="auto" w:fill="548DD4" w:themeFill="text2" w:themeFillTint="99"/>
          </w:tcPr>
          <w:p w14:paraId="2FE38DB0" w14:textId="7A190DED"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Այլ      ՊՊ</w:t>
            </w:r>
          </w:p>
        </w:tc>
        <w:tc>
          <w:tcPr>
            <w:tcW w:w="1942" w:type="dxa"/>
            <w:shd w:val="clear" w:color="auto" w:fill="548DD4" w:themeFill="text2" w:themeFillTint="99"/>
          </w:tcPr>
          <w:p w14:paraId="47BF55EE" w14:textId="3B390B50"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Վաղաժամ դադարեցում</w:t>
            </w:r>
          </w:p>
        </w:tc>
        <w:tc>
          <w:tcPr>
            <w:tcW w:w="0" w:type="auto"/>
            <w:shd w:val="clear" w:color="auto" w:fill="548DD4" w:themeFill="text2" w:themeFillTint="99"/>
          </w:tcPr>
          <w:p w14:paraId="12505FC2" w14:textId="757FE979"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Ընդհանուր ՊՊ</w:t>
            </w:r>
          </w:p>
        </w:tc>
        <w:tc>
          <w:tcPr>
            <w:tcW w:w="0" w:type="auto"/>
            <w:shd w:val="clear" w:color="auto" w:fill="548DD4" w:themeFill="text2" w:themeFillTint="99"/>
          </w:tcPr>
          <w:p w14:paraId="30765637" w14:textId="1C571C44"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ՀՆԱ նկատմամբ %</w:t>
            </w:r>
          </w:p>
        </w:tc>
      </w:tr>
      <w:tr w:rsidR="001A2CC1" w:rsidRPr="00A83C94" w14:paraId="47FE04D0" w14:textId="77777777" w:rsidTr="00B814B9">
        <w:trPr>
          <w:trHeight w:val="329"/>
        </w:trPr>
        <w:tc>
          <w:tcPr>
            <w:tcW w:w="4116" w:type="dxa"/>
            <w:shd w:val="clear" w:color="auto" w:fill="D9E2F3"/>
          </w:tcPr>
          <w:p w14:paraId="274B2F1A"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«Հարավկովկասյան երկաթուղի» ՓԲԸ</w:t>
            </w:r>
          </w:p>
        </w:tc>
        <w:tc>
          <w:tcPr>
            <w:tcW w:w="1079" w:type="dxa"/>
            <w:shd w:val="clear" w:color="auto" w:fill="D9E2F3"/>
            <w:vAlign w:val="center"/>
          </w:tcPr>
          <w:p w14:paraId="0A5ABC42"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shd w:val="clear" w:color="auto" w:fill="D9E2F3"/>
            <w:vAlign w:val="center"/>
          </w:tcPr>
          <w:p w14:paraId="55F4F236"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100,024.0</w:t>
            </w:r>
          </w:p>
        </w:tc>
        <w:tc>
          <w:tcPr>
            <w:tcW w:w="0" w:type="auto"/>
            <w:shd w:val="clear" w:color="auto" w:fill="D9E2F3"/>
            <w:vAlign w:val="center"/>
          </w:tcPr>
          <w:p w14:paraId="30FCF156"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100,024.0</w:t>
            </w:r>
          </w:p>
        </w:tc>
        <w:tc>
          <w:tcPr>
            <w:tcW w:w="0" w:type="auto"/>
            <w:shd w:val="clear" w:color="auto" w:fill="D9E2F3"/>
            <w:vAlign w:val="center"/>
          </w:tcPr>
          <w:p w14:paraId="72C34369"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1.6</w:t>
            </w:r>
          </w:p>
        </w:tc>
      </w:tr>
      <w:tr w:rsidR="001A2CC1" w:rsidRPr="00A83C94" w14:paraId="1F44E0E2" w14:textId="77777777" w:rsidTr="00B814B9">
        <w:trPr>
          <w:trHeight w:val="419"/>
        </w:trPr>
        <w:tc>
          <w:tcPr>
            <w:tcW w:w="4116" w:type="dxa"/>
          </w:tcPr>
          <w:p w14:paraId="770B682A"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«Վեոլիա Ջուր» ՓԲԸ</w:t>
            </w:r>
          </w:p>
        </w:tc>
        <w:tc>
          <w:tcPr>
            <w:tcW w:w="1079" w:type="dxa"/>
            <w:vAlign w:val="center"/>
          </w:tcPr>
          <w:p w14:paraId="0BA813D7"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18,200.0</w:t>
            </w:r>
          </w:p>
        </w:tc>
        <w:tc>
          <w:tcPr>
            <w:tcW w:w="1942" w:type="dxa"/>
            <w:vAlign w:val="center"/>
          </w:tcPr>
          <w:p w14:paraId="4A0DC6E4"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74,585.0</w:t>
            </w:r>
          </w:p>
        </w:tc>
        <w:tc>
          <w:tcPr>
            <w:tcW w:w="0" w:type="auto"/>
            <w:vAlign w:val="center"/>
          </w:tcPr>
          <w:p w14:paraId="0D9403F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92,785.0</w:t>
            </w:r>
          </w:p>
        </w:tc>
        <w:tc>
          <w:tcPr>
            <w:tcW w:w="0" w:type="auto"/>
            <w:vAlign w:val="center"/>
          </w:tcPr>
          <w:p w14:paraId="02695DEC"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1.5</w:t>
            </w:r>
          </w:p>
        </w:tc>
      </w:tr>
      <w:tr w:rsidR="001A2CC1" w:rsidRPr="00A83C94" w14:paraId="4DFF4B8C" w14:textId="77777777" w:rsidTr="00B814B9">
        <w:trPr>
          <w:trHeight w:val="549"/>
        </w:trPr>
        <w:tc>
          <w:tcPr>
            <w:tcW w:w="4116" w:type="dxa"/>
            <w:shd w:val="clear" w:color="auto" w:fill="D9E2F3"/>
          </w:tcPr>
          <w:p w14:paraId="3073EFC8"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«Արմենիա միջազգային օդանավակայաններ» ՓԲԸ</w:t>
            </w:r>
          </w:p>
        </w:tc>
        <w:tc>
          <w:tcPr>
            <w:tcW w:w="1079" w:type="dxa"/>
            <w:shd w:val="clear" w:color="auto" w:fill="D9E2F3"/>
            <w:vAlign w:val="center"/>
          </w:tcPr>
          <w:p w14:paraId="6AC2A68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35,776.0</w:t>
            </w:r>
          </w:p>
        </w:tc>
        <w:tc>
          <w:tcPr>
            <w:tcW w:w="1942" w:type="dxa"/>
            <w:shd w:val="clear" w:color="auto" w:fill="D9E2F3"/>
            <w:vAlign w:val="center"/>
          </w:tcPr>
          <w:p w14:paraId="487C08FF"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Առկա չէ</w:t>
            </w:r>
          </w:p>
        </w:tc>
        <w:tc>
          <w:tcPr>
            <w:tcW w:w="0" w:type="auto"/>
            <w:shd w:val="clear" w:color="auto" w:fill="D9E2F3"/>
            <w:vAlign w:val="center"/>
          </w:tcPr>
          <w:p w14:paraId="59720B0F"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35,776.0</w:t>
            </w:r>
          </w:p>
        </w:tc>
        <w:tc>
          <w:tcPr>
            <w:tcW w:w="0" w:type="auto"/>
            <w:shd w:val="clear" w:color="auto" w:fill="D9E2F3"/>
            <w:vAlign w:val="center"/>
          </w:tcPr>
          <w:p w14:paraId="071F11EC"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0.6</w:t>
            </w:r>
          </w:p>
        </w:tc>
      </w:tr>
      <w:tr w:rsidR="001A2CC1" w:rsidRPr="00A83C94" w14:paraId="1AC79704" w14:textId="77777777" w:rsidTr="00B814B9">
        <w:trPr>
          <w:trHeight w:val="419"/>
        </w:trPr>
        <w:tc>
          <w:tcPr>
            <w:tcW w:w="4116" w:type="dxa"/>
          </w:tcPr>
          <w:p w14:paraId="56021845"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«Քոնթուր Գլոբալ հիդրո կասկադ» ՓԲԸ</w:t>
            </w:r>
          </w:p>
        </w:tc>
        <w:tc>
          <w:tcPr>
            <w:tcW w:w="1079" w:type="dxa"/>
            <w:vAlign w:val="center"/>
          </w:tcPr>
          <w:p w14:paraId="2969E3D0"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vAlign w:val="center"/>
          </w:tcPr>
          <w:p w14:paraId="5E5566BF"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99,600.0</w:t>
            </w:r>
          </w:p>
        </w:tc>
        <w:tc>
          <w:tcPr>
            <w:tcW w:w="0" w:type="auto"/>
            <w:vAlign w:val="center"/>
          </w:tcPr>
          <w:p w14:paraId="0D539278"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99,600.0</w:t>
            </w:r>
          </w:p>
        </w:tc>
        <w:tc>
          <w:tcPr>
            <w:tcW w:w="0" w:type="auto"/>
            <w:vAlign w:val="center"/>
          </w:tcPr>
          <w:p w14:paraId="5A26BA58"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1.6</w:t>
            </w:r>
          </w:p>
        </w:tc>
      </w:tr>
      <w:tr w:rsidR="001A2CC1" w:rsidRPr="00A83C94" w14:paraId="0AD71FAC" w14:textId="77777777" w:rsidTr="00B814B9">
        <w:trPr>
          <w:trHeight w:val="425"/>
        </w:trPr>
        <w:tc>
          <w:tcPr>
            <w:tcW w:w="4116" w:type="dxa"/>
            <w:shd w:val="clear" w:color="auto" w:fill="D9E2F3"/>
          </w:tcPr>
          <w:p w14:paraId="75F92E25"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«Արմփաուեր» ՓԲԸ</w:t>
            </w:r>
          </w:p>
        </w:tc>
        <w:tc>
          <w:tcPr>
            <w:tcW w:w="1079" w:type="dxa"/>
            <w:shd w:val="clear" w:color="auto" w:fill="D9E2F3"/>
            <w:vAlign w:val="center"/>
          </w:tcPr>
          <w:p w14:paraId="736C3C65"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shd w:val="clear" w:color="auto" w:fill="D9E2F3"/>
            <w:vAlign w:val="center"/>
          </w:tcPr>
          <w:p w14:paraId="1A55F1BE"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156,000.0</w:t>
            </w:r>
          </w:p>
        </w:tc>
        <w:tc>
          <w:tcPr>
            <w:tcW w:w="0" w:type="auto"/>
            <w:shd w:val="clear" w:color="auto" w:fill="D9E2F3"/>
            <w:vAlign w:val="center"/>
          </w:tcPr>
          <w:p w14:paraId="6E27D405"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156,000.0</w:t>
            </w:r>
          </w:p>
        </w:tc>
        <w:tc>
          <w:tcPr>
            <w:tcW w:w="0" w:type="auto"/>
            <w:shd w:val="clear" w:color="auto" w:fill="D9E2F3"/>
            <w:vAlign w:val="center"/>
          </w:tcPr>
          <w:p w14:paraId="08FDC765"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2.5</w:t>
            </w:r>
          </w:p>
        </w:tc>
      </w:tr>
      <w:tr w:rsidR="001A2CC1" w:rsidRPr="00A83C94" w14:paraId="6ACC828E" w14:textId="77777777" w:rsidTr="00B814B9">
        <w:trPr>
          <w:trHeight w:val="404"/>
        </w:trPr>
        <w:tc>
          <w:tcPr>
            <w:tcW w:w="4116" w:type="dxa"/>
          </w:tcPr>
          <w:p w14:paraId="79E6C2E0"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«Էֆարվի Մասրիկ» ՓԲԸ</w:t>
            </w:r>
          </w:p>
        </w:tc>
        <w:tc>
          <w:tcPr>
            <w:tcW w:w="1079" w:type="dxa"/>
            <w:vAlign w:val="center"/>
          </w:tcPr>
          <w:p w14:paraId="24CF10D3"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vAlign w:val="center"/>
          </w:tcPr>
          <w:p w14:paraId="36C53576"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26,169.0</w:t>
            </w:r>
          </w:p>
        </w:tc>
        <w:tc>
          <w:tcPr>
            <w:tcW w:w="0" w:type="auto"/>
            <w:vAlign w:val="center"/>
          </w:tcPr>
          <w:p w14:paraId="46A0BC4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26,169.0</w:t>
            </w:r>
          </w:p>
        </w:tc>
        <w:tc>
          <w:tcPr>
            <w:tcW w:w="0" w:type="auto"/>
            <w:vAlign w:val="center"/>
          </w:tcPr>
          <w:p w14:paraId="1F646D94"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0.4</w:t>
            </w:r>
          </w:p>
        </w:tc>
      </w:tr>
      <w:tr w:rsidR="001A2CC1" w:rsidRPr="00A83C94" w14:paraId="0BF380D1" w14:textId="77777777" w:rsidTr="00B814B9">
        <w:trPr>
          <w:trHeight w:val="423"/>
        </w:trPr>
        <w:tc>
          <w:tcPr>
            <w:tcW w:w="4116" w:type="dxa"/>
            <w:shd w:val="clear" w:color="auto" w:fill="D9E2F3"/>
          </w:tcPr>
          <w:p w14:paraId="42B97FD7"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Ընդամենը</w:t>
            </w:r>
          </w:p>
        </w:tc>
        <w:tc>
          <w:tcPr>
            <w:tcW w:w="1079" w:type="dxa"/>
            <w:shd w:val="clear" w:color="auto" w:fill="D9E2F3"/>
            <w:vAlign w:val="center"/>
          </w:tcPr>
          <w:p w14:paraId="616A377E"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53,976.0</w:t>
            </w:r>
          </w:p>
        </w:tc>
        <w:tc>
          <w:tcPr>
            <w:tcW w:w="1942" w:type="dxa"/>
            <w:shd w:val="clear" w:color="auto" w:fill="D9E2F3"/>
            <w:vAlign w:val="center"/>
          </w:tcPr>
          <w:p w14:paraId="42DFB530"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456,378.0</w:t>
            </w:r>
          </w:p>
        </w:tc>
        <w:tc>
          <w:tcPr>
            <w:tcW w:w="0" w:type="auto"/>
            <w:shd w:val="clear" w:color="auto" w:fill="D9E2F3"/>
            <w:vAlign w:val="center"/>
          </w:tcPr>
          <w:p w14:paraId="1B36D92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510,354.0</w:t>
            </w:r>
          </w:p>
        </w:tc>
        <w:tc>
          <w:tcPr>
            <w:tcW w:w="0" w:type="auto"/>
            <w:shd w:val="clear" w:color="auto" w:fill="D9E2F3"/>
            <w:vAlign w:val="center"/>
          </w:tcPr>
          <w:p w14:paraId="2235FB39"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8.26</w:t>
            </w:r>
          </w:p>
        </w:tc>
      </w:tr>
    </w:tbl>
    <w:p w14:paraId="17A193DE" w14:textId="77777777" w:rsidR="00682DEF" w:rsidRPr="00A83C94" w:rsidRDefault="00682DEF" w:rsidP="00682DEF">
      <w:pPr>
        <w:shd w:val="clear" w:color="auto" w:fill="FFFFFF"/>
        <w:spacing w:before="0" w:line="276" w:lineRule="auto"/>
        <w:ind w:right="150" w:firstLine="227"/>
        <w:contextualSpacing w:val="0"/>
        <w:rPr>
          <w:b w:val="0"/>
          <w:color w:val="000000"/>
          <w:szCs w:val="22"/>
          <w:lang w:val="hy-AM"/>
        </w:rPr>
      </w:pPr>
      <w:r w:rsidRPr="00A83C94">
        <w:rPr>
          <w:b w:val="0"/>
          <w:color w:val="000000"/>
          <w:szCs w:val="22"/>
          <w:lang w:val="hy-AM"/>
        </w:rPr>
        <w:t xml:space="preserve">Հաշվարկը հիմնված է 2020թ. վերջին արդեն իսկ մշակված պարտավորությունների տվյալների բազայի թարմացված տարբերակի վրա: </w:t>
      </w:r>
    </w:p>
    <w:p w14:paraId="2CB25922" w14:textId="77777777" w:rsidR="00682DEF" w:rsidRPr="00A83C94" w:rsidRDefault="00682DEF" w:rsidP="00682DEF">
      <w:pPr>
        <w:shd w:val="clear" w:color="auto" w:fill="FFFFFF"/>
        <w:spacing w:before="0" w:line="276" w:lineRule="auto"/>
        <w:ind w:left="2" w:right="150" w:firstLine="1"/>
        <w:contextualSpacing w:val="0"/>
        <w:rPr>
          <w:b w:val="0"/>
          <w:color w:val="000000"/>
          <w:szCs w:val="22"/>
          <w:lang w:val="hy-AM"/>
        </w:rPr>
      </w:pPr>
      <w:r w:rsidRPr="00A83C94">
        <w:rPr>
          <w:b w:val="0"/>
          <w:color w:val="000000"/>
          <w:szCs w:val="22"/>
          <w:lang w:val="hy-AM"/>
        </w:rPr>
        <w:t xml:space="preserve">2021 թվականի հունիսի 18 կառավարության որոշմամբ հաստատվել է Հայաստանում արդյունաբերական մասշտաբի «Այգ-1» արևային ֆոտովոլտային ծրագրի շրջանակում կազմակերպված մրցույթի ընթացակարգի արդյունքները՝ հաղթող ճանաչելով «Աբու Դաբի Ֆյուչեր Էներջի Քոմփանի» ՀԲԸ («Մասդար»)։ Ծրագրի իրականացման շուրջ կնքվելու է կառավարության աջակցության համաձայնագիր, ֆինանսական կայացման վերջնաժամկետ է սահմանվում 2022 թվականի դեկտեմբեր ամիսը։ </w:t>
      </w:r>
    </w:p>
    <w:p w14:paraId="51122AA4" w14:textId="77777777" w:rsidR="00682DEF" w:rsidRPr="00A83C94" w:rsidRDefault="00682DEF" w:rsidP="00682DEF">
      <w:pPr>
        <w:shd w:val="clear" w:color="auto" w:fill="FFFFFF"/>
        <w:spacing w:before="0" w:line="276" w:lineRule="auto"/>
        <w:ind w:left="2" w:right="150" w:firstLine="1"/>
        <w:contextualSpacing w:val="0"/>
        <w:rPr>
          <w:b w:val="0"/>
          <w:color w:val="000000"/>
          <w:szCs w:val="22"/>
          <w:lang w:val="hy-AM"/>
        </w:rPr>
      </w:pPr>
    </w:p>
    <w:p w14:paraId="40FAC5BF" w14:textId="77777777" w:rsidR="00682DEF" w:rsidRPr="00A83C94" w:rsidRDefault="00682DEF" w:rsidP="00B814B9">
      <w:pPr>
        <w:shd w:val="clear" w:color="auto" w:fill="FFFFFF"/>
        <w:spacing w:before="0" w:line="276" w:lineRule="auto"/>
        <w:ind w:right="144" w:firstLine="432"/>
        <w:contextualSpacing w:val="0"/>
        <w:rPr>
          <w:b w:val="0"/>
          <w:color w:val="000000"/>
          <w:szCs w:val="22"/>
          <w:lang w:val="hy-AM"/>
        </w:rPr>
      </w:pPr>
      <w:r w:rsidRPr="00A83C94">
        <w:rPr>
          <w:rFonts w:eastAsia="Calibri"/>
          <w:color w:val="000000"/>
          <w:szCs w:val="22"/>
          <w:lang w:val="hy-AM" w:eastAsia="en-US"/>
        </w:rPr>
        <w:t>Բնական և մարդածին աղետներից առաջացող ֆիսկալ ռիսկեր</w:t>
      </w:r>
    </w:p>
    <w:p w14:paraId="6F810700" w14:textId="77777777" w:rsidR="00682DEF" w:rsidRPr="00A83C94" w:rsidRDefault="00682DEF" w:rsidP="00682DEF">
      <w:pPr>
        <w:keepNext/>
        <w:spacing w:before="0" w:line="276" w:lineRule="auto"/>
        <w:ind w:firstLine="0"/>
        <w:contextualSpacing w:val="0"/>
        <w:jc w:val="left"/>
        <w:rPr>
          <w:rFonts w:eastAsia="Calibri"/>
          <w:bCs/>
          <w:i/>
          <w:color w:val="4F81BD" w:themeColor="accent1"/>
          <w:sz w:val="20"/>
          <w:szCs w:val="20"/>
          <w:lang w:val="hy-AM" w:eastAsia="en-US"/>
        </w:rPr>
      </w:pPr>
    </w:p>
    <w:p w14:paraId="43F68A4E"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Աղետների ռիսկերը կարող են ունենալ հիմնականում բնական պատճառներ, հատկապես՝ հիդրոօդերևութաբանական (ջրհեղեղներ, կարկտահարություն, ցրտահարություն, երաշտ, փոթորիկ), երկրաֆիզիկական (երկրաշարժ, հրաբխի ժայթքում, սողանք), կենսաբանական (համաճարակներ և պանդեմիաներ, սանիտարական այլ ճգնաժամեր), տիեզերական (հեռահաղորդակցության և էլեկտրաէներգետիկ խափանումների հանգեցնող արեգակնային փոթորիկներ): Սակայն, կարող են լինել նաև այլ պատճառներ, հատկապես՝ տեխնոլոգիական, բնատեխնածին:</w:t>
      </w:r>
    </w:p>
    <w:p w14:paraId="64249D30"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2019թ. բնական աղետների (կարկտահարություն և ցրտահարություն) հետևանքով վնասվել է 15698 հա ցանքատարածություններ, որոնց հասցված ընդհանուր վնասը կազմել է 9,578 մլն դրամ: 50-100% տուժած հողօգտագործողներին տրամադրվել է 437.0 մլն դրամ գումարի փոխհատուցում: 2020թ. տեղի ունեցած բնական աղետների հետևանքով կրած վնասի փոխհատուցում չի նախատեսվել, քանի որ պետական աջակցության միջոցով իրականացվում է գյուղատնտեսության ոլորտում ապահովագրական համակարգի ներդրման փորձնական ծրագիր: </w:t>
      </w:r>
    </w:p>
    <w:p w14:paraId="6BAF25E2"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2021թ. գյուղատնտեսական տարվա համար ապահովագրվող մշակաբույսերի ցանկը և ծրագիրն ընդգրկող մարզերի շրջանակն ընդլայնվել է՝ ներառելով կարտոֆիլ, սալոր և ձմերուկ/սեխ մշակաբույսերը։ 2021 թվականի մարտի 31-ի դրությամբ ապահովագրական ընկերությունները կնքել են 2581 ապահովագրական պայմանագիր, ապահովագրավճարը կազմել է շուրջ 439.3 մլն դրամ, որից սուբսիդավորված գումարը՝ շուրջ 256.6 մլն դրամ։ Կնքված պայմանագրերի արդյունքում ապահովագրված այգիների և ցանքատարածությունների մակերեսը կազմել է 3952 հա։ Գյուղատնտեսության ապահովագրության պայմանագրերի կնքման գործընթացը շարունակվում է։ 2021թ. ՀՀ պետական բյուջեով միջոցառման համար նախատեսվող գումարի չափը կկազմի է 500 մլն դրամ։ </w:t>
      </w:r>
    </w:p>
    <w:p w14:paraId="394D3B13"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Հայաստանը նաև մեծապես ենթարկվում է երկրաշարժի ռիսկի՝ ինչպես ցույց է տվել 1988թ. Սպիտակի երկրաշարժը: Երևանի տարածաշրջանը սեյսմագետների կողմից համարվում է բարձր ռիսկի գոտի, մասնավորապես՝ Գառնու խզվածքի պատճառով, և այստեղ առկա է խոշոր, ավերիչ երկրաշարժերի պատմություն: Այդ տարածքում խոշոր երկրաշարժը կարող է ծանր մակրոտնտեսական հետևանքներ ունենալ: Հայաստանը պատմականորեն խոցելի է եղել երկրաշարժերի տեսանկյունից: 1988թ. տեղի ունեցած վերջին ավերիչ երկրաշարժի հետևանքով երկրի հյուսիսային շրջաններում պատճառված տնտեսական վնասները կազմել են մոտավորապես 15-20 մլրդ ԱՄՆ դոլար: Նշված վնասները գերազանցում էին նախկին Հայկական ԽՍՀ ՀՆԱ-ն:</w:t>
      </w:r>
    </w:p>
    <w:p w14:paraId="62E01800"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Համաձայն աղետների ռիսկի կառավարման վերաբերյալ ԱԶԲ 2014թ. զեկույցի, Երևանում 7.0 բալ ուժգնությամբ երկրաշարժի հետևանքով կարող է զոհվել մինչև 300 հազար մարդ, ինչը պայմանավորված է ոչ համարժեք, խորհրդային ժամանակաշրջանի մեծաթիվ շենքերի, հատկապես՝ խոշոր բազմաբնակարան շենքերի առկայությամբ:</w:t>
      </w:r>
    </w:p>
    <w:p w14:paraId="4A059882"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Նախնական ուսումնասիրությունները ցույց են տալիս, որ տնտեսական վնասները կարող են կազմել մինչև ՀՆԱ 100 տոկոսը (Համաշխարհային Բանկ և ԱԶԲ):</w:t>
      </w:r>
    </w:p>
    <w:p w14:paraId="53B88B44"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Համաձայն Հայաստանում աղետների ռիսկի ֆինանսավորման վերաբերյալ Համաշխարհային բանկի 2017թ. զեկույցի, փաստ է, որ Սպիտակի երկրաշարժի հետևանքներից վերականգնումը շարունակելու ուղղությամբ ծախսեր իրականացվում էին առնվազն մինչև 2015թ.: Ակնհայտ է, որ խոշոր երկրաշարժի համար Հայաստանի ֆիսկալ ճկունությունը փոքր է, հետևաբար առավել քան անհրաժեշտ են նման իրադարձության ազդեցությունը (զոհեր, տնտեսական ու ֆիսկալ ազդեցություններ) նախօրոք նվազեցնելուն ուղղված՝ ռիսկերի կրճատման բոլոր ջանքերը, հատկապես՝ շենքերի արդիականացումը և ամրացումը, որի համար հնարավոր են ցածր ծախսատարությամբ լուծումներ և որի մասով Հայաստանն ունի փորձառություն: </w:t>
      </w:r>
    </w:p>
    <w:p w14:paraId="69C399F3"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2016թ. մեկնարկել է «Սեյսմիկ անվտանգության բարելավման ծրագիրը», որը նախատեսված է ավարտել 2024 թվականի մայիս ամսին:</w:t>
      </w:r>
    </w:p>
    <w:p w14:paraId="0FF5EED9"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Ծրագիր շրջանակներում ընդգրկված են 46 դպրոցներ, որոնցից փաստացի կառուցվել և հանձնվել է շահագործման 6 դպրոց, 1 դպրոց գտնվում է շահագործման հանձման գործընթացում, 12 դպրոցներ գտնվում են շինարարության փուլում, 2 դպրոցների նախագծային աշխատանքները ավարտվել են, 13 դպրոցներ գտնվում է նախագծման տարբեր փուլերում, 2 դպրոցների համար իրականացվում է շենքերի տեխնիկական վիճակի ուսումնասիրության աշխատանքներ, ևս 10 դպրոցների ուղղությամբ դեռևս աշխատանքներ չեն կատարվում: </w:t>
      </w:r>
    </w:p>
    <w:p w14:paraId="68D8C010"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Ծրագրի շրջանակներում նախատեսվում է անվտանգ կրթական պայմաններ ստեղծել 19800 աշակերտների համար, ինչը կազմում է պետական դպրոցներում սովորող աշակերտների 5%։</w:t>
      </w:r>
    </w:p>
    <w:p w14:paraId="5E4D1FB8"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 ՀՀ 2021թ. պետական բյուջեով ծրագրի իրականացման համար նախատեսված է 4.1 մլրդ դրամ: </w:t>
      </w:r>
    </w:p>
    <w:p w14:paraId="4FC6C3FD"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Կենսաբանական վտանգների առումով, ինչպես այլ երկրներում, այնպես էլ ՀՀ-ում, Covid-19 համավարակի տարածումը՝ չնայած վաղ ձեռնարկված միջոցառումներին այն տարբեր կասկադային ազդեցությունների միջոցով վերածվեց տնտեսական և սոցիալական ճգնաժամի՝ 2020թ. տեղի ունեցած տնտեսական անկմամբ: Կորոնավիրուսային համավարակի տնտեսական ու սոցիալական հետևանքների չեզոքացման համար 2020թ. և 2021թ. նախատեսվել է համապատասխանաբար՝ 71.8 մլրդ ՀՀ դրամ և 23.7 մլրդ ՀՀ դրամ:</w:t>
      </w:r>
    </w:p>
    <w:p w14:paraId="17599B34"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p>
    <w:p w14:paraId="63A3C8A5"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Պետության դեմ իրականացվող դատական վարույթներից առաջացող ֆիսկալ ռիսկեր</w:t>
      </w:r>
    </w:p>
    <w:p w14:paraId="1D5548F8"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 xml:space="preserve">ՀՀ ՖՆ մասնակցությամբ պետության դեմ քննվող հայցերի քանակը 2021թ. մայիսի դրությամբ կազմում է 917, մոտ 11.7 մլրդ ՀՀ դրամի, 1.6 մլն ԱՄՆ դոլարի, 606.4 հազ. եվրոյի և 3.6 մլն չեխական կրոն հայցագնով: </w:t>
      </w:r>
    </w:p>
    <w:p w14:paraId="6BDD2290"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Բացի վերը նշված հայցերից, առկա են առավել նշանակալի այլ հայցեր՝ ընդդեմ ՀՀ Պետական եկամուտների կոմիտեի: Ներկայացված հայցերով ՀՀ դատարաններում վիճարկվում է 2943 դատական գործ՝ մոտ 126.8 մլրդ դրամ գումարի չափով։</w:t>
      </w:r>
    </w:p>
    <w:p w14:paraId="1D83F1AA"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Միջազգային արբիտրաժային դատարաններում ընդդեմ Հայաստանի Հանրապետության ներկայացված հայցերի թիվը վեցն է՝ մոտ 152.6 մլրդ ՀՀ դրամ հայցագնով (գնահատված լինելու դեպքում գումարը ներառում է արբիտրաժային ծախսեր և տոկոսներ)։</w:t>
      </w:r>
    </w:p>
    <w:p w14:paraId="69DACA44"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2019-2021թթ. կոմունիկացված ՄԻԵԴ գործերով դիմումատուների թիվը կազմում է 40, իսկ պահանջած գումարները՝ մոտ 6.5 մլրդ ՀՀ դրամ։</w:t>
      </w:r>
    </w:p>
    <w:p w14:paraId="098E85CC"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Բոլոր կառույցներում ներկայացված հայցերի հանրագումարը կազմում է մոտ 300 մլրդ դրամ։</w:t>
      </w:r>
    </w:p>
    <w:p w14:paraId="3BAF9696"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Անհրաժեշտ է նշել, որ ռիսկի իրական մակարդակը շատ ավելի ցածր է, քանի որ հայցվորները ոչ բոլոր գործերն են հաղթում, իսկ հաղթելու պարագայում վճռով հաճախ սահմանվում են ավելի փոքր գումարներ:</w:t>
      </w:r>
    </w:p>
    <w:p w14:paraId="5A30CA2A"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p>
    <w:p w14:paraId="1CC886A6" w14:textId="77777777" w:rsidR="00682DEF" w:rsidRPr="00A83C94" w:rsidRDefault="00682DEF" w:rsidP="00B814B9">
      <w:pPr>
        <w:shd w:val="clear" w:color="auto" w:fill="FFFFFF"/>
        <w:spacing w:before="0" w:line="276" w:lineRule="auto"/>
        <w:ind w:right="144" w:firstLine="432"/>
        <w:contextualSpacing w:val="0"/>
        <w:jc w:val="center"/>
        <w:rPr>
          <w:rFonts w:eastAsia="Calibri"/>
          <w:color w:val="000000"/>
          <w:szCs w:val="22"/>
          <w:lang w:val="hy-AM" w:eastAsia="en-US"/>
        </w:rPr>
      </w:pPr>
      <w:r w:rsidRPr="00A83C94">
        <w:rPr>
          <w:rFonts w:eastAsia="Calibri"/>
          <w:color w:val="000000"/>
          <w:szCs w:val="22"/>
          <w:lang w:val="hy-AM" w:eastAsia="en-US"/>
        </w:rPr>
        <w:t>Հնարավոր բնապահպանական պարտավորությունների հետևանքով առաջացող ֆիսկալ ռիսկեր</w:t>
      </w:r>
    </w:p>
    <w:p w14:paraId="53E25C87"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ՀՀ շրջակա միջավայրի նախարարության (ՇՄՆ) քարտեզագրման արդյունքում առկա է մոտ 2500 սողանքային տարածքներ և ներկայում խնդրի լուծման ֆինանսավորման աղբյուր դիտարկվում է ՀՀ կառավարության պահուստային ֆոնդը: Թունավոր թափոնների տեղամասերի հետ կապված ռիսկերից խուսափելու նպատակով նշված տարածքներում հանքարդյունաբերական գործունեության թույլտվություններ չեն տրամադրվում: </w:t>
      </w:r>
    </w:p>
    <w:p w14:paraId="2E049929"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ՇՄՆ նույնականացրել է հնարավոր բնապահպանական պարտավորություններ ենթադրող 44 տեղամասեր, որոնք առաջացել են դեռևս խորհրդային ժամանակաշրջանում, հիմնականում հանքարդյունաբերական ծագումով: Վերականգնման նպատակով ՇՄՆ կողմից առաջնահերթ են համարվել 10 վայրեր, որից 2019թ. վերականգնել է միայն մեկ տեղամաս, իսկ 2020թ. նման աշխատանքներ չեն իրականացվել: ՇՄՆ նաև իրականացնում է ջրի խորքային հորերի որակի ուսումնասիրություններ՝ հնարավոր ռիսկերը բացահայտելու նպատակով։</w:t>
      </w:r>
    </w:p>
    <w:p w14:paraId="017485E0"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Այսպիսի հնարավոր պարտավորությունները չափազանց բարդ է նախապես հաշվարկել, սակայն կարևորագույն խնդիրը՝ վերականգնման կարիք ունեցող տեղամասերի նույնականացումն ու մանրակրկիտ ուսումնասիրությունն է՝ ծախսերի նախնական հաշվարկներ կատարելու նպատակով: Այս առնչությամբ ՇՄՆ բարձրացրել է 4 առաջնահերթ խնդիրները.</w:t>
      </w:r>
    </w:p>
    <w:p w14:paraId="6E409CE4"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 Սևանա լճի ջրածածկ և ճահճապատ անտառտնկարկների մաքրում: Մաքրման աշխատանքներն ընթանում են սկսած 2005թ.: ՇՄՆ հաշվարկների համաձայն 2021-2023թթ. ժամանակահատվածի համար պահանջվում է 706.0 մլն դրամ,</w:t>
      </w:r>
      <w:r w:rsidRPr="00A83C94">
        <w:rPr>
          <w:b w:val="0"/>
          <w:szCs w:val="22"/>
          <w:lang w:val="hy-AM" w:eastAsia="en-US"/>
        </w:rPr>
        <w:t xml:space="preserve"> </w:t>
      </w:r>
      <w:r w:rsidRPr="00A83C94">
        <w:rPr>
          <w:rFonts w:eastAsia="Calibri"/>
          <w:b w:val="0"/>
          <w:szCs w:val="22"/>
          <w:lang w:val="hy-AM" w:eastAsia="en-US"/>
        </w:rPr>
        <w:t xml:space="preserve">որից 264 մլն դրամը՝ 2021թ.: </w:t>
      </w:r>
    </w:p>
    <w:p w14:paraId="3FCFD1B6" w14:textId="77777777" w:rsidR="00682DEF" w:rsidRPr="00A83C94" w:rsidRDefault="00682DEF" w:rsidP="00682DEF">
      <w:pPr>
        <w:spacing w:before="0" w:line="276" w:lineRule="auto"/>
        <w:ind w:right="150" w:firstLine="227"/>
        <w:contextualSpacing w:val="0"/>
        <w:rPr>
          <w:rFonts w:eastAsia="Calibri"/>
          <w:b w:val="0"/>
          <w:szCs w:val="22"/>
          <w:lang w:val="hy-AM" w:eastAsia="en-US"/>
        </w:rPr>
      </w:pPr>
      <w:r w:rsidRPr="00A83C94">
        <w:rPr>
          <w:rFonts w:eastAsia="Calibri"/>
          <w:b w:val="0"/>
          <w:szCs w:val="22"/>
          <w:lang w:val="hy-AM" w:eastAsia="en-US"/>
        </w:rPr>
        <w:t>- Սևանա լճից մինչև 1901.5 մետր բացարձակ նիշում գտնվող շենքեր-շինությունների քանդման (ապամոնտաժման) աշխատանքներ: Սևանա լճի մակարդակի բարձրացման հետևանքով քանդման ենթակա են դարձել 68520 մ</w:t>
      </w:r>
      <w:r w:rsidRPr="00A83C94">
        <w:rPr>
          <w:rFonts w:eastAsia="Calibri"/>
          <w:b w:val="0"/>
          <w:szCs w:val="22"/>
          <w:vertAlign w:val="superscript"/>
          <w:lang w:val="hy-AM" w:eastAsia="en-US"/>
        </w:rPr>
        <w:t>2</w:t>
      </w:r>
      <w:r w:rsidRPr="00A83C94">
        <w:rPr>
          <w:rFonts w:eastAsia="Calibri"/>
          <w:b w:val="0"/>
          <w:szCs w:val="22"/>
          <w:lang w:val="hy-AM" w:eastAsia="en-US"/>
        </w:rPr>
        <w:t xml:space="preserve"> ընդհանուր մակերեսով 1697 շենքեր և շինություններ: 2021 և 2022թթ. նախատեսվող աշխատանքների մոտավոր արժեքը կազմում է 1.464 մլն դրամ:</w:t>
      </w:r>
    </w:p>
    <w:p w14:paraId="22AD144D" w14:textId="77777777" w:rsidR="00682DEF" w:rsidRPr="00A83C94" w:rsidRDefault="00682DEF" w:rsidP="00682DEF">
      <w:pPr>
        <w:spacing w:before="0" w:line="276" w:lineRule="auto"/>
        <w:ind w:right="150" w:firstLine="227"/>
        <w:contextualSpacing w:val="0"/>
        <w:rPr>
          <w:rFonts w:eastAsia="Calibri"/>
          <w:b w:val="0"/>
          <w:szCs w:val="22"/>
          <w:lang w:val="hy-AM" w:eastAsia="en-US"/>
        </w:rPr>
      </w:pPr>
      <w:r w:rsidRPr="00A83C94">
        <w:rPr>
          <w:rFonts w:eastAsia="Calibri"/>
          <w:b w:val="0"/>
          <w:szCs w:val="22"/>
          <w:lang w:val="hy-AM" w:eastAsia="en-US"/>
        </w:rPr>
        <w:t>- Ընդերքօգտագործման թափոնների լքված/տիրազուրկ տեղամասերի և օբյեկտների ռեկուլտիվացիայի նախագծային փաթեթների մշակման աշխատանքներ: Սա առնչվում է վերը նշված հին, շրջակա միջավայրն աղտոտող հանքարդյունաբերական և հարակից ոլորտների 44 տեղամասերին, որոնք ներառում են պոչամբարները: Վտանգավոր և առաջնահերթ համարվող 10 տեղամասերի ամբողջական մաքրման և ռեկուլտիվացիայի ծրագրի մոտավոր արժեքը գնահատվել է 2.216 մլն դրամ:</w:t>
      </w:r>
    </w:p>
    <w:p w14:paraId="64F09800"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xml:space="preserve">- Անտառվերականգնման և անտառապատման աշխատանքներ՝ անկախության ձեռքբերմանը հաջորդած ճգնաժամային տարիների ընթացքում անտառների մասշտաբային հատումների փոխհատուցմանն ու սողանքների ռիսկի կրճատմանն օժանդակելու նպատակով: Այս ուղղությամբ աշխատանքները մեկնարկել են դեռևս 2013թ., սակայն մասշտաբային բնույթ են ստացել 2020թ.՝ հաջորդող տարիների համար սահմանված հավակնոտ և աճող թիրախներով: 2021-2024թթ. ծրագրի համար հաշվարկվել է 3.368 մլն դրամ: Սահմանվել է վերջնական թիրախ՝ ՀՀ անտառածածկ տարածքը մինչև 2050թ. հասցնել ավելի քան 20 տոկոսի, (ենթադրելի է, որ անհրաժեշտ կլինի ներգրավել լրացուցիչ միջազգային ֆինանսավորում)։ </w:t>
      </w:r>
    </w:p>
    <w:p w14:paraId="7D042385"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Այսպիսով, բնապահպանական վերականգման ծախսերի ընդհանուր գնահատված գումարը ներկայում կազմում է մոտ է 7.8 մլրդ դրամ, սակայն ծախսերը կարող են էականորեն ավելի բարձր լինել և աստիճանաբար ավելանալ՝ հաշվի առնելով մոտակա տարիների համար պլանավորած տարեկան հատկացումների ոչ համարժեք ծավալը՝  պահանջելով  կատարման համար երկար տարիներ:</w:t>
      </w:r>
    </w:p>
    <w:p w14:paraId="22D39842" w14:textId="77777777" w:rsidR="00682DEF" w:rsidRPr="00A83C94" w:rsidRDefault="00682DEF" w:rsidP="00682DEF">
      <w:pPr>
        <w:spacing w:before="0" w:line="276" w:lineRule="auto"/>
        <w:ind w:firstLine="426"/>
        <w:contextualSpacing w:val="0"/>
        <w:jc w:val="center"/>
        <w:rPr>
          <w:bCs/>
          <w:szCs w:val="22"/>
          <w:lang w:val="hy-AM"/>
        </w:rPr>
      </w:pPr>
      <w:r w:rsidRPr="00A83C94">
        <w:rPr>
          <w:bCs/>
          <w:szCs w:val="22"/>
          <w:lang w:val="hy-AM"/>
        </w:rPr>
        <w:t>Ֆինանսական համակարգից առաջացող ֆիսկալ ռիսկեր</w:t>
      </w:r>
    </w:p>
    <w:p w14:paraId="2A84E808"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 xml:space="preserve">Վերջին տարիների ընթացքում, ՀՀ ԿԲ կողմից վերահսկվող առևտրային բանկերն զգալիորեն կապիտալացվել են և ներկայում ունեն հասանելի կապիտալի և լիկվիդայնության բուֆերներ: Ֆինանսական համակարգը բավականին ամուր է խիստ շոկերի դիմակայելու տեսանկյունից: ՀՀ տնտեսությունը 2020թ. կրել է միմյանց հաջորդած երկու շոկերի՝ համավարակի և ռազմական դրության ազդեցությունները։ Վերջիններս մարտահրավերներ են ստեղծել նաև ֆինանսական համակարգի համար, որոնք էականորեն տարբերվում են նախորդ բոլոր ճգնաժամերի մարտահրավերներից: </w:t>
      </w:r>
    </w:p>
    <w:p w14:paraId="47C63C65"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 xml:space="preserve">Բանկային համակարգի կապիտալի համարժեքության և իրացվելիության անհրաժեշտ մակարդակը 2020թ. ընթացքում պահպանվել է: Վարկավորման արձանագրված աճի և նյութականացված ռիսկերի կլանման պայմաններում կապիտալի համարժեքության ցուցանիշի նվազումը չափավոր է եղել։ </w:t>
      </w:r>
    </w:p>
    <w:p w14:paraId="1B07BF18"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rFonts w:eastAsia="Calibri"/>
          <w:b w:val="0"/>
          <w:szCs w:val="22"/>
          <w:lang w:val="hy-AM" w:eastAsia="en-US"/>
        </w:rPr>
        <w:t>Մակրոպրուդենցիալ քաղաքականության միջոցառումներն առավելապես ուղղված են եղել բանկային համակարգի՝ աճող ռիսկերին դիմակայելու ունակության ամրապնդմանը և ֆինանսական միջնորդության անընդհատության ապահովմանը: Տնտեսության վարկավորման անընդհատությունը և սահունությունն ապահովելու նպատակով ՀՀ ԿԲ ազդակներ է փոխանցել բանկերին ձևավորված կապիտալի բուֆերներն օգտագործելու հնարավորության վերաբերյալ: Միևնույն ժամանակ, կապիտալի հակացիկլիկ բուֆերի մակարդակը պահպանվել է անփոփոխ՝ 0% մակարդակում։ Իրացվելիության պահանջարկի շոկերին դիմակայելու նպատակով ՀՀ ԿԲ-ն բանկերին տրամադրել է անհրաժեշտ դրամային և արտարժութային իրացվելիություն` իր գործիքակազմի միջոցով: Տարվա ընթացքում բոլոր բանկերը պահպանել են համախմբված բուֆերի սահմանված մակարդակը՝ ռիսկերը կլանվել են պահանջվածից բարձր կապիտալի առկայության հաշվին։</w:t>
      </w:r>
    </w:p>
    <w:p w14:paraId="133AAB60"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rFonts w:eastAsia="Calibri"/>
          <w:b w:val="0"/>
          <w:szCs w:val="22"/>
          <w:lang w:val="hy-AM" w:eastAsia="en-US"/>
        </w:rPr>
        <w:t>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 բանկային համակարգն աշխատել է շահույթով, այնուամենայնիվ դրսևորված ռիսկի հնարավոր հետևանքները հնարավոր է արտացոլվեն են նաև 2021 թվականի ընթացքում՝ վարկային ռիսկի բարձրացված մակարդակով, և դրան ուղղորդող փոխարժեքային ռիսկով։ </w:t>
      </w:r>
    </w:p>
    <w:p w14:paraId="4CCD496E"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rFonts w:eastAsia="Calibri"/>
          <w:b w:val="0"/>
          <w:szCs w:val="22"/>
          <w:lang w:val="hy-AM" w:eastAsia="en-US"/>
        </w:rPr>
        <w:t>Բանկերում խնդիրների ծագման հետևանքով Ավանդների հատուցումը երաշխավորող</w:t>
      </w:r>
      <w:r w:rsidRPr="00A83C94">
        <w:rPr>
          <w:rFonts w:ascii="Calibri" w:eastAsia="Calibri" w:hAnsi="Calibri" w:cs="Calibri"/>
          <w:b w:val="0"/>
          <w:szCs w:val="22"/>
          <w:lang w:val="hy-AM" w:eastAsia="en-US"/>
        </w:rPr>
        <w:t xml:space="preserve"> </w:t>
      </w:r>
      <w:r w:rsidRPr="00A83C94">
        <w:rPr>
          <w:rFonts w:eastAsia="Calibri"/>
          <w:b w:val="0"/>
          <w:szCs w:val="22"/>
          <w:lang w:val="hy-AM" w:eastAsia="en-US"/>
        </w:rPr>
        <w:t xml:space="preserve">հիմնադրամին (երաշխավորում է մինչև 16 մլն ՀՀ դրամ՝ տեղական արժույթով ավանդների համար, և մինչև 7 մլն ՀՀ դրամ՝ արտարժութային ավանդների համար ֆինանսական միջոցների տրամադրման անհրաժեշտության ռիսկը ներկայում, թերևս, ուղղակի սահմանափակ է, սակայն անորոշությունների մակարդակը մնում է բարձր՝ ինչպես նշվում է ՀՀ ԿԲ ֆինանսական կայունության հաշվետվությունում: </w:t>
      </w:r>
    </w:p>
    <w:p w14:paraId="7A86ECB4" w14:textId="77777777" w:rsidR="00682DEF" w:rsidRPr="00A83C94" w:rsidRDefault="00682DEF" w:rsidP="00682DEF">
      <w:pPr>
        <w:spacing w:before="0" w:line="276" w:lineRule="auto"/>
        <w:ind w:firstLine="426"/>
        <w:jc w:val="center"/>
        <w:rPr>
          <w:szCs w:val="22"/>
          <w:lang w:val="hy-AM" w:eastAsia="en-US"/>
        </w:rPr>
      </w:pPr>
      <w:r w:rsidRPr="00A83C94">
        <w:rPr>
          <w:szCs w:val="22"/>
          <w:lang w:val="hy-AM" w:eastAsia="en-US"/>
        </w:rPr>
        <w:t>Բյուջետային վարկավորման ուսումնասիրություն</w:t>
      </w:r>
    </w:p>
    <w:p w14:paraId="2533BD3D" w14:textId="77777777" w:rsidR="00682DEF" w:rsidRPr="00A83C94" w:rsidRDefault="00682DEF" w:rsidP="00682DEF">
      <w:pPr>
        <w:spacing w:before="0" w:line="276" w:lineRule="auto"/>
        <w:ind w:firstLine="425"/>
        <w:contextualSpacing w:val="0"/>
        <w:rPr>
          <w:rFonts w:cs="Sylfaen"/>
          <w:b w:val="0"/>
          <w:szCs w:val="22"/>
          <w:lang w:val="hy-AM" w:eastAsia="en-US"/>
        </w:rPr>
      </w:pPr>
      <w:r w:rsidRPr="00A83C94">
        <w:rPr>
          <w:rFonts w:cs="Sylfaen"/>
          <w:b w:val="0"/>
          <w:szCs w:val="22"/>
          <w:lang w:val="hy-AM" w:eastAsia="en-US"/>
        </w:rPr>
        <w:t>ՀՀ</w:t>
      </w:r>
      <w:r w:rsidRPr="00A83C94">
        <w:rPr>
          <w:b w:val="0"/>
          <w:szCs w:val="22"/>
          <w:lang w:val="hy-AM" w:eastAsia="en-US"/>
        </w:rPr>
        <w:t xml:space="preserve"> </w:t>
      </w:r>
      <w:r w:rsidRPr="00A83C94">
        <w:rPr>
          <w:rFonts w:cs="Sylfaen"/>
          <w:b w:val="0"/>
          <w:szCs w:val="22"/>
          <w:lang w:val="hy-AM" w:eastAsia="en-US"/>
        </w:rPr>
        <w:t>պետական</w:t>
      </w:r>
      <w:r w:rsidRPr="00A83C94">
        <w:rPr>
          <w:b w:val="0"/>
          <w:szCs w:val="22"/>
          <w:lang w:val="hy-AM" w:eastAsia="en-US"/>
        </w:rPr>
        <w:t xml:space="preserve"> </w:t>
      </w:r>
      <w:r w:rsidRPr="00A83C94">
        <w:rPr>
          <w:rFonts w:cs="Sylfaen"/>
          <w:b w:val="0"/>
          <w:szCs w:val="22"/>
          <w:lang w:val="hy-AM" w:eastAsia="en-US"/>
        </w:rPr>
        <w:t>բյուջեից</w:t>
      </w:r>
      <w:r w:rsidRPr="00A83C94">
        <w:rPr>
          <w:b w:val="0"/>
          <w:szCs w:val="22"/>
          <w:lang w:val="hy-AM" w:eastAsia="en-US"/>
        </w:rPr>
        <w:t xml:space="preserve">, </w:t>
      </w:r>
      <w:r w:rsidRPr="00A83C94">
        <w:rPr>
          <w:rFonts w:cs="Sylfaen"/>
          <w:b w:val="0"/>
          <w:szCs w:val="22"/>
          <w:lang w:val="hy-AM" w:eastAsia="en-US"/>
        </w:rPr>
        <w:t>միջազգային</w:t>
      </w:r>
      <w:r w:rsidRPr="00A83C94">
        <w:rPr>
          <w:b w:val="0"/>
          <w:szCs w:val="22"/>
          <w:lang w:val="hy-AM" w:eastAsia="en-US"/>
        </w:rPr>
        <w:t xml:space="preserve"> </w:t>
      </w:r>
      <w:r w:rsidRPr="00A83C94">
        <w:rPr>
          <w:rFonts w:cs="Sylfaen"/>
          <w:b w:val="0"/>
          <w:szCs w:val="22"/>
          <w:lang w:val="hy-AM" w:eastAsia="en-US"/>
        </w:rPr>
        <w:t>կազմակերպություններից</w:t>
      </w:r>
      <w:r w:rsidRPr="00A83C94">
        <w:rPr>
          <w:b w:val="0"/>
          <w:szCs w:val="22"/>
          <w:lang w:val="hy-AM" w:eastAsia="en-US"/>
        </w:rPr>
        <w:t xml:space="preserve"> </w:t>
      </w:r>
      <w:r w:rsidRPr="00A83C94">
        <w:rPr>
          <w:rFonts w:cs="Sylfaen"/>
          <w:b w:val="0"/>
          <w:szCs w:val="22"/>
          <w:lang w:val="hy-AM" w:eastAsia="en-US"/>
        </w:rPr>
        <w:t>և</w:t>
      </w:r>
      <w:r w:rsidRPr="00A83C94">
        <w:rPr>
          <w:b w:val="0"/>
          <w:szCs w:val="22"/>
          <w:lang w:val="hy-AM" w:eastAsia="en-US"/>
        </w:rPr>
        <w:t xml:space="preserve"> </w:t>
      </w:r>
      <w:r w:rsidRPr="00A83C94">
        <w:rPr>
          <w:rFonts w:cs="Sylfaen"/>
          <w:b w:val="0"/>
          <w:szCs w:val="22"/>
          <w:lang w:val="hy-AM" w:eastAsia="en-US"/>
        </w:rPr>
        <w:t>օտարերկրյա</w:t>
      </w:r>
      <w:r w:rsidRPr="00A83C94">
        <w:rPr>
          <w:b w:val="0"/>
          <w:szCs w:val="22"/>
          <w:lang w:val="hy-AM" w:eastAsia="en-US"/>
        </w:rPr>
        <w:t xml:space="preserve"> </w:t>
      </w:r>
      <w:r w:rsidRPr="00A83C94">
        <w:rPr>
          <w:rFonts w:cs="Sylfaen"/>
          <w:b w:val="0"/>
          <w:szCs w:val="22"/>
          <w:lang w:val="hy-AM" w:eastAsia="en-US"/>
        </w:rPr>
        <w:t>պետություններից</w:t>
      </w:r>
      <w:r w:rsidRPr="00A83C94">
        <w:rPr>
          <w:b w:val="0"/>
          <w:szCs w:val="22"/>
          <w:lang w:val="hy-AM" w:eastAsia="en-US"/>
        </w:rPr>
        <w:t xml:space="preserve"> </w:t>
      </w:r>
      <w:r w:rsidRPr="00A83C94">
        <w:rPr>
          <w:rFonts w:cs="Sylfaen"/>
          <w:b w:val="0"/>
          <w:szCs w:val="22"/>
          <w:lang w:val="hy-AM" w:eastAsia="en-US"/>
        </w:rPr>
        <w:t>ներգրաված</w:t>
      </w:r>
      <w:r w:rsidRPr="00A83C94">
        <w:rPr>
          <w:b w:val="0"/>
          <w:szCs w:val="22"/>
          <w:lang w:val="hy-AM" w:eastAsia="en-US"/>
        </w:rPr>
        <w:t xml:space="preserve"> </w:t>
      </w:r>
      <w:r w:rsidRPr="00A83C94">
        <w:rPr>
          <w:rFonts w:cs="Sylfaen"/>
          <w:b w:val="0"/>
          <w:szCs w:val="22"/>
          <w:lang w:val="hy-AM" w:eastAsia="en-US"/>
        </w:rPr>
        <w:t>վարկային</w:t>
      </w:r>
      <w:r w:rsidRPr="00A83C94">
        <w:rPr>
          <w:b w:val="0"/>
          <w:szCs w:val="22"/>
          <w:lang w:val="hy-AM" w:eastAsia="en-US"/>
        </w:rPr>
        <w:t xml:space="preserve"> </w:t>
      </w:r>
      <w:r w:rsidRPr="00A83C94">
        <w:rPr>
          <w:rFonts w:cs="Sylfaen"/>
          <w:b w:val="0"/>
          <w:szCs w:val="22"/>
          <w:lang w:val="hy-AM" w:eastAsia="en-US"/>
        </w:rPr>
        <w:t>միջոցների</w:t>
      </w:r>
      <w:r w:rsidRPr="00A83C94">
        <w:rPr>
          <w:b w:val="0"/>
          <w:szCs w:val="22"/>
          <w:lang w:val="hy-AM" w:eastAsia="en-US"/>
        </w:rPr>
        <w:t xml:space="preserve"> </w:t>
      </w:r>
      <w:r w:rsidRPr="00A83C94">
        <w:rPr>
          <w:rFonts w:cs="Sylfaen"/>
          <w:b w:val="0"/>
          <w:szCs w:val="22"/>
          <w:lang w:val="hy-AM" w:eastAsia="en-US"/>
        </w:rPr>
        <w:t>հաշվին</w:t>
      </w:r>
      <w:r w:rsidRPr="00A83C94">
        <w:rPr>
          <w:b w:val="0"/>
          <w:szCs w:val="22"/>
          <w:lang w:val="hy-AM" w:eastAsia="en-US"/>
        </w:rPr>
        <w:t xml:space="preserve"> 31.07.2021</w:t>
      </w:r>
      <w:r w:rsidRPr="00A83C94">
        <w:rPr>
          <w:rFonts w:cs="Sylfaen"/>
          <w:b w:val="0"/>
          <w:szCs w:val="22"/>
          <w:lang w:val="hy-AM" w:eastAsia="en-US"/>
        </w:rPr>
        <w:t>թ</w:t>
      </w:r>
      <w:r w:rsidRPr="00A83C94">
        <w:rPr>
          <w:b w:val="0"/>
          <w:szCs w:val="22"/>
          <w:lang w:val="hy-AM" w:eastAsia="en-US"/>
        </w:rPr>
        <w:t xml:space="preserve">. </w:t>
      </w:r>
      <w:r w:rsidRPr="00A83C94">
        <w:rPr>
          <w:rFonts w:cs="Sylfaen"/>
          <w:b w:val="0"/>
          <w:szCs w:val="22"/>
          <w:lang w:val="hy-AM" w:eastAsia="en-US"/>
        </w:rPr>
        <w:t>դրությամբ տրամադրված բյուջետային</w:t>
      </w:r>
      <w:r w:rsidRPr="00A83C94">
        <w:rPr>
          <w:b w:val="0"/>
          <w:szCs w:val="22"/>
          <w:lang w:val="hy-AM" w:eastAsia="en-US"/>
        </w:rPr>
        <w:t xml:space="preserve"> </w:t>
      </w:r>
      <w:r w:rsidRPr="00A83C94">
        <w:rPr>
          <w:rFonts w:cs="Sylfaen"/>
          <w:b w:val="0"/>
          <w:szCs w:val="22"/>
          <w:lang w:val="hy-AM" w:eastAsia="en-US"/>
        </w:rPr>
        <w:t>վարկերի</w:t>
      </w:r>
      <w:r w:rsidRPr="00A83C94">
        <w:rPr>
          <w:b w:val="0"/>
          <w:szCs w:val="22"/>
          <w:lang w:val="hy-AM" w:eastAsia="en-US"/>
        </w:rPr>
        <w:t xml:space="preserve"> </w:t>
      </w:r>
      <w:r w:rsidRPr="00A83C94">
        <w:rPr>
          <w:rFonts w:cs="Sylfaen"/>
          <w:b w:val="0"/>
          <w:szCs w:val="22"/>
          <w:lang w:val="hy-AM" w:eastAsia="en-US"/>
        </w:rPr>
        <w:t>և</w:t>
      </w:r>
      <w:r w:rsidRPr="00A83C94">
        <w:rPr>
          <w:b w:val="0"/>
          <w:szCs w:val="22"/>
          <w:lang w:val="hy-AM" w:eastAsia="en-US"/>
        </w:rPr>
        <w:t xml:space="preserve"> </w:t>
      </w:r>
      <w:r w:rsidRPr="00A83C94">
        <w:rPr>
          <w:rFonts w:cs="Sylfaen"/>
          <w:b w:val="0"/>
          <w:szCs w:val="22"/>
          <w:lang w:val="hy-AM" w:eastAsia="en-US"/>
        </w:rPr>
        <w:t>ենթավարկերի</w:t>
      </w:r>
      <w:r w:rsidRPr="00A83C94">
        <w:rPr>
          <w:b w:val="0"/>
          <w:szCs w:val="22"/>
          <w:lang w:val="hy-AM" w:eastAsia="en-US"/>
        </w:rPr>
        <w:t xml:space="preserve"> չմարված մասի ընդհանուր գումարը </w:t>
      </w:r>
      <w:r w:rsidRPr="00A83C94">
        <w:rPr>
          <w:rFonts w:cs="Sylfaen"/>
          <w:b w:val="0"/>
          <w:szCs w:val="22"/>
          <w:lang w:val="hy-AM" w:eastAsia="en-US"/>
        </w:rPr>
        <w:t xml:space="preserve">կազմել է 499.0 մլրդ ՀՀ դրամ, որն հիմնականում ուղղվել է ենթակառուցվածքային ոլորտին։ </w:t>
      </w:r>
    </w:p>
    <w:p w14:paraId="4CEF8CC6" w14:textId="77777777" w:rsidR="00682DEF" w:rsidRPr="00A83C94" w:rsidRDefault="00682DEF" w:rsidP="00682DEF">
      <w:pPr>
        <w:spacing w:before="0" w:line="276" w:lineRule="auto"/>
        <w:ind w:firstLine="425"/>
        <w:contextualSpacing w:val="0"/>
        <w:rPr>
          <w:rFonts w:cs="Sylfaen"/>
          <w:szCs w:val="22"/>
          <w:lang w:val="hy-AM" w:eastAsia="en-US"/>
        </w:rPr>
      </w:pPr>
      <w:r w:rsidRPr="00A83C94">
        <w:rPr>
          <w:rFonts w:cs="Sylfaen"/>
          <w:b w:val="0"/>
          <w:szCs w:val="22"/>
          <w:lang w:val="hy-AM" w:eastAsia="en-US"/>
        </w:rPr>
        <w:t xml:space="preserve">Ընդհանուր առմամբ 58 վարկառուների տրամադրվել է 98 միավոր վարկ: </w:t>
      </w:r>
    </w:p>
    <w:p w14:paraId="1CF869F0" w14:textId="77777777" w:rsidR="00682DEF" w:rsidRPr="00A83C94" w:rsidRDefault="00682DEF" w:rsidP="00682DEF">
      <w:pPr>
        <w:widowControl w:val="0"/>
        <w:autoSpaceDE w:val="0"/>
        <w:autoSpaceDN w:val="0"/>
        <w:adjustRightInd w:val="0"/>
        <w:spacing w:before="0" w:line="276" w:lineRule="auto"/>
        <w:ind w:right="-7" w:firstLine="425"/>
        <w:contextualSpacing w:val="0"/>
        <w:rPr>
          <w:rFonts w:cs="Sylfaen"/>
          <w:color w:val="000000"/>
          <w:sz w:val="20"/>
          <w:szCs w:val="20"/>
          <w:lang w:val="hy-AM" w:eastAsia="en-US"/>
        </w:rPr>
      </w:pPr>
      <w:r w:rsidRPr="00A83C94">
        <w:rPr>
          <w:rFonts w:cs="Sylfaen"/>
          <w:b w:val="0"/>
          <w:szCs w:val="22"/>
          <w:lang w:val="hy-AM" w:eastAsia="en-US"/>
        </w:rPr>
        <w:t xml:space="preserve">2021թ. հուլիսի 31-ի դրությամբ ՀՀ կառավարության տրված վարկերի կառուցվածքում </w:t>
      </w:r>
      <w:r w:rsidRPr="00A83C94">
        <w:rPr>
          <w:rFonts w:cs="Sylfaen"/>
          <w:b w:val="0"/>
          <w:color w:val="000000"/>
          <w:szCs w:val="22"/>
          <w:lang w:val="hy-AM" w:eastAsia="en-US"/>
        </w:rPr>
        <w:t>միջազգային</w:t>
      </w:r>
      <w:r w:rsidRPr="00A83C94">
        <w:rPr>
          <w:rFonts w:cs="Times Armenian"/>
          <w:b w:val="0"/>
          <w:color w:val="000000"/>
          <w:szCs w:val="22"/>
          <w:lang w:val="hy-AM" w:eastAsia="en-US"/>
        </w:rPr>
        <w:t xml:space="preserve"> </w:t>
      </w:r>
      <w:r w:rsidRPr="00A83C94">
        <w:rPr>
          <w:rFonts w:cs="Sylfaen"/>
          <w:b w:val="0"/>
          <w:color w:val="000000"/>
          <w:szCs w:val="22"/>
          <w:lang w:val="hy-AM" w:eastAsia="en-US"/>
        </w:rPr>
        <w:t>կազմակերպությունների</w:t>
      </w:r>
      <w:r w:rsidRPr="00A83C94">
        <w:rPr>
          <w:rFonts w:cs="Times Armenian"/>
          <w:b w:val="0"/>
          <w:color w:val="000000"/>
          <w:szCs w:val="22"/>
          <w:lang w:val="hy-AM" w:eastAsia="en-US"/>
        </w:rPr>
        <w:t xml:space="preserve"> </w:t>
      </w:r>
      <w:r w:rsidRPr="00A83C94">
        <w:rPr>
          <w:rFonts w:cs="Sylfaen"/>
          <w:b w:val="0"/>
          <w:color w:val="000000"/>
          <w:szCs w:val="22"/>
          <w:lang w:val="hy-AM" w:eastAsia="en-US"/>
        </w:rPr>
        <w:t>և</w:t>
      </w:r>
      <w:r w:rsidRPr="00A83C94">
        <w:rPr>
          <w:rFonts w:cs="Times Armenian"/>
          <w:b w:val="0"/>
          <w:color w:val="000000"/>
          <w:szCs w:val="22"/>
          <w:lang w:val="hy-AM" w:eastAsia="en-US"/>
        </w:rPr>
        <w:t xml:space="preserve"> </w:t>
      </w:r>
      <w:r w:rsidRPr="00A83C94">
        <w:rPr>
          <w:rFonts w:cs="Sylfaen"/>
          <w:b w:val="0"/>
          <w:color w:val="000000"/>
          <w:szCs w:val="22"/>
          <w:lang w:val="hy-AM" w:eastAsia="en-US"/>
        </w:rPr>
        <w:t>օտարերկրյա</w:t>
      </w:r>
      <w:r w:rsidRPr="00A83C94">
        <w:rPr>
          <w:rFonts w:cs="Times Armenian"/>
          <w:b w:val="0"/>
          <w:color w:val="000000"/>
          <w:szCs w:val="22"/>
          <w:lang w:val="hy-AM" w:eastAsia="en-US"/>
        </w:rPr>
        <w:t xml:space="preserve"> </w:t>
      </w:r>
      <w:r w:rsidRPr="00A83C94">
        <w:rPr>
          <w:rFonts w:cs="Sylfaen"/>
          <w:b w:val="0"/>
          <w:color w:val="000000"/>
          <w:szCs w:val="22"/>
          <w:lang w:val="hy-AM" w:eastAsia="en-US"/>
        </w:rPr>
        <w:t>պետությունների աջակցությամբ իրակա</w:t>
      </w:r>
      <w:r w:rsidRPr="00A83C94">
        <w:rPr>
          <w:rFonts w:cs="Sylfaen"/>
          <w:b w:val="0"/>
          <w:color w:val="000000"/>
          <w:szCs w:val="22"/>
          <w:lang w:val="hy-AM" w:eastAsia="en-US"/>
        </w:rPr>
        <w:softHyphen/>
        <w:t>նաց</w:t>
      </w:r>
      <w:r w:rsidRPr="00A83C94">
        <w:rPr>
          <w:rFonts w:cs="Sylfaen"/>
          <w:b w:val="0"/>
          <w:color w:val="000000"/>
          <w:szCs w:val="22"/>
          <w:lang w:val="hy-AM" w:eastAsia="en-US"/>
        </w:rPr>
        <w:softHyphen/>
        <w:t>վող</w:t>
      </w:r>
      <w:r w:rsidRPr="00A83C94">
        <w:rPr>
          <w:rFonts w:cs="Sylfaen"/>
          <w:b w:val="0"/>
          <w:szCs w:val="22"/>
          <w:lang w:val="hy-AM" w:eastAsia="en-US"/>
        </w:rPr>
        <w:t xml:space="preserve"> նպատակային վարկային ծրագրերի շրջանակներում ենթավարկային պայմանագրերով կազմակերպություններին տրամադրված բյուջետային վարկերի </w:t>
      </w:r>
      <w:r w:rsidRPr="00A83C94">
        <w:rPr>
          <w:rFonts w:cs="Sylfaen"/>
          <w:b w:val="0"/>
          <w:color w:val="000000"/>
          <w:szCs w:val="22"/>
          <w:lang w:val="hy-AM" w:eastAsia="en-US"/>
        </w:rPr>
        <w:t>չմարված</w:t>
      </w:r>
      <w:r w:rsidRPr="00A83C94">
        <w:rPr>
          <w:rFonts w:cs="Times Armenian"/>
          <w:b w:val="0"/>
          <w:color w:val="000000"/>
          <w:szCs w:val="22"/>
          <w:lang w:val="hy-AM" w:eastAsia="en-US"/>
        </w:rPr>
        <w:t xml:space="preserve"> </w:t>
      </w:r>
      <w:r w:rsidRPr="00A83C94">
        <w:rPr>
          <w:rFonts w:cs="Sylfaen"/>
          <w:b w:val="0"/>
          <w:color w:val="000000"/>
          <w:szCs w:val="22"/>
          <w:lang w:val="hy-AM" w:eastAsia="en-US"/>
        </w:rPr>
        <w:t>մասը</w:t>
      </w:r>
      <w:r w:rsidRPr="00A83C94">
        <w:rPr>
          <w:rFonts w:cs="Times Armenian"/>
          <w:b w:val="0"/>
          <w:color w:val="000000"/>
          <w:szCs w:val="22"/>
          <w:lang w:val="hy-AM" w:eastAsia="en-US"/>
        </w:rPr>
        <w:t xml:space="preserve"> (</w:t>
      </w:r>
      <w:r w:rsidRPr="00A83C94">
        <w:rPr>
          <w:rFonts w:cs="Sylfaen"/>
          <w:b w:val="0"/>
          <w:color w:val="000000"/>
          <w:szCs w:val="22"/>
          <w:lang w:val="hy-AM" w:eastAsia="en-US"/>
        </w:rPr>
        <w:t>մնացորդը</w:t>
      </w:r>
      <w:r w:rsidRPr="00A83C94">
        <w:rPr>
          <w:rFonts w:cs="Times Armenian"/>
          <w:b w:val="0"/>
          <w:color w:val="000000"/>
          <w:szCs w:val="22"/>
          <w:lang w:val="hy-AM" w:eastAsia="en-US"/>
        </w:rPr>
        <w:t xml:space="preserve">) </w:t>
      </w:r>
      <w:r w:rsidRPr="00A83C94">
        <w:rPr>
          <w:rFonts w:cs="Sylfaen"/>
          <w:b w:val="0"/>
          <w:color w:val="000000"/>
          <w:szCs w:val="22"/>
          <w:lang w:val="hy-AM" w:eastAsia="en-US"/>
        </w:rPr>
        <w:t>կազմել</w:t>
      </w:r>
      <w:r w:rsidRPr="00A83C94">
        <w:rPr>
          <w:rFonts w:cs="Times Armenian"/>
          <w:b w:val="0"/>
          <w:color w:val="000000"/>
          <w:szCs w:val="22"/>
          <w:lang w:val="hy-AM" w:eastAsia="en-US"/>
        </w:rPr>
        <w:t xml:space="preserve"> </w:t>
      </w:r>
      <w:r w:rsidRPr="00A83C94">
        <w:rPr>
          <w:rFonts w:cs="Sylfaen"/>
          <w:b w:val="0"/>
          <w:color w:val="000000"/>
          <w:szCs w:val="22"/>
          <w:lang w:val="hy-AM" w:eastAsia="en-US"/>
        </w:rPr>
        <w:t>է</w:t>
      </w:r>
      <w:r w:rsidRPr="00A83C94">
        <w:rPr>
          <w:rFonts w:cs="Times Armenian"/>
          <w:b w:val="0"/>
          <w:color w:val="000000"/>
          <w:szCs w:val="22"/>
          <w:lang w:val="hy-AM" w:eastAsia="en-US"/>
        </w:rPr>
        <w:t xml:space="preserve"> մոտ 233.0 </w:t>
      </w:r>
      <w:r w:rsidRPr="00A83C94">
        <w:rPr>
          <w:rFonts w:cs="Sylfaen"/>
          <w:b w:val="0"/>
          <w:color w:val="000000"/>
          <w:szCs w:val="22"/>
          <w:lang w:val="hy-AM" w:eastAsia="en-US"/>
        </w:rPr>
        <w:t>մլրդ</w:t>
      </w:r>
      <w:r w:rsidRPr="00A83C94">
        <w:rPr>
          <w:rFonts w:cs="Times Armenian"/>
          <w:b w:val="0"/>
          <w:color w:val="000000"/>
          <w:szCs w:val="22"/>
          <w:lang w:val="hy-AM" w:eastAsia="en-US"/>
        </w:rPr>
        <w:t xml:space="preserve"> ՀՀ </w:t>
      </w:r>
      <w:r w:rsidRPr="00A83C94">
        <w:rPr>
          <w:rFonts w:cs="Sylfaen"/>
          <w:b w:val="0"/>
          <w:color w:val="000000"/>
          <w:szCs w:val="22"/>
          <w:lang w:val="hy-AM" w:eastAsia="en-US"/>
        </w:rPr>
        <w:t>դրամ</w:t>
      </w:r>
      <w:r w:rsidRPr="00A83C94">
        <w:rPr>
          <w:rFonts w:cs="Times Armenian"/>
          <w:b w:val="0"/>
          <w:color w:val="000000"/>
          <w:szCs w:val="22"/>
          <w:lang w:val="hy-AM" w:eastAsia="en-US"/>
        </w:rPr>
        <w:t xml:space="preserve"> </w:t>
      </w:r>
      <w:r w:rsidRPr="00A83C94">
        <w:rPr>
          <w:rFonts w:cs="Sylfaen"/>
          <w:b w:val="0"/>
          <w:color w:val="000000"/>
          <w:szCs w:val="22"/>
          <w:lang w:val="hy-AM" w:eastAsia="en-US"/>
        </w:rPr>
        <w:t>կամ</w:t>
      </w:r>
      <w:r w:rsidRPr="00A83C94">
        <w:rPr>
          <w:rFonts w:cs="Sylfaen"/>
          <w:b w:val="0"/>
          <w:szCs w:val="22"/>
          <w:lang w:val="hy-AM" w:eastAsia="en-US"/>
        </w:rPr>
        <w:t xml:space="preserve"> տրամադրված ընդհանուր վարկային պորտֆելի 47%-ը: </w:t>
      </w:r>
    </w:p>
    <w:p w14:paraId="0104E625" w14:textId="77777777" w:rsidR="00682DEF" w:rsidRPr="00A83C94" w:rsidRDefault="00682DEF" w:rsidP="00682DEF">
      <w:pPr>
        <w:spacing w:before="0" w:line="276" w:lineRule="auto"/>
        <w:ind w:firstLine="425"/>
        <w:contextualSpacing w:val="0"/>
        <w:rPr>
          <w:rFonts w:cs="Sylfaen"/>
          <w:i/>
          <w:color w:val="FF0000"/>
          <w:szCs w:val="22"/>
          <w:lang w:val="hy-AM" w:eastAsia="en-US"/>
        </w:rPr>
      </w:pPr>
      <w:r w:rsidRPr="00A83C94">
        <w:rPr>
          <w:rFonts w:cs="Sylfaen"/>
          <w:b w:val="0"/>
          <w:szCs w:val="22"/>
          <w:lang w:val="hy-AM" w:eastAsia="en-US"/>
        </w:rPr>
        <w:t>Ընդհանուր վարկային պորտֆելում ՀՀ դրամով տրամադրված վարկերը կազմել են 39% կամ 194.2 մլրդ ՀՀ դրամ, ԱՄՆ դոլարով` 144.5 մլրդ ՀՀ դրամ կամ 29%, Եվրոյով` 46.9 մլրդ ՀՀ դրամ կամ 9%, ճապոնական իենով` 102.5 մլրդ ՀՀ դրամ կամ 21%: (տես գծապատկերը):</w:t>
      </w:r>
      <w:r w:rsidRPr="00A83C94">
        <w:rPr>
          <w:rFonts w:cs="Sylfaen"/>
          <w:b w:val="0"/>
          <w:i/>
          <w:szCs w:val="22"/>
          <w:lang w:val="hy-AM" w:eastAsia="en-US"/>
        </w:rPr>
        <w:t xml:space="preserve"> </w:t>
      </w:r>
    </w:p>
    <w:p w14:paraId="33FDD7A2" w14:textId="77777777" w:rsidR="00682DEF" w:rsidRPr="00A83C94" w:rsidRDefault="00682DEF" w:rsidP="00682DEF">
      <w:pPr>
        <w:spacing w:before="0" w:line="276" w:lineRule="auto"/>
        <w:ind w:firstLine="426"/>
        <w:contextualSpacing w:val="0"/>
        <w:rPr>
          <w:rFonts w:cs="Times Unicode"/>
          <w:color w:val="FFFFFF"/>
          <w:szCs w:val="22"/>
          <w:lang w:val="hy-AM" w:eastAsia="en-US"/>
        </w:rPr>
      </w:pPr>
      <w:r w:rsidRPr="00A83C94">
        <w:rPr>
          <w:rFonts w:cs="Times Unicode"/>
          <w:b w:val="0"/>
          <w:szCs w:val="22"/>
          <w:lang w:val="hy-AM" w:eastAsia="en-US"/>
        </w:rPr>
        <w:t xml:space="preserve">Ակնհայտ է, որ պորտֆելը պարունակում է փոխարժեքի էական ռիսկեր, քանի որ </w:t>
      </w:r>
      <w:r w:rsidRPr="00A83C94">
        <w:rPr>
          <w:rFonts w:cs="Sylfaen"/>
          <w:b w:val="0"/>
          <w:szCs w:val="22"/>
          <w:lang w:val="hy-AM" w:eastAsia="en-US"/>
        </w:rPr>
        <w:t xml:space="preserve">տրամադրված վարկերի </w:t>
      </w:r>
      <w:r w:rsidRPr="00A83C94">
        <w:rPr>
          <w:rFonts w:cs="Times Unicode"/>
          <w:b w:val="0"/>
          <w:szCs w:val="22"/>
          <w:lang w:val="hy-AM" w:eastAsia="en-US"/>
        </w:rPr>
        <w:t xml:space="preserve">գերակշիռ մասը՝ 61%-ը ներգրավված է արտարժույթով, իսկ վարկառուների եկամուտները հիմնականում ՀՀ դրամով են: Այնուամենայնիվ, նախորդ տարվա համեմատ պորտֆելի վարկային ռիսկը որոշակի նվազման միտում է ունեցել՝ պայմանավորված դրամային վարկերի ընդհանուր գումարի ավելացմամբ։ </w:t>
      </w:r>
    </w:p>
    <w:p w14:paraId="2C46328D" w14:textId="77777777" w:rsidR="00682DEF" w:rsidRPr="00A83C94" w:rsidRDefault="00682DEF" w:rsidP="00682DEF">
      <w:pPr>
        <w:keepNext/>
        <w:spacing w:before="40" w:after="60" w:line="312" w:lineRule="auto"/>
        <w:contextualSpacing w:val="0"/>
        <w:jc w:val="left"/>
        <w:rPr>
          <w:rFonts w:eastAsia="Calibri"/>
          <w:bCs/>
          <w:i/>
          <w:color w:val="4F81BD" w:themeColor="accent1"/>
          <w:sz w:val="20"/>
          <w:szCs w:val="20"/>
          <w:lang w:val="hy-AM" w:eastAsia="en-US"/>
        </w:rPr>
      </w:pPr>
      <w:r w:rsidRPr="00A83C94">
        <w:rPr>
          <w:rFonts w:eastAsia="Calibri"/>
          <w:bCs/>
          <w:color w:val="4F81BD" w:themeColor="accent1"/>
          <w:sz w:val="18"/>
          <w:szCs w:val="18"/>
          <w:lang w:val="hy-AM" w:eastAsia="en-US"/>
        </w:rPr>
        <w:t xml:space="preserve">Գծապատկեր </w:t>
      </w:r>
      <w:r w:rsidRPr="00A83C94">
        <w:rPr>
          <w:rFonts w:eastAsia="Calibri"/>
          <w:bCs/>
          <w:color w:val="4F81BD" w:themeColor="accent1"/>
          <w:sz w:val="18"/>
          <w:szCs w:val="18"/>
          <w:lang w:val="en-US" w:eastAsia="en-US"/>
        </w:rPr>
        <w:t>4</w:t>
      </w:r>
      <w:r w:rsidRPr="00A83C94">
        <w:rPr>
          <w:rFonts w:eastAsia="Calibri"/>
          <w:bCs/>
          <w:i/>
          <w:color w:val="4F81BD" w:themeColor="accent1"/>
          <w:sz w:val="20"/>
          <w:szCs w:val="20"/>
          <w:lang w:val="hy-AM" w:eastAsia="en-US"/>
        </w:rPr>
        <w:t xml:space="preserve">   31.07.2021 դրությամբ վարկերի արժութային կազմը</w:t>
      </w:r>
    </w:p>
    <w:p w14:paraId="1C0E2241"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noProof/>
          <w:lang w:val="en-US" w:eastAsia="en-US"/>
        </w:rPr>
        <w:drawing>
          <wp:inline distT="0" distB="0" distL="0" distR="0" wp14:anchorId="516B9D4B" wp14:editId="287E39B6">
            <wp:extent cx="4731026" cy="1669774"/>
            <wp:effectExtent l="0" t="0" r="12700" b="6985"/>
            <wp:docPr id="161" name="Chart 161">
              <a:extLst xmlns:a="http://schemas.openxmlformats.org/drawingml/2006/main">
                <a:ext uri="{FF2B5EF4-FFF2-40B4-BE49-F238E27FC236}">
                  <a16:creationId xmlns:a16="http://schemas.microsoft.com/office/drawing/2014/main" id="{62C0193A-DFD7-420D-B031-7FBAE61F2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544DD55" w14:textId="77777777"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p>
    <w:p w14:paraId="1DEBF38A" w14:textId="77777777"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r w:rsidRPr="00A83C94">
        <w:rPr>
          <w:rFonts w:cs="Sylfaen"/>
          <w:b w:val="0"/>
          <w:szCs w:val="22"/>
          <w:lang w:val="hy-AM" w:eastAsia="en-US"/>
        </w:rPr>
        <w:t>Ենթակառուցվածքային ոլորտում տրամադրված վարկերի չմարված մասի մեջ մեծ տեսակարար կշիռ ունեն էներգետիկայի ոլորտի վարկերը` 349.9 մլրդ ՀՀ դրամ (97.8%): Տրանսպորտի ոլորտին բաժին է ընկել 5.0 մլրդ ՀՀ դրամ, գյուղատնտեսության ոլորտին` 11.9 մլրդ ՀՀ դրամ (տես գծապատկերը):</w:t>
      </w:r>
    </w:p>
    <w:p w14:paraId="5DC0C2F7"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08A7601D"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38D63E6B"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08779642"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7FEAB545" w14:textId="3DA1EFC1" w:rsidR="00682DEF" w:rsidRPr="00A83C94" w:rsidRDefault="00682DEF" w:rsidP="00682DEF">
      <w:pPr>
        <w:keepNext/>
        <w:spacing w:before="40" w:after="60" w:line="312" w:lineRule="auto"/>
        <w:contextualSpacing w:val="0"/>
        <w:rPr>
          <w:rFonts w:eastAsia="Calibri"/>
          <w:bCs/>
          <w:i/>
          <w:color w:val="4F81BD" w:themeColor="accent1"/>
          <w:sz w:val="20"/>
          <w:szCs w:val="20"/>
          <w:lang w:val="hy-AM" w:eastAsia="en-US"/>
        </w:rPr>
      </w:pPr>
      <w:r w:rsidRPr="00A83C94">
        <w:rPr>
          <w:rFonts w:eastAsia="Calibri"/>
          <w:bCs/>
          <w:color w:val="4F81BD" w:themeColor="accent1"/>
          <w:sz w:val="18"/>
          <w:szCs w:val="18"/>
          <w:lang w:val="hy-AM" w:eastAsia="en-US"/>
        </w:rPr>
        <w:t xml:space="preserve">Գծապատկեր </w:t>
      </w:r>
      <w:r w:rsidRPr="006C390E">
        <w:rPr>
          <w:rFonts w:eastAsia="Calibri"/>
          <w:bCs/>
          <w:color w:val="4F81BD" w:themeColor="accent1"/>
          <w:sz w:val="18"/>
          <w:szCs w:val="18"/>
          <w:lang w:val="hy-AM" w:eastAsia="en-US"/>
        </w:rPr>
        <w:t>5</w:t>
      </w:r>
      <w:r w:rsidRPr="00A83C94">
        <w:rPr>
          <w:rFonts w:eastAsia="Calibri"/>
          <w:bCs/>
          <w:i/>
          <w:color w:val="4F81BD" w:themeColor="accent1"/>
          <w:sz w:val="20"/>
          <w:szCs w:val="20"/>
          <w:lang w:val="hy-AM" w:eastAsia="en-US"/>
        </w:rPr>
        <w:t xml:space="preserve"> Վարկերի բաշխվածությունն ըստ ոլորտների</w:t>
      </w:r>
    </w:p>
    <w:p w14:paraId="6A39047C" w14:textId="77777777"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p>
    <w:p w14:paraId="286E02F5"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p>
    <w:p w14:paraId="1F7438CA" w14:textId="77777777" w:rsidR="00682DEF" w:rsidRPr="00A83C94" w:rsidRDefault="00682DEF" w:rsidP="00682DEF">
      <w:pPr>
        <w:spacing w:before="0" w:line="276" w:lineRule="auto"/>
        <w:ind w:right="23" w:firstLine="227"/>
        <w:contextualSpacing w:val="0"/>
        <w:rPr>
          <w:b w:val="0"/>
          <w:szCs w:val="22"/>
          <w:lang w:val="hy-AM" w:eastAsia="en-US"/>
        </w:rPr>
      </w:pPr>
      <w:r w:rsidRPr="00A83C94">
        <w:rPr>
          <w:noProof/>
          <w:lang w:val="en-US" w:eastAsia="en-US"/>
        </w:rPr>
        <w:drawing>
          <wp:inline distT="0" distB="0" distL="0" distR="0" wp14:anchorId="0D78D170" wp14:editId="6F0772C0">
            <wp:extent cx="5987332" cy="2162754"/>
            <wp:effectExtent l="0" t="0" r="13970" b="9525"/>
            <wp:docPr id="162" name="Chart 162">
              <a:extLst xmlns:a="http://schemas.openxmlformats.org/drawingml/2006/main">
                <a:ext uri="{FF2B5EF4-FFF2-40B4-BE49-F238E27FC236}">
                  <a16:creationId xmlns:a16="http://schemas.microsoft.com/office/drawing/2014/main" id="{F55AD7B1-F2B7-488B-BAEA-238E16C18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8B3514F" w14:textId="1103416F"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r w:rsidRPr="00A83C94">
        <w:rPr>
          <w:rFonts w:cs="Sylfaen"/>
          <w:b w:val="0"/>
          <w:szCs w:val="22"/>
          <w:lang w:val="hy-AM" w:eastAsia="en-US"/>
        </w:rPr>
        <w:t xml:space="preserve">Տրամադրված վարկերից 78.6% ապահովված են գրավով (հող, շինություն և այլն), իսկ </w:t>
      </w:r>
      <w:r w:rsidR="006C390E" w:rsidRPr="006C390E">
        <w:rPr>
          <w:rFonts w:cs="Sylfaen"/>
          <w:b w:val="0"/>
          <w:szCs w:val="22"/>
          <w:lang w:val="hy-AM" w:eastAsia="en-US"/>
        </w:rPr>
        <w:t xml:space="preserve">               </w:t>
      </w:r>
      <w:r w:rsidRPr="00A83C94">
        <w:rPr>
          <w:rFonts w:cs="Sylfaen"/>
          <w:b w:val="0"/>
          <w:szCs w:val="22"/>
          <w:lang w:val="hy-AM" w:eastAsia="en-US"/>
        </w:rPr>
        <w:t xml:space="preserve">21.4%-ը կազմում են գրավով չապահովված վարկերը։ Վերջիններս պետական ծրագրերի իրականացմանը կամ պետական մասնակցությամբ ընկերություններին ուղղված միջոցներն են։ Վարկային պորտֆելի 17%-ը վերակառուցված վարկեր են։ </w:t>
      </w:r>
    </w:p>
    <w:p w14:paraId="5E74FC25" w14:textId="77777777" w:rsidR="00682DEF" w:rsidRPr="00A83C94" w:rsidRDefault="00682DEF" w:rsidP="008D3366">
      <w:pPr>
        <w:keepNext/>
        <w:keepLines/>
        <w:spacing w:before="0" w:line="312" w:lineRule="auto"/>
        <w:ind w:firstLine="0"/>
        <w:outlineLvl w:val="2"/>
        <w:rPr>
          <w:szCs w:val="22"/>
          <w:lang w:val="hy-AM" w:eastAsia="en-US"/>
        </w:rPr>
      </w:pPr>
    </w:p>
    <w:p w14:paraId="6F908C96" w14:textId="09AA5113" w:rsidR="006C390E" w:rsidRDefault="006C390E">
      <w:pPr>
        <w:spacing w:before="0" w:line="240" w:lineRule="auto"/>
        <w:ind w:firstLine="0"/>
        <w:contextualSpacing w:val="0"/>
        <w:jc w:val="left"/>
        <w:rPr>
          <w:szCs w:val="22"/>
          <w:lang w:val="hy-AM" w:eastAsia="en-US"/>
        </w:rPr>
      </w:pPr>
      <w:r>
        <w:rPr>
          <w:szCs w:val="22"/>
          <w:lang w:val="hy-AM" w:eastAsia="en-US"/>
        </w:rPr>
        <w:br w:type="page"/>
      </w:r>
    </w:p>
    <w:p w14:paraId="359656CF" w14:textId="3BA978EA" w:rsidR="00A00B8B" w:rsidRPr="00A83C94" w:rsidRDefault="008D3366" w:rsidP="008D3366">
      <w:pPr>
        <w:keepNext/>
        <w:keepLines/>
        <w:spacing w:before="0" w:line="312" w:lineRule="auto"/>
        <w:ind w:firstLine="0"/>
        <w:outlineLvl w:val="2"/>
        <w:rPr>
          <w:szCs w:val="22"/>
          <w:lang w:val="hy-AM" w:eastAsia="en-US"/>
        </w:rPr>
      </w:pPr>
      <w:bookmarkStart w:id="330" w:name="_Toc83996405"/>
      <w:r w:rsidRPr="00A83C94">
        <w:rPr>
          <w:szCs w:val="22"/>
          <w:lang w:val="hy-AM" w:eastAsia="en-US"/>
        </w:rPr>
        <w:t xml:space="preserve">5.  </w:t>
      </w:r>
      <w:r w:rsidR="00A00B8B" w:rsidRPr="00A83C94">
        <w:rPr>
          <w:szCs w:val="22"/>
          <w:lang w:val="hy-AM" w:eastAsia="en-US"/>
        </w:rPr>
        <w:t>202</w:t>
      </w:r>
      <w:r w:rsidR="00840AE8" w:rsidRPr="00A83C94">
        <w:rPr>
          <w:szCs w:val="22"/>
          <w:lang w:val="hy-AM" w:eastAsia="en-US"/>
        </w:rPr>
        <w:t>2</w:t>
      </w:r>
      <w:r w:rsidR="00A00B8B" w:rsidRPr="00A83C94">
        <w:rPr>
          <w:szCs w:val="22"/>
          <w:lang w:val="hy-AM" w:eastAsia="en-US"/>
        </w:rPr>
        <w:t xml:space="preserve"> ԹՎԱԿԱՆԻ ՀԱՐԿԱՅԻՆ ԾԱԽՍԵՐԻ ԳՆԱՀԱՏԱԿԱՆԻ ՎԵՐԼՈՒԾՈՒԹՅՈՒՆ</w:t>
      </w:r>
      <w:bookmarkEnd w:id="330"/>
    </w:p>
    <w:p w14:paraId="638D158B" w14:textId="77777777" w:rsidR="00A00B8B" w:rsidRPr="00A83C94" w:rsidRDefault="00A00B8B" w:rsidP="007730AA">
      <w:pPr>
        <w:spacing w:before="0" w:line="276" w:lineRule="auto"/>
        <w:ind w:firstLine="0"/>
        <w:contextualSpacing w:val="0"/>
        <w:rPr>
          <w:b w:val="0"/>
          <w:szCs w:val="22"/>
          <w:lang w:val="hy-AM" w:eastAsia="en-US"/>
        </w:rPr>
      </w:pPr>
    </w:p>
    <w:p w14:paraId="55D68056" w14:textId="77777777" w:rsidR="00840AE8" w:rsidRPr="00A83C94" w:rsidRDefault="00840AE8" w:rsidP="00840AE8">
      <w:pPr>
        <w:spacing w:line="276" w:lineRule="auto"/>
        <w:rPr>
          <w:rFonts w:eastAsia="Calibri" w:cs="Calibri"/>
          <w:szCs w:val="22"/>
          <w:u w:val="single"/>
          <w:lang w:val="hy-AM"/>
        </w:rPr>
      </w:pPr>
      <w:r w:rsidRPr="00A83C94">
        <w:rPr>
          <w:rFonts w:eastAsia="Calibri" w:cs="Calibri"/>
          <w:szCs w:val="22"/>
          <w:u w:val="single"/>
          <w:lang w:val="hy-AM"/>
        </w:rPr>
        <w:t>Նախաբան.</w:t>
      </w:r>
    </w:p>
    <w:p w14:paraId="21064AD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Արդյունավետ հարկա</w:t>
      </w:r>
      <w:r w:rsidRPr="00A83C94">
        <w:rPr>
          <w:rFonts w:cs="Sylfaen"/>
          <w:b w:val="0"/>
          <w:color w:val="000000"/>
          <w:szCs w:val="22"/>
          <w:lang w:val="hy-AM"/>
        </w:rPr>
        <w:softHyphen/>
        <w:t>բյու</w:t>
      </w:r>
      <w:r w:rsidRPr="00A83C94">
        <w:rPr>
          <w:rFonts w:cs="Sylfaen"/>
          <w:b w:val="0"/>
          <w:color w:val="000000"/>
          <w:szCs w:val="22"/>
          <w:lang w:val="hy-AM"/>
        </w:rPr>
        <w:softHyphen/>
        <w:t>ջետային քաղաքականություն մշա</w:t>
      </w:r>
      <w:r w:rsidRPr="00A83C94">
        <w:rPr>
          <w:rFonts w:cs="Sylfaen"/>
          <w:b w:val="0"/>
          <w:color w:val="000000"/>
          <w:szCs w:val="22"/>
          <w:lang w:val="hy-AM"/>
        </w:rPr>
        <w:softHyphen/>
        <w:t>կելու և իրականացնելու տես</w:t>
      </w:r>
      <w:r w:rsidRPr="00A83C94">
        <w:rPr>
          <w:rFonts w:cs="Sylfaen"/>
          <w:b w:val="0"/>
          <w:color w:val="000000"/>
          <w:szCs w:val="22"/>
          <w:lang w:val="hy-AM"/>
        </w:rPr>
        <w:softHyphen/>
        <w:t>անկյունից հարկային ծախսերի գնահատականը խիստ կարևոր է, քանի որ հար</w:t>
      </w:r>
      <w:r w:rsidRPr="00A83C94">
        <w:rPr>
          <w:rFonts w:cs="Sylfaen"/>
          <w:b w:val="0"/>
          <w:color w:val="000000"/>
          <w:szCs w:val="22"/>
          <w:lang w:val="hy-AM"/>
        </w:rPr>
        <w:softHyphen/>
        <w:t>կա</w:t>
      </w:r>
      <w:r w:rsidRPr="00A83C94">
        <w:rPr>
          <w:rFonts w:cs="Sylfaen"/>
          <w:b w:val="0"/>
          <w:color w:val="000000"/>
          <w:szCs w:val="22"/>
          <w:lang w:val="hy-AM"/>
        </w:rPr>
        <w:softHyphen/>
        <w:t>յին ծախ</w:t>
      </w:r>
      <w:r w:rsidRPr="00A83C94">
        <w:rPr>
          <w:rFonts w:cs="Sylfaen"/>
          <w:b w:val="0"/>
          <w:color w:val="000000"/>
          <w:szCs w:val="22"/>
          <w:lang w:val="hy-AM"/>
        </w:rPr>
        <w:softHyphen/>
        <w:t>սերի գնահատմամբ ամբողջականացվում է պետության կողմից իրա</w:t>
      </w:r>
      <w:r w:rsidRPr="00A83C94">
        <w:rPr>
          <w:rFonts w:cs="Sylfaen"/>
          <w:b w:val="0"/>
          <w:color w:val="000000"/>
          <w:szCs w:val="22"/>
          <w:lang w:val="hy-AM"/>
        </w:rPr>
        <w:softHyphen/>
        <w:t>կա</w:t>
      </w:r>
      <w:r w:rsidRPr="00A83C94">
        <w:rPr>
          <w:rFonts w:cs="Sylfaen"/>
          <w:b w:val="0"/>
          <w:color w:val="000000"/>
          <w:szCs w:val="22"/>
          <w:lang w:val="hy-AM"/>
        </w:rPr>
        <w:softHyphen/>
        <w:t>նացվող` եկա</w:t>
      </w:r>
      <w:r w:rsidRPr="00A83C94">
        <w:rPr>
          <w:rFonts w:cs="Sylfaen"/>
          <w:b w:val="0"/>
          <w:color w:val="000000"/>
          <w:szCs w:val="22"/>
          <w:lang w:val="hy-AM"/>
        </w:rPr>
        <w:softHyphen/>
        <w:t>մուտ</w:t>
      </w:r>
      <w:r w:rsidRPr="00A83C94">
        <w:rPr>
          <w:rFonts w:cs="Sylfaen"/>
          <w:b w:val="0"/>
          <w:color w:val="000000"/>
          <w:szCs w:val="22"/>
          <w:lang w:val="hy-AM"/>
        </w:rPr>
        <w:softHyphen/>
        <w:t>ների վերա</w:t>
      </w:r>
      <w:r w:rsidRPr="00A83C94">
        <w:rPr>
          <w:rFonts w:cs="Sylfaen"/>
          <w:b w:val="0"/>
          <w:color w:val="000000"/>
          <w:szCs w:val="22"/>
          <w:lang w:val="hy-AM"/>
        </w:rPr>
        <w:softHyphen/>
        <w:t>բաշխման գործառույթի շրջանակներն ու արդյունավե</w:t>
      </w:r>
      <w:r w:rsidRPr="00A83C94">
        <w:rPr>
          <w:rFonts w:cs="Sylfaen"/>
          <w:b w:val="0"/>
          <w:color w:val="000000"/>
          <w:szCs w:val="22"/>
          <w:lang w:val="hy-AM"/>
        </w:rPr>
        <w:softHyphen/>
        <w:t>տու</w:t>
      </w:r>
      <w:r w:rsidRPr="00A83C94">
        <w:rPr>
          <w:rFonts w:cs="Sylfaen"/>
          <w:b w:val="0"/>
          <w:color w:val="000000"/>
          <w:szCs w:val="22"/>
          <w:lang w:val="hy-AM"/>
        </w:rPr>
        <w:softHyphen/>
        <w:t>թյունը:</w:t>
      </w:r>
    </w:p>
    <w:p w14:paraId="09730882"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գնահատականի վերաբերյալ տեղեկատվությունը թափանցիկ և շահա</w:t>
      </w:r>
      <w:r w:rsidRPr="00A83C94">
        <w:rPr>
          <w:rFonts w:cs="Sylfaen"/>
          <w:b w:val="0"/>
          <w:color w:val="000000"/>
          <w:szCs w:val="22"/>
          <w:lang w:val="hy-AM"/>
        </w:rPr>
        <w:softHyphen/>
        <w:t>ռուների տարբեր խմբերի համար հասանելի դարձնելու նպատակով, որոշ երկրներ այդ տեղեկատվությունը ներառում են առաջիկա տարվա համար մշակվող բյուջեի բացատ</w:t>
      </w:r>
      <w:r w:rsidRPr="00A83C94">
        <w:rPr>
          <w:rFonts w:cs="Sylfaen"/>
          <w:b w:val="0"/>
          <w:color w:val="000000"/>
          <w:szCs w:val="22"/>
          <w:lang w:val="hy-AM"/>
        </w:rPr>
        <w:softHyphen/>
        <w:t>րա</w:t>
      </w:r>
      <w:r w:rsidRPr="00A83C94">
        <w:rPr>
          <w:rFonts w:cs="Sylfaen"/>
          <w:b w:val="0"/>
          <w:color w:val="000000"/>
          <w:szCs w:val="22"/>
          <w:lang w:val="hy-AM"/>
        </w:rPr>
        <w:softHyphen/>
        <w:t>գրում:</w:t>
      </w:r>
    </w:p>
    <w:p w14:paraId="1D1A1F3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Հայաստանի Հանրա</w:t>
      </w:r>
      <w:r w:rsidRPr="00A83C94">
        <w:rPr>
          <w:rFonts w:cs="Sylfaen"/>
          <w:b w:val="0"/>
          <w:color w:val="000000"/>
          <w:szCs w:val="22"/>
          <w:lang w:val="hy-AM"/>
        </w:rPr>
        <w:softHyphen/>
        <w:t>պե</w:t>
      </w:r>
      <w:r w:rsidRPr="00A83C94">
        <w:rPr>
          <w:rFonts w:cs="Sylfaen"/>
          <w:b w:val="0"/>
          <w:color w:val="000000"/>
          <w:szCs w:val="22"/>
          <w:lang w:val="hy-AM"/>
        </w:rPr>
        <w:softHyphen/>
        <w:t>տու</w:t>
      </w:r>
      <w:r w:rsidRPr="00A83C94">
        <w:rPr>
          <w:rFonts w:cs="Sylfaen"/>
          <w:b w:val="0"/>
          <w:color w:val="000000"/>
          <w:szCs w:val="22"/>
          <w:lang w:val="hy-AM"/>
        </w:rPr>
        <w:softHyphen/>
        <w:t>թյունում առաջին անգամ հարկային ծախսերի մեծությունը գնահատվել է 2015թ. համար, որը ներառ</w:t>
      </w:r>
      <w:r w:rsidRPr="00A83C94">
        <w:rPr>
          <w:rFonts w:cs="Sylfaen"/>
          <w:b w:val="0"/>
          <w:color w:val="000000"/>
          <w:szCs w:val="22"/>
          <w:lang w:val="hy-AM"/>
        </w:rPr>
        <w:softHyphen/>
        <w:t xml:space="preserve">վել է 2015 թվականի պետական բյուջեի մասին ՀՀ օրենքի բացատրագրում` որպես առանձին հավելված: </w:t>
      </w:r>
    </w:p>
    <w:p w14:paraId="0E2D7A5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p>
    <w:p w14:paraId="01BA6BBE" w14:textId="77777777" w:rsidR="00840AE8" w:rsidRPr="00A83C94" w:rsidRDefault="00840AE8" w:rsidP="00840AE8">
      <w:pPr>
        <w:pStyle w:val="NormalWeb"/>
        <w:shd w:val="clear" w:color="auto" w:fill="FFFFFF"/>
        <w:spacing w:before="0" w:beforeAutospacing="0" w:after="0" w:afterAutospacing="0" w:line="276" w:lineRule="auto"/>
        <w:rPr>
          <w:rFonts w:cs="Sylfaen"/>
          <w:color w:val="000000"/>
          <w:szCs w:val="22"/>
          <w:u w:val="single"/>
          <w:lang w:val="hy-AM"/>
        </w:rPr>
      </w:pPr>
      <w:r w:rsidRPr="00A83C94">
        <w:rPr>
          <w:rFonts w:cs="Sylfaen"/>
          <w:color w:val="000000"/>
          <w:szCs w:val="22"/>
          <w:u w:val="single"/>
          <w:lang w:val="hy-AM"/>
        </w:rPr>
        <w:t>Հարկային ծախսերը.</w:t>
      </w:r>
    </w:p>
    <w:p w14:paraId="67C4043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Հայաստանի Հանրապետության գործող օրենսդրությամբ Հարկային ծախս հասկա</w:t>
      </w:r>
      <w:r w:rsidRPr="00A83C94">
        <w:rPr>
          <w:rFonts w:cs="Sylfaen"/>
          <w:b w:val="0"/>
          <w:color w:val="000000"/>
          <w:szCs w:val="22"/>
          <w:lang w:val="hy-AM"/>
        </w:rPr>
        <w:softHyphen/>
        <w:t>ցու</w:t>
      </w:r>
      <w:r w:rsidRPr="00A83C94">
        <w:rPr>
          <w:rFonts w:cs="Sylfaen"/>
          <w:b w:val="0"/>
          <w:color w:val="000000"/>
          <w:szCs w:val="22"/>
          <w:lang w:val="hy-AM"/>
        </w:rPr>
        <w:softHyphen/>
        <w:t>թյունը սահմանված չէ: Բովան</w:t>
      </w:r>
      <w:r w:rsidRPr="00A83C94">
        <w:rPr>
          <w:rFonts w:cs="Sylfaen"/>
          <w:b w:val="0"/>
          <w:color w:val="000000"/>
          <w:szCs w:val="22"/>
          <w:lang w:val="hy-AM"/>
        </w:rPr>
        <w:softHyphen/>
        <w:t>դակային առումով, հարկային ծախսերը գործող հարկային արտոնությունների հետևան</w:t>
      </w:r>
      <w:r w:rsidRPr="00A83C94">
        <w:rPr>
          <w:rFonts w:cs="Sylfaen"/>
          <w:b w:val="0"/>
          <w:color w:val="000000"/>
          <w:szCs w:val="22"/>
          <w:lang w:val="hy-AM"/>
        </w:rPr>
        <w:softHyphen/>
        <w:t>քով պետական բյուջե չգանձվող (պակաս գանձվող) հարկային եկամուտներն են կամ այդ եկամուտների չափով պետության կրած այլընտրանքային ծախ</w:t>
      </w:r>
      <w:r w:rsidRPr="00A83C94">
        <w:rPr>
          <w:rFonts w:cs="Sylfaen"/>
          <w:b w:val="0"/>
          <w:color w:val="000000"/>
          <w:szCs w:val="22"/>
          <w:lang w:val="hy-AM"/>
        </w:rPr>
        <w:softHyphen/>
        <w:t>սերն են, քանի որ հարկային ծախսերը հանգեցնում են համապատասխան գումարի չափով բյու</w:t>
      </w:r>
      <w:r w:rsidRPr="00A83C94">
        <w:rPr>
          <w:rFonts w:cs="Sylfaen"/>
          <w:b w:val="0"/>
          <w:color w:val="000000"/>
          <w:szCs w:val="22"/>
          <w:lang w:val="hy-AM"/>
        </w:rPr>
        <w:softHyphen/>
        <w:t>ջետային ծախսերի կրճատման: Ընդ որում, ի</w:t>
      </w:r>
      <w:r w:rsidRPr="00A83C94">
        <w:rPr>
          <w:rFonts w:eastAsia="Calibri" w:cs="Calibri"/>
          <w:b w:val="0"/>
          <w:szCs w:val="22"/>
          <w:lang w:val="hy-AM"/>
        </w:rPr>
        <w:t xml:space="preserve"> տարբերություն պետական բյուջեի ծախ</w:t>
      </w:r>
      <w:r w:rsidRPr="00A83C94">
        <w:rPr>
          <w:rFonts w:eastAsia="Calibri" w:cs="Calibri"/>
          <w:b w:val="0"/>
          <w:szCs w:val="22"/>
          <w:lang w:val="hy-AM"/>
        </w:rPr>
        <w:softHyphen/>
        <w:t>սե</w:t>
      </w:r>
      <w:r w:rsidRPr="00A83C94">
        <w:rPr>
          <w:rFonts w:eastAsia="Calibri" w:cs="Calibri"/>
          <w:b w:val="0"/>
          <w:szCs w:val="22"/>
          <w:lang w:val="hy-AM"/>
        </w:rPr>
        <w:softHyphen/>
        <w:t xml:space="preserve">րի, որոնք ենթակա են խորքային վերլուծության, մոնիտորինգի ու հսկողության, հարկային ծախսերը հաճախ պատշաճ ձևով չեն վերահսկվում: </w:t>
      </w:r>
      <w:r w:rsidRPr="00A83C94">
        <w:rPr>
          <w:rFonts w:cs="Sylfaen"/>
          <w:b w:val="0"/>
          <w:color w:val="000000"/>
          <w:szCs w:val="22"/>
          <w:lang w:val="hy-AM"/>
        </w:rPr>
        <w:t>Արդյունքում, նվազում է հանրային ֆինանս</w:t>
      </w:r>
      <w:r w:rsidRPr="00A83C94">
        <w:rPr>
          <w:rFonts w:cs="Sylfaen"/>
          <w:b w:val="0"/>
          <w:color w:val="000000"/>
          <w:szCs w:val="22"/>
          <w:lang w:val="hy-AM"/>
        </w:rPr>
        <w:softHyphen/>
        <w:t>ների կառավարման արդյունավետությունն ու թափանցիկությունը, սահմանափակ</w:t>
      </w:r>
      <w:r w:rsidRPr="00A83C94">
        <w:rPr>
          <w:rFonts w:cs="Sylfaen"/>
          <w:b w:val="0"/>
          <w:color w:val="000000"/>
          <w:szCs w:val="22"/>
          <w:lang w:val="hy-AM"/>
        </w:rPr>
        <w:softHyphen/>
        <w:t>վում են պետության վերաբաշխիչ գործառույթի շրջանակները:</w:t>
      </w:r>
      <w:r w:rsidRPr="00A83C94">
        <w:rPr>
          <w:rFonts w:eastAsia="Calibri" w:cs="Calibri"/>
          <w:b w:val="0"/>
          <w:szCs w:val="22"/>
          <w:lang w:val="hy-AM"/>
        </w:rPr>
        <w:t xml:space="preserve"> </w:t>
      </w:r>
      <w:r w:rsidRPr="00A83C94">
        <w:rPr>
          <w:rFonts w:cs="Sylfaen"/>
          <w:b w:val="0"/>
          <w:color w:val="000000"/>
          <w:szCs w:val="22"/>
          <w:lang w:val="hy-AM"/>
        </w:rPr>
        <w:t>Այդ իսկ պատճառով հար</w:t>
      </w:r>
      <w:r w:rsidRPr="00A83C94">
        <w:rPr>
          <w:rFonts w:cs="Sylfaen"/>
          <w:b w:val="0"/>
          <w:color w:val="000000"/>
          <w:szCs w:val="22"/>
          <w:lang w:val="hy-AM"/>
        </w:rPr>
        <w:softHyphen/>
        <w:t>կա</w:t>
      </w:r>
      <w:r w:rsidRPr="00A83C94">
        <w:rPr>
          <w:rFonts w:cs="Sylfaen"/>
          <w:b w:val="0"/>
          <w:color w:val="000000"/>
          <w:szCs w:val="22"/>
          <w:lang w:val="hy-AM"/>
        </w:rPr>
        <w:softHyphen/>
        <w:t>յին ծախսերի պարբերաբար գնահատումը հանգուցային նշանակություն ունի պետության հար</w:t>
      </w:r>
      <w:r w:rsidRPr="00A83C94">
        <w:rPr>
          <w:rFonts w:cs="Sylfaen"/>
          <w:b w:val="0"/>
          <w:color w:val="000000"/>
          <w:szCs w:val="22"/>
          <w:lang w:val="hy-AM"/>
        </w:rPr>
        <w:softHyphen/>
        <w:t>կաբյուջետային քաղաքականության տեսանկյունից:</w:t>
      </w:r>
    </w:p>
    <w:p w14:paraId="65E32BB8" w14:textId="77777777" w:rsidR="00840AE8" w:rsidRPr="00A83C94" w:rsidRDefault="00840AE8" w:rsidP="00840AE8">
      <w:pPr>
        <w:pStyle w:val="NormalWeb"/>
        <w:shd w:val="clear" w:color="auto" w:fill="FFFFFF"/>
        <w:spacing w:before="0" w:beforeAutospacing="0" w:after="0" w:afterAutospacing="0" w:line="276" w:lineRule="auto"/>
        <w:ind w:left="567"/>
        <w:rPr>
          <w:rFonts w:cs="Sylfaen"/>
          <w:b w:val="0"/>
          <w:color w:val="000000"/>
          <w:szCs w:val="22"/>
          <w:u w:val="single"/>
          <w:lang w:val="hy-AM"/>
        </w:rPr>
      </w:pPr>
    </w:p>
    <w:p w14:paraId="57110BFB" w14:textId="77777777" w:rsidR="00840AE8" w:rsidRPr="00A83C94" w:rsidRDefault="00840AE8" w:rsidP="00840AE8">
      <w:pPr>
        <w:pStyle w:val="NormalWeb"/>
        <w:shd w:val="clear" w:color="auto" w:fill="FFFFFF"/>
        <w:spacing w:before="0" w:beforeAutospacing="0" w:after="0" w:afterAutospacing="0" w:line="276" w:lineRule="auto"/>
        <w:ind w:left="567"/>
        <w:rPr>
          <w:rFonts w:cs="Sylfaen"/>
          <w:b w:val="0"/>
          <w:color w:val="000000"/>
          <w:szCs w:val="22"/>
          <w:u w:val="single"/>
          <w:lang w:val="hy-AM"/>
        </w:rPr>
      </w:pPr>
      <w:r w:rsidRPr="00A83C94">
        <w:rPr>
          <w:rFonts w:cs="Sylfaen"/>
          <w:b w:val="0"/>
          <w:color w:val="000000"/>
          <w:szCs w:val="22"/>
          <w:u w:val="single"/>
          <w:lang w:val="hy-AM"/>
        </w:rPr>
        <w:t>Հաշվետվությամբ ընդգրկվող ժամանակահատվածը, հարկային ծախսերի գնահատման համար օգտագործված տեղեկատվությունը և ընտրված մեթոդաբանությունը.</w:t>
      </w:r>
    </w:p>
    <w:p w14:paraId="440589B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Սույն հաշվետվությամբ գնահատված են 2022 թվականի հաշվետու տարվա հարկային ծախսերը:</w:t>
      </w:r>
    </w:p>
    <w:p w14:paraId="238193D7"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Գնահատման համար տեղեկատվական հիմք են հանդիսացել 2020 թվականի հաշ</w:t>
      </w:r>
      <w:r w:rsidRPr="00A83C94">
        <w:rPr>
          <w:rFonts w:cs="Sylfaen"/>
          <w:b w:val="0"/>
          <w:color w:val="000000"/>
          <w:szCs w:val="22"/>
          <w:lang w:val="hy-AM"/>
        </w:rPr>
        <w:softHyphen/>
        <w:t>վետու տարվա համար ՀՀ վիճակագրական կոմիտեի կողմից հրապարակված հիմ</w:t>
      </w:r>
      <w:r w:rsidRPr="00A83C94">
        <w:rPr>
          <w:rFonts w:cs="Sylfaen"/>
          <w:b w:val="0"/>
          <w:color w:val="000000"/>
          <w:szCs w:val="22"/>
          <w:lang w:val="hy-AM"/>
        </w:rPr>
        <w:softHyphen/>
        <w:t>նա</w:t>
      </w:r>
      <w:r w:rsidRPr="00A83C94">
        <w:rPr>
          <w:rFonts w:cs="Sylfaen"/>
          <w:b w:val="0"/>
          <w:color w:val="000000"/>
          <w:szCs w:val="22"/>
          <w:lang w:val="hy-AM"/>
        </w:rPr>
        <w:softHyphen/>
        <w:t>կան մակրոտնտեսական տվյալները, ինչ</w:t>
      </w:r>
      <w:r w:rsidRPr="00A83C94">
        <w:rPr>
          <w:rFonts w:cs="Sylfaen"/>
          <w:b w:val="0"/>
          <w:color w:val="000000"/>
          <w:szCs w:val="22"/>
          <w:lang w:val="hy-AM"/>
        </w:rPr>
        <w:softHyphen/>
        <w:t>պես նաև ՀՀ  ՊԵԿ  տեղեկատվական բազայում առկա` տնտեսա</w:t>
      </w:r>
      <w:r w:rsidRPr="00A83C94">
        <w:rPr>
          <w:rFonts w:cs="Sylfaen"/>
          <w:b w:val="0"/>
          <w:color w:val="000000"/>
          <w:szCs w:val="22"/>
          <w:lang w:val="hy-AM"/>
        </w:rPr>
        <w:softHyphen/>
        <w:t>վա</w:t>
      </w:r>
      <w:r w:rsidRPr="00A83C94">
        <w:rPr>
          <w:rFonts w:cs="Sylfaen"/>
          <w:b w:val="0"/>
          <w:color w:val="000000"/>
          <w:szCs w:val="22"/>
          <w:lang w:val="hy-AM"/>
        </w:rPr>
        <w:softHyphen/>
        <w:t>րող սուբյեկտների կողմից ներկայացված հաշվետվությունների տվյալները, որոնք ենթարկվել են որոշակի ճշգրտումների` կապ</w:t>
      </w:r>
      <w:r w:rsidRPr="00A83C94">
        <w:rPr>
          <w:rFonts w:cs="Sylfaen"/>
          <w:b w:val="0"/>
          <w:color w:val="000000"/>
          <w:szCs w:val="22"/>
          <w:lang w:val="hy-AM"/>
        </w:rPr>
        <w:softHyphen/>
        <w:t>ված 2022 թվականի համար կանխատեսվող համապատասխան տվյալների հետ:</w:t>
      </w:r>
    </w:p>
    <w:p w14:paraId="3D116ED4"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Հաշվետվության մեթոդաբանության հիմքում դրված են ՀՆԱ-ի ճյուղային կառուց</w:t>
      </w:r>
      <w:r w:rsidRPr="00A83C94">
        <w:rPr>
          <w:rFonts w:cs="Sylfaen"/>
          <w:b w:val="0"/>
          <w:color w:val="000000"/>
          <w:szCs w:val="22"/>
          <w:lang w:val="hy-AM"/>
        </w:rPr>
        <w:softHyphen/>
        <w:t>վածքի (հարկունակ և ոչ հարկունակ մասերի) ուսումնասիրության մակրոտնտեսական մոտե</w:t>
      </w:r>
      <w:r w:rsidRPr="00A83C94">
        <w:rPr>
          <w:rFonts w:cs="Sylfaen"/>
          <w:b w:val="0"/>
          <w:color w:val="000000"/>
          <w:szCs w:val="22"/>
          <w:lang w:val="hy-AM"/>
        </w:rPr>
        <w:softHyphen/>
      </w:r>
      <w:r w:rsidRPr="00A83C94">
        <w:rPr>
          <w:rFonts w:cs="Sylfaen"/>
          <w:b w:val="0"/>
          <w:color w:val="000000"/>
          <w:szCs w:val="22"/>
          <w:lang w:val="hy-AM"/>
        </w:rPr>
        <w:softHyphen/>
      </w:r>
      <w:r w:rsidRPr="00A83C94">
        <w:rPr>
          <w:rFonts w:cs="Sylfaen"/>
          <w:b w:val="0"/>
          <w:color w:val="000000"/>
          <w:szCs w:val="22"/>
          <w:lang w:val="hy-AM"/>
        </w:rPr>
        <w:softHyphen/>
        <w:t>ցումները, 2020 թվականին վերաբերող ԱԱՀ-ի, շահութահարկի և շրջանառության հարկի հաշվարկներով՝ ԱԱՀ-ի և շահութահարկի արտոնությունների, ինչպես նաև ԱԱՀ-ով հարկվող շեմի ուսումնասիրության արդյունքները:</w:t>
      </w:r>
    </w:p>
    <w:p w14:paraId="60D59F0B" w14:textId="77777777" w:rsidR="00840AE8" w:rsidRPr="00A83C94" w:rsidRDefault="00840AE8" w:rsidP="00840AE8">
      <w:pPr>
        <w:pStyle w:val="NormalWeb"/>
        <w:shd w:val="clear" w:color="auto" w:fill="FFFFFF"/>
        <w:spacing w:before="0" w:beforeAutospacing="0" w:after="0" w:afterAutospacing="0" w:line="276" w:lineRule="auto"/>
        <w:rPr>
          <w:rFonts w:cs="Sylfaen"/>
          <w:b w:val="0"/>
          <w:iCs/>
          <w:color w:val="000000"/>
          <w:szCs w:val="22"/>
          <w:lang w:val="hy-AM"/>
        </w:rPr>
      </w:pPr>
      <w:r w:rsidRPr="00A83C94">
        <w:rPr>
          <w:rFonts w:cs="Sylfaen"/>
          <w:b w:val="0"/>
          <w:iCs/>
          <w:color w:val="000000"/>
          <w:szCs w:val="22"/>
          <w:lang w:val="hy-AM"/>
        </w:rPr>
        <w:t>Հաշվետվության կազմման համար ընտրվող մեթոդաբանության տեսանկյունից շատ կարևոր է նաև Հարկային ծախս հասկացության հստակ սահմանումը և հարկային ծախ</w:t>
      </w:r>
      <w:r w:rsidRPr="00A83C94">
        <w:rPr>
          <w:rFonts w:cs="Sylfaen"/>
          <w:b w:val="0"/>
          <w:iCs/>
          <w:color w:val="000000"/>
          <w:szCs w:val="22"/>
          <w:lang w:val="hy-AM"/>
        </w:rPr>
        <w:softHyphen/>
        <w:t>սերի շրջանակի ճիշտ որոշումը: Այս առումով, հատ</w:t>
      </w:r>
      <w:r w:rsidRPr="00A83C94">
        <w:rPr>
          <w:rFonts w:cs="Sylfaen"/>
          <w:b w:val="0"/>
          <w:iCs/>
          <w:color w:val="000000"/>
          <w:szCs w:val="22"/>
          <w:lang w:val="hy-AM"/>
        </w:rPr>
        <w:softHyphen/>
        <w:t>կա</w:t>
      </w:r>
      <w:r w:rsidRPr="00A83C94">
        <w:rPr>
          <w:rFonts w:cs="Sylfaen"/>
          <w:b w:val="0"/>
          <w:iCs/>
          <w:color w:val="000000"/>
          <w:szCs w:val="22"/>
          <w:lang w:val="hy-AM"/>
        </w:rPr>
        <w:softHyphen/>
        <w:t>նշական է այն, որ գործող հարկային օրենս</w:t>
      </w:r>
      <w:r w:rsidRPr="00A83C94">
        <w:rPr>
          <w:rFonts w:cs="Sylfaen"/>
          <w:b w:val="0"/>
          <w:iCs/>
          <w:color w:val="000000"/>
          <w:szCs w:val="22"/>
          <w:lang w:val="hy-AM"/>
        </w:rPr>
        <w:softHyphen/>
        <w:t>դրությամբ նախատեսված` հարկման արտոնյալ պայմաններ ենթադրող ոչ բոլոր կար</w:t>
      </w:r>
      <w:r w:rsidRPr="00A83C94">
        <w:rPr>
          <w:rFonts w:cs="Sylfaen"/>
          <w:b w:val="0"/>
          <w:iCs/>
          <w:color w:val="000000"/>
          <w:szCs w:val="22"/>
          <w:lang w:val="hy-AM"/>
        </w:rPr>
        <w:softHyphen/>
        <w:t>գա</w:t>
      </w:r>
      <w:r w:rsidRPr="00A83C94">
        <w:rPr>
          <w:rFonts w:cs="Sylfaen"/>
          <w:b w:val="0"/>
          <w:iCs/>
          <w:color w:val="000000"/>
          <w:szCs w:val="22"/>
          <w:lang w:val="hy-AM"/>
        </w:rPr>
        <w:softHyphen/>
        <w:t>վորումները կարելի է դիտարկել որպես հարկային ծախսեր (օրինակ` եկամտային հար</w:t>
      </w:r>
      <w:r w:rsidRPr="00A83C94">
        <w:rPr>
          <w:rFonts w:cs="Sylfaen"/>
          <w:b w:val="0"/>
          <w:iCs/>
          <w:color w:val="000000"/>
          <w:szCs w:val="22"/>
          <w:lang w:val="hy-AM"/>
        </w:rPr>
        <w:softHyphen/>
        <w:t>կով հարկման նպատակով համախառն եկամտից նվազեցվող եկամուտները)` անգամ եթե դրանց կիրառության արդյունքում կրճատվում են տնտեսավարող սուբյեկտների կողմից վճար</w:t>
      </w:r>
      <w:r w:rsidRPr="00A83C94">
        <w:rPr>
          <w:rFonts w:cs="Sylfaen"/>
          <w:b w:val="0"/>
          <w:iCs/>
          <w:color w:val="000000"/>
          <w:szCs w:val="22"/>
          <w:lang w:val="hy-AM"/>
        </w:rPr>
        <w:softHyphen/>
        <w:t>վող հարկերը: Հարկային ծախսերի շրջանակի որոշման համար հաշվի է առնվել Հենա</w:t>
      </w:r>
      <w:r w:rsidRPr="00A83C94">
        <w:rPr>
          <w:rFonts w:cs="Sylfaen"/>
          <w:b w:val="0"/>
          <w:iCs/>
          <w:color w:val="000000"/>
          <w:szCs w:val="22"/>
          <w:lang w:val="hy-AM"/>
        </w:rPr>
        <w:softHyphen/>
        <w:t>նի</w:t>
      </w:r>
      <w:r w:rsidRPr="00A83C94">
        <w:rPr>
          <w:rFonts w:cs="Sylfaen"/>
          <w:b w:val="0"/>
          <w:iCs/>
          <w:color w:val="000000"/>
          <w:szCs w:val="22"/>
          <w:lang w:val="hy-AM"/>
        </w:rPr>
        <w:softHyphen/>
        <w:t>շա</w:t>
      </w:r>
      <w:r w:rsidRPr="00A83C94">
        <w:rPr>
          <w:rFonts w:cs="Sylfaen"/>
          <w:b w:val="0"/>
          <w:iCs/>
          <w:color w:val="000000"/>
          <w:szCs w:val="22"/>
          <w:lang w:val="hy-AM"/>
        </w:rPr>
        <w:softHyphen/>
        <w:t>յին հարկ հասկացությունը, որն իրենից ներկայացնում է հարկերի այն հան</w:t>
      </w:r>
      <w:r w:rsidRPr="00A83C94">
        <w:rPr>
          <w:rFonts w:cs="Sylfaen"/>
          <w:b w:val="0"/>
          <w:iCs/>
          <w:color w:val="000000"/>
          <w:szCs w:val="22"/>
          <w:lang w:val="hy-AM"/>
        </w:rPr>
        <w:softHyphen/>
        <w:t>րա</w:t>
      </w:r>
      <w:r w:rsidRPr="00A83C94">
        <w:rPr>
          <w:rFonts w:cs="Sylfaen"/>
          <w:b w:val="0"/>
          <w:iCs/>
          <w:color w:val="000000"/>
          <w:szCs w:val="22"/>
          <w:lang w:val="hy-AM"/>
        </w:rPr>
        <w:softHyphen/>
        <w:t>գու</w:t>
      </w:r>
      <w:r w:rsidRPr="00A83C94">
        <w:rPr>
          <w:rFonts w:cs="Sylfaen"/>
          <w:b w:val="0"/>
          <w:iCs/>
          <w:color w:val="000000"/>
          <w:szCs w:val="22"/>
          <w:lang w:val="hy-AM"/>
        </w:rPr>
        <w:softHyphen/>
        <w:t>մարը, որը կվճար</w:t>
      </w:r>
      <w:r w:rsidRPr="00A83C94">
        <w:rPr>
          <w:rFonts w:cs="Sylfaen"/>
          <w:b w:val="0"/>
          <w:iCs/>
          <w:color w:val="000000"/>
          <w:szCs w:val="22"/>
          <w:lang w:val="hy-AM"/>
        </w:rPr>
        <w:softHyphen/>
        <w:t>վեր պետական բյուջե տնտեսության մեջ ձևավորվող ողջ հարկման բազան հար</w:t>
      </w:r>
      <w:r w:rsidRPr="00A83C94">
        <w:rPr>
          <w:rFonts w:cs="Sylfaen"/>
          <w:b w:val="0"/>
          <w:iCs/>
          <w:color w:val="000000"/>
          <w:szCs w:val="22"/>
          <w:lang w:val="hy-AM"/>
        </w:rPr>
        <w:softHyphen/>
        <w:t>կելու պարա</w:t>
      </w:r>
      <w:r w:rsidRPr="00A83C94">
        <w:rPr>
          <w:rFonts w:cs="Sylfaen"/>
          <w:b w:val="0"/>
          <w:iCs/>
          <w:color w:val="000000"/>
          <w:szCs w:val="22"/>
          <w:lang w:val="hy-AM"/>
        </w:rPr>
        <w:softHyphen/>
        <w:t>գայում: Այս համատեքստում հարկային ծախսերը որոշվել են որպես հենանի</w:t>
      </w:r>
      <w:r w:rsidRPr="00A83C94">
        <w:rPr>
          <w:rFonts w:cs="Sylfaen"/>
          <w:b w:val="0"/>
          <w:iCs/>
          <w:color w:val="000000"/>
          <w:szCs w:val="22"/>
          <w:lang w:val="hy-AM"/>
        </w:rPr>
        <w:softHyphen/>
        <w:t>շա</w:t>
      </w:r>
      <w:r w:rsidRPr="00A83C94">
        <w:rPr>
          <w:rFonts w:cs="Sylfaen"/>
          <w:b w:val="0"/>
          <w:iCs/>
          <w:color w:val="000000"/>
          <w:szCs w:val="22"/>
          <w:lang w:val="hy-AM"/>
        </w:rPr>
        <w:softHyphen/>
        <w:t>յին հարկերի և փաստացի պետական բյուջե վճարվող հարկերի տարբերություն: Հար</w:t>
      </w:r>
      <w:r w:rsidRPr="00A83C94">
        <w:rPr>
          <w:rFonts w:cs="Sylfaen"/>
          <w:b w:val="0"/>
          <w:iCs/>
          <w:color w:val="000000"/>
          <w:szCs w:val="22"/>
          <w:lang w:val="hy-AM"/>
        </w:rPr>
        <w:softHyphen/>
        <w:t>կային ծախսերի գնահատումը` որպես հենանիշային հարկերի ու պետական բյուջե փաս</w:t>
      </w:r>
      <w:r w:rsidRPr="00A83C94">
        <w:rPr>
          <w:rFonts w:cs="Sylfaen"/>
          <w:b w:val="0"/>
          <w:iCs/>
          <w:color w:val="000000"/>
          <w:szCs w:val="22"/>
          <w:lang w:val="hy-AM"/>
        </w:rPr>
        <w:softHyphen/>
        <w:t>տացի գանձվող հարկերի տարբերություն, ընդունված մոտեցում է նաև միջազգային պրակ</w:t>
      </w:r>
      <w:r w:rsidRPr="00A83C94">
        <w:rPr>
          <w:rFonts w:cs="Sylfaen"/>
          <w:b w:val="0"/>
          <w:iCs/>
          <w:color w:val="000000"/>
          <w:szCs w:val="22"/>
          <w:lang w:val="hy-AM"/>
        </w:rPr>
        <w:softHyphen/>
        <w:t>տի</w:t>
      </w:r>
      <w:r w:rsidRPr="00A83C94">
        <w:rPr>
          <w:rFonts w:cs="Sylfaen"/>
          <w:b w:val="0"/>
          <w:iCs/>
          <w:color w:val="000000"/>
          <w:szCs w:val="22"/>
          <w:lang w:val="hy-AM"/>
        </w:rPr>
        <w:softHyphen/>
        <w:t>կա</w:t>
      </w:r>
      <w:r w:rsidRPr="00A83C94">
        <w:rPr>
          <w:rFonts w:cs="Sylfaen"/>
          <w:b w:val="0"/>
          <w:iCs/>
          <w:color w:val="000000"/>
          <w:szCs w:val="22"/>
          <w:lang w:val="hy-AM"/>
        </w:rPr>
        <w:softHyphen/>
        <w:t>յում: Ընդ որում, հատկանշական է այն, որ միջազգային պրակտիկայում հենա</w:t>
      </w:r>
      <w:r w:rsidRPr="00A83C94">
        <w:rPr>
          <w:rFonts w:cs="Sylfaen"/>
          <w:b w:val="0"/>
          <w:iCs/>
          <w:color w:val="000000"/>
          <w:szCs w:val="22"/>
          <w:lang w:val="hy-AM"/>
        </w:rPr>
        <w:softHyphen/>
        <w:t>նի</w:t>
      </w:r>
      <w:r w:rsidRPr="00A83C94">
        <w:rPr>
          <w:rFonts w:cs="Sylfaen"/>
          <w:b w:val="0"/>
          <w:iCs/>
          <w:color w:val="000000"/>
          <w:szCs w:val="22"/>
          <w:lang w:val="hy-AM"/>
        </w:rPr>
        <w:softHyphen/>
        <w:t>շային հար</w:t>
      </w:r>
      <w:r w:rsidRPr="00A83C94">
        <w:rPr>
          <w:rFonts w:cs="Sylfaen"/>
          <w:b w:val="0"/>
          <w:iCs/>
          <w:color w:val="000000"/>
          <w:szCs w:val="22"/>
          <w:lang w:val="hy-AM"/>
        </w:rPr>
        <w:softHyphen/>
        <w:t>կերի կամ այլ կերպ ասած` հարկային նշաձողի միասնական կամ սպառիչ սահ</w:t>
      </w:r>
      <w:r w:rsidRPr="00A83C94">
        <w:rPr>
          <w:rFonts w:cs="Sylfaen"/>
          <w:b w:val="0"/>
          <w:iCs/>
          <w:color w:val="000000"/>
          <w:szCs w:val="22"/>
          <w:lang w:val="hy-AM"/>
        </w:rPr>
        <w:softHyphen/>
        <w:t>մա</w:t>
      </w:r>
      <w:r w:rsidRPr="00A83C94">
        <w:rPr>
          <w:rFonts w:cs="Sylfaen"/>
          <w:b w:val="0"/>
          <w:iCs/>
          <w:color w:val="000000"/>
          <w:szCs w:val="22"/>
          <w:lang w:val="hy-AM"/>
        </w:rPr>
        <w:softHyphen/>
        <w:t>նում չկա: Երկրների մի մասում, օրինակ, հարկային ծախսերը սահմանվում են որպես օրենս</w:t>
      </w:r>
      <w:r w:rsidRPr="00A83C94">
        <w:rPr>
          <w:rFonts w:cs="Sylfaen"/>
          <w:b w:val="0"/>
          <w:iCs/>
          <w:color w:val="000000"/>
          <w:szCs w:val="22"/>
          <w:lang w:val="hy-AM"/>
        </w:rPr>
        <w:softHyphen/>
      </w:r>
      <w:r w:rsidRPr="00A83C94">
        <w:rPr>
          <w:rFonts w:cs="Sylfaen"/>
          <w:b w:val="0"/>
          <w:iCs/>
          <w:color w:val="000000"/>
          <w:szCs w:val="22"/>
          <w:lang w:val="hy-AM"/>
        </w:rPr>
        <w:softHyphen/>
        <w:t>դրու</w:t>
      </w:r>
      <w:r w:rsidRPr="00A83C94">
        <w:rPr>
          <w:rFonts w:cs="Sylfaen"/>
          <w:b w:val="0"/>
          <w:iCs/>
          <w:color w:val="000000"/>
          <w:szCs w:val="22"/>
          <w:lang w:val="hy-AM"/>
        </w:rPr>
        <w:softHyphen/>
      </w:r>
      <w:r w:rsidRPr="00A83C94">
        <w:rPr>
          <w:rFonts w:cs="Sylfaen"/>
          <w:b w:val="0"/>
          <w:iCs/>
          <w:color w:val="000000"/>
          <w:szCs w:val="22"/>
          <w:lang w:val="hy-AM"/>
        </w:rPr>
        <w:softHyphen/>
        <w:t>թյամբ նախատեսված դրույթներ, որոնց կիրառությունը հանգեցնում է պետական եկա</w:t>
      </w:r>
      <w:r w:rsidRPr="00A83C94">
        <w:rPr>
          <w:rFonts w:cs="Sylfaen"/>
          <w:b w:val="0"/>
          <w:iCs/>
          <w:color w:val="000000"/>
          <w:szCs w:val="22"/>
          <w:lang w:val="hy-AM"/>
        </w:rPr>
        <w:softHyphen/>
        <w:t>մուտ</w:t>
      </w:r>
      <w:r w:rsidRPr="00A83C94">
        <w:rPr>
          <w:rFonts w:cs="Sylfaen"/>
          <w:b w:val="0"/>
          <w:iCs/>
          <w:color w:val="000000"/>
          <w:szCs w:val="22"/>
          <w:lang w:val="hy-AM"/>
        </w:rPr>
        <w:softHyphen/>
        <w:t>ների կրճատման հարկային նշաձողի կամ նորմի (այսինքն` հարկի հաշվարկման հիմ</w:t>
      </w:r>
      <w:r w:rsidRPr="00A83C94">
        <w:rPr>
          <w:rFonts w:cs="Sylfaen"/>
          <w:b w:val="0"/>
          <w:iCs/>
          <w:color w:val="000000"/>
          <w:szCs w:val="22"/>
          <w:lang w:val="hy-AM"/>
        </w:rPr>
        <w:softHyphen/>
        <w:t>նա</w:t>
      </w:r>
      <w:r w:rsidRPr="00A83C94">
        <w:rPr>
          <w:rFonts w:cs="Sylfaen"/>
          <w:b w:val="0"/>
          <w:iCs/>
          <w:color w:val="000000"/>
          <w:szCs w:val="22"/>
          <w:lang w:val="hy-AM"/>
        </w:rPr>
        <w:softHyphen/>
        <w:t>կան սկզբունքի) կիրառության համեմատությամբ: Հարկային ծախսերի սահմանման ընդ</w:t>
      </w:r>
      <w:r w:rsidRPr="00A83C94">
        <w:rPr>
          <w:rFonts w:cs="Sylfaen"/>
          <w:b w:val="0"/>
          <w:iCs/>
          <w:color w:val="000000"/>
          <w:szCs w:val="22"/>
          <w:lang w:val="hy-AM"/>
        </w:rPr>
        <w:softHyphen/>
        <w:t>հա</w:t>
      </w:r>
      <w:r w:rsidRPr="00A83C94">
        <w:rPr>
          <w:rFonts w:cs="Sylfaen"/>
          <w:b w:val="0"/>
          <w:iCs/>
          <w:color w:val="000000"/>
          <w:szCs w:val="22"/>
          <w:lang w:val="hy-AM"/>
        </w:rPr>
        <w:softHyphen/>
        <w:t>նուր սկզբունքն այն է, որ դրանք ունեն սահմանափակ կիրառության շրջանակ: Օրենս</w:t>
      </w:r>
      <w:r w:rsidRPr="00A83C94">
        <w:rPr>
          <w:rFonts w:cs="Sylfaen"/>
          <w:b w:val="0"/>
          <w:iCs/>
          <w:color w:val="000000"/>
          <w:szCs w:val="22"/>
          <w:lang w:val="hy-AM"/>
        </w:rPr>
        <w:softHyphen/>
        <w:t>դրու</w:t>
      </w:r>
      <w:r w:rsidRPr="00A83C94">
        <w:rPr>
          <w:rFonts w:cs="Sylfaen"/>
          <w:b w:val="0"/>
          <w:iCs/>
          <w:color w:val="000000"/>
          <w:szCs w:val="22"/>
          <w:lang w:val="hy-AM"/>
        </w:rPr>
        <w:softHyphen/>
        <w:t>թյան այնպիսի դրույթներ, որոնցից կարող է օգտվել հարկ վճարողների մեծա</w:t>
      </w:r>
      <w:r w:rsidRPr="00A83C94">
        <w:rPr>
          <w:rFonts w:cs="Sylfaen"/>
          <w:b w:val="0"/>
          <w:iCs/>
          <w:color w:val="000000"/>
          <w:szCs w:val="22"/>
          <w:lang w:val="hy-AM"/>
        </w:rPr>
        <w:softHyphen/>
        <w:t>մաս</w:t>
      </w:r>
      <w:r w:rsidRPr="00A83C94">
        <w:rPr>
          <w:rFonts w:cs="Sylfaen"/>
          <w:b w:val="0"/>
          <w:iCs/>
          <w:color w:val="000000"/>
          <w:szCs w:val="22"/>
          <w:lang w:val="hy-AM"/>
        </w:rPr>
        <w:softHyphen/>
        <w:t>նու</w:t>
      </w:r>
      <w:r w:rsidRPr="00A83C94">
        <w:rPr>
          <w:rFonts w:cs="Sylfaen"/>
          <w:b w:val="0"/>
          <w:iCs/>
          <w:color w:val="000000"/>
          <w:szCs w:val="22"/>
          <w:lang w:val="hy-AM"/>
        </w:rPr>
        <w:softHyphen/>
        <w:t>թյունը, դիտվում են որպես ընդհանուր կանոնի` հարկային նորմի մաս և չեն որակվում որպես հարկային ծախսեր: Կան երկրներ, որտեղ ընդհանրապես հարկային ծախ</w:t>
      </w:r>
      <w:r w:rsidRPr="00A83C94">
        <w:rPr>
          <w:rFonts w:cs="Sylfaen"/>
          <w:b w:val="0"/>
          <w:iCs/>
          <w:color w:val="000000"/>
          <w:szCs w:val="22"/>
          <w:lang w:val="hy-AM"/>
        </w:rPr>
        <w:softHyphen/>
        <w:t>սերի կամ հենա</w:t>
      </w:r>
      <w:r w:rsidRPr="00A83C94">
        <w:rPr>
          <w:rFonts w:cs="Sylfaen"/>
          <w:b w:val="0"/>
          <w:iCs/>
          <w:color w:val="000000"/>
          <w:szCs w:val="22"/>
          <w:lang w:val="hy-AM"/>
        </w:rPr>
        <w:softHyphen/>
        <w:t>նի</w:t>
      </w:r>
      <w:r w:rsidRPr="00A83C94">
        <w:rPr>
          <w:rFonts w:cs="Sylfaen"/>
          <w:b w:val="0"/>
          <w:iCs/>
          <w:color w:val="000000"/>
          <w:szCs w:val="22"/>
          <w:lang w:val="hy-AM"/>
        </w:rPr>
        <w:softHyphen/>
      </w:r>
      <w:r w:rsidRPr="00A83C94">
        <w:rPr>
          <w:rFonts w:cs="Sylfaen"/>
          <w:b w:val="0"/>
          <w:iCs/>
          <w:color w:val="000000"/>
          <w:szCs w:val="22"/>
          <w:lang w:val="hy-AM"/>
        </w:rPr>
        <w:softHyphen/>
        <w:t>շային հարկի կամ հարկային նշաձողի սահմանումներ չկան: Այս երկրնե</w:t>
      </w:r>
      <w:r w:rsidRPr="00A83C94">
        <w:rPr>
          <w:rFonts w:cs="Sylfaen"/>
          <w:b w:val="0"/>
          <w:iCs/>
          <w:color w:val="000000"/>
          <w:szCs w:val="22"/>
          <w:lang w:val="hy-AM"/>
        </w:rPr>
        <w:softHyphen/>
        <w:t>րում, օրենս</w:t>
      </w:r>
      <w:r w:rsidRPr="00A83C94">
        <w:rPr>
          <w:rFonts w:cs="Sylfaen"/>
          <w:b w:val="0"/>
          <w:iCs/>
          <w:color w:val="000000"/>
          <w:szCs w:val="22"/>
          <w:lang w:val="hy-AM"/>
        </w:rPr>
        <w:softHyphen/>
        <w:t>դրու</w:t>
      </w:r>
      <w:r w:rsidRPr="00A83C94">
        <w:rPr>
          <w:rFonts w:cs="Sylfaen"/>
          <w:b w:val="0"/>
          <w:iCs/>
          <w:color w:val="000000"/>
          <w:szCs w:val="22"/>
          <w:lang w:val="hy-AM"/>
        </w:rPr>
        <w:softHyphen/>
        <w:t>թյան առանձնա</w:t>
      </w:r>
      <w:r w:rsidRPr="00A83C94">
        <w:rPr>
          <w:rFonts w:cs="Sylfaen"/>
          <w:b w:val="0"/>
          <w:iCs/>
          <w:color w:val="000000"/>
          <w:szCs w:val="22"/>
          <w:lang w:val="hy-AM"/>
        </w:rPr>
        <w:softHyphen/>
        <w:t>հա</w:t>
      </w:r>
      <w:r w:rsidRPr="00A83C94">
        <w:rPr>
          <w:rFonts w:cs="Sylfaen"/>
          <w:b w:val="0"/>
          <w:iCs/>
          <w:color w:val="000000"/>
          <w:szCs w:val="22"/>
          <w:lang w:val="hy-AM"/>
        </w:rPr>
        <w:softHyphen/>
        <w:t>տուկ դրույթները (օրինակ, ազատումներ կամ հարկման նվազեցված դրույքաչափեր) դիտ</w:t>
      </w:r>
      <w:r w:rsidRPr="00A83C94">
        <w:rPr>
          <w:rFonts w:cs="Sylfaen"/>
          <w:b w:val="0"/>
          <w:iCs/>
          <w:color w:val="000000"/>
          <w:szCs w:val="22"/>
          <w:lang w:val="hy-AM"/>
        </w:rPr>
        <w:softHyphen/>
      </w:r>
      <w:r w:rsidRPr="00A83C94">
        <w:rPr>
          <w:rFonts w:cs="Sylfaen"/>
          <w:b w:val="0"/>
          <w:iCs/>
          <w:color w:val="000000"/>
          <w:szCs w:val="22"/>
          <w:lang w:val="hy-AM"/>
        </w:rPr>
        <w:softHyphen/>
        <w:t>վում են որպես բազային հարկային համակարգի մաս, այլ ոչ թե որպես հարկային ծախս: Ընդհանուր առմամբ, ձեռնարկատիրական գործունեության հետ կապված ազատում</w:t>
      </w:r>
      <w:r w:rsidRPr="00A83C94">
        <w:rPr>
          <w:rFonts w:cs="Sylfaen"/>
          <w:b w:val="0"/>
          <w:iCs/>
          <w:color w:val="000000"/>
          <w:szCs w:val="22"/>
          <w:lang w:val="hy-AM"/>
        </w:rPr>
        <w:softHyphen/>
        <w:t>ները երկրների այս խմբում չեն դիտարկվում որպես հարկային ծախ</w:t>
      </w:r>
      <w:r w:rsidRPr="00A83C94">
        <w:rPr>
          <w:rFonts w:cs="Sylfaen"/>
          <w:b w:val="0"/>
          <w:iCs/>
          <w:color w:val="000000"/>
          <w:szCs w:val="22"/>
          <w:lang w:val="hy-AM"/>
        </w:rPr>
        <w:softHyphen/>
        <w:t>սեր: Երրորդ խումբ երկրներում հար</w:t>
      </w:r>
      <w:r w:rsidRPr="00A83C94">
        <w:rPr>
          <w:rFonts w:cs="Sylfaen"/>
          <w:b w:val="0"/>
          <w:iCs/>
          <w:color w:val="000000"/>
          <w:szCs w:val="22"/>
          <w:lang w:val="hy-AM"/>
        </w:rPr>
        <w:softHyphen/>
        <w:t>կա</w:t>
      </w:r>
      <w:r w:rsidRPr="00A83C94">
        <w:rPr>
          <w:rFonts w:cs="Sylfaen"/>
          <w:b w:val="0"/>
          <w:iCs/>
          <w:color w:val="000000"/>
          <w:szCs w:val="22"/>
          <w:lang w:val="hy-AM"/>
        </w:rPr>
        <w:softHyphen/>
        <w:t>յին ծախսերը սահմանվում են որպես հարկային համակարգի առանձին դրույթներ, որոնք նվա</w:t>
      </w:r>
      <w:r w:rsidRPr="00A83C94">
        <w:rPr>
          <w:rFonts w:cs="Sylfaen"/>
          <w:b w:val="0"/>
          <w:iCs/>
          <w:color w:val="000000"/>
          <w:szCs w:val="22"/>
          <w:lang w:val="hy-AM"/>
        </w:rPr>
        <w:softHyphen/>
        <w:t>զեցնում են տնտեսական միավորի հարկային պարտավորությունները` որոշակի քաղա</w:t>
      </w:r>
      <w:r w:rsidRPr="00A83C94">
        <w:rPr>
          <w:rFonts w:cs="Sylfaen"/>
          <w:b w:val="0"/>
          <w:iCs/>
          <w:color w:val="000000"/>
          <w:szCs w:val="22"/>
          <w:lang w:val="hy-AM"/>
        </w:rPr>
        <w:softHyphen/>
        <w:t>քա</w:t>
      </w:r>
      <w:r w:rsidRPr="00A83C94">
        <w:rPr>
          <w:rFonts w:cs="Sylfaen"/>
          <w:b w:val="0"/>
          <w:iCs/>
          <w:color w:val="000000"/>
          <w:szCs w:val="22"/>
          <w:lang w:val="hy-AM"/>
        </w:rPr>
        <w:softHyphen/>
        <w:t>կանության նպատակներին հասնելու և ոչ թե առավել արդյունավետ և տնտեսապես չեզոք եղանակով եկամուտներ ստանալու նպա</w:t>
      </w:r>
      <w:r w:rsidRPr="00A83C94">
        <w:rPr>
          <w:rFonts w:cs="Sylfaen"/>
          <w:b w:val="0"/>
          <w:iCs/>
          <w:color w:val="000000"/>
          <w:szCs w:val="22"/>
          <w:lang w:val="hy-AM"/>
        </w:rPr>
        <w:softHyphen/>
        <w:t>տա</w:t>
      </w:r>
      <w:r w:rsidRPr="00A83C94">
        <w:rPr>
          <w:rFonts w:cs="Sylfaen"/>
          <w:b w:val="0"/>
          <w:iCs/>
          <w:color w:val="000000"/>
          <w:szCs w:val="22"/>
          <w:lang w:val="hy-AM"/>
        </w:rPr>
        <w:softHyphen/>
        <w:t>կով:</w:t>
      </w:r>
    </w:p>
    <w:p w14:paraId="7E4355A3" w14:textId="77777777" w:rsidR="00840AE8" w:rsidRPr="00A83C94" w:rsidRDefault="00840AE8" w:rsidP="00840AE8">
      <w:pPr>
        <w:pStyle w:val="NormalWeb"/>
        <w:shd w:val="clear" w:color="auto" w:fill="FFFFFF"/>
        <w:spacing w:before="0" w:beforeAutospacing="0" w:after="0" w:afterAutospacing="0" w:line="276" w:lineRule="auto"/>
        <w:rPr>
          <w:rFonts w:cs="Sylfaen"/>
          <w:b w:val="0"/>
          <w:iCs/>
          <w:color w:val="000000"/>
          <w:szCs w:val="22"/>
          <w:lang w:val="hy-AM"/>
        </w:rPr>
      </w:pPr>
      <w:r w:rsidRPr="00A83C94">
        <w:rPr>
          <w:rFonts w:cs="Sylfaen"/>
          <w:b w:val="0"/>
          <w:iCs/>
          <w:color w:val="000000"/>
          <w:szCs w:val="22"/>
          <w:lang w:val="hy-AM"/>
        </w:rPr>
        <w:t>Հաշվետվության շրջանակներում գնա</w:t>
      </w:r>
      <w:r w:rsidRPr="00A83C94">
        <w:rPr>
          <w:rFonts w:cs="Sylfaen"/>
          <w:b w:val="0"/>
          <w:iCs/>
          <w:color w:val="000000"/>
          <w:szCs w:val="22"/>
          <w:lang w:val="hy-AM"/>
        </w:rPr>
        <w:softHyphen/>
        <w:t>հատ</w:t>
      </w:r>
      <w:r w:rsidRPr="00A83C94">
        <w:rPr>
          <w:rFonts w:cs="Sylfaen"/>
          <w:b w:val="0"/>
          <w:iCs/>
          <w:color w:val="000000"/>
          <w:szCs w:val="22"/>
          <w:lang w:val="hy-AM"/>
        </w:rPr>
        <w:softHyphen/>
        <w:t>վել են ավելացված արժեքի հարկին, շահութահարկին և եկա</w:t>
      </w:r>
      <w:r w:rsidRPr="00A83C94">
        <w:rPr>
          <w:rFonts w:cs="Sylfaen"/>
          <w:b w:val="0"/>
          <w:iCs/>
          <w:color w:val="000000"/>
          <w:szCs w:val="22"/>
          <w:lang w:val="hy-AM"/>
        </w:rPr>
        <w:softHyphen/>
        <w:t>մտա</w:t>
      </w:r>
      <w:r w:rsidRPr="00A83C94">
        <w:rPr>
          <w:rFonts w:cs="Sylfaen"/>
          <w:b w:val="0"/>
          <w:iCs/>
          <w:color w:val="000000"/>
          <w:szCs w:val="22"/>
          <w:lang w:val="hy-AM"/>
        </w:rPr>
        <w:softHyphen/>
        <w:t>յին հարկին վերա</w:t>
      </w:r>
      <w:r w:rsidRPr="00A83C94">
        <w:rPr>
          <w:rFonts w:cs="Sylfaen"/>
          <w:b w:val="0"/>
          <w:iCs/>
          <w:color w:val="000000"/>
          <w:szCs w:val="22"/>
          <w:lang w:val="hy-AM"/>
        </w:rPr>
        <w:softHyphen/>
        <w:t>բե</w:t>
      </w:r>
      <w:r w:rsidRPr="00A83C94">
        <w:rPr>
          <w:rFonts w:cs="Sylfaen"/>
          <w:b w:val="0"/>
          <w:iCs/>
          <w:color w:val="000000"/>
          <w:szCs w:val="22"/>
          <w:lang w:val="hy-AM"/>
        </w:rPr>
        <w:softHyphen/>
      </w:r>
      <w:r w:rsidRPr="00A83C94">
        <w:rPr>
          <w:rFonts w:cs="Sylfaen"/>
          <w:b w:val="0"/>
          <w:iCs/>
          <w:color w:val="000000"/>
          <w:szCs w:val="22"/>
          <w:lang w:val="hy-AM"/>
        </w:rPr>
        <w:softHyphen/>
        <w:t>րող հիմնական (ընդգրկուն) հարկային արտոնությունների ու ավե</w:t>
      </w:r>
      <w:r w:rsidRPr="00A83C94">
        <w:rPr>
          <w:rFonts w:cs="Sylfaen"/>
          <w:b w:val="0"/>
          <w:iCs/>
          <w:color w:val="000000"/>
          <w:szCs w:val="22"/>
          <w:lang w:val="hy-AM"/>
        </w:rPr>
        <w:softHyphen/>
        <w:t>լացված արժեքի հարկի չհարկվող շեմի կիրառության հետևան</w:t>
      </w:r>
      <w:r w:rsidRPr="00A83C94">
        <w:rPr>
          <w:rFonts w:cs="Sylfaen"/>
          <w:b w:val="0"/>
          <w:iCs/>
          <w:color w:val="000000"/>
          <w:szCs w:val="22"/>
          <w:lang w:val="hy-AM"/>
        </w:rPr>
        <w:softHyphen/>
        <w:t>քով պետական բյուջե չգանձ</w:t>
      </w:r>
      <w:r w:rsidRPr="00A83C94">
        <w:rPr>
          <w:rFonts w:cs="Sylfaen"/>
          <w:b w:val="0"/>
          <w:iCs/>
          <w:color w:val="000000"/>
          <w:szCs w:val="22"/>
          <w:lang w:val="hy-AM"/>
        </w:rPr>
        <w:softHyphen/>
      </w:r>
      <w:r w:rsidRPr="00A83C94">
        <w:rPr>
          <w:rFonts w:cs="Sylfaen"/>
          <w:b w:val="0"/>
          <w:iCs/>
          <w:color w:val="000000"/>
          <w:szCs w:val="22"/>
          <w:lang w:val="hy-AM"/>
        </w:rPr>
        <w:softHyphen/>
        <w:t>վող (պակաս գանձ</w:t>
      </w:r>
      <w:r w:rsidRPr="00A83C94">
        <w:rPr>
          <w:rFonts w:cs="Sylfaen"/>
          <w:b w:val="0"/>
          <w:iCs/>
          <w:color w:val="000000"/>
          <w:szCs w:val="22"/>
          <w:lang w:val="hy-AM"/>
        </w:rPr>
        <w:softHyphen/>
        <w:t>վող) հար</w:t>
      </w:r>
      <w:r w:rsidRPr="00A83C94">
        <w:rPr>
          <w:rFonts w:cs="Sylfaen"/>
          <w:b w:val="0"/>
          <w:iCs/>
          <w:color w:val="000000"/>
          <w:szCs w:val="22"/>
          <w:lang w:val="hy-AM"/>
        </w:rPr>
        <w:softHyphen/>
        <w:t>կային եկամուտները: Սույն հաշվետվությամբ մեր կող</w:t>
      </w:r>
      <w:r w:rsidRPr="00A83C94">
        <w:rPr>
          <w:rFonts w:cs="Sylfaen"/>
          <w:b w:val="0"/>
          <w:iCs/>
          <w:color w:val="000000"/>
          <w:szCs w:val="22"/>
          <w:lang w:val="hy-AM"/>
        </w:rPr>
        <w:softHyphen/>
        <w:t>մից կատար</w:t>
      </w:r>
      <w:r w:rsidRPr="00A83C94">
        <w:rPr>
          <w:rFonts w:cs="Sylfaen"/>
          <w:b w:val="0"/>
          <w:iCs/>
          <w:color w:val="000000"/>
          <w:szCs w:val="22"/>
          <w:lang w:val="hy-AM"/>
        </w:rPr>
        <w:softHyphen/>
        <w:t>վող ուսում</w:t>
      </w:r>
      <w:r w:rsidRPr="00A83C94">
        <w:rPr>
          <w:rFonts w:cs="Sylfaen"/>
          <w:b w:val="0"/>
          <w:iCs/>
          <w:color w:val="000000"/>
          <w:szCs w:val="22"/>
          <w:lang w:val="hy-AM"/>
        </w:rPr>
        <w:softHyphen/>
        <w:t>նա</w:t>
      </w:r>
      <w:r w:rsidRPr="00A83C94">
        <w:rPr>
          <w:rFonts w:cs="Sylfaen"/>
          <w:b w:val="0"/>
          <w:iCs/>
          <w:color w:val="000000"/>
          <w:szCs w:val="22"/>
          <w:lang w:val="hy-AM"/>
        </w:rPr>
        <w:softHyphen/>
        <w:t>սի</w:t>
      </w:r>
      <w:r w:rsidRPr="00A83C94">
        <w:rPr>
          <w:rFonts w:cs="Sylfaen"/>
          <w:b w:val="0"/>
          <w:iCs/>
          <w:color w:val="000000"/>
          <w:szCs w:val="22"/>
          <w:lang w:val="hy-AM"/>
        </w:rPr>
        <w:softHyphen/>
        <w:t>րու</w:t>
      </w:r>
      <w:r w:rsidRPr="00A83C94">
        <w:rPr>
          <w:rFonts w:cs="Sylfaen"/>
          <w:b w:val="0"/>
          <w:iCs/>
          <w:color w:val="000000"/>
          <w:szCs w:val="22"/>
          <w:lang w:val="hy-AM"/>
        </w:rPr>
        <w:softHyphen/>
        <w:t>թյուն</w:t>
      </w:r>
      <w:r w:rsidRPr="00A83C94">
        <w:rPr>
          <w:rFonts w:cs="Sylfaen"/>
          <w:b w:val="0"/>
          <w:iCs/>
          <w:color w:val="000000"/>
          <w:szCs w:val="22"/>
          <w:lang w:val="hy-AM"/>
        </w:rPr>
        <w:softHyphen/>
        <w:t>ներն ու գնա</w:t>
      </w:r>
      <w:r w:rsidRPr="00A83C94">
        <w:rPr>
          <w:rFonts w:cs="Sylfaen"/>
          <w:b w:val="0"/>
          <w:iCs/>
          <w:color w:val="000000"/>
          <w:szCs w:val="22"/>
          <w:lang w:val="hy-AM"/>
        </w:rPr>
        <w:softHyphen/>
        <w:t>հա</w:t>
      </w:r>
      <w:r w:rsidRPr="00A83C94">
        <w:rPr>
          <w:rFonts w:cs="Sylfaen"/>
          <w:b w:val="0"/>
          <w:iCs/>
          <w:color w:val="000000"/>
          <w:szCs w:val="22"/>
          <w:lang w:val="hy-AM"/>
        </w:rPr>
        <w:softHyphen/>
        <w:t>տականներն առավել ընդ</w:t>
      </w:r>
      <w:r w:rsidRPr="00A83C94">
        <w:rPr>
          <w:rFonts w:cs="Sylfaen"/>
          <w:b w:val="0"/>
          <w:iCs/>
          <w:color w:val="000000"/>
          <w:szCs w:val="22"/>
          <w:lang w:val="hy-AM"/>
        </w:rPr>
        <w:softHyphen/>
        <w:t>գր</w:t>
      </w:r>
      <w:r w:rsidRPr="00A83C94">
        <w:rPr>
          <w:rFonts w:cs="Sylfaen"/>
          <w:b w:val="0"/>
          <w:iCs/>
          <w:color w:val="000000"/>
          <w:szCs w:val="22"/>
          <w:lang w:val="hy-AM"/>
        </w:rPr>
        <w:softHyphen/>
        <w:t>կուն և տար</w:t>
      </w:r>
      <w:r w:rsidRPr="00A83C94">
        <w:rPr>
          <w:rFonts w:cs="Sylfaen"/>
          <w:b w:val="0"/>
          <w:iCs/>
          <w:color w:val="000000"/>
          <w:szCs w:val="22"/>
          <w:lang w:val="hy-AM"/>
        </w:rPr>
        <w:softHyphen/>
        <w:t>բերակված լինելու նպատակով` ընդլայնվել են գնահատվող ԱԱՀ-ի և շահութահարկի հար</w:t>
      </w:r>
      <w:r w:rsidRPr="00A83C94">
        <w:rPr>
          <w:rFonts w:cs="Sylfaen"/>
          <w:b w:val="0"/>
          <w:iCs/>
          <w:color w:val="000000"/>
          <w:szCs w:val="22"/>
          <w:lang w:val="hy-AM"/>
        </w:rPr>
        <w:softHyphen/>
        <w:t>կա</w:t>
      </w:r>
      <w:r w:rsidRPr="00A83C94">
        <w:rPr>
          <w:rFonts w:cs="Sylfaen"/>
          <w:b w:val="0"/>
          <w:iCs/>
          <w:color w:val="000000"/>
          <w:szCs w:val="22"/>
          <w:lang w:val="hy-AM"/>
        </w:rPr>
        <w:softHyphen/>
        <w:t>յին արտոնու</w:t>
      </w:r>
      <w:r w:rsidRPr="00A83C94">
        <w:rPr>
          <w:rFonts w:cs="Sylfaen"/>
          <w:b w:val="0"/>
          <w:iCs/>
          <w:color w:val="000000"/>
          <w:szCs w:val="22"/>
          <w:lang w:val="hy-AM"/>
        </w:rPr>
        <w:softHyphen/>
        <w:t>թյուն</w:t>
      </w:r>
      <w:r w:rsidRPr="00A83C94">
        <w:rPr>
          <w:rFonts w:cs="Sylfaen"/>
          <w:b w:val="0"/>
          <w:iCs/>
          <w:color w:val="000000"/>
          <w:szCs w:val="22"/>
          <w:lang w:val="hy-AM"/>
        </w:rPr>
        <w:softHyphen/>
        <w:t>ների տեսակ</w:t>
      </w:r>
      <w:r w:rsidRPr="00A83C94">
        <w:rPr>
          <w:rFonts w:cs="Sylfaen"/>
          <w:b w:val="0"/>
          <w:iCs/>
          <w:color w:val="000000"/>
          <w:szCs w:val="22"/>
          <w:lang w:val="hy-AM"/>
        </w:rPr>
        <w:softHyphen/>
        <w:t>ները, այդ թվում՝ հիմնվելով հարկ վճարողների կողմից հարկային մարմին ներկայացված հարկային հաշվարկներով արտացոլված տվյալների վրա:</w:t>
      </w:r>
    </w:p>
    <w:p w14:paraId="78395CF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p>
    <w:p w14:paraId="4BAFD787"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Հարկային ծախսերի մասին հաշվետվություննների կազմման ու ներկայացման</w:t>
      </w:r>
    </w:p>
    <w:p w14:paraId="33EC3C9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միջազգային փորձը.</w:t>
      </w:r>
    </w:p>
    <w:p w14:paraId="08DE6CC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մասին հաշվետվությունների կազմումն ու ներկայացումը ընդուն</w:t>
      </w:r>
      <w:r w:rsidRPr="00A83C94">
        <w:rPr>
          <w:rFonts w:cs="Sylfaen"/>
          <w:b w:val="0"/>
          <w:color w:val="000000"/>
          <w:szCs w:val="22"/>
          <w:lang w:val="hy-AM"/>
        </w:rPr>
        <w:softHyphen/>
        <w:t>ված ու տարածված գործելակերպ է Եվրոպական Միության ու Տնտեսական համագոր</w:t>
      </w:r>
      <w:r w:rsidRPr="00A83C94">
        <w:rPr>
          <w:rFonts w:cs="Sylfaen"/>
          <w:b w:val="0"/>
          <w:color w:val="000000"/>
          <w:szCs w:val="22"/>
          <w:lang w:val="hy-AM"/>
        </w:rPr>
        <w:softHyphen/>
        <w:t>ծակ</w:t>
      </w:r>
      <w:r w:rsidRPr="00A83C94">
        <w:rPr>
          <w:rFonts w:cs="Sylfaen"/>
          <w:b w:val="0"/>
          <w:color w:val="000000"/>
          <w:szCs w:val="22"/>
          <w:lang w:val="hy-AM"/>
        </w:rPr>
        <w:softHyphen/>
        <w:t>ցու</w:t>
      </w:r>
      <w:r w:rsidRPr="00A83C94">
        <w:rPr>
          <w:rFonts w:cs="Sylfaen"/>
          <w:b w:val="0"/>
          <w:color w:val="000000"/>
          <w:szCs w:val="22"/>
          <w:lang w:val="hy-AM"/>
        </w:rPr>
        <w:softHyphen/>
        <w:t>թյան և զարգացման կազմակերպության անդամ երկրների մեծ մասում:</w:t>
      </w:r>
    </w:p>
    <w:p w14:paraId="580050B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վերաբերյալ առաջին հաշվետվությունները կազմվել են 1960-ական թվականների վերջերին Գերմանիայում և Ամերիկայի Միացյալ Նահանգներում: 1970-ական թվականների վերջին հարկային ծախսերի մասին հաշվետվություններ սկսեցին կազմ</w:t>
      </w:r>
      <w:r w:rsidRPr="00A83C94">
        <w:rPr>
          <w:rFonts w:cs="Sylfaen"/>
          <w:b w:val="0"/>
          <w:color w:val="000000"/>
          <w:szCs w:val="22"/>
          <w:lang w:val="hy-AM"/>
        </w:rPr>
        <w:softHyphen/>
        <w:t>վել նաև Ավստրիայում, Կանադայում, Իսպանիայում և Միացյալ Թագավորությունում:</w:t>
      </w:r>
    </w:p>
    <w:p w14:paraId="1F25FD7D"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տարեկան հաշվետվությունները կազմվում և հրապարակվում են հար</w:t>
      </w:r>
      <w:r w:rsidRPr="00A83C94">
        <w:rPr>
          <w:rFonts w:cs="Sylfaen"/>
          <w:b w:val="0"/>
          <w:color w:val="000000"/>
          <w:szCs w:val="22"/>
          <w:lang w:val="hy-AM"/>
        </w:rPr>
        <w:softHyphen/>
      </w:r>
      <w:r w:rsidRPr="00A83C94">
        <w:rPr>
          <w:rFonts w:cs="Sylfaen"/>
          <w:b w:val="0"/>
          <w:color w:val="000000"/>
          <w:szCs w:val="22"/>
          <w:lang w:val="hy-AM"/>
        </w:rPr>
        <w:softHyphen/>
      </w:r>
      <w:r w:rsidRPr="00A83C94">
        <w:rPr>
          <w:rFonts w:cs="Sylfaen"/>
          <w:b w:val="0"/>
          <w:color w:val="000000"/>
          <w:szCs w:val="22"/>
          <w:lang w:val="hy-AM"/>
        </w:rPr>
        <w:softHyphen/>
        <w:t>կային արտոնությունների կիրառության արդյունքում չգանձվող հարկային եկա</w:t>
      </w:r>
      <w:r w:rsidRPr="00A83C94">
        <w:rPr>
          <w:rFonts w:cs="Sylfaen"/>
          <w:b w:val="0"/>
          <w:color w:val="000000"/>
          <w:szCs w:val="22"/>
          <w:lang w:val="hy-AM"/>
        </w:rPr>
        <w:softHyphen/>
        <w:t>մուտ</w:t>
      </w:r>
      <w:r w:rsidRPr="00A83C94">
        <w:rPr>
          <w:rFonts w:cs="Sylfaen"/>
          <w:b w:val="0"/>
          <w:color w:val="000000"/>
          <w:szCs w:val="22"/>
          <w:lang w:val="hy-AM"/>
        </w:rPr>
        <w:softHyphen/>
        <w:t>ների մեծությունը ուշադրության կենտրոնում պահելու, հարկային արտոնությունների շրջա</w:t>
      </w:r>
      <w:r w:rsidRPr="00A83C94">
        <w:rPr>
          <w:rFonts w:cs="Sylfaen"/>
          <w:b w:val="0"/>
          <w:color w:val="000000"/>
          <w:szCs w:val="22"/>
          <w:lang w:val="hy-AM"/>
        </w:rPr>
        <w:softHyphen/>
        <w:t>նակի վերանայման վերաբերյալ քաղաքական որոշումներ կայացնելու, ինչպես նաև հար</w:t>
      </w:r>
      <w:r w:rsidRPr="00A83C94">
        <w:rPr>
          <w:rFonts w:cs="Sylfaen"/>
          <w:b w:val="0"/>
          <w:color w:val="000000"/>
          <w:szCs w:val="22"/>
          <w:lang w:val="hy-AM"/>
        </w:rPr>
        <w:softHyphen/>
        <w:t>կա</w:t>
      </w:r>
      <w:r w:rsidRPr="00A83C94">
        <w:rPr>
          <w:rFonts w:cs="Sylfaen"/>
          <w:b w:val="0"/>
          <w:color w:val="000000"/>
          <w:szCs w:val="22"/>
          <w:lang w:val="hy-AM"/>
        </w:rPr>
        <w:softHyphen/>
        <w:t>բյու</w:t>
      </w:r>
      <w:r w:rsidRPr="00A83C94">
        <w:rPr>
          <w:rFonts w:cs="Sylfaen"/>
          <w:b w:val="0"/>
          <w:color w:val="000000"/>
          <w:szCs w:val="22"/>
          <w:lang w:val="hy-AM"/>
        </w:rPr>
        <w:softHyphen/>
        <w:t>ջետային քաղաքականության թափանցիկությունն ու Կառավարության հաշվետվո</w:t>
      </w:r>
      <w:r w:rsidRPr="00A83C94">
        <w:rPr>
          <w:rFonts w:cs="Sylfaen"/>
          <w:b w:val="0"/>
          <w:color w:val="000000"/>
          <w:szCs w:val="22"/>
          <w:lang w:val="hy-AM"/>
        </w:rPr>
        <w:softHyphen/>
        <w:t>ղա</w:t>
      </w:r>
      <w:r w:rsidRPr="00A83C94">
        <w:rPr>
          <w:rFonts w:cs="Sylfaen"/>
          <w:b w:val="0"/>
          <w:color w:val="000000"/>
          <w:szCs w:val="22"/>
          <w:lang w:val="hy-AM"/>
        </w:rPr>
        <w:softHyphen/>
        <w:t>կա</w:t>
      </w:r>
      <w:r w:rsidRPr="00A83C94">
        <w:rPr>
          <w:rFonts w:cs="Sylfaen"/>
          <w:b w:val="0"/>
          <w:color w:val="000000"/>
          <w:szCs w:val="22"/>
          <w:lang w:val="hy-AM"/>
        </w:rPr>
        <w:softHyphen/>
        <w:t>նու</w:t>
      </w:r>
      <w:r w:rsidRPr="00A83C94">
        <w:rPr>
          <w:rFonts w:cs="Sylfaen"/>
          <w:b w:val="0"/>
          <w:color w:val="000000"/>
          <w:szCs w:val="22"/>
          <w:lang w:val="hy-AM"/>
        </w:rPr>
        <w:softHyphen/>
        <w:t>թյունն ապահովելու նպատակով:</w:t>
      </w:r>
    </w:p>
    <w:p w14:paraId="0F7A58F0"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Ավստրիայում, Բելգիայում, Ֆրանսիայում, Գերմանիայում, Պորտուգալիայում, Իսպա</w:t>
      </w:r>
      <w:r w:rsidRPr="00A83C94">
        <w:rPr>
          <w:rFonts w:cs="Sylfaen"/>
          <w:b w:val="0"/>
          <w:color w:val="000000"/>
          <w:szCs w:val="22"/>
          <w:lang w:val="hy-AM"/>
        </w:rPr>
        <w:softHyphen/>
        <w:t>նիա</w:t>
      </w:r>
      <w:r w:rsidRPr="00A83C94">
        <w:rPr>
          <w:rFonts w:cs="Sylfaen"/>
          <w:b w:val="0"/>
          <w:color w:val="000000"/>
          <w:szCs w:val="22"/>
          <w:lang w:val="hy-AM"/>
        </w:rPr>
        <w:softHyphen/>
        <w:t>յում և Միացյալ Թագավորությունում հարկային ծախսերի մասին հաշվետվությունների կազ</w:t>
      </w:r>
      <w:r w:rsidRPr="00A83C94">
        <w:rPr>
          <w:rFonts w:cs="Sylfaen"/>
          <w:b w:val="0"/>
          <w:color w:val="000000"/>
          <w:szCs w:val="22"/>
          <w:lang w:val="hy-AM"/>
        </w:rPr>
        <w:softHyphen/>
        <w:t>մումն ու հրապարակումը կարգավորվում է օրենքով: Նշյալ հաշվետվությունները ուղղա</w:t>
      </w:r>
      <w:r w:rsidRPr="00A83C94">
        <w:rPr>
          <w:rFonts w:cs="Sylfaen"/>
          <w:b w:val="0"/>
          <w:color w:val="000000"/>
          <w:szCs w:val="22"/>
          <w:lang w:val="hy-AM"/>
        </w:rPr>
        <w:softHyphen/>
        <w:t>կիո</w:t>
      </w:r>
      <w:r w:rsidRPr="00A83C94">
        <w:rPr>
          <w:rFonts w:cs="Sylfaen"/>
          <w:b w:val="0"/>
          <w:color w:val="000000"/>
          <w:szCs w:val="22"/>
          <w:lang w:val="hy-AM"/>
        </w:rPr>
        <w:softHyphen/>
        <w:t>րեն կապված են պետական բյուջեի հետ, իսկ դրանց կազմումը բյուջետային գործըն</w:t>
      </w:r>
      <w:r w:rsidRPr="00A83C94">
        <w:rPr>
          <w:rFonts w:cs="Sylfaen"/>
          <w:b w:val="0"/>
          <w:color w:val="000000"/>
          <w:szCs w:val="22"/>
          <w:lang w:val="hy-AM"/>
        </w:rPr>
        <w:softHyphen/>
        <w:t>թացի կարևոր բաղկացուցիչներից է:</w:t>
      </w:r>
    </w:p>
    <w:p w14:paraId="63B2AF5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մասին հաշվետվությունների կազմումն ու ներկայացումը հիմնա</w:t>
      </w:r>
      <w:r w:rsidRPr="00A83C94">
        <w:rPr>
          <w:rFonts w:cs="Sylfaen"/>
          <w:b w:val="0"/>
          <w:color w:val="000000"/>
          <w:szCs w:val="22"/>
          <w:lang w:val="hy-AM"/>
        </w:rPr>
        <w:softHyphen/>
        <w:t>կա</w:t>
      </w:r>
      <w:r w:rsidRPr="00A83C94">
        <w:rPr>
          <w:rFonts w:cs="Sylfaen"/>
          <w:b w:val="0"/>
          <w:color w:val="000000"/>
          <w:szCs w:val="22"/>
          <w:lang w:val="hy-AM"/>
        </w:rPr>
        <w:softHyphen/>
        <w:t>նում կատարվում է տարեկան պարբերականությամբ, թեև կան երկրներ, որոնք այս հաշ</w:t>
      </w:r>
      <w:r w:rsidRPr="00A83C94">
        <w:rPr>
          <w:rFonts w:cs="Sylfaen"/>
          <w:b w:val="0"/>
          <w:color w:val="000000"/>
          <w:szCs w:val="22"/>
          <w:lang w:val="hy-AM"/>
        </w:rPr>
        <w:softHyphen/>
        <w:t>վետ</w:t>
      </w:r>
      <w:r w:rsidRPr="00A83C94">
        <w:rPr>
          <w:rFonts w:cs="Sylfaen"/>
          <w:b w:val="0"/>
          <w:color w:val="000000"/>
          <w:szCs w:val="22"/>
          <w:lang w:val="hy-AM"/>
        </w:rPr>
        <w:softHyphen/>
        <w:t>վությունները կազմում և ներկայացնում են երկու կամ երեք տարին մեկ անգամ:</w:t>
      </w:r>
    </w:p>
    <w:p w14:paraId="58FCEF9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p>
    <w:p w14:paraId="7A7FADD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Հարկային ծախսերի մասին հաշվետվության կազմման ու ներկայացման</w:t>
      </w:r>
    </w:p>
    <w:p w14:paraId="0F3E2B31"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անհրաժեշտությունը Հայաստանի Հանրապետությունում.</w:t>
      </w:r>
    </w:p>
    <w:p w14:paraId="5F0BAEEC"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Սույն փաստաթուղթը Հայաստանի Հանրապետությունում իրականացվող բյուջետային գործ</w:t>
      </w:r>
      <w:r w:rsidRPr="00A83C94">
        <w:rPr>
          <w:rFonts w:cs="Sylfaen"/>
          <w:b w:val="0"/>
          <w:color w:val="000000"/>
          <w:szCs w:val="22"/>
          <w:lang w:val="hy-AM"/>
        </w:rPr>
        <w:softHyphen/>
        <w:t>ընթացի շրջանակներում հարկային ծախսերի գնահատման ութերորդ հաշվետվությունն է: Թեև մեր երկրի օրենսդրությամբ հարկային ծախսերի մասին հաշվետվություն կազմելու և ներ</w:t>
      </w:r>
      <w:r w:rsidRPr="00A83C94">
        <w:rPr>
          <w:rFonts w:cs="Sylfaen"/>
          <w:b w:val="0"/>
          <w:color w:val="000000"/>
          <w:szCs w:val="22"/>
          <w:lang w:val="hy-AM"/>
        </w:rPr>
        <w:softHyphen/>
        <w:t>կայացնելու պահանջ նախատեսված չէ, այդուհանդերձ կարևորելով այսպիսի փաստա</w:t>
      </w:r>
      <w:r w:rsidRPr="00A83C94">
        <w:rPr>
          <w:rFonts w:cs="Sylfaen"/>
          <w:b w:val="0"/>
          <w:color w:val="000000"/>
          <w:szCs w:val="22"/>
          <w:lang w:val="hy-AM"/>
        </w:rPr>
        <w:softHyphen/>
        <w:t>թղթերի դերը հանրային ֆինանսների կառավարման թափանցիկության անհրաժեշտ մակար</w:t>
      </w:r>
      <w:r w:rsidRPr="00A83C94">
        <w:rPr>
          <w:rFonts w:cs="Sylfaen"/>
          <w:b w:val="0"/>
          <w:color w:val="000000"/>
          <w:szCs w:val="22"/>
          <w:lang w:val="hy-AM"/>
        </w:rPr>
        <w:softHyphen/>
        <w:t>դակի ապահովման գործում՝ Կառավարությունը մտադիր է հարկային ծախսերի մասին ամենամյա հաշվետվությունների կազմումն ու ներկայացումը դարձնել բյուջետային գործ</w:t>
      </w:r>
      <w:r w:rsidRPr="00A83C94">
        <w:rPr>
          <w:rFonts w:cs="Sylfaen"/>
          <w:b w:val="0"/>
          <w:color w:val="000000"/>
          <w:szCs w:val="22"/>
          <w:lang w:val="hy-AM"/>
        </w:rPr>
        <w:softHyphen/>
        <w:t>ընթացի կարևոր բաղկացուցիչ:</w:t>
      </w:r>
    </w:p>
    <w:p w14:paraId="5E426F72"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Մյուս կողմից, հարկային ծախսերի մասին այսպիսի փաստաթղթի կազմումը հնա</w:t>
      </w:r>
      <w:r w:rsidRPr="00A83C94">
        <w:rPr>
          <w:rFonts w:cs="Sylfaen"/>
          <w:b w:val="0"/>
          <w:color w:val="000000"/>
          <w:szCs w:val="22"/>
          <w:lang w:val="hy-AM"/>
        </w:rPr>
        <w:softHyphen/>
        <w:t>րա</w:t>
      </w:r>
      <w:r w:rsidRPr="00A83C94">
        <w:rPr>
          <w:rFonts w:cs="Sylfaen"/>
          <w:b w:val="0"/>
          <w:color w:val="000000"/>
          <w:szCs w:val="22"/>
          <w:lang w:val="hy-AM"/>
        </w:rPr>
        <w:softHyphen/>
        <w:t>վո</w:t>
      </w:r>
      <w:r w:rsidRPr="00A83C94">
        <w:rPr>
          <w:rFonts w:cs="Sylfaen"/>
          <w:b w:val="0"/>
          <w:color w:val="000000"/>
          <w:szCs w:val="22"/>
          <w:lang w:val="hy-AM"/>
        </w:rPr>
        <w:softHyphen/>
        <w:t>րություն կընձեռի առավել համապարփակ ձևով գնահատել գործող հարկային արտոնու</w:t>
      </w:r>
      <w:r w:rsidRPr="00A83C94">
        <w:rPr>
          <w:rFonts w:cs="Sylfaen"/>
          <w:b w:val="0"/>
          <w:color w:val="000000"/>
          <w:szCs w:val="22"/>
          <w:lang w:val="hy-AM"/>
        </w:rPr>
        <w:softHyphen/>
        <w:t>թյուն</w:t>
      </w:r>
      <w:r w:rsidRPr="00A83C94">
        <w:rPr>
          <w:rFonts w:cs="Sylfaen"/>
          <w:b w:val="0"/>
          <w:color w:val="000000"/>
          <w:szCs w:val="22"/>
          <w:lang w:val="hy-AM"/>
        </w:rPr>
        <w:softHyphen/>
        <w:t>ների արդյունավետությունը, դրանց հետագա կիրառության նպատակահարմա</w:t>
      </w:r>
      <w:r w:rsidRPr="00A83C94">
        <w:rPr>
          <w:rFonts w:cs="Sylfaen"/>
          <w:b w:val="0"/>
          <w:color w:val="000000"/>
          <w:szCs w:val="22"/>
          <w:lang w:val="hy-AM"/>
        </w:rPr>
        <w:softHyphen/>
        <w:t>րու</w:t>
      </w:r>
      <w:r w:rsidRPr="00A83C94">
        <w:rPr>
          <w:rFonts w:cs="Sylfaen"/>
          <w:b w:val="0"/>
          <w:color w:val="000000"/>
          <w:szCs w:val="22"/>
          <w:lang w:val="hy-AM"/>
        </w:rPr>
        <w:softHyphen/>
        <w:t>թյունը կամ հարկային արտոնությունները կրճատելու հնարավորություններն ու սահմանա</w:t>
      </w:r>
      <w:r w:rsidRPr="00A83C94">
        <w:rPr>
          <w:rFonts w:cs="Sylfaen"/>
          <w:b w:val="0"/>
          <w:color w:val="000000"/>
          <w:szCs w:val="22"/>
          <w:lang w:val="hy-AM"/>
        </w:rPr>
        <w:softHyphen/>
        <w:t>փա</w:t>
      </w:r>
      <w:r w:rsidRPr="00A83C94">
        <w:rPr>
          <w:rFonts w:cs="Sylfaen"/>
          <w:b w:val="0"/>
          <w:color w:val="000000"/>
          <w:szCs w:val="22"/>
          <w:lang w:val="hy-AM"/>
        </w:rPr>
        <w:softHyphen/>
        <w:t>կումները:</w:t>
      </w:r>
    </w:p>
    <w:p w14:paraId="35BA4ED8"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Բացի այդ, հարկային ծախսերի գնահատմամբ Կառավարությունը ընդհանրացնում է երկրի ռեսուրսային ներուժի վերաբերյալ պատկերացումները, ինչը շատ կարևոր է՝ գնա</w:t>
      </w:r>
      <w:r w:rsidRPr="00A83C94">
        <w:rPr>
          <w:rFonts w:cs="Sylfaen"/>
          <w:b w:val="0"/>
          <w:color w:val="000000"/>
          <w:szCs w:val="22"/>
          <w:lang w:val="hy-AM"/>
        </w:rPr>
        <w:softHyphen/>
        <w:t>հա</w:t>
      </w:r>
      <w:r w:rsidRPr="00A83C94">
        <w:rPr>
          <w:rFonts w:cs="Sylfaen"/>
          <w:b w:val="0"/>
          <w:color w:val="000000"/>
          <w:szCs w:val="22"/>
          <w:lang w:val="hy-AM"/>
        </w:rPr>
        <w:softHyphen/>
        <w:t>տելու համար Կառավարության առջև դրված համակարգային խնդիրների լուծման եղանակները:</w:t>
      </w:r>
    </w:p>
    <w:p w14:paraId="476F738F" w14:textId="77777777" w:rsidR="00840AE8" w:rsidRPr="00A83C94" w:rsidRDefault="00840AE8" w:rsidP="00840AE8">
      <w:pPr>
        <w:pStyle w:val="NormalWeb"/>
        <w:shd w:val="clear" w:color="auto" w:fill="FFFFFF"/>
        <w:spacing w:before="0" w:beforeAutospacing="0" w:after="0" w:afterAutospacing="0" w:line="276" w:lineRule="auto"/>
        <w:rPr>
          <w:rFonts w:cs="Sylfaen"/>
          <w:b w:val="0"/>
          <w:i/>
          <w:iCs/>
          <w:color w:val="000000"/>
          <w:szCs w:val="22"/>
          <w:lang w:val="hy-AM"/>
        </w:rPr>
      </w:pPr>
    </w:p>
    <w:p w14:paraId="19B10C8B" w14:textId="77777777" w:rsidR="00840AE8" w:rsidRPr="00A83C94" w:rsidRDefault="00840AE8" w:rsidP="00840AE8">
      <w:pPr>
        <w:pStyle w:val="NormalWeb"/>
        <w:shd w:val="clear" w:color="auto" w:fill="FFFFFF"/>
        <w:spacing w:before="0" w:beforeAutospacing="0" w:after="0" w:afterAutospacing="0" w:line="276" w:lineRule="auto"/>
        <w:ind w:left="567"/>
        <w:rPr>
          <w:rFonts w:cs="Sylfaen"/>
          <w:b w:val="0"/>
          <w:color w:val="000000"/>
          <w:szCs w:val="22"/>
          <w:u w:val="single"/>
          <w:lang w:val="hy-AM"/>
        </w:rPr>
      </w:pPr>
      <w:r w:rsidRPr="00A83C94">
        <w:rPr>
          <w:rFonts w:cs="Sylfaen"/>
          <w:b w:val="0"/>
          <w:color w:val="000000"/>
          <w:szCs w:val="22"/>
          <w:u w:val="single"/>
          <w:lang w:val="hy-AM"/>
        </w:rPr>
        <w:t>Հարկային ծախսերի հաշվետվության ներկայացման կարևորությունը հարկային արտոնությունների շրջանակը վերանայելու տեսանկյունից.</w:t>
      </w:r>
    </w:p>
    <w:p w14:paraId="383AF0E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Հայաստանյան հարկային համակարգի ձևավորման ու զարգացման ողջ ընթացքում հար</w:t>
      </w:r>
      <w:r w:rsidRPr="00A83C94">
        <w:rPr>
          <w:rFonts w:cs="Sylfaen"/>
          <w:b w:val="0"/>
          <w:color w:val="000000"/>
          <w:szCs w:val="22"/>
          <w:lang w:val="hy-AM"/>
        </w:rPr>
        <w:softHyphen/>
        <w:t>կային օրենսդրությամբ նախատեսված են եղել տարբեր հարկային արտոնություններ, որոնց շրջանակը հարկային քաղաքականության իրականացման տարբեր փուլերում, կախ</w:t>
      </w:r>
      <w:r w:rsidRPr="00A83C94">
        <w:rPr>
          <w:rFonts w:cs="Sylfaen"/>
          <w:b w:val="0"/>
          <w:color w:val="000000"/>
          <w:szCs w:val="22"/>
          <w:lang w:val="hy-AM"/>
        </w:rPr>
        <w:softHyphen/>
        <w:t>ված տնտեսության զարգացման տեմպերից, առաջնահերթություններից ու մարտահրավեր</w:t>
      </w:r>
      <w:r w:rsidRPr="00A83C94">
        <w:rPr>
          <w:rFonts w:cs="Sylfaen"/>
          <w:b w:val="0"/>
          <w:color w:val="000000"/>
          <w:szCs w:val="22"/>
          <w:lang w:val="hy-AM"/>
        </w:rPr>
        <w:softHyphen/>
        <w:t>նե</w:t>
      </w:r>
      <w:r w:rsidRPr="00A83C94">
        <w:rPr>
          <w:rFonts w:cs="Sylfaen"/>
          <w:b w:val="0"/>
          <w:color w:val="000000"/>
          <w:szCs w:val="22"/>
          <w:lang w:val="hy-AM"/>
        </w:rPr>
        <w:softHyphen/>
        <w:t>րից, մշտապես վերանայվել է: Որոշ հարկային արտոնություններ ժամանակավոր բնույթ են ունեցել (օրինակ` օտարերկրյա ներդրումներով ռեզիդենտ կազմակերպությունների` շահու</w:t>
      </w:r>
      <w:r w:rsidRPr="00A83C94">
        <w:rPr>
          <w:rFonts w:cs="Sylfaen"/>
          <w:b w:val="0"/>
          <w:color w:val="000000"/>
          <w:szCs w:val="22"/>
          <w:lang w:val="hy-AM"/>
        </w:rPr>
        <w:softHyphen/>
      </w:r>
      <w:r w:rsidRPr="00A83C94">
        <w:rPr>
          <w:rFonts w:cs="Sylfaen"/>
          <w:b w:val="0"/>
          <w:color w:val="000000"/>
          <w:szCs w:val="22"/>
          <w:lang w:val="hy-AM"/>
        </w:rPr>
        <w:softHyphen/>
        <w:t>թահարկի գումարի նվազեցման արտոնությունը) և կողմնորոշված են եղել քաղաքա</w:t>
      </w:r>
      <w:r w:rsidRPr="00A83C94">
        <w:rPr>
          <w:rFonts w:cs="Sylfaen"/>
          <w:b w:val="0"/>
          <w:color w:val="000000"/>
          <w:szCs w:val="22"/>
          <w:lang w:val="hy-AM"/>
        </w:rPr>
        <w:softHyphen/>
        <w:t>կա</w:t>
      </w:r>
      <w:r w:rsidRPr="00A83C94">
        <w:rPr>
          <w:rFonts w:cs="Sylfaen"/>
          <w:b w:val="0"/>
          <w:color w:val="000000"/>
          <w:szCs w:val="22"/>
          <w:lang w:val="hy-AM"/>
        </w:rPr>
        <w:softHyphen/>
        <w:t>նության իրականացման որևէ ժամանակահատվածում կոնկրետ խնդիրների լուծմանը: Որոշ հարկային արտոնություններ, որոնք տրվել են դեռևս հարկային համակարգի ձևա</w:t>
      </w:r>
      <w:r w:rsidRPr="00A83C94">
        <w:rPr>
          <w:rFonts w:cs="Sylfaen"/>
          <w:b w:val="0"/>
          <w:color w:val="000000"/>
          <w:szCs w:val="22"/>
          <w:lang w:val="hy-AM"/>
        </w:rPr>
        <w:softHyphen/>
        <w:t>վոր</w:t>
      </w:r>
      <w:r w:rsidRPr="00A83C94">
        <w:rPr>
          <w:rFonts w:cs="Sylfaen"/>
          <w:b w:val="0"/>
          <w:color w:val="000000"/>
          <w:szCs w:val="22"/>
          <w:lang w:val="hy-AM"/>
        </w:rPr>
        <w:softHyphen/>
        <w:t>ման ամենավաղ փուլերում, շարունակվում են կիրառվել մինչև այժմ, քանի որ դրանց կիրա</w:t>
      </w:r>
      <w:r w:rsidRPr="00A83C94">
        <w:rPr>
          <w:rFonts w:cs="Sylfaen"/>
          <w:b w:val="0"/>
          <w:color w:val="000000"/>
          <w:szCs w:val="22"/>
          <w:lang w:val="hy-AM"/>
        </w:rPr>
        <w:softHyphen/>
        <w:t>ռու</w:t>
      </w:r>
      <w:r w:rsidRPr="00A83C94">
        <w:rPr>
          <w:rFonts w:cs="Sylfaen"/>
          <w:b w:val="0"/>
          <w:color w:val="000000"/>
          <w:szCs w:val="22"/>
          <w:lang w:val="hy-AM"/>
        </w:rPr>
        <w:softHyphen/>
        <w:t>թյան պատճառներն ու հիմնավորումները արդիական են նաև մեր օրերում (օրինակ` գյու</w:t>
      </w:r>
      <w:r w:rsidRPr="00A83C94">
        <w:rPr>
          <w:rFonts w:cs="Sylfaen"/>
          <w:b w:val="0"/>
          <w:color w:val="000000"/>
          <w:szCs w:val="22"/>
          <w:lang w:val="hy-AM"/>
        </w:rPr>
        <w:softHyphen/>
        <w:t>ղա</w:t>
      </w:r>
      <w:r w:rsidRPr="00A83C94">
        <w:rPr>
          <w:rFonts w:cs="Sylfaen"/>
          <w:b w:val="0"/>
          <w:color w:val="000000"/>
          <w:szCs w:val="22"/>
          <w:lang w:val="hy-AM"/>
        </w:rPr>
        <w:softHyphen/>
        <w:t>տնտեսական արտադրանքի իրացումից ստացվող եկամուտների համար նախատեսված` շահութահարկից ու եկամտային հարկից ազատման արտոնությունները):</w:t>
      </w:r>
    </w:p>
    <w:p w14:paraId="4839E2C1"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Ընդհանուր առմամբ, ինչպես նախկինում, այնպես էլ ներկայումս հարկային օրենս</w:t>
      </w:r>
      <w:r w:rsidRPr="00A83C94">
        <w:rPr>
          <w:rFonts w:cs="Sylfaen"/>
          <w:b w:val="0"/>
          <w:color w:val="000000"/>
          <w:szCs w:val="22"/>
          <w:lang w:val="hy-AM"/>
        </w:rPr>
        <w:softHyphen/>
        <w:t>դրու</w:t>
      </w:r>
      <w:r w:rsidRPr="00A83C94">
        <w:rPr>
          <w:rFonts w:cs="Sylfaen"/>
          <w:b w:val="0"/>
          <w:color w:val="000000"/>
          <w:szCs w:val="22"/>
          <w:lang w:val="hy-AM"/>
        </w:rPr>
        <w:softHyphen/>
        <w:t>թյամբ նախատեսված հարկային արտոնությունները կարելի է խմբավորել երեք հիմնական խմբե</w:t>
      </w:r>
      <w:r w:rsidRPr="00A83C94">
        <w:rPr>
          <w:rFonts w:cs="Sylfaen"/>
          <w:b w:val="0"/>
          <w:color w:val="000000"/>
          <w:szCs w:val="22"/>
          <w:lang w:val="hy-AM"/>
        </w:rPr>
        <w:softHyphen/>
        <w:t>րում`</w:t>
      </w:r>
    </w:p>
    <w:p w14:paraId="6FBCEF76" w14:textId="77777777" w:rsidR="00840AE8" w:rsidRPr="00A83C94" w:rsidRDefault="00840AE8" w:rsidP="00786462">
      <w:pPr>
        <w:pStyle w:val="NormalWeb"/>
        <w:numPr>
          <w:ilvl w:val="0"/>
          <w:numId w:val="36"/>
        </w:numPr>
        <w:shd w:val="clear" w:color="auto" w:fill="FFFFFF"/>
        <w:tabs>
          <w:tab w:val="left" w:pos="851"/>
        </w:tabs>
        <w:spacing w:before="0" w:beforeAutospacing="0" w:after="0" w:afterAutospacing="0" w:line="276" w:lineRule="auto"/>
        <w:ind w:left="0" w:firstLine="567"/>
        <w:contextualSpacing w:val="0"/>
        <w:rPr>
          <w:b w:val="0"/>
          <w:color w:val="000000"/>
          <w:szCs w:val="22"/>
          <w:lang w:val="hy-AM"/>
        </w:rPr>
      </w:pPr>
      <w:r w:rsidRPr="00A83C94">
        <w:rPr>
          <w:rFonts w:cs="Sylfaen"/>
          <w:b w:val="0"/>
          <w:color w:val="000000"/>
          <w:szCs w:val="22"/>
          <w:lang w:val="hy-AM"/>
        </w:rPr>
        <w:t>սոցիալական</w:t>
      </w:r>
      <w:r w:rsidRPr="00A83C94">
        <w:rPr>
          <w:b w:val="0"/>
          <w:color w:val="000000"/>
          <w:szCs w:val="22"/>
          <w:lang w:val="hy-AM"/>
        </w:rPr>
        <w:t xml:space="preserve"> </w:t>
      </w:r>
      <w:r w:rsidRPr="00A83C94">
        <w:rPr>
          <w:rFonts w:cs="Sylfaen"/>
          <w:b w:val="0"/>
          <w:color w:val="000000"/>
          <w:szCs w:val="22"/>
          <w:lang w:val="hy-AM"/>
        </w:rPr>
        <w:t>ուղղվածություն</w:t>
      </w:r>
      <w:r w:rsidRPr="00A83C94">
        <w:rPr>
          <w:b w:val="0"/>
          <w:color w:val="000000"/>
          <w:szCs w:val="22"/>
          <w:lang w:val="hy-AM"/>
        </w:rPr>
        <w:t xml:space="preserve"> </w:t>
      </w:r>
      <w:r w:rsidRPr="00A83C94">
        <w:rPr>
          <w:rFonts w:cs="Sylfaen"/>
          <w:b w:val="0"/>
          <w:color w:val="000000"/>
          <w:szCs w:val="22"/>
          <w:lang w:val="hy-AM"/>
        </w:rPr>
        <w:t>ունեցող</w:t>
      </w:r>
      <w:r w:rsidRPr="00A83C94">
        <w:rPr>
          <w:b w:val="0"/>
          <w:color w:val="000000"/>
          <w:szCs w:val="22"/>
          <w:lang w:val="hy-AM"/>
        </w:rPr>
        <w:t xml:space="preserve"> </w:t>
      </w:r>
      <w:r w:rsidRPr="00A83C94">
        <w:rPr>
          <w:rFonts w:cs="Sylfaen"/>
          <w:b w:val="0"/>
          <w:color w:val="000000"/>
          <w:szCs w:val="22"/>
          <w:lang w:val="hy-AM"/>
        </w:rPr>
        <w:t>հարկային</w:t>
      </w:r>
      <w:r w:rsidRPr="00A83C94">
        <w:rPr>
          <w:b w:val="0"/>
          <w:color w:val="000000"/>
          <w:szCs w:val="22"/>
          <w:lang w:val="hy-AM"/>
        </w:rPr>
        <w:t xml:space="preserve"> </w:t>
      </w:r>
      <w:r w:rsidRPr="00A83C94">
        <w:rPr>
          <w:rFonts w:cs="Sylfaen"/>
          <w:b w:val="0"/>
          <w:color w:val="000000"/>
          <w:szCs w:val="22"/>
          <w:lang w:val="hy-AM"/>
        </w:rPr>
        <w:t>արտոնություններ</w:t>
      </w:r>
      <w:r w:rsidRPr="00A83C94">
        <w:rPr>
          <w:b w:val="0"/>
          <w:color w:val="000000"/>
          <w:szCs w:val="22"/>
          <w:lang w:val="hy-AM"/>
        </w:rPr>
        <w:t>,</w:t>
      </w:r>
    </w:p>
    <w:p w14:paraId="3E3B6A8B" w14:textId="77777777" w:rsidR="00840AE8" w:rsidRPr="00A83C94" w:rsidRDefault="00840AE8" w:rsidP="00786462">
      <w:pPr>
        <w:pStyle w:val="NormalWeb"/>
        <w:numPr>
          <w:ilvl w:val="0"/>
          <w:numId w:val="36"/>
        </w:numPr>
        <w:shd w:val="clear" w:color="auto" w:fill="FFFFFF"/>
        <w:tabs>
          <w:tab w:val="left" w:pos="851"/>
        </w:tabs>
        <w:spacing w:before="0" w:beforeAutospacing="0" w:after="0" w:afterAutospacing="0" w:line="276" w:lineRule="auto"/>
        <w:ind w:left="0" w:firstLine="567"/>
        <w:contextualSpacing w:val="0"/>
        <w:rPr>
          <w:b w:val="0"/>
          <w:color w:val="000000"/>
          <w:szCs w:val="22"/>
        </w:rPr>
      </w:pPr>
      <w:r w:rsidRPr="00A83C94">
        <w:rPr>
          <w:rFonts w:cs="Sylfaen"/>
          <w:b w:val="0"/>
          <w:color w:val="000000"/>
          <w:szCs w:val="22"/>
        </w:rPr>
        <w:t>ոլորտային</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w:t>
      </w:r>
      <w:r w:rsidRPr="00A83C94">
        <w:rPr>
          <w:b w:val="0"/>
          <w:color w:val="000000"/>
          <w:szCs w:val="22"/>
        </w:rPr>
        <w:t>,</w:t>
      </w:r>
    </w:p>
    <w:p w14:paraId="087326E6" w14:textId="77777777" w:rsidR="00840AE8" w:rsidRPr="00A83C94" w:rsidRDefault="00840AE8" w:rsidP="00786462">
      <w:pPr>
        <w:pStyle w:val="NormalWeb"/>
        <w:numPr>
          <w:ilvl w:val="0"/>
          <w:numId w:val="36"/>
        </w:numPr>
        <w:shd w:val="clear" w:color="auto" w:fill="FFFFFF"/>
        <w:tabs>
          <w:tab w:val="left" w:pos="851"/>
        </w:tabs>
        <w:spacing w:before="0" w:beforeAutospacing="0" w:after="0" w:afterAutospacing="0" w:line="276" w:lineRule="auto"/>
        <w:ind w:left="0" w:firstLine="567"/>
        <w:contextualSpacing w:val="0"/>
        <w:rPr>
          <w:b w:val="0"/>
          <w:color w:val="000000"/>
          <w:szCs w:val="22"/>
        </w:rPr>
      </w:pPr>
      <w:r w:rsidRPr="00A83C94">
        <w:rPr>
          <w:rFonts w:cs="Sylfaen"/>
          <w:b w:val="0"/>
          <w:color w:val="000000"/>
          <w:szCs w:val="22"/>
        </w:rPr>
        <w:t>գործարար</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ներդրումային</w:t>
      </w:r>
      <w:r w:rsidRPr="00A83C94">
        <w:rPr>
          <w:b w:val="0"/>
          <w:color w:val="000000"/>
          <w:szCs w:val="22"/>
        </w:rPr>
        <w:t xml:space="preserve"> </w:t>
      </w:r>
      <w:r w:rsidRPr="00A83C94">
        <w:rPr>
          <w:rFonts w:cs="Sylfaen"/>
          <w:b w:val="0"/>
          <w:color w:val="000000"/>
          <w:szCs w:val="22"/>
        </w:rPr>
        <w:t>միջավայրի</w:t>
      </w:r>
      <w:r w:rsidRPr="00A83C94">
        <w:rPr>
          <w:b w:val="0"/>
          <w:color w:val="000000"/>
          <w:szCs w:val="22"/>
        </w:rPr>
        <w:t xml:space="preserve"> </w:t>
      </w:r>
      <w:r w:rsidRPr="00A83C94">
        <w:rPr>
          <w:rFonts w:cs="Sylfaen"/>
          <w:b w:val="0"/>
          <w:color w:val="000000"/>
          <w:szCs w:val="22"/>
        </w:rPr>
        <w:t>բարելավմանն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ակտիվության</w:t>
      </w:r>
      <w:r w:rsidRPr="00A83C94">
        <w:rPr>
          <w:b w:val="0"/>
          <w:color w:val="000000"/>
          <w:szCs w:val="22"/>
        </w:rPr>
        <w:t xml:space="preserve"> </w:t>
      </w:r>
      <w:r w:rsidRPr="00A83C94">
        <w:rPr>
          <w:rFonts w:cs="Sylfaen"/>
          <w:b w:val="0"/>
          <w:color w:val="000000"/>
          <w:szCs w:val="22"/>
        </w:rPr>
        <w:t>բարձրաց</w:t>
      </w:r>
      <w:r w:rsidRPr="00A83C94">
        <w:rPr>
          <w:rFonts w:cs="Sylfaen"/>
          <w:b w:val="0"/>
          <w:color w:val="000000"/>
          <w:szCs w:val="22"/>
        </w:rPr>
        <w:softHyphen/>
        <w:t>մանն</w:t>
      </w:r>
      <w:r w:rsidRPr="00A83C94">
        <w:rPr>
          <w:b w:val="0"/>
          <w:color w:val="000000"/>
          <w:szCs w:val="22"/>
        </w:rPr>
        <w:t xml:space="preserve"> </w:t>
      </w:r>
      <w:r w:rsidRPr="00A83C94">
        <w:rPr>
          <w:rFonts w:cs="Sylfaen"/>
          <w:b w:val="0"/>
          <w:color w:val="000000"/>
          <w:szCs w:val="22"/>
        </w:rPr>
        <w:t>ուղղված</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w:t>
      </w:r>
      <w:r w:rsidRPr="00A83C94">
        <w:rPr>
          <w:b w:val="0"/>
          <w:color w:val="000000"/>
          <w:szCs w:val="22"/>
        </w:rPr>
        <w:t>:</w:t>
      </w:r>
    </w:p>
    <w:p w14:paraId="44A7F536"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rPr>
        <w:t>Սոցիալական</w:t>
      </w:r>
      <w:r w:rsidRPr="00A83C94">
        <w:rPr>
          <w:b w:val="0"/>
          <w:color w:val="000000"/>
          <w:szCs w:val="22"/>
        </w:rPr>
        <w:t xml:space="preserve"> </w:t>
      </w:r>
      <w:r w:rsidRPr="00A83C94">
        <w:rPr>
          <w:rFonts w:cs="Sylfaen"/>
          <w:b w:val="0"/>
          <w:color w:val="000000"/>
          <w:szCs w:val="22"/>
        </w:rPr>
        <w:t>ուղղվածություն</w:t>
      </w:r>
      <w:r w:rsidRPr="00A83C94">
        <w:rPr>
          <w:b w:val="0"/>
          <w:color w:val="000000"/>
          <w:szCs w:val="22"/>
        </w:rPr>
        <w:t xml:space="preserve"> </w:t>
      </w:r>
      <w:r w:rsidRPr="00A83C94">
        <w:rPr>
          <w:rFonts w:cs="Sylfaen"/>
          <w:b w:val="0"/>
          <w:color w:val="000000"/>
          <w:szCs w:val="22"/>
        </w:rPr>
        <w:t>ունեցող</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կիրառության</w:t>
      </w:r>
      <w:r w:rsidRPr="00A83C94">
        <w:rPr>
          <w:b w:val="0"/>
          <w:color w:val="000000"/>
          <w:szCs w:val="22"/>
        </w:rPr>
        <w:t xml:space="preserve"> </w:t>
      </w:r>
      <w:r w:rsidRPr="00A83C94">
        <w:rPr>
          <w:rFonts w:cs="Sylfaen"/>
          <w:b w:val="0"/>
          <w:color w:val="000000"/>
          <w:szCs w:val="22"/>
        </w:rPr>
        <w:t>հիմ</w:t>
      </w:r>
      <w:r w:rsidRPr="00A83C94">
        <w:rPr>
          <w:rFonts w:cs="Sylfaen"/>
          <w:b w:val="0"/>
          <w:color w:val="000000"/>
          <w:szCs w:val="22"/>
        </w:rPr>
        <w:softHyphen/>
        <w:t>նա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նպատակը</w:t>
      </w:r>
      <w:r w:rsidRPr="00A83C94">
        <w:rPr>
          <w:b w:val="0"/>
          <w:color w:val="000000"/>
          <w:szCs w:val="22"/>
        </w:rPr>
        <w:t xml:space="preserve"> </w:t>
      </w:r>
      <w:r w:rsidRPr="00A83C94">
        <w:rPr>
          <w:rFonts w:cs="Sylfaen"/>
          <w:b w:val="0"/>
          <w:color w:val="000000"/>
          <w:szCs w:val="22"/>
        </w:rPr>
        <w:t>առողջապահական</w:t>
      </w:r>
      <w:r w:rsidRPr="00A83C94">
        <w:rPr>
          <w:b w:val="0"/>
          <w:color w:val="000000"/>
          <w:szCs w:val="22"/>
        </w:rPr>
        <w:t xml:space="preserve">, </w:t>
      </w:r>
      <w:r w:rsidRPr="00A83C94">
        <w:rPr>
          <w:rFonts w:cs="Sylfaen"/>
          <w:b w:val="0"/>
          <w:color w:val="000000"/>
          <w:szCs w:val="22"/>
        </w:rPr>
        <w:t>կրթական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գիտական</w:t>
      </w:r>
      <w:r w:rsidRPr="00A83C94">
        <w:rPr>
          <w:b w:val="0"/>
          <w:color w:val="000000"/>
          <w:szCs w:val="22"/>
        </w:rPr>
        <w:t xml:space="preserve"> </w:t>
      </w:r>
      <w:r w:rsidRPr="00A83C94">
        <w:rPr>
          <w:rFonts w:cs="Sylfaen"/>
          <w:b w:val="0"/>
          <w:color w:val="000000"/>
          <w:szCs w:val="22"/>
        </w:rPr>
        <w:t>նշանակության</w:t>
      </w:r>
      <w:r w:rsidRPr="00A83C94">
        <w:rPr>
          <w:b w:val="0"/>
          <w:color w:val="000000"/>
          <w:szCs w:val="22"/>
        </w:rPr>
        <w:t xml:space="preserve"> </w:t>
      </w:r>
      <w:r w:rsidRPr="00A83C94">
        <w:rPr>
          <w:rFonts w:cs="Sylfaen"/>
          <w:b w:val="0"/>
          <w:color w:val="000000"/>
          <w:szCs w:val="22"/>
        </w:rPr>
        <w:t>որոշ</w:t>
      </w:r>
      <w:r w:rsidRPr="00A83C94">
        <w:rPr>
          <w:b w:val="0"/>
          <w:color w:val="000000"/>
          <w:szCs w:val="22"/>
        </w:rPr>
        <w:t xml:space="preserve"> </w:t>
      </w:r>
      <w:r w:rsidRPr="00A83C94">
        <w:rPr>
          <w:rFonts w:cs="Sylfaen"/>
          <w:b w:val="0"/>
          <w:color w:val="000000"/>
          <w:szCs w:val="22"/>
        </w:rPr>
        <w:t>ծառա</w:t>
      </w:r>
      <w:r w:rsidRPr="00A83C94">
        <w:rPr>
          <w:rFonts w:cs="Sylfaen"/>
          <w:b w:val="0"/>
          <w:color w:val="000000"/>
          <w:szCs w:val="22"/>
        </w:rPr>
        <w:softHyphen/>
      </w:r>
      <w:r w:rsidRPr="00A83C94">
        <w:rPr>
          <w:rFonts w:cs="Sylfaen"/>
          <w:b w:val="0"/>
          <w:color w:val="000000"/>
          <w:szCs w:val="22"/>
        </w:rPr>
        <w:softHyphen/>
        <w:t>յությունների</w:t>
      </w:r>
      <w:r w:rsidRPr="00A83C94">
        <w:rPr>
          <w:b w:val="0"/>
          <w:color w:val="000000"/>
          <w:szCs w:val="22"/>
        </w:rPr>
        <w:t xml:space="preserve"> </w:t>
      </w:r>
      <w:r w:rsidRPr="00A83C94">
        <w:rPr>
          <w:rFonts w:cs="Sylfaen"/>
          <w:b w:val="0"/>
          <w:color w:val="000000"/>
          <w:szCs w:val="22"/>
        </w:rPr>
        <w:t>մատուցումն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ապրանքների</w:t>
      </w:r>
      <w:r w:rsidRPr="00A83C94">
        <w:rPr>
          <w:b w:val="0"/>
          <w:color w:val="000000"/>
          <w:szCs w:val="22"/>
        </w:rPr>
        <w:t xml:space="preserve"> </w:t>
      </w:r>
      <w:r w:rsidRPr="00A83C94">
        <w:rPr>
          <w:rFonts w:cs="Sylfaen"/>
          <w:b w:val="0"/>
          <w:color w:val="000000"/>
          <w:szCs w:val="22"/>
        </w:rPr>
        <w:t>մատակարարումը</w:t>
      </w:r>
      <w:r w:rsidRPr="00A83C94">
        <w:rPr>
          <w:b w:val="0"/>
          <w:color w:val="000000"/>
          <w:szCs w:val="22"/>
        </w:rPr>
        <w:t xml:space="preserve"> </w:t>
      </w:r>
      <w:r w:rsidRPr="00A83C94">
        <w:rPr>
          <w:rFonts w:cs="Sylfaen"/>
          <w:b w:val="0"/>
          <w:color w:val="000000"/>
          <w:szCs w:val="22"/>
        </w:rPr>
        <w:t>ավելացված</w:t>
      </w:r>
      <w:r w:rsidRPr="00A83C94">
        <w:rPr>
          <w:b w:val="0"/>
          <w:color w:val="000000"/>
          <w:szCs w:val="22"/>
        </w:rPr>
        <w:t xml:space="preserve"> </w:t>
      </w:r>
      <w:r w:rsidRPr="00A83C94">
        <w:rPr>
          <w:rFonts w:cs="Sylfaen"/>
          <w:b w:val="0"/>
          <w:color w:val="000000"/>
          <w:szCs w:val="22"/>
        </w:rPr>
        <w:t>արժեքի</w:t>
      </w:r>
      <w:r w:rsidRPr="00A83C94">
        <w:rPr>
          <w:b w:val="0"/>
          <w:color w:val="000000"/>
          <w:szCs w:val="22"/>
        </w:rPr>
        <w:t xml:space="preserve"> </w:t>
      </w:r>
      <w:r w:rsidRPr="00A83C94">
        <w:rPr>
          <w:rFonts w:cs="Sylfaen"/>
          <w:b w:val="0"/>
          <w:color w:val="000000"/>
          <w:szCs w:val="22"/>
        </w:rPr>
        <w:t>հար</w:t>
      </w:r>
      <w:r w:rsidRPr="00A83C94">
        <w:rPr>
          <w:rFonts w:cs="Sylfaen"/>
          <w:b w:val="0"/>
          <w:color w:val="000000"/>
          <w:szCs w:val="22"/>
        </w:rPr>
        <w:softHyphen/>
        <w:t>կից</w:t>
      </w:r>
      <w:r w:rsidRPr="00A83C94">
        <w:rPr>
          <w:b w:val="0"/>
          <w:color w:val="000000"/>
          <w:szCs w:val="22"/>
        </w:rPr>
        <w:t xml:space="preserve"> </w:t>
      </w:r>
      <w:r w:rsidRPr="00A83C94">
        <w:rPr>
          <w:rFonts w:cs="Sylfaen"/>
          <w:b w:val="0"/>
          <w:color w:val="000000"/>
          <w:szCs w:val="22"/>
        </w:rPr>
        <w:t>ազատելն</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ինչը</w:t>
      </w:r>
      <w:r w:rsidRPr="00A83C94">
        <w:rPr>
          <w:b w:val="0"/>
          <w:color w:val="000000"/>
          <w:szCs w:val="22"/>
        </w:rPr>
        <w:t xml:space="preserve">, </w:t>
      </w:r>
      <w:r w:rsidRPr="00A83C94">
        <w:rPr>
          <w:rFonts w:cs="Sylfaen"/>
          <w:b w:val="0"/>
          <w:color w:val="000000"/>
          <w:szCs w:val="22"/>
        </w:rPr>
        <w:t>այլ</w:t>
      </w:r>
      <w:r w:rsidRPr="00A83C94">
        <w:rPr>
          <w:b w:val="0"/>
          <w:color w:val="000000"/>
          <w:szCs w:val="22"/>
        </w:rPr>
        <w:t xml:space="preserve"> </w:t>
      </w:r>
      <w:r w:rsidRPr="00A83C94">
        <w:rPr>
          <w:rFonts w:cs="Sylfaen"/>
          <w:b w:val="0"/>
          <w:color w:val="000000"/>
          <w:szCs w:val="22"/>
        </w:rPr>
        <w:t>հավասար</w:t>
      </w:r>
      <w:r w:rsidRPr="00A83C94">
        <w:rPr>
          <w:b w:val="0"/>
          <w:color w:val="000000"/>
          <w:szCs w:val="22"/>
        </w:rPr>
        <w:t xml:space="preserve"> </w:t>
      </w:r>
      <w:r w:rsidRPr="00A83C94">
        <w:rPr>
          <w:rFonts w:cs="Sylfaen"/>
          <w:b w:val="0"/>
          <w:color w:val="000000"/>
          <w:szCs w:val="22"/>
        </w:rPr>
        <w:t>պայմաններում</w:t>
      </w:r>
      <w:r w:rsidRPr="00A83C94">
        <w:rPr>
          <w:b w:val="0"/>
          <w:color w:val="000000"/>
          <w:szCs w:val="22"/>
        </w:rPr>
        <w:t xml:space="preserve"> </w:t>
      </w:r>
      <w:r w:rsidRPr="00A83C94">
        <w:rPr>
          <w:rFonts w:cs="Sylfaen"/>
          <w:b w:val="0"/>
          <w:color w:val="000000"/>
          <w:szCs w:val="22"/>
        </w:rPr>
        <w:t>հնարավորություն</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ընձեռում</w:t>
      </w:r>
      <w:r w:rsidRPr="00A83C94">
        <w:rPr>
          <w:b w:val="0"/>
          <w:color w:val="000000"/>
          <w:szCs w:val="22"/>
        </w:rPr>
        <w:t xml:space="preserve"> </w:t>
      </w:r>
      <w:r w:rsidRPr="00A83C94">
        <w:rPr>
          <w:rFonts w:cs="Sylfaen"/>
          <w:b w:val="0"/>
          <w:color w:val="000000"/>
          <w:szCs w:val="22"/>
        </w:rPr>
        <w:t>նշյալ</w:t>
      </w:r>
      <w:r w:rsidRPr="00A83C94">
        <w:rPr>
          <w:b w:val="0"/>
          <w:color w:val="000000"/>
          <w:szCs w:val="22"/>
        </w:rPr>
        <w:t xml:space="preserve"> </w:t>
      </w:r>
      <w:r w:rsidRPr="00A83C94">
        <w:rPr>
          <w:rFonts w:cs="Sylfaen"/>
          <w:b w:val="0"/>
          <w:color w:val="000000"/>
          <w:szCs w:val="22"/>
        </w:rPr>
        <w:t>ապրանք</w:t>
      </w:r>
      <w:r w:rsidRPr="00A83C94">
        <w:rPr>
          <w:rFonts w:cs="Sylfaen"/>
          <w:b w:val="0"/>
          <w:color w:val="000000"/>
          <w:szCs w:val="22"/>
        </w:rPr>
        <w:softHyphen/>
        <w:t>ներն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ծառայությունները</w:t>
      </w:r>
      <w:r w:rsidRPr="00A83C94">
        <w:rPr>
          <w:b w:val="0"/>
          <w:color w:val="000000"/>
          <w:szCs w:val="22"/>
        </w:rPr>
        <w:t xml:space="preserve"> </w:t>
      </w:r>
      <w:r w:rsidRPr="00A83C94">
        <w:rPr>
          <w:rFonts w:cs="Sylfaen"/>
          <w:b w:val="0"/>
          <w:color w:val="000000"/>
          <w:szCs w:val="22"/>
        </w:rPr>
        <w:t>ձեռք</w:t>
      </w:r>
      <w:r w:rsidRPr="00A83C94">
        <w:rPr>
          <w:b w:val="0"/>
          <w:color w:val="000000"/>
          <w:szCs w:val="22"/>
        </w:rPr>
        <w:t xml:space="preserve"> </w:t>
      </w:r>
      <w:r w:rsidRPr="00A83C94">
        <w:rPr>
          <w:rFonts w:cs="Sylfaen"/>
          <w:b w:val="0"/>
          <w:color w:val="000000"/>
          <w:szCs w:val="22"/>
        </w:rPr>
        <w:t>բերել</w:t>
      </w:r>
      <w:r w:rsidRPr="00A83C94">
        <w:rPr>
          <w:b w:val="0"/>
          <w:color w:val="000000"/>
          <w:szCs w:val="22"/>
        </w:rPr>
        <w:t xml:space="preserve"> </w:t>
      </w:r>
      <w:r w:rsidRPr="00A83C94">
        <w:rPr>
          <w:rFonts w:cs="Sylfaen"/>
          <w:b w:val="0"/>
          <w:color w:val="000000"/>
          <w:szCs w:val="22"/>
        </w:rPr>
        <w:t>համեմատաբար</w:t>
      </w:r>
      <w:r w:rsidRPr="00A83C94">
        <w:rPr>
          <w:b w:val="0"/>
          <w:color w:val="000000"/>
          <w:szCs w:val="22"/>
        </w:rPr>
        <w:t xml:space="preserve"> </w:t>
      </w:r>
      <w:r w:rsidRPr="00A83C94">
        <w:rPr>
          <w:rFonts w:cs="Sylfaen"/>
          <w:b w:val="0"/>
          <w:color w:val="000000"/>
          <w:szCs w:val="22"/>
        </w:rPr>
        <w:t>ցածր</w:t>
      </w:r>
      <w:r w:rsidRPr="00A83C94">
        <w:rPr>
          <w:b w:val="0"/>
          <w:color w:val="000000"/>
          <w:szCs w:val="22"/>
        </w:rPr>
        <w:t xml:space="preserve"> </w:t>
      </w:r>
      <w:r w:rsidRPr="00A83C94">
        <w:rPr>
          <w:rFonts w:cs="Sylfaen"/>
          <w:b w:val="0"/>
          <w:color w:val="000000"/>
          <w:szCs w:val="22"/>
        </w:rPr>
        <w:t>գներով</w:t>
      </w:r>
      <w:r w:rsidRPr="00A83C94">
        <w:rPr>
          <w:b w:val="0"/>
          <w:color w:val="000000"/>
          <w:szCs w:val="22"/>
        </w:rPr>
        <w:t>:</w:t>
      </w:r>
    </w:p>
    <w:p w14:paraId="7A76E02C"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rPr>
        <w:t>Ոլորտային</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կիրառությունը</w:t>
      </w:r>
      <w:r w:rsidRPr="00A83C94">
        <w:rPr>
          <w:b w:val="0"/>
          <w:color w:val="000000"/>
          <w:szCs w:val="22"/>
        </w:rPr>
        <w:t xml:space="preserve"> </w:t>
      </w:r>
      <w:r w:rsidRPr="00A83C94">
        <w:rPr>
          <w:rFonts w:cs="Sylfaen"/>
          <w:b w:val="0"/>
          <w:color w:val="000000"/>
          <w:szCs w:val="22"/>
        </w:rPr>
        <w:t>պայմանավորված</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b w:val="0"/>
          <w:color w:val="000000"/>
          <w:szCs w:val="22"/>
          <w:lang w:val="en-US"/>
        </w:rPr>
        <w:t>հիմնականում</w:t>
      </w:r>
      <w:r w:rsidRPr="00A83C94">
        <w:rPr>
          <w:b w:val="0"/>
          <w:color w:val="000000"/>
          <w:szCs w:val="22"/>
        </w:rPr>
        <w:t xml:space="preserve"> </w:t>
      </w:r>
      <w:r w:rsidRPr="00A83C94">
        <w:rPr>
          <w:rFonts w:cs="Sylfaen"/>
          <w:b w:val="0"/>
          <w:color w:val="000000"/>
          <w:szCs w:val="22"/>
          <w:lang w:val="en-US"/>
        </w:rPr>
        <w:t>ա</w:t>
      </w:r>
      <w:r w:rsidRPr="00A83C94">
        <w:rPr>
          <w:rFonts w:cs="Sylfaen"/>
          <w:b w:val="0"/>
          <w:color w:val="000000"/>
          <w:szCs w:val="22"/>
        </w:rPr>
        <w:t>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երկարաժամկետ</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կայուն</w:t>
      </w:r>
      <w:r w:rsidRPr="00A83C94">
        <w:rPr>
          <w:b w:val="0"/>
          <w:color w:val="000000"/>
          <w:szCs w:val="22"/>
        </w:rPr>
        <w:t xml:space="preserve"> </w:t>
      </w:r>
      <w:r w:rsidRPr="00A83C94">
        <w:rPr>
          <w:rFonts w:cs="Sylfaen"/>
          <w:b w:val="0"/>
          <w:color w:val="000000"/>
          <w:szCs w:val="22"/>
        </w:rPr>
        <w:t>զարգացման</w:t>
      </w:r>
      <w:r w:rsidRPr="00A83C94">
        <w:rPr>
          <w:b w:val="0"/>
          <w:color w:val="000000"/>
          <w:szCs w:val="22"/>
        </w:rPr>
        <w:t xml:space="preserve"> </w:t>
      </w:r>
      <w:r w:rsidRPr="00A83C94">
        <w:rPr>
          <w:rFonts w:cs="Sylfaen"/>
          <w:b w:val="0"/>
          <w:color w:val="000000"/>
          <w:szCs w:val="22"/>
        </w:rPr>
        <w:t>տեսանկյունից</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սության</w:t>
      </w:r>
      <w:r w:rsidRPr="00A83C94">
        <w:rPr>
          <w:b w:val="0"/>
          <w:color w:val="000000"/>
          <w:szCs w:val="22"/>
        </w:rPr>
        <w:t xml:space="preserve"> </w:t>
      </w:r>
      <w:r w:rsidRPr="00A83C94">
        <w:rPr>
          <w:rFonts w:cs="Sylfaen"/>
          <w:b w:val="0"/>
          <w:color w:val="000000"/>
          <w:szCs w:val="22"/>
        </w:rPr>
        <w:t>որոշ</w:t>
      </w:r>
      <w:r w:rsidRPr="00A83C94">
        <w:rPr>
          <w:b w:val="0"/>
          <w:color w:val="000000"/>
          <w:szCs w:val="22"/>
        </w:rPr>
        <w:t xml:space="preserve"> </w:t>
      </w:r>
      <w:r w:rsidRPr="00A83C94">
        <w:rPr>
          <w:rFonts w:cs="Sylfaen"/>
          <w:b w:val="0"/>
          <w:color w:val="000000"/>
          <w:szCs w:val="22"/>
        </w:rPr>
        <w:t>ոլորտների</w:t>
      </w:r>
      <w:r w:rsidRPr="00A83C94">
        <w:rPr>
          <w:b w:val="0"/>
          <w:color w:val="000000"/>
          <w:szCs w:val="22"/>
        </w:rPr>
        <w:t xml:space="preserve"> </w:t>
      </w:r>
      <w:r w:rsidRPr="00A83C94">
        <w:rPr>
          <w:rFonts w:cs="Sylfaen"/>
          <w:b w:val="0"/>
          <w:color w:val="000000"/>
          <w:szCs w:val="22"/>
        </w:rPr>
        <w:t>զարգաց</w:t>
      </w:r>
      <w:r w:rsidRPr="00A83C94">
        <w:rPr>
          <w:rFonts w:cs="Sylfaen"/>
          <w:b w:val="0"/>
          <w:color w:val="000000"/>
          <w:szCs w:val="22"/>
          <w:lang w:val="en-US"/>
        </w:rPr>
        <w:t>ման</w:t>
      </w:r>
      <w:r w:rsidRPr="00A83C94">
        <w:rPr>
          <w:b w:val="0"/>
          <w:color w:val="000000"/>
          <w:szCs w:val="22"/>
        </w:rPr>
        <w:t xml:space="preserve"> </w:t>
      </w:r>
      <w:r w:rsidRPr="00A83C94">
        <w:rPr>
          <w:rFonts w:cs="Sylfaen"/>
          <w:b w:val="0"/>
          <w:color w:val="000000"/>
          <w:szCs w:val="22"/>
        </w:rPr>
        <w:t xml:space="preserve">գերակայություն </w:t>
      </w:r>
      <w:r w:rsidRPr="00A83C94">
        <w:rPr>
          <w:rFonts w:cs="Sylfaen"/>
          <w:b w:val="0"/>
          <w:color w:val="000000"/>
          <w:szCs w:val="22"/>
          <w:lang w:val="en-US"/>
        </w:rPr>
        <w:t>համարելը</w:t>
      </w:r>
      <w:r w:rsidRPr="00A83C94">
        <w:rPr>
          <w:b w:val="0"/>
          <w:color w:val="000000"/>
          <w:szCs w:val="22"/>
        </w:rPr>
        <w:t xml:space="preserve">: </w:t>
      </w:r>
      <w:r w:rsidRPr="00A83C94">
        <w:rPr>
          <w:rFonts w:cs="Sylfaen"/>
          <w:b w:val="0"/>
          <w:color w:val="000000"/>
          <w:szCs w:val="22"/>
        </w:rPr>
        <w:t>Դրանք</w:t>
      </w:r>
      <w:r w:rsidRPr="00A83C94">
        <w:rPr>
          <w:b w:val="0"/>
          <w:color w:val="000000"/>
          <w:szCs w:val="22"/>
        </w:rPr>
        <w:t xml:space="preserve"> </w:t>
      </w:r>
      <w:r w:rsidRPr="00A83C94">
        <w:rPr>
          <w:rFonts w:cs="Sylfaen"/>
          <w:b w:val="0"/>
          <w:color w:val="000000"/>
          <w:szCs w:val="22"/>
        </w:rPr>
        <w:t>հիմ</w:t>
      </w:r>
      <w:r w:rsidRPr="00A83C94">
        <w:rPr>
          <w:rFonts w:cs="Sylfaen"/>
          <w:b w:val="0"/>
          <w:color w:val="000000"/>
          <w:szCs w:val="22"/>
        </w:rPr>
        <w:softHyphen/>
        <w:t>նա</w:t>
      </w:r>
      <w:r w:rsidRPr="00A83C94">
        <w:rPr>
          <w:rFonts w:cs="Sylfaen"/>
          <w:b w:val="0"/>
          <w:color w:val="000000"/>
          <w:szCs w:val="22"/>
        </w:rPr>
        <w:softHyphen/>
        <w:t>կանում</w:t>
      </w:r>
      <w:r w:rsidRPr="00A83C94">
        <w:rPr>
          <w:b w:val="0"/>
          <w:color w:val="000000"/>
          <w:szCs w:val="22"/>
        </w:rPr>
        <w:t xml:space="preserve"> </w:t>
      </w:r>
      <w:r w:rsidRPr="00A83C94">
        <w:rPr>
          <w:rFonts w:cs="Sylfaen"/>
          <w:b w:val="0"/>
          <w:color w:val="000000"/>
          <w:szCs w:val="22"/>
        </w:rPr>
        <w:t>այն</w:t>
      </w:r>
      <w:r w:rsidRPr="00A83C94">
        <w:rPr>
          <w:b w:val="0"/>
          <w:color w:val="000000"/>
          <w:szCs w:val="22"/>
        </w:rPr>
        <w:t xml:space="preserve"> </w:t>
      </w:r>
      <w:r w:rsidRPr="00A83C94">
        <w:rPr>
          <w:rFonts w:cs="Sylfaen"/>
          <w:b w:val="0"/>
          <w:color w:val="000000"/>
          <w:szCs w:val="22"/>
        </w:rPr>
        <w:t>ոլորտներն</w:t>
      </w:r>
      <w:r w:rsidRPr="00A83C94">
        <w:rPr>
          <w:b w:val="0"/>
          <w:color w:val="000000"/>
          <w:szCs w:val="22"/>
        </w:rPr>
        <w:t xml:space="preserve"> </w:t>
      </w:r>
      <w:r w:rsidRPr="00A83C94">
        <w:rPr>
          <w:rFonts w:cs="Sylfaen"/>
          <w:b w:val="0"/>
          <w:color w:val="000000"/>
          <w:szCs w:val="22"/>
        </w:rPr>
        <w:t>են</w:t>
      </w:r>
      <w:r w:rsidRPr="00A83C94">
        <w:rPr>
          <w:b w:val="0"/>
          <w:color w:val="000000"/>
          <w:szCs w:val="22"/>
        </w:rPr>
        <w:t xml:space="preserve">, </w:t>
      </w:r>
      <w:r w:rsidRPr="00A83C94">
        <w:rPr>
          <w:rFonts w:cs="Sylfaen"/>
          <w:b w:val="0"/>
          <w:color w:val="000000"/>
          <w:szCs w:val="22"/>
        </w:rPr>
        <w:t>որոնք</w:t>
      </w:r>
      <w:r w:rsidRPr="00A83C94">
        <w:rPr>
          <w:b w:val="0"/>
          <w:color w:val="000000"/>
          <w:szCs w:val="22"/>
        </w:rPr>
        <w:t xml:space="preserve"> </w:t>
      </w:r>
      <w:r w:rsidRPr="00A83C94">
        <w:rPr>
          <w:rFonts w:cs="Sylfaen"/>
          <w:b w:val="0"/>
          <w:color w:val="000000"/>
          <w:szCs w:val="22"/>
        </w:rPr>
        <w:t>ավանդաբար</w:t>
      </w:r>
      <w:r w:rsidRPr="00A83C94">
        <w:rPr>
          <w:b w:val="0"/>
          <w:color w:val="000000"/>
          <w:szCs w:val="22"/>
        </w:rPr>
        <w:t xml:space="preserve"> </w:t>
      </w:r>
      <w:r w:rsidRPr="00A83C94">
        <w:rPr>
          <w:rFonts w:cs="Sylfaen"/>
          <w:b w:val="0"/>
          <w:color w:val="000000"/>
          <w:szCs w:val="22"/>
        </w:rPr>
        <w:t>ձևավորել</w:t>
      </w:r>
      <w:r w:rsidRPr="00A83C94">
        <w:rPr>
          <w:b w:val="0"/>
          <w:color w:val="000000"/>
          <w:szCs w:val="22"/>
        </w:rPr>
        <w:t xml:space="preserve"> </w:t>
      </w:r>
      <w:r w:rsidRPr="00A83C94">
        <w:rPr>
          <w:rFonts w:cs="Sylfaen"/>
          <w:b w:val="0"/>
          <w:color w:val="000000"/>
          <w:szCs w:val="22"/>
        </w:rPr>
        <w:t>են</w:t>
      </w:r>
      <w:r w:rsidRPr="00A83C94">
        <w:rPr>
          <w:b w:val="0"/>
          <w:color w:val="000000"/>
          <w:szCs w:val="22"/>
        </w:rPr>
        <w:t xml:space="preserve"> </w:t>
      </w:r>
      <w:r w:rsidRPr="00A83C94">
        <w:rPr>
          <w:rFonts w:cs="Sylfaen"/>
          <w:b w:val="0"/>
          <w:color w:val="000000"/>
          <w:szCs w:val="22"/>
        </w:rPr>
        <w:t>ազգային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նկա</w:t>
      </w:r>
      <w:r w:rsidRPr="00A83C94">
        <w:rPr>
          <w:rFonts w:cs="Sylfaen"/>
          <w:b w:val="0"/>
          <w:color w:val="000000"/>
          <w:szCs w:val="22"/>
        </w:rPr>
        <w:softHyphen/>
        <w:t>րա</w:t>
      </w:r>
      <w:r w:rsidRPr="00A83C94">
        <w:rPr>
          <w:rFonts w:cs="Sylfaen"/>
          <w:b w:val="0"/>
          <w:color w:val="000000"/>
          <w:szCs w:val="22"/>
        </w:rPr>
        <w:softHyphen/>
        <w:t>գիրը</w:t>
      </w:r>
      <w:r w:rsidRPr="00A83C94">
        <w:rPr>
          <w:b w:val="0"/>
          <w:color w:val="000000"/>
          <w:szCs w:val="22"/>
        </w:rPr>
        <w:t xml:space="preserve"> (</w:t>
      </w:r>
      <w:r w:rsidRPr="00A83C94">
        <w:rPr>
          <w:rFonts w:cs="Sylfaen"/>
          <w:b w:val="0"/>
          <w:color w:val="000000"/>
          <w:szCs w:val="22"/>
        </w:rPr>
        <w:t>ոսկերչություն</w:t>
      </w:r>
      <w:r w:rsidRPr="00A83C94">
        <w:rPr>
          <w:b w:val="0"/>
          <w:color w:val="000000"/>
          <w:szCs w:val="22"/>
        </w:rPr>
        <w:t xml:space="preserve">, </w:t>
      </w:r>
      <w:r w:rsidRPr="00A83C94">
        <w:rPr>
          <w:rFonts w:cs="Sylfaen"/>
          <w:b w:val="0"/>
          <w:color w:val="000000"/>
          <w:szCs w:val="22"/>
        </w:rPr>
        <w:t>զբոսաշրջություն</w:t>
      </w:r>
      <w:r w:rsidRPr="00A83C94">
        <w:rPr>
          <w:b w:val="0"/>
          <w:color w:val="000000"/>
          <w:szCs w:val="22"/>
        </w:rPr>
        <w:t xml:space="preserve">, </w:t>
      </w:r>
      <w:r w:rsidRPr="00A83C94">
        <w:rPr>
          <w:rFonts w:cs="Sylfaen"/>
          <w:b w:val="0"/>
          <w:color w:val="000000"/>
          <w:szCs w:val="22"/>
        </w:rPr>
        <w:t>գորգագործություն</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այլն</w:t>
      </w:r>
      <w:r w:rsidRPr="00A83C94">
        <w:rPr>
          <w:b w:val="0"/>
          <w:color w:val="000000"/>
          <w:szCs w:val="22"/>
        </w:rPr>
        <w:t xml:space="preserve">): </w:t>
      </w:r>
      <w:r w:rsidRPr="00A83C94">
        <w:rPr>
          <w:rFonts w:cs="Sylfaen"/>
          <w:b w:val="0"/>
          <w:color w:val="000000"/>
          <w:szCs w:val="22"/>
        </w:rPr>
        <w:t>Այս</w:t>
      </w:r>
      <w:r w:rsidRPr="00A83C94">
        <w:rPr>
          <w:b w:val="0"/>
          <w:color w:val="000000"/>
          <w:szCs w:val="22"/>
        </w:rPr>
        <w:t xml:space="preserve"> </w:t>
      </w:r>
      <w:r w:rsidRPr="00A83C94">
        <w:rPr>
          <w:rFonts w:cs="Sylfaen"/>
          <w:b w:val="0"/>
          <w:color w:val="000000"/>
          <w:szCs w:val="22"/>
        </w:rPr>
        <w:t>առումով</w:t>
      </w:r>
      <w:r w:rsidRPr="00A83C94">
        <w:rPr>
          <w:b w:val="0"/>
          <w:color w:val="000000"/>
          <w:szCs w:val="22"/>
        </w:rPr>
        <w:t xml:space="preserve">, </w:t>
      </w:r>
      <w:r w:rsidRPr="00A83C94">
        <w:rPr>
          <w:rFonts w:cs="Sylfaen"/>
          <w:b w:val="0"/>
          <w:color w:val="000000"/>
          <w:szCs w:val="22"/>
        </w:rPr>
        <w:t>Կառա</w:t>
      </w:r>
      <w:r w:rsidRPr="00A83C94">
        <w:rPr>
          <w:rFonts w:cs="Sylfaen"/>
          <w:b w:val="0"/>
          <w:color w:val="000000"/>
          <w:szCs w:val="22"/>
        </w:rPr>
        <w:softHyphen/>
        <w:t>վա</w:t>
      </w:r>
      <w:r w:rsidRPr="00A83C94">
        <w:rPr>
          <w:rFonts w:cs="Sylfaen"/>
          <w:b w:val="0"/>
          <w:color w:val="000000"/>
          <w:szCs w:val="22"/>
        </w:rPr>
        <w:softHyphen/>
        <w:t>րությունը</w:t>
      </w:r>
      <w:r w:rsidRPr="00A83C94">
        <w:rPr>
          <w:b w:val="0"/>
          <w:color w:val="000000"/>
          <w:szCs w:val="22"/>
        </w:rPr>
        <w:t xml:space="preserve"> </w:t>
      </w:r>
      <w:r w:rsidRPr="00A83C94">
        <w:rPr>
          <w:rFonts w:cs="Sylfaen"/>
          <w:b w:val="0"/>
          <w:color w:val="000000"/>
          <w:szCs w:val="22"/>
        </w:rPr>
        <w:t>տարբեր</w:t>
      </w:r>
      <w:r w:rsidRPr="00A83C94">
        <w:rPr>
          <w:b w:val="0"/>
          <w:color w:val="000000"/>
          <w:szCs w:val="22"/>
        </w:rPr>
        <w:t xml:space="preserve"> </w:t>
      </w:r>
      <w:r w:rsidRPr="00A83C94">
        <w:rPr>
          <w:rFonts w:cs="Sylfaen"/>
          <w:b w:val="0"/>
          <w:color w:val="000000"/>
          <w:szCs w:val="22"/>
        </w:rPr>
        <w:t>գործիքներով</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թվում</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w:t>
      </w:r>
      <w:r w:rsidRPr="00A83C94">
        <w:rPr>
          <w:rFonts w:cs="Sylfaen"/>
          <w:b w:val="0"/>
          <w:color w:val="000000"/>
          <w:szCs w:val="22"/>
        </w:rPr>
        <w:softHyphen/>
        <w:t>ռու</w:t>
      </w:r>
      <w:r w:rsidRPr="00A83C94">
        <w:rPr>
          <w:rFonts w:cs="Sylfaen"/>
          <w:b w:val="0"/>
          <w:color w:val="000000"/>
          <w:szCs w:val="22"/>
        </w:rPr>
        <w:softHyphen/>
        <w:t>թյամբ</w:t>
      </w:r>
      <w:r w:rsidRPr="00A83C94">
        <w:rPr>
          <w:b w:val="0"/>
          <w:color w:val="000000"/>
          <w:szCs w:val="22"/>
        </w:rPr>
        <w:t xml:space="preserve">) </w:t>
      </w:r>
      <w:r w:rsidRPr="00A83C94">
        <w:rPr>
          <w:rFonts w:cs="Sylfaen"/>
          <w:b w:val="0"/>
          <w:color w:val="000000"/>
          <w:szCs w:val="22"/>
        </w:rPr>
        <w:t>օժանդակում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ոլորտներում</w:t>
      </w:r>
      <w:r w:rsidRPr="00A83C94">
        <w:rPr>
          <w:b w:val="0"/>
          <w:color w:val="000000"/>
          <w:szCs w:val="22"/>
        </w:rPr>
        <w:t xml:space="preserve"> </w:t>
      </w:r>
      <w:r w:rsidRPr="00A83C94">
        <w:rPr>
          <w:rFonts w:cs="Sylfaen"/>
          <w:b w:val="0"/>
          <w:color w:val="000000"/>
          <w:szCs w:val="22"/>
        </w:rPr>
        <w:t>գործող</w:t>
      </w:r>
      <w:r w:rsidRPr="00A83C94">
        <w:rPr>
          <w:b w:val="0"/>
          <w:color w:val="000000"/>
          <w:szCs w:val="22"/>
        </w:rPr>
        <w:t xml:space="preserve"> </w:t>
      </w:r>
      <w:r w:rsidRPr="00A83C94">
        <w:rPr>
          <w:rFonts w:cs="Sylfaen"/>
          <w:b w:val="0"/>
          <w:color w:val="000000"/>
          <w:szCs w:val="22"/>
        </w:rPr>
        <w:t>տնտեսավարող</w:t>
      </w:r>
      <w:r w:rsidRPr="00A83C94">
        <w:rPr>
          <w:b w:val="0"/>
          <w:color w:val="000000"/>
          <w:szCs w:val="22"/>
        </w:rPr>
        <w:t xml:space="preserve"> </w:t>
      </w:r>
      <w:r w:rsidRPr="00A83C94">
        <w:rPr>
          <w:rFonts w:cs="Sylfaen"/>
          <w:b w:val="0"/>
          <w:color w:val="000000"/>
          <w:szCs w:val="22"/>
        </w:rPr>
        <w:t>սուբյեկտներին</w:t>
      </w:r>
      <w:r w:rsidRPr="00A83C94">
        <w:rPr>
          <w:b w:val="0"/>
          <w:color w:val="000000"/>
          <w:szCs w:val="22"/>
        </w:rPr>
        <w:t>,</w:t>
      </w:r>
    </w:p>
    <w:p w14:paraId="3D82E3BB"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shd w:val="clear" w:color="auto" w:fill="FFFFFF"/>
        </w:rPr>
        <w:t>Գործարար</w:t>
      </w:r>
      <w:r w:rsidRPr="00A83C94">
        <w:rPr>
          <w:b w:val="0"/>
          <w:color w:val="000000"/>
          <w:szCs w:val="22"/>
          <w:shd w:val="clear" w:color="auto" w:fill="FFFFFF"/>
        </w:rPr>
        <w:t xml:space="preserve"> </w:t>
      </w:r>
      <w:r w:rsidRPr="00A83C94">
        <w:rPr>
          <w:rFonts w:cs="Sylfaen"/>
          <w:b w:val="0"/>
          <w:color w:val="000000"/>
          <w:szCs w:val="22"/>
          <w:shd w:val="clear" w:color="auto" w:fill="FFFFFF"/>
        </w:rPr>
        <w:t>և</w:t>
      </w:r>
      <w:r w:rsidRPr="00A83C94">
        <w:rPr>
          <w:b w:val="0"/>
          <w:color w:val="000000"/>
          <w:szCs w:val="22"/>
          <w:shd w:val="clear" w:color="auto" w:fill="FFFFFF"/>
        </w:rPr>
        <w:t xml:space="preserve"> </w:t>
      </w:r>
      <w:r w:rsidRPr="00A83C94">
        <w:rPr>
          <w:rFonts w:cs="Sylfaen"/>
          <w:b w:val="0"/>
          <w:color w:val="000000"/>
          <w:szCs w:val="22"/>
          <w:shd w:val="clear" w:color="auto" w:fill="FFFFFF"/>
        </w:rPr>
        <w:t>ներդրումային</w:t>
      </w:r>
      <w:r w:rsidRPr="00A83C94">
        <w:rPr>
          <w:b w:val="0"/>
          <w:color w:val="000000"/>
          <w:szCs w:val="22"/>
          <w:shd w:val="clear" w:color="auto" w:fill="FFFFFF"/>
        </w:rPr>
        <w:t xml:space="preserve"> </w:t>
      </w:r>
      <w:r w:rsidRPr="00A83C94">
        <w:rPr>
          <w:rFonts w:cs="Sylfaen"/>
          <w:b w:val="0"/>
          <w:color w:val="000000"/>
          <w:szCs w:val="22"/>
          <w:shd w:val="clear" w:color="auto" w:fill="FFFFFF"/>
        </w:rPr>
        <w:t>միջավայրի</w:t>
      </w:r>
      <w:r w:rsidRPr="00A83C94">
        <w:rPr>
          <w:b w:val="0"/>
          <w:color w:val="000000"/>
          <w:szCs w:val="22"/>
          <w:shd w:val="clear" w:color="auto" w:fill="FFFFFF"/>
        </w:rPr>
        <w:t xml:space="preserve"> </w:t>
      </w:r>
      <w:r w:rsidRPr="00A83C94">
        <w:rPr>
          <w:rFonts w:cs="Sylfaen"/>
          <w:b w:val="0"/>
          <w:color w:val="000000"/>
          <w:szCs w:val="22"/>
          <w:shd w:val="clear" w:color="auto" w:fill="FFFFFF"/>
        </w:rPr>
        <w:t>բարելավմանն</w:t>
      </w:r>
      <w:r w:rsidRPr="00A83C94">
        <w:rPr>
          <w:b w:val="0"/>
          <w:color w:val="000000"/>
          <w:szCs w:val="22"/>
          <w:shd w:val="clear" w:color="auto" w:fill="FFFFFF"/>
        </w:rPr>
        <w:t xml:space="preserve"> </w:t>
      </w:r>
      <w:r w:rsidRPr="00A83C94">
        <w:rPr>
          <w:rFonts w:cs="Sylfaen"/>
          <w:b w:val="0"/>
          <w:color w:val="000000"/>
          <w:szCs w:val="22"/>
          <w:shd w:val="clear" w:color="auto" w:fill="FFFFFF"/>
        </w:rPr>
        <w:t>ու</w:t>
      </w:r>
      <w:r w:rsidRPr="00A83C94">
        <w:rPr>
          <w:b w:val="0"/>
          <w:color w:val="000000"/>
          <w:szCs w:val="22"/>
          <w:shd w:val="clear" w:color="auto" w:fill="FFFFFF"/>
        </w:rPr>
        <w:t xml:space="preserve"> </w:t>
      </w:r>
      <w:r w:rsidRPr="00A83C94">
        <w:rPr>
          <w:rFonts w:cs="Sylfaen"/>
          <w:b w:val="0"/>
          <w:color w:val="000000"/>
          <w:szCs w:val="22"/>
          <w:shd w:val="clear" w:color="auto" w:fill="FFFFFF"/>
        </w:rPr>
        <w:t>ակտիվության</w:t>
      </w:r>
      <w:r w:rsidRPr="00A83C94">
        <w:rPr>
          <w:b w:val="0"/>
          <w:color w:val="000000"/>
          <w:szCs w:val="22"/>
          <w:shd w:val="clear" w:color="auto" w:fill="FFFFFF"/>
        </w:rPr>
        <w:t xml:space="preserve"> </w:t>
      </w:r>
      <w:r w:rsidRPr="00A83C94">
        <w:rPr>
          <w:rFonts w:cs="Sylfaen"/>
          <w:b w:val="0"/>
          <w:color w:val="000000"/>
          <w:szCs w:val="22"/>
          <w:shd w:val="clear" w:color="auto" w:fill="FFFFFF"/>
        </w:rPr>
        <w:t>բարձրաց</w:t>
      </w:r>
      <w:r w:rsidRPr="00A83C94">
        <w:rPr>
          <w:rFonts w:cs="Sylfaen"/>
          <w:b w:val="0"/>
          <w:color w:val="000000"/>
          <w:szCs w:val="22"/>
          <w:shd w:val="clear" w:color="auto" w:fill="FFFFFF"/>
        </w:rPr>
        <w:softHyphen/>
        <w:t>մանն</w:t>
      </w:r>
      <w:r w:rsidRPr="00A83C94">
        <w:rPr>
          <w:b w:val="0"/>
          <w:color w:val="000000"/>
          <w:szCs w:val="22"/>
          <w:shd w:val="clear" w:color="auto" w:fill="FFFFFF"/>
        </w:rPr>
        <w:t xml:space="preserve"> </w:t>
      </w:r>
      <w:r w:rsidRPr="00A83C94">
        <w:rPr>
          <w:rFonts w:cs="Sylfaen"/>
          <w:b w:val="0"/>
          <w:color w:val="000000"/>
          <w:szCs w:val="22"/>
          <w:shd w:val="clear" w:color="auto" w:fill="FFFFFF"/>
        </w:rPr>
        <w:t>ուղղված</w:t>
      </w:r>
      <w:r w:rsidRPr="00A83C94">
        <w:rPr>
          <w:b w:val="0"/>
          <w:color w:val="000000"/>
          <w:szCs w:val="22"/>
          <w:shd w:val="clear" w:color="auto" w:fill="FFFFFF"/>
        </w:rPr>
        <w:t xml:space="preserve"> </w:t>
      </w:r>
      <w:r w:rsidRPr="00A83C94">
        <w:rPr>
          <w:rFonts w:cs="Sylfaen"/>
          <w:b w:val="0"/>
          <w:color w:val="000000"/>
          <w:szCs w:val="22"/>
          <w:shd w:val="clear" w:color="auto" w:fill="FFFFFF"/>
        </w:rPr>
        <w:t>հարկային</w:t>
      </w:r>
      <w:r w:rsidRPr="00A83C94">
        <w:rPr>
          <w:b w:val="0"/>
          <w:color w:val="000000"/>
          <w:szCs w:val="22"/>
          <w:shd w:val="clear" w:color="auto" w:fill="FFFFFF"/>
        </w:rPr>
        <w:t xml:space="preserve"> </w:t>
      </w:r>
      <w:r w:rsidRPr="00A83C94">
        <w:rPr>
          <w:rFonts w:cs="Sylfaen"/>
          <w:b w:val="0"/>
          <w:color w:val="000000"/>
          <w:szCs w:val="22"/>
          <w:shd w:val="clear" w:color="auto" w:fill="FFFFFF"/>
        </w:rPr>
        <w:t xml:space="preserve">արտոնությունների </w:t>
      </w:r>
      <w:r w:rsidRPr="00A83C94">
        <w:rPr>
          <w:rFonts w:cs="Sylfaen"/>
          <w:b w:val="0"/>
          <w:color w:val="000000"/>
          <w:szCs w:val="22"/>
          <w:shd w:val="clear" w:color="auto" w:fill="FFFFFF"/>
          <w:lang w:val="en-US"/>
        </w:rPr>
        <w:t>կիրառության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հիմնական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նպատակը</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տնտե</w:t>
      </w:r>
      <w:r w:rsidRPr="00A83C94">
        <w:rPr>
          <w:rFonts w:cs="Sylfaen"/>
          <w:b w:val="0"/>
          <w:color w:val="000000"/>
          <w:szCs w:val="22"/>
          <w:shd w:val="clear" w:color="auto" w:fill="FFFFFF"/>
        </w:rPr>
        <w:softHyphen/>
      </w:r>
      <w:r w:rsidRPr="00A83C94">
        <w:rPr>
          <w:rFonts w:cs="Sylfaen"/>
          <w:b w:val="0"/>
          <w:color w:val="000000"/>
          <w:szCs w:val="22"/>
          <w:shd w:val="clear" w:color="auto" w:fill="FFFFFF"/>
          <w:lang w:val="en-US"/>
        </w:rPr>
        <w:t>սա</w:t>
      </w:r>
      <w:r w:rsidRPr="00A83C94">
        <w:rPr>
          <w:rFonts w:cs="Sylfaen"/>
          <w:b w:val="0"/>
          <w:color w:val="000000"/>
          <w:szCs w:val="22"/>
          <w:shd w:val="clear" w:color="auto" w:fill="FFFFFF"/>
        </w:rPr>
        <w:softHyphen/>
      </w:r>
      <w:r w:rsidRPr="00A83C94">
        <w:rPr>
          <w:rFonts w:cs="Sylfaen"/>
          <w:b w:val="0"/>
          <w:color w:val="000000"/>
          <w:szCs w:val="22"/>
          <w:shd w:val="clear" w:color="auto" w:fill="FFFFFF"/>
          <w:lang w:val="en-US"/>
        </w:rPr>
        <w:t>վարող</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սուբյեկտների</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համար</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առավել</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նպաստավոր</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հարկային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միջավայրի</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ձևավորումը</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և</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ազգա</w:t>
      </w:r>
      <w:r w:rsidRPr="00A83C94">
        <w:rPr>
          <w:rFonts w:cs="Sylfaen"/>
          <w:b w:val="0"/>
          <w:color w:val="000000"/>
          <w:szCs w:val="22"/>
          <w:shd w:val="clear" w:color="auto" w:fill="FFFFFF"/>
        </w:rPr>
        <w:softHyphen/>
      </w:r>
      <w:r w:rsidRPr="00A83C94">
        <w:rPr>
          <w:rFonts w:cs="Sylfaen"/>
          <w:b w:val="0"/>
          <w:color w:val="000000"/>
          <w:szCs w:val="22"/>
          <w:shd w:val="clear" w:color="auto" w:fill="FFFFFF"/>
          <w:lang w:val="en-US"/>
        </w:rPr>
        <w:t>յին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տնտեսության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մրցունակության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բարձրացումն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է</w:t>
      </w:r>
      <w:r w:rsidRPr="00A83C94">
        <w:rPr>
          <w:b w:val="0"/>
          <w:color w:val="000000"/>
          <w:szCs w:val="22"/>
          <w:shd w:val="clear" w:color="auto" w:fill="FFFFFF"/>
        </w:rPr>
        <w:t>:</w:t>
      </w:r>
    </w:p>
    <w:p w14:paraId="61675E90"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rPr>
      </w:pPr>
      <w:r w:rsidRPr="00A83C94">
        <w:rPr>
          <w:rFonts w:cs="Sylfaen"/>
          <w:b w:val="0"/>
          <w:color w:val="000000"/>
          <w:szCs w:val="22"/>
          <w:lang w:val="en-US"/>
        </w:rPr>
        <w:t>Վերոնշյալ</w:t>
      </w:r>
      <w:r w:rsidRPr="00A83C94">
        <w:rPr>
          <w:rFonts w:cs="Sylfaen"/>
          <w:b w:val="0"/>
          <w:color w:val="000000"/>
          <w:szCs w:val="22"/>
        </w:rPr>
        <w:t xml:space="preserve"> </w:t>
      </w:r>
      <w:r w:rsidRPr="00A83C94">
        <w:rPr>
          <w:rFonts w:cs="Sylfaen"/>
          <w:b w:val="0"/>
          <w:color w:val="000000"/>
          <w:szCs w:val="22"/>
          <w:lang w:val="en-US"/>
        </w:rPr>
        <w:t>հարկային</w:t>
      </w:r>
      <w:r w:rsidRPr="00A83C94">
        <w:rPr>
          <w:rFonts w:cs="Sylfaen"/>
          <w:b w:val="0"/>
          <w:color w:val="000000"/>
          <w:szCs w:val="22"/>
        </w:rPr>
        <w:t xml:space="preserve"> </w:t>
      </w:r>
      <w:r w:rsidRPr="00A83C94">
        <w:rPr>
          <w:rFonts w:cs="Sylfaen"/>
          <w:b w:val="0"/>
          <w:color w:val="000000"/>
          <w:szCs w:val="22"/>
          <w:lang w:val="en-US"/>
        </w:rPr>
        <w:t>արտոնությունների</w:t>
      </w:r>
      <w:r w:rsidRPr="00A83C94">
        <w:rPr>
          <w:rFonts w:cs="Sylfaen"/>
          <w:b w:val="0"/>
          <w:color w:val="000000"/>
          <w:szCs w:val="22"/>
        </w:rPr>
        <w:t xml:space="preserve"> </w:t>
      </w:r>
      <w:r w:rsidRPr="00A83C94">
        <w:rPr>
          <w:rFonts w:cs="Sylfaen"/>
          <w:b w:val="0"/>
          <w:color w:val="000000"/>
          <w:szCs w:val="22"/>
          <w:lang w:val="en-US"/>
        </w:rPr>
        <w:t>կիրառության</w:t>
      </w:r>
      <w:r w:rsidRPr="00A83C94">
        <w:rPr>
          <w:rFonts w:cs="Sylfaen"/>
          <w:b w:val="0"/>
          <w:color w:val="000000"/>
          <w:szCs w:val="22"/>
        </w:rPr>
        <w:t xml:space="preserve"> </w:t>
      </w:r>
      <w:r w:rsidRPr="00A83C94">
        <w:rPr>
          <w:rFonts w:cs="Sylfaen"/>
          <w:b w:val="0"/>
          <w:color w:val="000000"/>
          <w:szCs w:val="22"/>
          <w:lang w:val="en-US"/>
        </w:rPr>
        <w:t>հետևանքով</w:t>
      </w:r>
      <w:r w:rsidRPr="00A83C94">
        <w:rPr>
          <w:rFonts w:cs="Sylfaen"/>
          <w:b w:val="0"/>
          <w:color w:val="000000"/>
          <w:szCs w:val="22"/>
        </w:rPr>
        <w:t xml:space="preserve"> </w:t>
      </w:r>
      <w:r w:rsidRPr="00A83C94">
        <w:rPr>
          <w:rFonts w:cs="Sylfaen"/>
          <w:b w:val="0"/>
          <w:color w:val="000000"/>
          <w:szCs w:val="22"/>
          <w:lang w:val="en-US"/>
        </w:rPr>
        <w:t>առաջացող</w:t>
      </w:r>
      <w:r w:rsidRPr="00A83C94">
        <w:rPr>
          <w:rFonts w:cs="Sylfaen"/>
          <w:b w:val="0"/>
          <w:color w:val="000000"/>
          <w:szCs w:val="22"/>
        </w:rPr>
        <w:t xml:space="preserve">` </w:t>
      </w:r>
      <w:r w:rsidRPr="00A83C94">
        <w:rPr>
          <w:rFonts w:cs="Sylfaen"/>
          <w:b w:val="0"/>
          <w:color w:val="000000"/>
          <w:szCs w:val="22"/>
          <w:lang w:val="en-US"/>
        </w:rPr>
        <w:t>հար</w:t>
      </w:r>
      <w:r w:rsidRPr="00A83C94">
        <w:rPr>
          <w:rFonts w:cs="Sylfaen"/>
          <w:b w:val="0"/>
          <w:color w:val="000000"/>
          <w:szCs w:val="22"/>
        </w:rPr>
        <w:softHyphen/>
      </w:r>
      <w:r w:rsidRPr="00A83C94">
        <w:rPr>
          <w:rFonts w:cs="Sylfaen"/>
          <w:b w:val="0"/>
          <w:color w:val="000000"/>
          <w:szCs w:val="22"/>
          <w:lang w:val="en-US"/>
        </w:rPr>
        <w:t>կա</w:t>
      </w:r>
      <w:r w:rsidRPr="00A83C94">
        <w:rPr>
          <w:rFonts w:cs="Sylfaen"/>
          <w:b w:val="0"/>
          <w:color w:val="000000"/>
          <w:szCs w:val="22"/>
        </w:rPr>
        <w:softHyphen/>
      </w:r>
      <w:r w:rsidRPr="00A83C94">
        <w:rPr>
          <w:rFonts w:cs="Sylfaen"/>
          <w:b w:val="0"/>
          <w:color w:val="000000"/>
          <w:szCs w:val="22"/>
          <w:lang w:val="en-US"/>
        </w:rPr>
        <w:t>յին</w:t>
      </w:r>
      <w:r w:rsidRPr="00A83C94">
        <w:rPr>
          <w:rFonts w:cs="Sylfaen"/>
          <w:b w:val="0"/>
          <w:color w:val="000000"/>
          <w:szCs w:val="22"/>
        </w:rPr>
        <w:t xml:space="preserve"> </w:t>
      </w:r>
      <w:r w:rsidRPr="00A83C94">
        <w:rPr>
          <w:rFonts w:cs="Sylfaen"/>
          <w:b w:val="0"/>
          <w:color w:val="000000"/>
          <w:szCs w:val="22"/>
          <w:lang w:val="en-US"/>
        </w:rPr>
        <w:t>եկամուտների</w:t>
      </w:r>
      <w:r w:rsidRPr="00A83C94">
        <w:rPr>
          <w:rFonts w:cs="Sylfaen"/>
          <w:b w:val="0"/>
          <w:color w:val="000000"/>
          <w:szCs w:val="22"/>
        </w:rPr>
        <w:t xml:space="preserve"> </w:t>
      </w:r>
      <w:r w:rsidRPr="00A83C94">
        <w:rPr>
          <w:rFonts w:cs="Sylfaen"/>
          <w:b w:val="0"/>
          <w:color w:val="000000"/>
          <w:szCs w:val="22"/>
          <w:lang w:val="en-US"/>
        </w:rPr>
        <w:t>կորստի</w:t>
      </w:r>
      <w:r w:rsidRPr="00A83C94">
        <w:rPr>
          <w:rFonts w:cs="Sylfaen"/>
          <w:b w:val="0"/>
          <w:color w:val="000000"/>
          <w:szCs w:val="22"/>
        </w:rPr>
        <w:t xml:space="preserve">` </w:t>
      </w:r>
      <w:r w:rsidRPr="00A83C94">
        <w:rPr>
          <w:rFonts w:cs="Sylfaen"/>
          <w:b w:val="0"/>
          <w:color w:val="000000"/>
          <w:szCs w:val="22"/>
          <w:lang w:val="en-US"/>
        </w:rPr>
        <w:t>հարկային</w:t>
      </w:r>
      <w:r w:rsidRPr="00A83C94">
        <w:rPr>
          <w:rFonts w:cs="Sylfaen"/>
          <w:b w:val="0"/>
          <w:color w:val="000000"/>
          <w:szCs w:val="22"/>
        </w:rPr>
        <w:t xml:space="preserve"> </w:t>
      </w:r>
      <w:r w:rsidRPr="00A83C94">
        <w:rPr>
          <w:rFonts w:cs="Sylfaen"/>
          <w:b w:val="0"/>
          <w:color w:val="000000"/>
          <w:szCs w:val="22"/>
          <w:lang w:val="en-US"/>
        </w:rPr>
        <w:t>ծախսերի</w:t>
      </w:r>
      <w:r w:rsidRPr="00A83C94">
        <w:rPr>
          <w:rFonts w:cs="Sylfaen"/>
          <w:b w:val="0"/>
          <w:color w:val="000000"/>
          <w:szCs w:val="22"/>
        </w:rPr>
        <w:t xml:space="preserve"> </w:t>
      </w:r>
      <w:r w:rsidRPr="00A83C94">
        <w:rPr>
          <w:rFonts w:cs="Sylfaen"/>
          <w:b w:val="0"/>
          <w:color w:val="000000"/>
          <w:szCs w:val="22"/>
          <w:lang w:val="en-US"/>
        </w:rPr>
        <w:t>գնահատման</w:t>
      </w:r>
      <w:r w:rsidRPr="00A83C94">
        <w:rPr>
          <w:rFonts w:cs="Sylfaen"/>
          <w:b w:val="0"/>
          <w:color w:val="000000"/>
          <w:szCs w:val="22"/>
        </w:rPr>
        <w:t xml:space="preserve"> </w:t>
      </w:r>
      <w:r w:rsidRPr="00A83C94">
        <w:rPr>
          <w:rFonts w:cs="Sylfaen"/>
          <w:b w:val="0"/>
          <w:color w:val="000000"/>
          <w:szCs w:val="22"/>
          <w:lang w:val="en-US"/>
        </w:rPr>
        <w:t>հաշվետվությունների</w:t>
      </w:r>
      <w:r w:rsidRPr="00A83C94">
        <w:rPr>
          <w:rFonts w:cs="Sylfaen"/>
          <w:b w:val="0"/>
          <w:color w:val="000000"/>
          <w:szCs w:val="22"/>
        </w:rPr>
        <w:t xml:space="preserve"> </w:t>
      </w:r>
      <w:r w:rsidRPr="00A83C94">
        <w:rPr>
          <w:rFonts w:cs="Sylfaen"/>
          <w:b w:val="0"/>
          <w:color w:val="000000"/>
          <w:szCs w:val="22"/>
          <w:lang w:val="en-US"/>
        </w:rPr>
        <w:t>կազ</w:t>
      </w:r>
      <w:r w:rsidRPr="00A83C94">
        <w:rPr>
          <w:rFonts w:cs="Sylfaen"/>
          <w:b w:val="0"/>
          <w:color w:val="000000"/>
          <w:szCs w:val="22"/>
        </w:rPr>
        <w:softHyphen/>
      </w:r>
      <w:r w:rsidRPr="00A83C94">
        <w:rPr>
          <w:rFonts w:cs="Sylfaen"/>
          <w:b w:val="0"/>
          <w:color w:val="000000"/>
          <w:szCs w:val="22"/>
          <w:lang w:val="en-US"/>
        </w:rPr>
        <w:t>մումը</w:t>
      </w:r>
      <w:r w:rsidRPr="00A83C94">
        <w:rPr>
          <w:rFonts w:cs="Sylfaen"/>
          <w:b w:val="0"/>
          <w:color w:val="000000"/>
          <w:szCs w:val="22"/>
        </w:rPr>
        <w:t xml:space="preserve">, </w:t>
      </w:r>
      <w:r w:rsidRPr="00A83C94">
        <w:rPr>
          <w:rFonts w:cs="Sylfaen"/>
          <w:b w:val="0"/>
          <w:color w:val="000000"/>
          <w:szCs w:val="22"/>
          <w:lang w:val="en-US"/>
        </w:rPr>
        <w:t>ներկայացումը</w:t>
      </w:r>
      <w:r w:rsidRPr="00A83C94">
        <w:rPr>
          <w:rFonts w:cs="Sylfaen"/>
          <w:b w:val="0"/>
          <w:color w:val="000000"/>
          <w:szCs w:val="22"/>
        </w:rPr>
        <w:t xml:space="preserve"> </w:t>
      </w:r>
      <w:r w:rsidRPr="00A83C94">
        <w:rPr>
          <w:rFonts w:cs="Sylfaen"/>
          <w:b w:val="0"/>
          <w:color w:val="000000"/>
          <w:szCs w:val="22"/>
          <w:lang w:val="en-US"/>
        </w:rPr>
        <w:t>և</w:t>
      </w:r>
      <w:r w:rsidRPr="00A83C94">
        <w:rPr>
          <w:rFonts w:cs="Sylfaen"/>
          <w:b w:val="0"/>
          <w:color w:val="000000"/>
          <w:szCs w:val="22"/>
        </w:rPr>
        <w:t xml:space="preserve"> </w:t>
      </w:r>
      <w:r w:rsidRPr="00A83C94">
        <w:rPr>
          <w:rFonts w:cs="Sylfaen"/>
          <w:b w:val="0"/>
          <w:color w:val="000000"/>
          <w:szCs w:val="22"/>
          <w:lang w:val="en-US"/>
        </w:rPr>
        <w:t>գոր</w:t>
      </w:r>
      <w:r w:rsidRPr="00A83C94">
        <w:rPr>
          <w:rFonts w:cs="Sylfaen"/>
          <w:b w:val="0"/>
          <w:color w:val="000000"/>
          <w:szCs w:val="22"/>
        </w:rPr>
        <w:softHyphen/>
      </w:r>
      <w:r w:rsidRPr="00A83C94">
        <w:rPr>
          <w:rFonts w:cs="Sylfaen"/>
          <w:b w:val="0"/>
          <w:color w:val="000000"/>
          <w:szCs w:val="22"/>
          <w:lang w:val="en-US"/>
        </w:rPr>
        <w:t>ծադիր</w:t>
      </w:r>
      <w:r w:rsidRPr="00A83C94">
        <w:rPr>
          <w:rFonts w:cs="Sylfaen"/>
          <w:b w:val="0"/>
          <w:color w:val="000000"/>
          <w:szCs w:val="22"/>
        </w:rPr>
        <w:t xml:space="preserve"> </w:t>
      </w:r>
      <w:r w:rsidRPr="00A83C94">
        <w:rPr>
          <w:rFonts w:cs="Sylfaen"/>
          <w:b w:val="0"/>
          <w:color w:val="000000"/>
          <w:szCs w:val="22"/>
          <w:lang w:val="en-US"/>
        </w:rPr>
        <w:t>ու</w:t>
      </w:r>
      <w:r w:rsidRPr="00A83C94">
        <w:rPr>
          <w:rFonts w:cs="Sylfaen"/>
          <w:b w:val="0"/>
          <w:color w:val="000000"/>
          <w:szCs w:val="22"/>
        </w:rPr>
        <w:t xml:space="preserve"> </w:t>
      </w:r>
      <w:r w:rsidRPr="00A83C94">
        <w:rPr>
          <w:rFonts w:cs="Sylfaen"/>
          <w:b w:val="0"/>
          <w:color w:val="000000"/>
          <w:szCs w:val="22"/>
          <w:lang w:val="en-US"/>
        </w:rPr>
        <w:t>օրենսդիր</w:t>
      </w:r>
      <w:r w:rsidRPr="00A83C94">
        <w:rPr>
          <w:rFonts w:cs="Sylfaen"/>
          <w:b w:val="0"/>
          <w:color w:val="000000"/>
          <w:szCs w:val="22"/>
        </w:rPr>
        <w:t xml:space="preserve"> </w:t>
      </w:r>
      <w:r w:rsidRPr="00A83C94">
        <w:rPr>
          <w:rFonts w:cs="Sylfaen"/>
          <w:b w:val="0"/>
          <w:color w:val="000000"/>
          <w:szCs w:val="22"/>
          <w:lang w:val="en-US"/>
        </w:rPr>
        <w:t>իշխանության</w:t>
      </w:r>
      <w:r w:rsidRPr="00A83C94">
        <w:rPr>
          <w:rFonts w:cs="Sylfaen"/>
          <w:b w:val="0"/>
          <w:color w:val="000000"/>
          <w:szCs w:val="22"/>
        </w:rPr>
        <w:t xml:space="preserve"> </w:t>
      </w:r>
      <w:r w:rsidRPr="00A83C94">
        <w:rPr>
          <w:rFonts w:cs="Sylfaen"/>
          <w:b w:val="0"/>
          <w:color w:val="000000"/>
          <w:szCs w:val="22"/>
          <w:lang w:val="en-US"/>
        </w:rPr>
        <w:t>մարմիններում</w:t>
      </w:r>
      <w:r w:rsidRPr="00A83C94">
        <w:rPr>
          <w:rFonts w:cs="Sylfaen"/>
          <w:b w:val="0"/>
          <w:color w:val="000000"/>
          <w:szCs w:val="22"/>
        </w:rPr>
        <w:t xml:space="preserve"> </w:t>
      </w:r>
      <w:r w:rsidRPr="00A83C94">
        <w:rPr>
          <w:rFonts w:cs="Sylfaen"/>
          <w:b w:val="0"/>
          <w:color w:val="000000"/>
          <w:szCs w:val="22"/>
          <w:lang w:val="en-US"/>
        </w:rPr>
        <w:t>դրանց</w:t>
      </w:r>
      <w:r w:rsidRPr="00A83C94">
        <w:rPr>
          <w:rFonts w:cs="Sylfaen"/>
          <w:b w:val="0"/>
          <w:color w:val="000000"/>
          <w:szCs w:val="22"/>
        </w:rPr>
        <w:t xml:space="preserve"> </w:t>
      </w:r>
      <w:r w:rsidRPr="00A83C94">
        <w:rPr>
          <w:rFonts w:cs="Sylfaen"/>
          <w:b w:val="0"/>
          <w:color w:val="000000"/>
          <w:szCs w:val="22"/>
          <w:lang w:val="en-US"/>
        </w:rPr>
        <w:t>քննար</w:t>
      </w:r>
      <w:r w:rsidRPr="00A83C94">
        <w:rPr>
          <w:rFonts w:cs="Sylfaen"/>
          <w:b w:val="0"/>
          <w:color w:val="000000"/>
          <w:szCs w:val="22"/>
        </w:rPr>
        <w:softHyphen/>
      </w:r>
      <w:r w:rsidRPr="00A83C94">
        <w:rPr>
          <w:rFonts w:cs="Sylfaen"/>
          <w:b w:val="0"/>
          <w:color w:val="000000"/>
          <w:szCs w:val="22"/>
          <w:lang w:val="en-US"/>
        </w:rPr>
        <w:t>կումը</w:t>
      </w:r>
      <w:r w:rsidRPr="00A83C94">
        <w:rPr>
          <w:rFonts w:cs="Sylfaen"/>
          <w:b w:val="0"/>
          <w:color w:val="000000"/>
          <w:szCs w:val="22"/>
        </w:rPr>
        <w:t xml:space="preserve"> </w:t>
      </w:r>
      <w:r w:rsidRPr="00A83C94">
        <w:rPr>
          <w:rFonts w:cs="Sylfaen"/>
          <w:b w:val="0"/>
          <w:color w:val="000000"/>
          <w:szCs w:val="22"/>
          <w:lang w:val="en-US"/>
        </w:rPr>
        <w:t>կարևոր</w:t>
      </w:r>
      <w:r w:rsidRPr="00A83C94">
        <w:rPr>
          <w:rFonts w:cs="Sylfaen"/>
          <w:b w:val="0"/>
          <w:color w:val="000000"/>
          <w:szCs w:val="22"/>
        </w:rPr>
        <w:t xml:space="preserve"> </w:t>
      </w:r>
      <w:r w:rsidRPr="00A83C94">
        <w:rPr>
          <w:rFonts w:cs="Sylfaen"/>
          <w:b w:val="0"/>
          <w:color w:val="000000"/>
          <w:szCs w:val="22"/>
          <w:lang w:val="en-US"/>
        </w:rPr>
        <w:t>քայլ</w:t>
      </w:r>
      <w:r w:rsidRPr="00A83C94">
        <w:rPr>
          <w:rFonts w:cs="Sylfaen"/>
          <w:b w:val="0"/>
          <w:color w:val="000000"/>
          <w:szCs w:val="22"/>
        </w:rPr>
        <w:t xml:space="preserve"> </w:t>
      </w:r>
      <w:r w:rsidRPr="00A83C94">
        <w:rPr>
          <w:rFonts w:cs="Sylfaen"/>
          <w:b w:val="0"/>
          <w:color w:val="000000"/>
          <w:szCs w:val="22"/>
          <w:lang w:val="en-US"/>
        </w:rPr>
        <w:t>է</w:t>
      </w:r>
      <w:r w:rsidRPr="00A83C94">
        <w:rPr>
          <w:rFonts w:cs="Sylfaen"/>
          <w:b w:val="0"/>
          <w:color w:val="000000"/>
          <w:szCs w:val="22"/>
        </w:rPr>
        <w:t xml:space="preserve"> </w:t>
      </w:r>
      <w:r w:rsidRPr="00A83C94">
        <w:rPr>
          <w:rFonts w:cs="Sylfaen"/>
          <w:b w:val="0"/>
          <w:color w:val="000000"/>
          <w:szCs w:val="22"/>
          <w:lang w:val="en-US"/>
        </w:rPr>
        <w:t>հար</w:t>
      </w:r>
      <w:r w:rsidRPr="00A83C94">
        <w:rPr>
          <w:rFonts w:cs="Sylfaen"/>
          <w:b w:val="0"/>
          <w:color w:val="000000"/>
          <w:szCs w:val="22"/>
        </w:rPr>
        <w:softHyphen/>
      </w:r>
      <w:r w:rsidRPr="00A83C94">
        <w:rPr>
          <w:rFonts w:cs="Sylfaen"/>
          <w:b w:val="0"/>
          <w:color w:val="000000"/>
          <w:szCs w:val="22"/>
          <w:lang w:val="en-US"/>
        </w:rPr>
        <w:t>կային</w:t>
      </w:r>
      <w:r w:rsidRPr="00A83C94">
        <w:rPr>
          <w:rFonts w:cs="Sylfaen"/>
          <w:b w:val="0"/>
          <w:color w:val="000000"/>
          <w:szCs w:val="22"/>
        </w:rPr>
        <w:t xml:space="preserve"> </w:t>
      </w:r>
      <w:r w:rsidRPr="00A83C94">
        <w:rPr>
          <w:rFonts w:cs="Sylfaen"/>
          <w:b w:val="0"/>
          <w:color w:val="000000"/>
          <w:szCs w:val="22"/>
          <w:lang w:val="en-US"/>
        </w:rPr>
        <w:t>արտոնությունների</w:t>
      </w:r>
      <w:r w:rsidRPr="00A83C94">
        <w:rPr>
          <w:rFonts w:cs="Sylfaen"/>
          <w:b w:val="0"/>
          <w:color w:val="000000"/>
          <w:szCs w:val="22"/>
        </w:rPr>
        <w:t xml:space="preserve"> </w:t>
      </w:r>
      <w:r w:rsidRPr="00A83C94">
        <w:rPr>
          <w:rFonts w:cs="Sylfaen"/>
          <w:b w:val="0"/>
          <w:color w:val="000000"/>
          <w:szCs w:val="22"/>
          <w:lang w:val="en-US"/>
        </w:rPr>
        <w:t>շրջանակի</w:t>
      </w:r>
      <w:r w:rsidRPr="00A83C94">
        <w:rPr>
          <w:rFonts w:cs="Sylfaen"/>
          <w:b w:val="0"/>
          <w:color w:val="000000"/>
          <w:szCs w:val="22"/>
        </w:rPr>
        <w:t xml:space="preserve"> </w:t>
      </w:r>
      <w:r w:rsidRPr="00A83C94">
        <w:rPr>
          <w:rFonts w:cs="Sylfaen"/>
          <w:b w:val="0"/>
          <w:color w:val="000000"/>
          <w:szCs w:val="22"/>
          <w:lang w:val="en-US"/>
        </w:rPr>
        <w:t>հնարավոր</w:t>
      </w:r>
      <w:r w:rsidRPr="00A83C94">
        <w:rPr>
          <w:rFonts w:cs="Sylfaen"/>
          <w:b w:val="0"/>
          <w:color w:val="000000"/>
          <w:szCs w:val="22"/>
        </w:rPr>
        <w:t xml:space="preserve"> </w:t>
      </w:r>
      <w:r w:rsidRPr="00A83C94">
        <w:rPr>
          <w:rFonts w:cs="Sylfaen"/>
          <w:b w:val="0"/>
          <w:color w:val="000000"/>
          <w:szCs w:val="22"/>
          <w:lang w:val="en-US"/>
        </w:rPr>
        <w:t>վերանայման</w:t>
      </w:r>
      <w:r w:rsidRPr="00A83C94">
        <w:rPr>
          <w:rFonts w:cs="Sylfaen"/>
          <w:b w:val="0"/>
          <w:color w:val="000000"/>
          <w:szCs w:val="22"/>
        </w:rPr>
        <w:t xml:space="preserve"> </w:t>
      </w:r>
      <w:r w:rsidRPr="00A83C94">
        <w:rPr>
          <w:rFonts w:cs="Sylfaen"/>
          <w:b w:val="0"/>
          <w:color w:val="000000"/>
          <w:szCs w:val="22"/>
          <w:lang w:val="en-US"/>
        </w:rPr>
        <w:t>քաղաքականության</w:t>
      </w:r>
      <w:r w:rsidRPr="00A83C94">
        <w:rPr>
          <w:rFonts w:cs="Sylfaen"/>
          <w:b w:val="0"/>
          <w:color w:val="000000"/>
          <w:szCs w:val="22"/>
        </w:rPr>
        <w:t xml:space="preserve"> </w:t>
      </w:r>
      <w:r w:rsidRPr="00A83C94">
        <w:rPr>
          <w:rFonts w:cs="Sylfaen"/>
          <w:b w:val="0"/>
          <w:color w:val="000000"/>
          <w:szCs w:val="22"/>
          <w:lang w:val="en-US"/>
        </w:rPr>
        <w:t>իրա</w:t>
      </w:r>
      <w:r w:rsidRPr="00A83C94">
        <w:rPr>
          <w:rFonts w:cs="Sylfaen"/>
          <w:b w:val="0"/>
          <w:color w:val="000000"/>
          <w:szCs w:val="22"/>
        </w:rPr>
        <w:softHyphen/>
      </w:r>
      <w:r w:rsidRPr="00A83C94">
        <w:rPr>
          <w:rFonts w:cs="Sylfaen"/>
          <w:b w:val="0"/>
          <w:color w:val="000000"/>
          <w:szCs w:val="22"/>
          <w:lang w:val="en-US"/>
        </w:rPr>
        <w:t>կանացման</w:t>
      </w:r>
      <w:r w:rsidRPr="00A83C94">
        <w:rPr>
          <w:rFonts w:cs="Sylfaen"/>
          <w:b w:val="0"/>
          <w:color w:val="000000"/>
          <w:szCs w:val="22"/>
        </w:rPr>
        <w:t xml:space="preserve"> </w:t>
      </w:r>
      <w:r w:rsidRPr="00A83C94">
        <w:rPr>
          <w:rFonts w:cs="Sylfaen"/>
          <w:b w:val="0"/>
          <w:color w:val="000000"/>
          <w:szCs w:val="22"/>
          <w:lang w:val="en-US"/>
        </w:rPr>
        <w:t>ճանապարհին</w:t>
      </w:r>
      <w:r w:rsidRPr="00A83C94">
        <w:rPr>
          <w:rFonts w:cs="Sylfaen"/>
          <w:b w:val="0"/>
          <w:color w:val="000000"/>
          <w:szCs w:val="22"/>
        </w:rPr>
        <w:t>:</w:t>
      </w:r>
    </w:p>
    <w:p w14:paraId="55A3AE27"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lang w:val="en-US"/>
        </w:rPr>
        <w:t>Այս</w:t>
      </w:r>
      <w:r w:rsidRPr="00A83C94">
        <w:rPr>
          <w:rFonts w:cs="Sylfaen"/>
          <w:b w:val="0"/>
          <w:color w:val="000000"/>
          <w:szCs w:val="22"/>
        </w:rPr>
        <w:t xml:space="preserve"> </w:t>
      </w:r>
      <w:r w:rsidRPr="00A83C94">
        <w:rPr>
          <w:rFonts w:cs="Sylfaen"/>
          <w:b w:val="0"/>
          <w:color w:val="000000"/>
          <w:szCs w:val="22"/>
          <w:lang w:val="en-US"/>
        </w:rPr>
        <w:t>իմաստով</w:t>
      </w:r>
      <w:r w:rsidRPr="00A83C94">
        <w:rPr>
          <w:rFonts w:cs="Sylfaen"/>
          <w:b w:val="0"/>
          <w:color w:val="000000"/>
          <w:szCs w:val="22"/>
        </w:rPr>
        <w:t xml:space="preserve">, </w:t>
      </w:r>
      <w:r w:rsidRPr="00A83C94">
        <w:rPr>
          <w:rFonts w:cs="Sylfaen"/>
          <w:b w:val="0"/>
          <w:color w:val="000000"/>
          <w:szCs w:val="22"/>
          <w:lang w:val="en-US"/>
        </w:rPr>
        <w:t>ա</w:t>
      </w:r>
      <w:r w:rsidRPr="00A83C94">
        <w:rPr>
          <w:rFonts w:cs="Sylfaen"/>
          <w:b w:val="0"/>
          <w:color w:val="000000"/>
          <w:szCs w:val="22"/>
        </w:rPr>
        <w:t>ռաջիկա</w:t>
      </w:r>
      <w:r w:rsidRPr="00A83C94">
        <w:rPr>
          <w:b w:val="0"/>
          <w:color w:val="000000"/>
          <w:szCs w:val="22"/>
        </w:rPr>
        <w:t xml:space="preserve"> </w:t>
      </w:r>
      <w:r w:rsidRPr="00A83C94">
        <w:rPr>
          <w:rFonts w:cs="Sylfaen"/>
          <w:b w:val="0"/>
          <w:color w:val="000000"/>
          <w:szCs w:val="22"/>
        </w:rPr>
        <w:t>տարիներին հարկային ծախսերի նման գնահատականները հիմք են հանդիսանալու հարկային արտոնությունների շրջանակի վերանայման,</w:t>
      </w:r>
      <w:r w:rsidRPr="00A83C94">
        <w:rPr>
          <w:b w:val="0"/>
          <w:color w:val="000000"/>
          <w:szCs w:val="22"/>
        </w:rPr>
        <w:t xml:space="preserve"> </w:t>
      </w:r>
      <w:r w:rsidRPr="00A83C94">
        <w:rPr>
          <w:rFonts w:cs="Sylfaen"/>
          <w:b w:val="0"/>
          <w:color w:val="000000"/>
          <w:szCs w:val="22"/>
        </w:rPr>
        <w:t>հարկման</w:t>
      </w:r>
      <w:r w:rsidRPr="00A83C94">
        <w:rPr>
          <w:b w:val="0"/>
          <w:color w:val="000000"/>
          <w:szCs w:val="22"/>
        </w:rPr>
        <w:t xml:space="preserve"> </w:t>
      </w:r>
      <w:r w:rsidRPr="00A83C94">
        <w:rPr>
          <w:rFonts w:cs="Sylfaen"/>
          <w:b w:val="0"/>
          <w:color w:val="000000"/>
          <w:szCs w:val="22"/>
        </w:rPr>
        <w:t>բազայի</w:t>
      </w:r>
      <w:r w:rsidRPr="00A83C94">
        <w:rPr>
          <w:b w:val="0"/>
          <w:color w:val="000000"/>
          <w:szCs w:val="22"/>
        </w:rPr>
        <w:t xml:space="preserve"> </w:t>
      </w:r>
      <w:r w:rsidRPr="00A83C94">
        <w:rPr>
          <w:rFonts w:cs="Sylfaen"/>
          <w:b w:val="0"/>
          <w:color w:val="000000"/>
          <w:szCs w:val="22"/>
        </w:rPr>
        <w:t>ընդլայնման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ամրապնդման քաղաքականություն իրականացնելու համար</w:t>
      </w:r>
      <w:r w:rsidRPr="00A83C94">
        <w:rPr>
          <w:b w:val="0"/>
          <w:color w:val="000000"/>
          <w:szCs w:val="22"/>
        </w:rPr>
        <w:t xml:space="preserve">, </w:t>
      </w:r>
      <w:r w:rsidRPr="00A83C94">
        <w:rPr>
          <w:rFonts w:cs="Sylfaen"/>
          <w:b w:val="0"/>
          <w:color w:val="000000"/>
          <w:szCs w:val="22"/>
        </w:rPr>
        <w:t>ինչը</w:t>
      </w:r>
      <w:r w:rsidRPr="00A83C94">
        <w:rPr>
          <w:b w:val="0"/>
          <w:color w:val="000000"/>
          <w:szCs w:val="22"/>
        </w:rPr>
        <w:t xml:space="preserve"> </w:t>
      </w:r>
      <w:r w:rsidRPr="00A83C94">
        <w:rPr>
          <w:rFonts w:cs="Sylfaen"/>
          <w:b w:val="0"/>
          <w:color w:val="000000"/>
          <w:szCs w:val="22"/>
        </w:rPr>
        <w:t>հնա</w:t>
      </w:r>
      <w:r w:rsidRPr="00A83C94">
        <w:rPr>
          <w:rFonts w:cs="Sylfaen"/>
          <w:b w:val="0"/>
          <w:color w:val="000000"/>
          <w:szCs w:val="22"/>
        </w:rPr>
        <w:softHyphen/>
        <w:t>րավորություն</w:t>
      </w:r>
      <w:r w:rsidRPr="00A83C94">
        <w:rPr>
          <w:b w:val="0"/>
          <w:color w:val="000000"/>
          <w:szCs w:val="22"/>
        </w:rPr>
        <w:t xml:space="preserve"> </w:t>
      </w:r>
      <w:r w:rsidRPr="00A83C94">
        <w:rPr>
          <w:rFonts w:cs="Sylfaen"/>
          <w:b w:val="0"/>
          <w:color w:val="000000"/>
          <w:szCs w:val="22"/>
        </w:rPr>
        <w:t>կընձեռի</w:t>
      </w:r>
      <w:r w:rsidRPr="00A83C94">
        <w:rPr>
          <w:b w:val="0"/>
          <w:color w:val="000000"/>
          <w:szCs w:val="22"/>
        </w:rPr>
        <w:t xml:space="preserve"> </w:t>
      </w:r>
      <w:r w:rsidRPr="00A83C94">
        <w:rPr>
          <w:rFonts w:cs="Sylfaen"/>
          <w:b w:val="0"/>
          <w:color w:val="000000"/>
          <w:szCs w:val="22"/>
        </w:rPr>
        <w:t>աստի</w:t>
      </w:r>
      <w:r w:rsidRPr="00A83C94">
        <w:rPr>
          <w:rFonts w:cs="Sylfaen"/>
          <w:b w:val="0"/>
          <w:color w:val="000000"/>
          <w:szCs w:val="22"/>
        </w:rPr>
        <w:softHyphen/>
        <w:t>ճանաբար</w:t>
      </w:r>
      <w:r w:rsidRPr="00A83C94">
        <w:rPr>
          <w:b w:val="0"/>
          <w:color w:val="000000"/>
          <w:szCs w:val="22"/>
        </w:rPr>
        <w:t xml:space="preserve"> </w:t>
      </w:r>
      <w:r w:rsidRPr="00A83C94">
        <w:rPr>
          <w:rFonts w:cs="Sylfaen"/>
          <w:b w:val="0"/>
          <w:color w:val="000000"/>
          <w:szCs w:val="22"/>
        </w:rPr>
        <w:t>բարե</w:t>
      </w:r>
      <w:r w:rsidRPr="00A83C94">
        <w:rPr>
          <w:rFonts w:cs="Sylfaen"/>
          <w:b w:val="0"/>
          <w:color w:val="000000"/>
          <w:szCs w:val="22"/>
        </w:rPr>
        <w:softHyphen/>
        <w:t>լավել</w:t>
      </w:r>
      <w:r w:rsidRPr="00A83C94">
        <w:rPr>
          <w:b w:val="0"/>
          <w:color w:val="000000"/>
          <w:szCs w:val="22"/>
        </w:rPr>
        <w:t xml:space="preserve"> </w:t>
      </w:r>
      <w:r w:rsidRPr="00A83C94">
        <w:rPr>
          <w:rFonts w:cs="Sylfaen"/>
          <w:b w:val="0"/>
          <w:color w:val="000000"/>
          <w:szCs w:val="22"/>
        </w:rPr>
        <w:t>հարկեր</w:t>
      </w:r>
      <w:r w:rsidRPr="00A83C94">
        <w:rPr>
          <w:b w:val="0"/>
          <w:color w:val="000000"/>
          <w:szCs w:val="22"/>
        </w:rPr>
        <w:t>/</w:t>
      </w:r>
      <w:r w:rsidRPr="00A83C94">
        <w:rPr>
          <w:rFonts w:cs="Sylfaen"/>
          <w:b w:val="0"/>
          <w:color w:val="000000"/>
          <w:szCs w:val="22"/>
        </w:rPr>
        <w:t>ՀՆԱ</w:t>
      </w:r>
      <w:r w:rsidRPr="00A83C94">
        <w:rPr>
          <w:b w:val="0"/>
          <w:color w:val="000000"/>
          <w:szCs w:val="22"/>
        </w:rPr>
        <w:t xml:space="preserve"> </w:t>
      </w:r>
      <w:r w:rsidRPr="00A83C94">
        <w:rPr>
          <w:rFonts w:cs="Sylfaen"/>
          <w:b w:val="0"/>
          <w:color w:val="000000"/>
          <w:szCs w:val="22"/>
        </w:rPr>
        <w:t>հարաբերակցությունը</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ամրապնդել</w:t>
      </w:r>
      <w:r w:rsidRPr="00A83C94">
        <w:rPr>
          <w:b w:val="0"/>
          <w:color w:val="000000"/>
          <w:szCs w:val="22"/>
        </w:rPr>
        <w:t xml:space="preserve"> </w:t>
      </w:r>
      <w:r w:rsidRPr="00A83C94">
        <w:rPr>
          <w:rFonts w:cs="Sylfaen"/>
          <w:b w:val="0"/>
          <w:color w:val="000000"/>
          <w:szCs w:val="22"/>
        </w:rPr>
        <w:t>հարկման</w:t>
      </w:r>
      <w:r w:rsidRPr="00A83C94">
        <w:rPr>
          <w:b w:val="0"/>
          <w:color w:val="000000"/>
          <w:szCs w:val="22"/>
        </w:rPr>
        <w:t xml:space="preserve"> </w:t>
      </w:r>
      <w:r w:rsidRPr="00A83C94">
        <w:rPr>
          <w:rFonts w:cs="Sylfaen"/>
          <w:b w:val="0"/>
          <w:color w:val="000000"/>
          <w:szCs w:val="22"/>
        </w:rPr>
        <w:t>հորի</w:t>
      </w:r>
      <w:r w:rsidRPr="00A83C94">
        <w:rPr>
          <w:rFonts w:cs="Sylfaen"/>
          <w:b w:val="0"/>
          <w:color w:val="000000"/>
          <w:szCs w:val="22"/>
        </w:rPr>
        <w:softHyphen/>
        <w:t>զո</w:t>
      </w:r>
      <w:r w:rsidRPr="00A83C94">
        <w:rPr>
          <w:rFonts w:cs="Sylfaen"/>
          <w:b w:val="0"/>
          <w:color w:val="000000"/>
          <w:szCs w:val="22"/>
        </w:rPr>
        <w:softHyphen/>
        <w:t>նա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արդա</w:t>
      </w:r>
      <w:r w:rsidRPr="00A83C94">
        <w:rPr>
          <w:rFonts w:cs="Sylfaen"/>
          <w:b w:val="0"/>
          <w:color w:val="000000"/>
          <w:szCs w:val="22"/>
        </w:rPr>
        <w:softHyphen/>
        <w:t>րության</w:t>
      </w:r>
      <w:r w:rsidRPr="00A83C94">
        <w:rPr>
          <w:b w:val="0"/>
          <w:color w:val="000000"/>
          <w:szCs w:val="22"/>
        </w:rPr>
        <w:t xml:space="preserve"> </w:t>
      </w:r>
      <w:r w:rsidRPr="00A83C94">
        <w:rPr>
          <w:rFonts w:cs="Sylfaen"/>
          <w:b w:val="0"/>
          <w:color w:val="000000"/>
          <w:szCs w:val="22"/>
        </w:rPr>
        <w:t>սկզբունքը</w:t>
      </w:r>
      <w:r w:rsidRPr="00A83C94">
        <w:rPr>
          <w:b w:val="0"/>
          <w:color w:val="000000"/>
          <w:szCs w:val="22"/>
        </w:rPr>
        <w:t xml:space="preserve">: </w:t>
      </w:r>
      <w:r w:rsidRPr="00A83C94">
        <w:rPr>
          <w:b w:val="0"/>
          <w:color w:val="000000"/>
          <w:szCs w:val="22"/>
          <w:lang w:val="en-US"/>
        </w:rPr>
        <w:t>Հարկային</w:t>
      </w:r>
      <w:r w:rsidRPr="00A83C94">
        <w:rPr>
          <w:b w:val="0"/>
          <w:color w:val="000000"/>
          <w:szCs w:val="22"/>
        </w:rPr>
        <w:t xml:space="preserve"> </w:t>
      </w:r>
      <w:r w:rsidRPr="00A83C94">
        <w:rPr>
          <w:b w:val="0"/>
          <w:color w:val="000000"/>
          <w:szCs w:val="22"/>
          <w:lang w:val="en-US"/>
        </w:rPr>
        <w:t>քաղաքակա</w:t>
      </w:r>
      <w:r w:rsidRPr="00A83C94">
        <w:rPr>
          <w:b w:val="0"/>
          <w:color w:val="000000"/>
          <w:szCs w:val="22"/>
        </w:rPr>
        <w:softHyphen/>
      </w:r>
      <w:r w:rsidRPr="00A83C94">
        <w:rPr>
          <w:b w:val="0"/>
          <w:color w:val="000000"/>
          <w:szCs w:val="22"/>
          <w:lang w:val="en-US"/>
        </w:rPr>
        <w:t>նու</w:t>
      </w:r>
      <w:r w:rsidRPr="00A83C94">
        <w:rPr>
          <w:b w:val="0"/>
          <w:color w:val="000000"/>
          <w:szCs w:val="22"/>
        </w:rPr>
        <w:softHyphen/>
      </w:r>
      <w:r w:rsidRPr="00A83C94">
        <w:rPr>
          <w:b w:val="0"/>
          <w:color w:val="000000"/>
          <w:szCs w:val="22"/>
          <w:lang w:val="en-US"/>
        </w:rPr>
        <w:t>թյան</w:t>
      </w:r>
      <w:r w:rsidRPr="00A83C94">
        <w:rPr>
          <w:b w:val="0"/>
          <w:color w:val="000000"/>
          <w:szCs w:val="22"/>
        </w:rPr>
        <w:t xml:space="preserve"> </w:t>
      </w:r>
      <w:r w:rsidRPr="00A83C94">
        <w:rPr>
          <w:b w:val="0"/>
          <w:color w:val="000000"/>
          <w:szCs w:val="22"/>
          <w:lang w:val="en-US"/>
        </w:rPr>
        <w:t>այս</w:t>
      </w:r>
      <w:r w:rsidRPr="00A83C94">
        <w:rPr>
          <w:b w:val="0"/>
          <w:color w:val="000000"/>
          <w:szCs w:val="22"/>
        </w:rPr>
        <w:t xml:space="preserve"> </w:t>
      </w:r>
      <w:r w:rsidRPr="00A83C94">
        <w:rPr>
          <w:b w:val="0"/>
          <w:color w:val="000000"/>
          <w:szCs w:val="22"/>
          <w:lang w:val="en-US"/>
        </w:rPr>
        <w:t>ուղղության</w:t>
      </w:r>
      <w:r w:rsidRPr="00A83C94">
        <w:rPr>
          <w:b w:val="0"/>
          <w:color w:val="000000"/>
          <w:szCs w:val="22"/>
        </w:rPr>
        <w:t xml:space="preserve"> </w:t>
      </w:r>
      <w:r w:rsidRPr="00A83C94">
        <w:rPr>
          <w:rFonts w:cs="Sylfaen"/>
          <w:b w:val="0"/>
          <w:color w:val="000000"/>
          <w:szCs w:val="22"/>
        </w:rPr>
        <w:t>նպա</w:t>
      </w:r>
      <w:r w:rsidRPr="00A83C94">
        <w:rPr>
          <w:rFonts w:cs="Sylfaen"/>
          <w:b w:val="0"/>
          <w:color w:val="000000"/>
          <w:szCs w:val="22"/>
        </w:rPr>
        <w:softHyphen/>
        <w:t>տակը</w:t>
      </w:r>
      <w:r w:rsidRPr="00A83C94">
        <w:rPr>
          <w:b w:val="0"/>
          <w:color w:val="000000"/>
          <w:szCs w:val="22"/>
        </w:rPr>
        <w:t xml:space="preserve">, </w:t>
      </w:r>
      <w:r w:rsidRPr="00A83C94">
        <w:rPr>
          <w:rFonts w:cs="Sylfaen"/>
          <w:b w:val="0"/>
          <w:color w:val="000000"/>
          <w:szCs w:val="22"/>
        </w:rPr>
        <w:t>ըստ</w:t>
      </w:r>
      <w:r w:rsidRPr="00A83C94">
        <w:rPr>
          <w:b w:val="0"/>
          <w:color w:val="000000"/>
          <w:szCs w:val="22"/>
        </w:rPr>
        <w:t xml:space="preserve"> </w:t>
      </w:r>
      <w:r w:rsidRPr="00A83C94">
        <w:rPr>
          <w:rFonts w:cs="Sylfaen"/>
          <w:b w:val="0"/>
          <w:color w:val="000000"/>
          <w:szCs w:val="22"/>
        </w:rPr>
        <w:t>էության</w:t>
      </w:r>
      <w:r w:rsidRPr="00A83C94">
        <w:rPr>
          <w:b w:val="0"/>
          <w:color w:val="000000"/>
          <w:szCs w:val="22"/>
        </w:rPr>
        <w:t xml:space="preserve">, </w:t>
      </w:r>
      <w:r w:rsidRPr="00A83C94">
        <w:rPr>
          <w:rFonts w:cs="Sylfaen"/>
          <w:b w:val="0"/>
          <w:color w:val="000000"/>
          <w:szCs w:val="22"/>
        </w:rPr>
        <w:t>հարկման</w:t>
      </w:r>
      <w:r w:rsidRPr="00A83C94">
        <w:rPr>
          <w:b w:val="0"/>
          <w:color w:val="000000"/>
          <w:szCs w:val="22"/>
        </w:rPr>
        <w:t xml:space="preserve"> </w:t>
      </w:r>
      <w:r w:rsidRPr="00A83C94">
        <w:rPr>
          <w:rFonts w:cs="Sylfaen"/>
          <w:b w:val="0"/>
          <w:color w:val="000000"/>
          <w:szCs w:val="22"/>
        </w:rPr>
        <w:t>ոլոր</w:t>
      </w:r>
      <w:r w:rsidRPr="00A83C94">
        <w:rPr>
          <w:rFonts w:cs="Sylfaen"/>
          <w:b w:val="0"/>
          <w:color w:val="000000"/>
          <w:szCs w:val="22"/>
        </w:rPr>
        <w:softHyphen/>
        <w:t>տում</w:t>
      </w:r>
      <w:r w:rsidRPr="00A83C94">
        <w:rPr>
          <w:b w:val="0"/>
          <w:color w:val="000000"/>
          <w:szCs w:val="22"/>
        </w:rPr>
        <w:t xml:space="preserve"> </w:t>
      </w:r>
      <w:r w:rsidRPr="00A83C94">
        <w:rPr>
          <w:rFonts w:cs="Sylfaen"/>
          <w:b w:val="0"/>
          <w:color w:val="000000"/>
          <w:szCs w:val="22"/>
        </w:rPr>
        <w:t>խտրա</w:t>
      </w:r>
      <w:r w:rsidRPr="00A83C94">
        <w:rPr>
          <w:rFonts w:cs="Sylfaen"/>
          <w:b w:val="0"/>
          <w:color w:val="000000"/>
          <w:szCs w:val="22"/>
        </w:rPr>
        <w:softHyphen/>
        <w:t>կանությունը</w:t>
      </w:r>
      <w:r w:rsidRPr="00A83C94">
        <w:rPr>
          <w:b w:val="0"/>
          <w:color w:val="000000"/>
          <w:szCs w:val="22"/>
        </w:rPr>
        <w:t xml:space="preserve"> </w:t>
      </w:r>
      <w:r w:rsidRPr="00A83C94">
        <w:rPr>
          <w:rFonts w:cs="Sylfaen"/>
          <w:b w:val="0"/>
          <w:color w:val="000000"/>
          <w:szCs w:val="22"/>
        </w:rPr>
        <w:t>նվա</w:t>
      </w:r>
      <w:r w:rsidRPr="00A83C94">
        <w:rPr>
          <w:rFonts w:cs="Sylfaen"/>
          <w:b w:val="0"/>
          <w:color w:val="000000"/>
          <w:szCs w:val="22"/>
        </w:rPr>
        <w:softHyphen/>
        <w:t>զագույնի</w:t>
      </w:r>
      <w:r w:rsidRPr="00A83C94">
        <w:rPr>
          <w:b w:val="0"/>
          <w:color w:val="000000"/>
          <w:szCs w:val="22"/>
        </w:rPr>
        <w:t xml:space="preserve"> </w:t>
      </w:r>
      <w:r w:rsidRPr="00A83C94">
        <w:rPr>
          <w:rFonts w:cs="Sylfaen"/>
          <w:b w:val="0"/>
          <w:color w:val="000000"/>
          <w:szCs w:val="22"/>
        </w:rPr>
        <w:t>հասցնելը</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պետա</w:t>
      </w:r>
      <w:r w:rsidRPr="00A83C94">
        <w:rPr>
          <w:rFonts w:cs="Sylfaen"/>
          <w:b w:val="0"/>
          <w:color w:val="000000"/>
          <w:szCs w:val="22"/>
        </w:rPr>
        <w:softHyphen/>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բյուջեի հարկային եկա</w:t>
      </w:r>
      <w:r w:rsidRPr="00A83C94">
        <w:rPr>
          <w:rFonts w:cs="Sylfaen"/>
          <w:b w:val="0"/>
          <w:color w:val="000000"/>
          <w:szCs w:val="22"/>
        </w:rPr>
        <w:softHyphen/>
        <w:t>մուտ</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lang w:val="en-US"/>
        </w:rPr>
        <w:t>արդարացի</w:t>
      </w:r>
      <w:r w:rsidRPr="00A83C94">
        <w:rPr>
          <w:rFonts w:cs="Sylfaen"/>
          <w:b w:val="0"/>
          <w:color w:val="000000"/>
          <w:szCs w:val="22"/>
        </w:rPr>
        <w:t xml:space="preserve"> </w:t>
      </w:r>
      <w:r w:rsidRPr="00A83C94">
        <w:rPr>
          <w:rFonts w:cs="Sylfaen"/>
          <w:b w:val="0"/>
          <w:color w:val="000000"/>
          <w:szCs w:val="22"/>
          <w:lang w:val="en-US"/>
        </w:rPr>
        <w:t>վերաբաշխուն</w:t>
      </w:r>
      <w:r w:rsidRPr="00A83C94">
        <w:rPr>
          <w:b w:val="0"/>
          <w:color w:val="000000"/>
          <w:szCs w:val="22"/>
        </w:rPr>
        <w:t xml:space="preserve"> </w:t>
      </w:r>
      <w:r w:rsidRPr="00A83C94">
        <w:rPr>
          <w:rFonts w:cs="Sylfaen"/>
          <w:b w:val="0"/>
          <w:color w:val="000000"/>
          <w:szCs w:val="22"/>
        </w:rPr>
        <w:t>ապա</w:t>
      </w:r>
      <w:r w:rsidRPr="00A83C94">
        <w:rPr>
          <w:rFonts w:cs="Sylfaen"/>
          <w:b w:val="0"/>
          <w:color w:val="000000"/>
          <w:szCs w:val="22"/>
        </w:rPr>
        <w:softHyphen/>
        <w:t>հով</w:t>
      </w:r>
      <w:r w:rsidRPr="00A83C94">
        <w:rPr>
          <w:rFonts w:cs="Sylfaen"/>
          <w:b w:val="0"/>
          <w:color w:val="000000"/>
          <w:szCs w:val="22"/>
          <w:lang w:val="en-US"/>
        </w:rPr>
        <w:t>ել</w:t>
      </w:r>
      <w:r w:rsidRPr="00A83C94">
        <w:rPr>
          <w:rFonts w:cs="Sylfaen"/>
          <w:b w:val="0"/>
          <w:color w:val="000000"/>
          <w:szCs w:val="22"/>
        </w:rPr>
        <w:t>ն</w:t>
      </w:r>
      <w:r w:rsidRPr="00A83C94">
        <w:rPr>
          <w:b w:val="0"/>
          <w:color w:val="000000"/>
          <w:szCs w:val="22"/>
        </w:rPr>
        <w:t xml:space="preserve"> </w:t>
      </w:r>
      <w:r w:rsidRPr="00A83C94">
        <w:rPr>
          <w:rFonts w:cs="Sylfaen"/>
          <w:b w:val="0"/>
          <w:color w:val="000000"/>
          <w:szCs w:val="22"/>
        </w:rPr>
        <w:t>է</w:t>
      </w:r>
      <w:r w:rsidRPr="00A83C94">
        <w:rPr>
          <w:b w:val="0"/>
          <w:color w:val="000000"/>
          <w:szCs w:val="22"/>
        </w:rPr>
        <w:t>:</w:t>
      </w:r>
    </w:p>
    <w:p w14:paraId="035CE0F8"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lang w:val="en-US"/>
        </w:rPr>
        <w:t>Միաժամանակ</w:t>
      </w:r>
      <w:r w:rsidRPr="00A83C94">
        <w:rPr>
          <w:rFonts w:cs="Sylfaen"/>
          <w:b w:val="0"/>
          <w:color w:val="000000"/>
          <w:szCs w:val="22"/>
        </w:rPr>
        <w:t xml:space="preserve">, </w:t>
      </w:r>
      <w:r w:rsidRPr="00A83C94">
        <w:rPr>
          <w:rFonts w:cs="Sylfaen"/>
          <w:b w:val="0"/>
          <w:color w:val="000000"/>
          <w:szCs w:val="22"/>
          <w:lang w:val="en-US"/>
        </w:rPr>
        <w:t>ակնհայտ</w:t>
      </w:r>
      <w:r w:rsidRPr="00A83C94">
        <w:rPr>
          <w:rFonts w:cs="Sylfaen"/>
          <w:b w:val="0"/>
          <w:color w:val="000000"/>
          <w:szCs w:val="22"/>
        </w:rPr>
        <w:t xml:space="preserve"> </w:t>
      </w:r>
      <w:r w:rsidRPr="00A83C94">
        <w:rPr>
          <w:rFonts w:cs="Sylfaen"/>
          <w:b w:val="0"/>
          <w:color w:val="000000"/>
          <w:szCs w:val="22"/>
          <w:lang w:val="en-US"/>
        </w:rPr>
        <w:t>է</w:t>
      </w:r>
      <w:r w:rsidRPr="00A83C94">
        <w:rPr>
          <w:rFonts w:cs="Sylfaen"/>
          <w:b w:val="0"/>
          <w:color w:val="000000"/>
          <w:szCs w:val="22"/>
        </w:rPr>
        <w:t xml:space="preserve">, </w:t>
      </w:r>
      <w:r w:rsidRPr="00A83C94">
        <w:rPr>
          <w:rFonts w:cs="Sylfaen"/>
          <w:b w:val="0"/>
          <w:color w:val="000000"/>
          <w:szCs w:val="22"/>
          <w:lang w:val="en-US"/>
        </w:rPr>
        <w:t>որ</w:t>
      </w:r>
      <w:r w:rsidRPr="00A83C94">
        <w:rPr>
          <w:rFonts w:cs="Sylfaen"/>
          <w:b w:val="0"/>
          <w:color w:val="000000"/>
          <w:szCs w:val="22"/>
        </w:rPr>
        <w:t xml:space="preserve"> գործող</w:t>
      </w:r>
      <w:r w:rsidRPr="00A83C94">
        <w:rPr>
          <w:b w:val="0"/>
          <w:color w:val="000000"/>
          <w:szCs w:val="22"/>
        </w:rPr>
        <w:t xml:space="preserve"> </w:t>
      </w:r>
      <w:r w:rsidRPr="00A83C94">
        <w:rPr>
          <w:rFonts w:cs="Sylfaen"/>
          <w:b w:val="0"/>
          <w:color w:val="000000"/>
          <w:szCs w:val="22"/>
        </w:rPr>
        <w:t>արտո</w:t>
      </w:r>
      <w:r w:rsidRPr="00A83C94">
        <w:rPr>
          <w:rFonts w:cs="Sylfaen"/>
          <w:b w:val="0"/>
          <w:color w:val="000000"/>
          <w:szCs w:val="22"/>
        </w:rPr>
        <w:softHyphen/>
        <w:t>նությունների</w:t>
      </w:r>
      <w:r w:rsidRPr="00A83C94">
        <w:rPr>
          <w:b w:val="0"/>
          <w:color w:val="000000"/>
          <w:szCs w:val="22"/>
        </w:rPr>
        <w:t xml:space="preserve"> շրջանակի </w:t>
      </w:r>
      <w:r w:rsidRPr="00A83C94">
        <w:rPr>
          <w:rFonts w:cs="Sylfaen"/>
          <w:b w:val="0"/>
          <w:color w:val="000000"/>
          <w:szCs w:val="22"/>
        </w:rPr>
        <w:t>վերանայումը</w:t>
      </w:r>
      <w:r w:rsidRPr="00A83C94">
        <w:rPr>
          <w:b w:val="0"/>
          <w:color w:val="000000"/>
          <w:szCs w:val="22"/>
        </w:rPr>
        <w:t xml:space="preserve"> </w:t>
      </w:r>
      <w:r w:rsidRPr="00A83C94">
        <w:rPr>
          <w:rFonts w:cs="Sylfaen"/>
          <w:b w:val="0"/>
          <w:color w:val="000000"/>
          <w:szCs w:val="22"/>
        </w:rPr>
        <w:t>կնշա</w:t>
      </w:r>
      <w:r w:rsidRPr="00A83C94">
        <w:rPr>
          <w:rFonts w:cs="Sylfaen"/>
          <w:b w:val="0"/>
          <w:color w:val="000000"/>
          <w:szCs w:val="22"/>
        </w:rPr>
        <w:softHyphen/>
        <w:t>նակի</w:t>
      </w:r>
      <w:r w:rsidRPr="00A83C94">
        <w:rPr>
          <w:b w:val="0"/>
          <w:color w:val="000000"/>
          <w:szCs w:val="22"/>
        </w:rPr>
        <w:t xml:space="preserve"> </w:t>
      </w:r>
      <w:r w:rsidRPr="00A83C94">
        <w:rPr>
          <w:rFonts w:cs="Sylfaen"/>
          <w:b w:val="0"/>
          <w:color w:val="000000"/>
          <w:szCs w:val="22"/>
        </w:rPr>
        <w:t>կտրուկ</w:t>
      </w:r>
      <w:r w:rsidRPr="00A83C94">
        <w:rPr>
          <w:b w:val="0"/>
          <w:color w:val="000000"/>
          <w:szCs w:val="22"/>
        </w:rPr>
        <w:t xml:space="preserve"> </w:t>
      </w:r>
      <w:r w:rsidRPr="00A83C94">
        <w:rPr>
          <w:rFonts w:cs="Sylfaen"/>
          <w:b w:val="0"/>
          <w:color w:val="000000"/>
          <w:szCs w:val="22"/>
        </w:rPr>
        <w:t>փոփոխել</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արտոնություններից</w:t>
      </w:r>
      <w:r w:rsidRPr="00A83C94">
        <w:rPr>
          <w:b w:val="0"/>
          <w:color w:val="000000"/>
          <w:szCs w:val="22"/>
        </w:rPr>
        <w:t xml:space="preserve"> </w:t>
      </w:r>
      <w:r w:rsidRPr="00A83C94">
        <w:rPr>
          <w:rFonts w:cs="Sylfaen"/>
          <w:b w:val="0"/>
          <w:color w:val="000000"/>
          <w:szCs w:val="22"/>
        </w:rPr>
        <w:t>օգտ</w:t>
      </w:r>
      <w:r w:rsidRPr="00A83C94">
        <w:rPr>
          <w:rFonts w:cs="Sylfaen"/>
          <w:b w:val="0"/>
          <w:color w:val="000000"/>
          <w:szCs w:val="22"/>
        </w:rPr>
        <w:softHyphen/>
        <w:t>վող</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ձեռնարկատիրական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գործունեության</w:t>
      </w:r>
      <w:r w:rsidRPr="00A83C94">
        <w:rPr>
          <w:b w:val="0"/>
          <w:color w:val="000000"/>
          <w:szCs w:val="22"/>
        </w:rPr>
        <w:t xml:space="preserve"> </w:t>
      </w:r>
      <w:r w:rsidRPr="00A83C94">
        <w:rPr>
          <w:rFonts w:cs="Sylfaen"/>
          <w:b w:val="0"/>
          <w:color w:val="000000"/>
          <w:szCs w:val="22"/>
        </w:rPr>
        <w:t>պայմանները</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ներդրումային</w:t>
      </w:r>
      <w:r w:rsidRPr="00A83C94">
        <w:rPr>
          <w:b w:val="0"/>
          <w:color w:val="000000"/>
          <w:szCs w:val="22"/>
        </w:rPr>
        <w:t xml:space="preserve"> </w:t>
      </w:r>
      <w:r w:rsidRPr="00A83C94">
        <w:rPr>
          <w:rFonts w:cs="Sylfaen"/>
          <w:b w:val="0"/>
          <w:color w:val="000000"/>
          <w:szCs w:val="22"/>
        </w:rPr>
        <w:t>միջա</w:t>
      </w:r>
      <w:r w:rsidRPr="00A83C94">
        <w:rPr>
          <w:rFonts w:cs="Sylfaen"/>
          <w:b w:val="0"/>
          <w:color w:val="000000"/>
          <w:szCs w:val="22"/>
        </w:rPr>
        <w:softHyphen/>
        <w:t>վայրը</w:t>
      </w:r>
      <w:r w:rsidRPr="00A83C94">
        <w:rPr>
          <w:b w:val="0"/>
          <w:color w:val="000000"/>
          <w:szCs w:val="22"/>
        </w:rPr>
        <w:t xml:space="preserve"> </w:t>
      </w:r>
      <w:r w:rsidRPr="00A83C94">
        <w:rPr>
          <w:rFonts w:cs="Sylfaen"/>
          <w:b w:val="0"/>
          <w:color w:val="000000"/>
          <w:szCs w:val="22"/>
        </w:rPr>
        <w:t>ընդ</w:t>
      </w:r>
      <w:r w:rsidRPr="00A83C94">
        <w:rPr>
          <w:rFonts w:cs="Sylfaen"/>
          <w:b w:val="0"/>
          <w:color w:val="000000"/>
          <w:szCs w:val="22"/>
        </w:rPr>
        <w:softHyphen/>
        <w:t>հանրապես</w:t>
      </w:r>
      <w:r w:rsidRPr="00A83C94">
        <w:rPr>
          <w:b w:val="0"/>
          <w:color w:val="000000"/>
          <w:szCs w:val="22"/>
        </w:rPr>
        <w:t xml:space="preserve">: </w:t>
      </w:r>
      <w:r w:rsidRPr="00A83C94">
        <w:rPr>
          <w:rFonts w:cs="Sylfaen"/>
          <w:b w:val="0"/>
          <w:color w:val="000000"/>
          <w:szCs w:val="22"/>
        </w:rPr>
        <w:t>Այս</w:t>
      </w:r>
      <w:r w:rsidRPr="00A83C94">
        <w:rPr>
          <w:b w:val="0"/>
          <w:color w:val="000000"/>
          <w:szCs w:val="22"/>
        </w:rPr>
        <w:t xml:space="preserve"> </w:t>
      </w:r>
      <w:r w:rsidRPr="00A83C94">
        <w:rPr>
          <w:rFonts w:cs="Sylfaen"/>
          <w:b w:val="0"/>
          <w:color w:val="000000"/>
          <w:szCs w:val="22"/>
        </w:rPr>
        <w:t>առումով</w:t>
      </w:r>
      <w:r w:rsidRPr="00A83C94">
        <w:rPr>
          <w:b w:val="0"/>
          <w:color w:val="000000"/>
          <w:szCs w:val="22"/>
        </w:rPr>
        <w:t xml:space="preserve">, </w:t>
      </w:r>
      <w:r w:rsidRPr="00A83C94">
        <w:rPr>
          <w:rFonts w:cs="Sylfaen"/>
          <w:b w:val="0"/>
          <w:color w:val="000000"/>
          <w:szCs w:val="22"/>
        </w:rPr>
        <w:t>հարկային արտո</w:t>
      </w:r>
      <w:r w:rsidRPr="00A83C94">
        <w:rPr>
          <w:rFonts w:cs="Sylfaen"/>
          <w:b w:val="0"/>
          <w:color w:val="000000"/>
          <w:szCs w:val="22"/>
        </w:rPr>
        <w:softHyphen/>
        <w:t>նու</w:t>
      </w:r>
      <w:r w:rsidRPr="00A83C94">
        <w:rPr>
          <w:rFonts w:cs="Sylfaen"/>
          <w:b w:val="0"/>
          <w:color w:val="000000"/>
          <w:szCs w:val="22"/>
        </w:rPr>
        <w:softHyphen/>
        <w:t>թյուն</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շրջանակի</w:t>
      </w:r>
      <w:r w:rsidRPr="00A83C94">
        <w:rPr>
          <w:b w:val="0"/>
          <w:color w:val="000000"/>
          <w:szCs w:val="22"/>
        </w:rPr>
        <w:t xml:space="preserve"> </w:t>
      </w:r>
      <w:r w:rsidRPr="00A83C94">
        <w:rPr>
          <w:rFonts w:cs="Sylfaen"/>
          <w:b w:val="0"/>
          <w:color w:val="000000"/>
          <w:szCs w:val="22"/>
        </w:rPr>
        <w:t>վերանայումը</w:t>
      </w:r>
      <w:r w:rsidRPr="00A83C94">
        <w:rPr>
          <w:b w:val="0"/>
          <w:color w:val="000000"/>
          <w:szCs w:val="22"/>
        </w:rPr>
        <w:t xml:space="preserve"> </w:t>
      </w:r>
      <w:r w:rsidRPr="00A83C94">
        <w:rPr>
          <w:rFonts w:cs="Sylfaen"/>
          <w:b w:val="0"/>
          <w:color w:val="000000"/>
          <w:szCs w:val="22"/>
        </w:rPr>
        <w:t>պետք</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իրա</w:t>
      </w:r>
      <w:r w:rsidRPr="00A83C94">
        <w:rPr>
          <w:rFonts w:cs="Sylfaen"/>
          <w:b w:val="0"/>
          <w:color w:val="000000"/>
          <w:szCs w:val="22"/>
        </w:rPr>
        <w:softHyphen/>
        <w:t>կանացվի</w:t>
      </w:r>
      <w:r w:rsidRPr="00A83C94">
        <w:rPr>
          <w:b w:val="0"/>
          <w:color w:val="000000"/>
          <w:szCs w:val="22"/>
        </w:rPr>
        <w:t xml:space="preserve"> </w:t>
      </w:r>
      <w:r w:rsidRPr="00A83C94">
        <w:rPr>
          <w:rFonts w:cs="Sylfaen"/>
          <w:b w:val="0"/>
          <w:color w:val="000000"/>
          <w:szCs w:val="22"/>
        </w:rPr>
        <w:t>բավարար</w:t>
      </w:r>
      <w:r w:rsidRPr="00A83C94">
        <w:rPr>
          <w:b w:val="0"/>
          <w:color w:val="000000"/>
          <w:szCs w:val="22"/>
        </w:rPr>
        <w:t xml:space="preserve"> </w:t>
      </w:r>
      <w:r w:rsidRPr="00A83C94">
        <w:rPr>
          <w:rFonts w:cs="Sylfaen"/>
          <w:b w:val="0"/>
          <w:color w:val="000000"/>
          <w:szCs w:val="22"/>
        </w:rPr>
        <w:t>զգուշավորությամբ</w:t>
      </w:r>
      <w:r w:rsidRPr="00A83C94">
        <w:rPr>
          <w:b w:val="0"/>
          <w:color w:val="000000"/>
          <w:szCs w:val="22"/>
        </w:rPr>
        <w:t xml:space="preserve">` </w:t>
      </w:r>
      <w:r w:rsidRPr="00A83C94">
        <w:rPr>
          <w:rFonts w:cs="Sylfaen"/>
          <w:b w:val="0"/>
          <w:color w:val="000000"/>
          <w:szCs w:val="22"/>
        </w:rPr>
        <w:t>խուսա</w:t>
      </w:r>
      <w:r w:rsidRPr="00A83C94">
        <w:rPr>
          <w:rFonts w:cs="Sylfaen"/>
          <w:b w:val="0"/>
          <w:color w:val="000000"/>
          <w:szCs w:val="22"/>
        </w:rPr>
        <w:softHyphen/>
        <w:t>փելու համար հնարավոր</w:t>
      </w:r>
      <w:r w:rsidRPr="00A83C94">
        <w:rPr>
          <w:b w:val="0"/>
          <w:color w:val="000000"/>
          <w:szCs w:val="22"/>
        </w:rPr>
        <w:t xml:space="preserve"> </w:t>
      </w:r>
      <w:r w:rsidRPr="00A83C94">
        <w:rPr>
          <w:rFonts w:cs="Sylfaen"/>
          <w:b w:val="0"/>
          <w:color w:val="000000"/>
          <w:szCs w:val="22"/>
        </w:rPr>
        <w:t>ցնցում</w:t>
      </w:r>
      <w:r w:rsidRPr="00A83C94">
        <w:rPr>
          <w:rFonts w:cs="Sylfaen"/>
          <w:b w:val="0"/>
          <w:color w:val="000000"/>
          <w:szCs w:val="22"/>
        </w:rPr>
        <w:softHyphen/>
        <w:t>ներից</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վրա</w:t>
      </w:r>
      <w:r w:rsidRPr="00A83C94">
        <w:rPr>
          <w:b w:val="0"/>
          <w:color w:val="000000"/>
          <w:szCs w:val="22"/>
        </w:rPr>
        <w:t xml:space="preserve"> </w:t>
      </w:r>
      <w:r w:rsidRPr="00A83C94">
        <w:rPr>
          <w:rFonts w:cs="Sylfaen"/>
          <w:b w:val="0"/>
          <w:color w:val="000000"/>
          <w:szCs w:val="22"/>
        </w:rPr>
        <w:t>բացասական</w:t>
      </w:r>
      <w:r w:rsidRPr="00A83C94">
        <w:rPr>
          <w:b w:val="0"/>
          <w:color w:val="000000"/>
          <w:szCs w:val="22"/>
        </w:rPr>
        <w:t xml:space="preserve"> </w:t>
      </w:r>
      <w:r w:rsidRPr="00A83C94">
        <w:rPr>
          <w:rFonts w:cs="Sylfaen"/>
          <w:b w:val="0"/>
          <w:color w:val="000000"/>
          <w:szCs w:val="22"/>
        </w:rPr>
        <w:t>հետևանք</w:t>
      </w:r>
      <w:r w:rsidRPr="00A83C94">
        <w:rPr>
          <w:rFonts w:cs="Sylfaen"/>
          <w:b w:val="0"/>
          <w:color w:val="000000"/>
          <w:szCs w:val="22"/>
        </w:rPr>
        <w:softHyphen/>
        <w:t>նե</w:t>
      </w:r>
      <w:r w:rsidRPr="00A83C94">
        <w:rPr>
          <w:rFonts w:cs="Sylfaen"/>
          <w:b w:val="0"/>
          <w:color w:val="000000"/>
          <w:szCs w:val="22"/>
        </w:rPr>
        <w:softHyphen/>
        <w:t>րից, և հետևողականությամբ, քանի որ հարկային արտոնությունների շրջանակի վերանայումը լրացուցիչ ռեսուրսներ կենտ</w:t>
      </w:r>
      <w:r w:rsidRPr="00A83C94">
        <w:rPr>
          <w:rFonts w:cs="Sylfaen"/>
          <w:b w:val="0"/>
          <w:color w:val="000000"/>
          <w:szCs w:val="22"/>
        </w:rPr>
        <w:softHyphen/>
        <w:t>րոնացնելու և դրանք տնտեսության հետագա զարգացմանն ուղղելու հնարավորություն կընձեռի</w:t>
      </w:r>
      <w:r w:rsidRPr="00A83C94">
        <w:rPr>
          <w:b w:val="0"/>
          <w:color w:val="000000"/>
          <w:szCs w:val="22"/>
        </w:rPr>
        <w:t xml:space="preserve">: </w:t>
      </w:r>
      <w:r w:rsidRPr="00A83C94">
        <w:rPr>
          <w:rFonts w:cs="Sylfaen"/>
          <w:b w:val="0"/>
          <w:color w:val="000000"/>
          <w:szCs w:val="22"/>
        </w:rPr>
        <w:t>Մասնավորապես</w:t>
      </w:r>
      <w:r w:rsidRPr="00A83C94">
        <w:rPr>
          <w:b w:val="0"/>
          <w:color w:val="000000"/>
          <w:szCs w:val="22"/>
        </w:rPr>
        <w:t xml:space="preserve">, </w:t>
      </w:r>
      <w:r w:rsidRPr="00A83C94">
        <w:rPr>
          <w:rFonts w:cs="Sylfaen"/>
          <w:b w:val="0"/>
          <w:color w:val="000000"/>
          <w:szCs w:val="22"/>
        </w:rPr>
        <w:t>նախքան հարկային արտոնությունների</w:t>
      </w:r>
      <w:r w:rsidRPr="00A83C94">
        <w:rPr>
          <w:b w:val="0"/>
          <w:color w:val="000000"/>
          <w:szCs w:val="22"/>
        </w:rPr>
        <w:t xml:space="preserve"> </w:t>
      </w:r>
      <w:r w:rsidRPr="00A83C94">
        <w:rPr>
          <w:rFonts w:cs="Sylfaen"/>
          <w:b w:val="0"/>
          <w:color w:val="000000"/>
          <w:szCs w:val="22"/>
        </w:rPr>
        <w:t>կրճատումը</w:t>
      </w:r>
      <w:r w:rsidRPr="00A83C94">
        <w:rPr>
          <w:b w:val="0"/>
          <w:color w:val="000000"/>
          <w:szCs w:val="22"/>
        </w:rPr>
        <w:t xml:space="preserve"> </w:t>
      </w:r>
      <w:r w:rsidRPr="00A83C94">
        <w:rPr>
          <w:rFonts w:cs="Sylfaen"/>
          <w:b w:val="0"/>
          <w:color w:val="000000"/>
          <w:szCs w:val="22"/>
        </w:rPr>
        <w:t>պետք</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ման</w:t>
      </w:r>
      <w:r w:rsidRPr="00A83C94">
        <w:rPr>
          <w:rFonts w:cs="Sylfaen"/>
          <w:b w:val="0"/>
          <w:color w:val="000000"/>
          <w:szCs w:val="22"/>
        </w:rPr>
        <w:softHyphen/>
        <w:t>րա</w:t>
      </w:r>
      <w:r w:rsidRPr="00A83C94">
        <w:rPr>
          <w:rFonts w:cs="Sylfaen"/>
          <w:b w:val="0"/>
          <w:color w:val="000000"/>
          <w:szCs w:val="22"/>
        </w:rPr>
        <w:softHyphen/>
        <w:t>մասն ուսումնասիրվեն</w:t>
      </w:r>
      <w:r w:rsidRPr="00A83C94">
        <w:rPr>
          <w:b w:val="0"/>
          <w:color w:val="000000"/>
          <w:szCs w:val="22"/>
        </w:rPr>
        <w:t xml:space="preserve"> </w:t>
      </w:r>
      <w:r w:rsidRPr="00A83C94">
        <w:rPr>
          <w:rFonts w:cs="Sylfaen"/>
          <w:b w:val="0"/>
          <w:color w:val="000000"/>
          <w:szCs w:val="22"/>
        </w:rPr>
        <w:t>գործող հարկային արտո</w:t>
      </w:r>
      <w:r w:rsidRPr="00A83C94">
        <w:rPr>
          <w:rFonts w:cs="Sylfaen"/>
          <w:b w:val="0"/>
          <w:color w:val="000000"/>
          <w:szCs w:val="22"/>
        </w:rPr>
        <w:softHyphen/>
        <w:t>նությունների</w:t>
      </w:r>
      <w:r w:rsidRPr="00A83C94">
        <w:rPr>
          <w:b w:val="0"/>
          <w:color w:val="000000"/>
          <w:szCs w:val="22"/>
        </w:rPr>
        <w:t xml:space="preserve"> </w:t>
      </w:r>
      <w:r w:rsidRPr="00A83C94">
        <w:rPr>
          <w:rFonts w:cs="Sylfaen"/>
          <w:b w:val="0"/>
          <w:color w:val="000000"/>
          <w:szCs w:val="22"/>
        </w:rPr>
        <w:t>կիրառության</w:t>
      </w:r>
      <w:r w:rsidRPr="00A83C94">
        <w:rPr>
          <w:b w:val="0"/>
          <w:color w:val="000000"/>
          <w:szCs w:val="22"/>
        </w:rPr>
        <w:t xml:space="preserve"> </w:t>
      </w:r>
      <w:r w:rsidRPr="00A83C94">
        <w:rPr>
          <w:rFonts w:cs="Sylfaen"/>
          <w:b w:val="0"/>
          <w:color w:val="000000"/>
          <w:szCs w:val="22"/>
        </w:rPr>
        <w:t>բոլոր</w:t>
      </w:r>
      <w:r w:rsidRPr="00A83C94">
        <w:rPr>
          <w:b w:val="0"/>
          <w:color w:val="000000"/>
          <w:szCs w:val="22"/>
        </w:rPr>
        <w:t xml:space="preserve"> </w:t>
      </w:r>
      <w:r w:rsidRPr="00A83C94">
        <w:rPr>
          <w:rFonts w:cs="Sylfaen"/>
          <w:b w:val="0"/>
          <w:color w:val="000000"/>
          <w:szCs w:val="22"/>
        </w:rPr>
        <w:t>դրա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բացասական</w:t>
      </w:r>
      <w:r w:rsidRPr="00A83C94">
        <w:rPr>
          <w:b w:val="0"/>
          <w:color w:val="000000"/>
          <w:szCs w:val="22"/>
        </w:rPr>
        <w:t xml:space="preserve"> </w:t>
      </w:r>
      <w:r w:rsidRPr="00A83C94">
        <w:rPr>
          <w:rFonts w:cs="Sylfaen"/>
          <w:b w:val="0"/>
          <w:color w:val="000000"/>
          <w:szCs w:val="22"/>
        </w:rPr>
        <w:t>կողմերը</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թվում</w:t>
      </w:r>
      <w:r w:rsidRPr="00A83C94">
        <w:rPr>
          <w:b w:val="0"/>
          <w:color w:val="000000"/>
          <w:szCs w:val="22"/>
        </w:rPr>
        <w:t xml:space="preserve">` </w:t>
      </w:r>
      <w:r w:rsidRPr="00A83C94">
        <w:rPr>
          <w:rFonts w:cs="Sylfaen"/>
          <w:b w:val="0"/>
          <w:color w:val="000000"/>
          <w:szCs w:val="22"/>
        </w:rPr>
        <w:t>ինչ</w:t>
      </w:r>
      <w:r w:rsidRPr="00A83C94">
        <w:rPr>
          <w:rFonts w:cs="Sylfaen"/>
          <w:b w:val="0"/>
          <w:color w:val="000000"/>
          <w:szCs w:val="22"/>
        </w:rPr>
        <w:softHyphen/>
        <w:t>պես</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այնպես</w:t>
      </w:r>
      <w:r w:rsidRPr="00A83C94">
        <w:rPr>
          <w:b w:val="0"/>
          <w:color w:val="000000"/>
          <w:szCs w:val="22"/>
        </w:rPr>
        <w:t xml:space="preserve"> </w:t>
      </w:r>
      <w:r w:rsidRPr="00A83C94">
        <w:rPr>
          <w:rFonts w:cs="Sylfaen"/>
          <w:b w:val="0"/>
          <w:color w:val="000000"/>
          <w:szCs w:val="22"/>
        </w:rPr>
        <w:t>էլ</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արտո</w:t>
      </w:r>
      <w:r w:rsidRPr="00A83C94">
        <w:rPr>
          <w:rFonts w:cs="Sylfaen"/>
          <w:b w:val="0"/>
          <w:color w:val="000000"/>
          <w:szCs w:val="22"/>
        </w:rPr>
        <w:softHyphen/>
        <w:t>նու</w:t>
      </w:r>
      <w:r w:rsidRPr="00A83C94">
        <w:rPr>
          <w:rFonts w:cs="Sylfaen"/>
          <w:b w:val="0"/>
          <w:color w:val="000000"/>
          <w:szCs w:val="22"/>
        </w:rPr>
        <w:softHyphen/>
        <w:t>թյուն</w:t>
      </w:r>
      <w:r w:rsidRPr="00A83C94">
        <w:rPr>
          <w:rFonts w:cs="Sylfaen"/>
          <w:b w:val="0"/>
          <w:color w:val="000000"/>
          <w:szCs w:val="22"/>
        </w:rPr>
        <w:softHyphen/>
        <w:t>ներից</w:t>
      </w:r>
      <w:r w:rsidRPr="00A83C94">
        <w:rPr>
          <w:b w:val="0"/>
          <w:color w:val="000000"/>
          <w:szCs w:val="22"/>
        </w:rPr>
        <w:t xml:space="preserve"> </w:t>
      </w:r>
      <w:r w:rsidRPr="00A83C94">
        <w:rPr>
          <w:rFonts w:cs="Sylfaen"/>
          <w:b w:val="0"/>
          <w:color w:val="000000"/>
          <w:szCs w:val="22"/>
        </w:rPr>
        <w:t>օգտվողների</w:t>
      </w:r>
      <w:r w:rsidRPr="00A83C94">
        <w:rPr>
          <w:b w:val="0"/>
          <w:color w:val="000000"/>
          <w:szCs w:val="22"/>
        </w:rPr>
        <w:t xml:space="preserve"> </w:t>
      </w:r>
      <w:r w:rsidRPr="00A83C94">
        <w:rPr>
          <w:rFonts w:cs="Sylfaen"/>
          <w:b w:val="0"/>
          <w:color w:val="000000"/>
          <w:szCs w:val="22"/>
        </w:rPr>
        <w:t>տեսանկյունից</w:t>
      </w:r>
      <w:r w:rsidRPr="00A83C94">
        <w:rPr>
          <w:b w:val="0"/>
          <w:color w:val="000000"/>
          <w:szCs w:val="22"/>
        </w:rPr>
        <w:t xml:space="preserve">, </w:t>
      </w:r>
      <w:r w:rsidRPr="00A83C94">
        <w:rPr>
          <w:rFonts w:cs="Sylfaen"/>
          <w:b w:val="0"/>
          <w:color w:val="000000"/>
          <w:szCs w:val="22"/>
        </w:rPr>
        <w:t>համադր</w:t>
      </w:r>
      <w:r w:rsidRPr="00A83C94">
        <w:rPr>
          <w:rFonts w:cs="Sylfaen"/>
          <w:b w:val="0"/>
          <w:color w:val="000000"/>
          <w:szCs w:val="22"/>
        </w:rPr>
        <w:softHyphen/>
        <w:t>վեն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կիրառության</w:t>
      </w:r>
      <w:r w:rsidRPr="00A83C94">
        <w:rPr>
          <w:b w:val="0"/>
          <w:color w:val="000000"/>
          <w:szCs w:val="22"/>
        </w:rPr>
        <w:t xml:space="preserve"> </w:t>
      </w:r>
      <w:r w:rsidRPr="00A83C94">
        <w:rPr>
          <w:rFonts w:cs="Sylfaen"/>
          <w:b w:val="0"/>
          <w:color w:val="000000"/>
          <w:szCs w:val="22"/>
        </w:rPr>
        <w:t>օգուտ</w:t>
      </w:r>
      <w:r w:rsidRPr="00A83C94">
        <w:rPr>
          <w:rFonts w:cs="Sylfaen"/>
          <w:b w:val="0"/>
          <w:color w:val="000000"/>
          <w:szCs w:val="22"/>
        </w:rPr>
        <w:softHyphen/>
        <w:t>ներն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վնասները</w:t>
      </w:r>
      <w:r w:rsidRPr="00A83C94">
        <w:rPr>
          <w:b w:val="0"/>
          <w:color w:val="000000"/>
          <w:szCs w:val="22"/>
        </w:rPr>
        <w:t xml:space="preserve">, </w:t>
      </w:r>
      <w:r w:rsidRPr="00A83C94">
        <w:rPr>
          <w:rFonts w:cs="Sylfaen"/>
          <w:b w:val="0"/>
          <w:color w:val="000000"/>
          <w:szCs w:val="22"/>
        </w:rPr>
        <w:t>բացահայտվեն</w:t>
      </w:r>
      <w:r w:rsidRPr="00A83C94">
        <w:rPr>
          <w:b w:val="0"/>
          <w:color w:val="000000"/>
          <w:szCs w:val="22"/>
        </w:rPr>
        <w:t xml:space="preserve"> </w:t>
      </w:r>
      <w:r w:rsidRPr="00A83C94">
        <w:rPr>
          <w:rFonts w:cs="Sylfaen"/>
          <w:b w:val="0"/>
          <w:color w:val="000000"/>
          <w:szCs w:val="22"/>
        </w:rPr>
        <w:t>արտոնու</w:t>
      </w:r>
      <w:r w:rsidRPr="00A83C94">
        <w:rPr>
          <w:rFonts w:cs="Sylfaen"/>
          <w:b w:val="0"/>
          <w:color w:val="000000"/>
          <w:szCs w:val="22"/>
        </w:rPr>
        <w:softHyphen/>
        <w:t>թյուն</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վերանայման</w:t>
      </w:r>
      <w:r w:rsidRPr="00A83C94">
        <w:rPr>
          <w:b w:val="0"/>
          <w:color w:val="000000"/>
          <w:szCs w:val="22"/>
        </w:rPr>
        <w:t xml:space="preserve"> </w:t>
      </w:r>
      <w:r w:rsidRPr="00A83C94">
        <w:rPr>
          <w:rFonts w:cs="Sylfaen"/>
          <w:b w:val="0"/>
          <w:color w:val="000000"/>
          <w:szCs w:val="22"/>
        </w:rPr>
        <w:t>հնարավոր</w:t>
      </w:r>
      <w:r w:rsidRPr="00A83C94">
        <w:rPr>
          <w:b w:val="0"/>
          <w:color w:val="000000"/>
          <w:szCs w:val="22"/>
        </w:rPr>
        <w:t xml:space="preserve"> </w:t>
      </w:r>
      <w:r w:rsidRPr="00A83C94">
        <w:rPr>
          <w:rFonts w:cs="Sylfaen"/>
          <w:b w:val="0"/>
          <w:color w:val="000000"/>
          <w:szCs w:val="22"/>
        </w:rPr>
        <w:t>ազդե</w:t>
      </w:r>
      <w:r w:rsidRPr="00A83C94">
        <w:rPr>
          <w:rFonts w:cs="Sylfaen"/>
          <w:b w:val="0"/>
          <w:color w:val="000000"/>
          <w:szCs w:val="22"/>
        </w:rPr>
        <w:softHyphen/>
        <w:t>ցու</w:t>
      </w:r>
      <w:r w:rsidRPr="00A83C94">
        <w:rPr>
          <w:rFonts w:cs="Sylfaen"/>
          <w:b w:val="0"/>
          <w:color w:val="000000"/>
          <w:szCs w:val="22"/>
        </w:rPr>
        <w:softHyphen/>
        <w:t>թյունները</w:t>
      </w:r>
      <w:r w:rsidRPr="00A83C94">
        <w:rPr>
          <w:b w:val="0"/>
          <w:color w:val="000000"/>
          <w:szCs w:val="22"/>
        </w:rPr>
        <w:t xml:space="preserve"> </w:t>
      </w:r>
      <w:r w:rsidRPr="00A83C94">
        <w:rPr>
          <w:rFonts w:cs="Sylfaen"/>
          <w:b w:val="0"/>
          <w:color w:val="000000"/>
          <w:szCs w:val="22"/>
        </w:rPr>
        <w:t>պետական</w:t>
      </w:r>
      <w:r w:rsidRPr="00A83C94">
        <w:rPr>
          <w:b w:val="0"/>
          <w:color w:val="000000"/>
          <w:szCs w:val="22"/>
        </w:rPr>
        <w:t xml:space="preserve"> </w:t>
      </w:r>
      <w:r w:rsidRPr="00A83C94">
        <w:rPr>
          <w:rFonts w:cs="Sylfaen"/>
          <w:b w:val="0"/>
          <w:color w:val="000000"/>
          <w:szCs w:val="22"/>
        </w:rPr>
        <w:t>բյուջեի հարկային եկա</w:t>
      </w:r>
      <w:r w:rsidRPr="00A83C94">
        <w:rPr>
          <w:rFonts w:cs="Sylfaen"/>
          <w:b w:val="0"/>
          <w:color w:val="000000"/>
          <w:szCs w:val="22"/>
        </w:rPr>
        <w:softHyphen/>
        <w:t>մուտ</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ազգային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ակտիվության</w:t>
      </w:r>
      <w:r w:rsidRPr="00A83C94">
        <w:rPr>
          <w:b w:val="0"/>
          <w:color w:val="000000"/>
          <w:szCs w:val="22"/>
        </w:rPr>
        <w:t xml:space="preserve">, </w:t>
      </w:r>
      <w:r w:rsidRPr="00A83C94">
        <w:rPr>
          <w:rFonts w:cs="Sylfaen"/>
          <w:b w:val="0"/>
          <w:color w:val="000000"/>
          <w:szCs w:val="22"/>
        </w:rPr>
        <w:t>գործարար</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ներդրու</w:t>
      </w:r>
      <w:r w:rsidRPr="00A83C94">
        <w:rPr>
          <w:rFonts w:cs="Sylfaen"/>
          <w:b w:val="0"/>
          <w:color w:val="000000"/>
          <w:szCs w:val="22"/>
        </w:rPr>
        <w:softHyphen/>
        <w:t>մա</w:t>
      </w:r>
      <w:r w:rsidRPr="00A83C94">
        <w:rPr>
          <w:rFonts w:cs="Sylfaen"/>
          <w:b w:val="0"/>
          <w:color w:val="000000"/>
          <w:szCs w:val="22"/>
        </w:rPr>
        <w:softHyphen/>
        <w:t>յին</w:t>
      </w:r>
      <w:r w:rsidRPr="00A83C94">
        <w:rPr>
          <w:b w:val="0"/>
          <w:color w:val="000000"/>
          <w:szCs w:val="22"/>
        </w:rPr>
        <w:t xml:space="preserve"> </w:t>
      </w:r>
      <w:r w:rsidRPr="00A83C94">
        <w:rPr>
          <w:rFonts w:cs="Sylfaen"/>
          <w:b w:val="0"/>
          <w:color w:val="000000"/>
          <w:szCs w:val="22"/>
        </w:rPr>
        <w:t>գրավչության</w:t>
      </w:r>
      <w:r w:rsidRPr="00A83C94">
        <w:rPr>
          <w:b w:val="0"/>
          <w:color w:val="000000"/>
          <w:szCs w:val="22"/>
        </w:rPr>
        <w:t xml:space="preserve">, </w:t>
      </w:r>
      <w:r w:rsidRPr="00A83C94">
        <w:rPr>
          <w:rFonts w:cs="Sylfaen"/>
          <w:b w:val="0"/>
          <w:color w:val="000000"/>
          <w:szCs w:val="22"/>
        </w:rPr>
        <w:t>երկրի</w:t>
      </w:r>
      <w:r w:rsidRPr="00A83C94">
        <w:rPr>
          <w:b w:val="0"/>
          <w:color w:val="000000"/>
          <w:szCs w:val="22"/>
        </w:rPr>
        <w:t xml:space="preserve"> </w:t>
      </w:r>
      <w:r w:rsidRPr="00A83C94">
        <w:rPr>
          <w:rFonts w:cs="Sylfaen"/>
          <w:b w:val="0"/>
          <w:color w:val="000000"/>
          <w:szCs w:val="22"/>
        </w:rPr>
        <w:t>սոցիալ</w:t>
      </w:r>
      <w:r w:rsidRPr="00A83C94">
        <w:rPr>
          <w:b w:val="0"/>
          <w:color w:val="000000"/>
          <w:szCs w:val="22"/>
        </w:rPr>
        <w:t>-</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վիճակի</w:t>
      </w:r>
      <w:r w:rsidRPr="00A83C94">
        <w:rPr>
          <w:b w:val="0"/>
          <w:color w:val="000000"/>
          <w:szCs w:val="22"/>
        </w:rPr>
        <w:t xml:space="preserve">, </w:t>
      </w:r>
      <w:r w:rsidRPr="00A83C94">
        <w:rPr>
          <w:rFonts w:cs="Sylfaen"/>
          <w:b w:val="0"/>
          <w:color w:val="000000"/>
          <w:szCs w:val="22"/>
        </w:rPr>
        <w:t>տնտեսական</w:t>
      </w:r>
      <w:r w:rsidRPr="00A83C94">
        <w:rPr>
          <w:b w:val="0"/>
          <w:color w:val="000000"/>
          <w:szCs w:val="22"/>
        </w:rPr>
        <w:t xml:space="preserve"> </w:t>
      </w:r>
      <w:r w:rsidRPr="00A83C94">
        <w:rPr>
          <w:rFonts w:cs="Sylfaen"/>
          <w:b w:val="0"/>
          <w:color w:val="000000"/>
          <w:szCs w:val="22"/>
        </w:rPr>
        <w:t>մրցակցության</w:t>
      </w:r>
      <w:r w:rsidRPr="00A83C94">
        <w:rPr>
          <w:b w:val="0"/>
          <w:color w:val="000000"/>
          <w:szCs w:val="22"/>
        </w:rPr>
        <w:t xml:space="preserve">, </w:t>
      </w:r>
      <w:r w:rsidRPr="00A83C94">
        <w:rPr>
          <w:rFonts w:cs="Sylfaen"/>
          <w:b w:val="0"/>
          <w:color w:val="000000"/>
          <w:szCs w:val="22"/>
        </w:rPr>
        <w:t>գնա</w:t>
      </w:r>
      <w:r w:rsidRPr="00A83C94">
        <w:rPr>
          <w:rFonts w:cs="Sylfaen"/>
          <w:b w:val="0"/>
          <w:color w:val="000000"/>
          <w:szCs w:val="22"/>
        </w:rPr>
        <w:softHyphen/>
        <w:t>ճա</w:t>
      </w:r>
      <w:r w:rsidRPr="00A83C94">
        <w:rPr>
          <w:rFonts w:cs="Sylfaen"/>
          <w:b w:val="0"/>
          <w:color w:val="000000"/>
          <w:szCs w:val="22"/>
        </w:rPr>
        <w:softHyphen/>
        <w:t>յին</w:t>
      </w:r>
      <w:r w:rsidRPr="00A83C94">
        <w:rPr>
          <w:b w:val="0"/>
          <w:color w:val="000000"/>
          <w:szCs w:val="22"/>
        </w:rPr>
        <w:t xml:space="preserve"> </w:t>
      </w:r>
      <w:r w:rsidRPr="00A83C94">
        <w:rPr>
          <w:rFonts w:cs="Sylfaen"/>
          <w:b w:val="0"/>
          <w:color w:val="000000"/>
          <w:szCs w:val="22"/>
        </w:rPr>
        <w:t>ճնշումների</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այլ</w:t>
      </w:r>
      <w:r w:rsidRPr="00A83C94">
        <w:rPr>
          <w:b w:val="0"/>
          <w:color w:val="000000"/>
          <w:szCs w:val="22"/>
        </w:rPr>
        <w:t xml:space="preserve"> </w:t>
      </w:r>
      <w:r w:rsidRPr="00A83C94">
        <w:rPr>
          <w:rFonts w:cs="Sylfaen"/>
          <w:b w:val="0"/>
          <w:color w:val="000000"/>
          <w:szCs w:val="22"/>
        </w:rPr>
        <w:t>կարևոր</w:t>
      </w:r>
      <w:r w:rsidRPr="00A83C94">
        <w:rPr>
          <w:b w:val="0"/>
          <w:color w:val="000000"/>
          <w:szCs w:val="22"/>
        </w:rPr>
        <w:t xml:space="preserve"> </w:t>
      </w:r>
      <w:r w:rsidRPr="00A83C94">
        <w:rPr>
          <w:rFonts w:cs="Sylfaen"/>
          <w:b w:val="0"/>
          <w:color w:val="000000"/>
          <w:szCs w:val="22"/>
        </w:rPr>
        <w:t>ցուցա</w:t>
      </w:r>
      <w:r w:rsidRPr="00A83C94">
        <w:rPr>
          <w:rFonts w:cs="Sylfaen"/>
          <w:b w:val="0"/>
          <w:color w:val="000000"/>
          <w:szCs w:val="22"/>
        </w:rPr>
        <w:softHyphen/>
        <w:t>նիշ</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վրա</w:t>
      </w:r>
      <w:r w:rsidRPr="00A83C94">
        <w:rPr>
          <w:b w:val="0"/>
          <w:color w:val="000000"/>
          <w:szCs w:val="22"/>
        </w:rPr>
        <w:t xml:space="preserve">: </w:t>
      </w:r>
      <w:r w:rsidRPr="00A83C94">
        <w:rPr>
          <w:rFonts w:cs="Sylfaen"/>
          <w:b w:val="0"/>
          <w:color w:val="000000"/>
          <w:szCs w:val="22"/>
        </w:rPr>
        <w:t>Վերոնշյալը</w:t>
      </w:r>
      <w:r w:rsidRPr="00A83C94">
        <w:rPr>
          <w:b w:val="0"/>
          <w:color w:val="000000"/>
          <w:szCs w:val="22"/>
        </w:rPr>
        <w:t xml:space="preserve"> </w:t>
      </w:r>
      <w:r w:rsidRPr="00A83C94">
        <w:rPr>
          <w:rFonts w:cs="Sylfaen"/>
          <w:b w:val="0"/>
          <w:color w:val="000000"/>
          <w:szCs w:val="22"/>
        </w:rPr>
        <w:t>նաև</w:t>
      </w:r>
      <w:r w:rsidRPr="00A83C94">
        <w:rPr>
          <w:b w:val="0"/>
          <w:color w:val="000000"/>
          <w:szCs w:val="22"/>
        </w:rPr>
        <w:t xml:space="preserve"> </w:t>
      </w:r>
      <w:r w:rsidRPr="00A83C94">
        <w:rPr>
          <w:rFonts w:cs="Sylfaen"/>
          <w:b w:val="0"/>
          <w:color w:val="000000"/>
          <w:szCs w:val="22"/>
        </w:rPr>
        <w:t>նշանակում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որ</w:t>
      </w:r>
      <w:r w:rsidRPr="00A83C94">
        <w:rPr>
          <w:b w:val="0"/>
          <w:color w:val="000000"/>
          <w:szCs w:val="22"/>
        </w:rPr>
        <w:t xml:space="preserve"> </w:t>
      </w:r>
      <w:r w:rsidRPr="00A83C94">
        <w:rPr>
          <w:rFonts w:cs="Sylfaen"/>
          <w:b w:val="0"/>
          <w:color w:val="000000"/>
          <w:szCs w:val="22"/>
        </w:rPr>
        <w:t>առա</w:t>
      </w:r>
      <w:r w:rsidRPr="00A83C94">
        <w:rPr>
          <w:rFonts w:cs="Sylfaen"/>
          <w:b w:val="0"/>
          <w:color w:val="000000"/>
          <w:szCs w:val="22"/>
        </w:rPr>
        <w:softHyphen/>
        <w:t>ջիկա</w:t>
      </w:r>
      <w:r w:rsidRPr="00A83C94">
        <w:rPr>
          <w:b w:val="0"/>
          <w:color w:val="000000"/>
          <w:szCs w:val="22"/>
        </w:rPr>
        <w:t xml:space="preserve"> </w:t>
      </w:r>
      <w:r w:rsidRPr="00A83C94">
        <w:rPr>
          <w:rFonts w:cs="Sylfaen"/>
          <w:b w:val="0"/>
          <w:color w:val="000000"/>
          <w:szCs w:val="22"/>
        </w:rPr>
        <w:t>տարիներին հարկային քաղա</w:t>
      </w:r>
      <w:r w:rsidRPr="00A83C94">
        <w:rPr>
          <w:rFonts w:cs="Sylfaen"/>
          <w:b w:val="0"/>
          <w:color w:val="000000"/>
          <w:szCs w:val="22"/>
        </w:rPr>
        <w:softHyphen/>
        <w:t>քակա</w:t>
      </w:r>
      <w:r w:rsidRPr="00A83C94">
        <w:rPr>
          <w:rFonts w:cs="Sylfaen"/>
          <w:b w:val="0"/>
          <w:color w:val="000000"/>
          <w:szCs w:val="22"/>
        </w:rPr>
        <w:softHyphen/>
        <w:t>նու</w:t>
      </w:r>
      <w:r w:rsidRPr="00A83C94">
        <w:rPr>
          <w:rFonts w:cs="Sylfaen"/>
          <w:b w:val="0"/>
          <w:color w:val="000000"/>
          <w:szCs w:val="22"/>
        </w:rPr>
        <w:softHyphen/>
        <w:t xml:space="preserve">թյան </w:t>
      </w:r>
      <w:r w:rsidRPr="00A83C94">
        <w:rPr>
          <w:rFonts w:cs="Sylfaen"/>
          <w:b w:val="0"/>
          <w:color w:val="000000"/>
          <w:szCs w:val="22"/>
          <w:lang w:val="en-US"/>
        </w:rPr>
        <w:t>շրջանակներում</w:t>
      </w:r>
      <w:r w:rsidRPr="00A83C94">
        <w:rPr>
          <w:rFonts w:cs="Sylfaen"/>
          <w:b w:val="0"/>
          <w:color w:val="000000"/>
          <w:szCs w:val="22"/>
        </w:rPr>
        <w:t xml:space="preserve"> շեշտադրումը</w:t>
      </w:r>
      <w:r w:rsidRPr="00A83C94">
        <w:rPr>
          <w:b w:val="0"/>
          <w:color w:val="000000"/>
          <w:szCs w:val="22"/>
        </w:rPr>
        <w:t xml:space="preserve"> </w:t>
      </w:r>
      <w:r w:rsidRPr="00A83C94">
        <w:rPr>
          <w:rFonts w:cs="Sylfaen"/>
          <w:b w:val="0"/>
          <w:color w:val="000000"/>
          <w:szCs w:val="22"/>
        </w:rPr>
        <w:t>կատար</w:t>
      </w:r>
      <w:r w:rsidRPr="00A83C94">
        <w:rPr>
          <w:rFonts w:cs="Sylfaen"/>
          <w:b w:val="0"/>
          <w:color w:val="000000"/>
          <w:szCs w:val="22"/>
        </w:rPr>
        <w:softHyphen/>
        <w:t>վելու</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հատ</w:t>
      </w:r>
      <w:r w:rsidRPr="00A83C94">
        <w:rPr>
          <w:rFonts w:cs="Sylfaen"/>
          <w:b w:val="0"/>
          <w:color w:val="000000"/>
          <w:szCs w:val="22"/>
        </w:rPr>
        <w:softHyphen/>
        <w:t>կապես</w:t>
      </w:r>
      <w:r w:rsidRPr="00A83C94">
        <w:rPr>
          <w:b w:val="0"/>
          <w:color w:val="000000"/>
          <w:szCs w:val="22"/>
        </w:rPr>
        <w:t xml:space="preserve"> </w:t>
      </w:r>
      <w:r w:rsidRPr="00A83C94">
        <w:rPr>
          <w:rFonts w:cs="Sylfaen"/>
          <w:b w:val="0"/>
          <w:color w:val="000000"/>
          <w:szCs w:val="22"/>
        </w:rPr>
        <w:t>այն</w:t>
      </w:r>
      <w:r w:rsidRPr="00A83C94">
        <w:rPr>
          <w:b w:val="0"/>
          <w:color w:val="000000"/>
          <w:szCs w:val="22"/>
        </w:rPr>
        <w:t xml:space="preserve"> </w:t>
      </w:r>
      <w:r w:rsidRPr="00A83C94">
        <w:rPr>
          <w:rFonts w:cs="Sylfaen"/>
          <w:b w:val="0"/>
          <w:color w:val="000000"/>
          <w:szCs w:val="22"/>
        </w:rPr>
        <w:t>արտո</w:t>
      </w:r>
      <w:r w:rsidRPr="00A83C94">
        <w:rPr>
          <w:rFonts w:cs="Sylfaen"/>
          <w:b w:val="0"/>
          <w:color w:val="000000"/>
          <w:szCs w:val="22"/>
        </w:rPr>
        <w:softHyphen/>
        <w:t>նու</w:t>
      </w:r>
      <w:r w:rsidRPr="00A83C94">
        <w:rPr>
          <w:rFonts w:cs="Sylfaen"/>
          <w:b w:val="0"/>
          <w:color w:val="000000"/>
          <w:szCs w:val="22"/>
        </w:rPr>
        <w:softHyphen/>
        <w:t>թյունների</w:t>
      </w:r>
      <w:r w:rsidRPr="00A83C94">
        <w:rPr>
          <w:b w:val="0"/>
          <w:color w:val="000000"/>
          <w:szCs w:val="22"/>
        </w:rPr>
        <w:t xml:space="preserve"> </w:t>
      </w:r>
      <w:r w:rsidRPr="00A83C94">
        <w:rPr>
          <w:rFonts w:cs="Sylfaen"/>
          <w:b w:val="0"/>
          <w:color w:val="000000"/>
          <w:szCs w:val="22"/>
        </w:rPr>
        <w:t>վերանայման</w:t>
      </w:r>
      <w:r w:rsidRPr="00A83C94">
        <w:rPr>
          <w:b w:val="0"/>
          <w:color w:val="000000"/>
          <w:szCs w:val="22"/>
        </w:rPr>
        <w:t xml:space="preserve"> </w:t>
      </w:r>
      <w:r w:rsidRPr="00A83C94">
        <w:rPr>
          <w:rFonts w:cs="Sylfaen"/>
          <w:b w:val="0"/>
          <w:color w:val="000000"/>
          <w:szCs w:val="22"/>
        </w:rPr>
        <w:t>վրա</w:t>
      </w:r>
      <w:r w:rsidRPr="00A83C94">
        <w:rPr>
          <w:b w:val="0"/>
          <w:color w:val="000000"/>
          <w:szCs w:val="22"/>
        </w:rPr>
        <w:t xml:space="preserve">, </w:t>
      </w:r>
      <w:r w:rsidRPr="00A83C94">
        <w:rPr>
          <w:rFonts w:cs="Sylfaen"/>
          <w:b w:val="0"/>
          <w:color w:val="000000"/>
          <w:szCs w:val="22"/>
        </w:rPr>
        <w:t>որոնց</w:t>
      </w:r>
      <w:r w:rsidRPr="00A83C94">
        <w:rPr>
          <w:b w:val="0"/>
          <w:color w:val="000000"/>
          <w:szCs w:val="22"/>
        </w:rPr>
        <w:t xml:space="preserve"> </w:t>
      </w:r>
      <w:r w:rsidRPr="00A83C94">
        <w:rPr>
          <w:rFonts w:cs="Sylfaen"/>
          <w:b w:val="0"/>
          <w:color w:val="000000"/>
          <w:szCs w:val="22"/>
        </w:rPr>
        <w:t>ազդեցությունը</w:t>
      </w:r>
      <w:r w:rsidRPr="00A83C94">
        <w:rPr>
          <w:b w:val="0"/>
          <w:color w:val="000000"/>
          <w:szCs w:val="22"/>
        </w:rPr>
        <w:t xml:space="preserve"> </w:t>
      </w:r>
      <w:r w:rsidRPr="00A83C94">
        <w:rPr>
          <w:rFonts w:cs="Sylfaen"/>
          <w:b w:val="0"/>
          <w:color w:val="000000"/>
          <w:szCs w:val="22"/>
        </w:rPr>
        <w:t>ազգա</w:t>
      </w:r>
      <w:r w:rsidRPr="00A83C94">
        <w:rPr>
          <w:rFonts w:cs="Sylfaen"/>
          <w:b w:val="0"/>
          <w:color w:val="000000"/>
          <w:szCs w:val="22"/>
        </w:rPr>
        <w:softHyphen/>
        <w:t>յին</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սության</w:t>
      </w:r>
      <w:r w:rsidRPr="00A83C94">
        <w:rPr>
          <w:b w:val="0"/>
          <w:color w:val="000000"/>
          <w:szCs w:val="22"/>
        </w:rPr>
        <w:t xml:space="preserve"> </w:t>
      </w:r>
      <w:r w:rsidRPr="00A83C94">
        <w:rPr>
          <w:rFonts w:cs="Sylfaen"/>
          <w:b w:val="0"/>
          <w:color w:val="000000"/>
          <w:szCs w:val="22"/>
        </w:rPr>
        <w:t>զարգաց</w:t>
      </w:r>
      <w:r w:rsidRPr="00A83C94">
        <w:rPr>
          <w:rFonts w:cs="Sylfaen"/>
          <w:b w:val="0"/>
          <w:color w:val="000000"/>
          <w:szCs w:val="22"/>
        </w:rPr>
        <w:softHyphen/>
        <w:t>ման</w:t>
      </w:r>
      <w:r w:rsidRPr="00A83C94">
        <w:rPr>
          <w:b w:val="0"/>
          <w:color w:val="000000"/>
          <w:szCs w:val="22"/>
        </w:rPr>
        <w:t xml:space="preserve"> </w:t>
      </w:r>
      <w:r w:rsidRPr="00A83C94">
        <w:rPr>
          <w:rFonts w:cs="Sylfaen"/>
          <w:b w:val="0"/>
          <w:color w:val="000000"/>
          <w:szCs w:val="22"/>
        </w:rPr>
        <w:t>տեսանկյունից</w:t>
      </w:r>
      <w:r w:rsidRPr="00A83C94">
        <w:rPr>
          <w:b w:val="0"/>
          <w:color w:val="000000"/>
          <w:szCs w:val="22"/>
        </w:rPr>
        <w:t xml:space="preserve"> </w:t>
      </w:r>
      <w:r w:rsidRPr="00A83C94">
        <w:rPr>
          <w:rFonts w:cs="Sylfaen"/>
          <w:b w:val="0"/>
          <w:color w:val="000000"/>
          <w:szCs w:val="22"/>
        </w:rPr>
        <w:t>գնահատվում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ցածր</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որոնց</w:t>
      </w:r>
      <w:r w:rsidRPr="00A83C94">
        <w:rPr>
          <w:b w:val="0"/>
          <w:color w:val="000000"/>
          <w:szCs w:val="22"/>
        </w:rPr>
        <w:t xml:space="preserve"> </w:t>
      </w:r>
      <w:r w:rsidRPr="00A83C94">
        <w:rPr>
          <w:rFonts w:cs="Sylfaen"/>
          <w:b w:val="0"/>
          <w:color w:val="000000"/>
          <w:szCs w:val="22"/>
        </w:rPr>
        <w:t>կիրա</w:t>
      </w:r>
      <w:r w:rsidRPr="00A83C94">
        <w:rPr>
          <w:rFonts w:cs="Sylfaen"/>
          <w:b w:val="0"/>
          <w:color w:val="000000"/>
          <w:szCs w:val="22"/>
        </w:rPr>
        <w:softHyphen/>
        <w:t>ռու</w:t>
      </w:r>
      <w:r w:rsidRPr="00A83C94">
        <w:rPr>
          <w:rFonts w:cs="Sylfaen"/>
          <w:b w:val="0"/>
          <w:color w:val="000000"/>
          <w:szCs w:val="22"/>
        </w:rPr>
        <w:softHyphen/>
        <w:t>թյան</w:t>
      </w:r>
      <w:r w:rsidRPr="00A83C94">
        <w:rPr>
          <w:b w:val="0"/>
          <w:color w:val="000000"/>
          <w:szCs w:val="22"/>
        </w:rPr>
        <w:t xml:space="preserve"> </w:t>
      </w:r>
      <w:r w:rsidRPr="00A83C94">
        <w:rPr>
          <w:rFonts w:cs="Sylfaen"/>
          <w:b w:val="0"/>
          <w:color w:val="000000"/>
          <w:szCs w:val="22"/>
        </w:rPr>
        <w:t>նպա</w:t>
      </w:r>
      <w:r w:rsidRPr="00A83C94">
        <w:rPr>
          <w:rFonts w:cs="Sylfaen"/>
          <w:b w:val="0"/>
          <w:color w:val="000000"/>
          <w:szCs w:val="22"/>
        </w:rPr>
        <w:softHyphen/>
        <w:t>տակահարմարությունը</w:t>
      </w:r>
      <w:r w:rsidRPr="00A83C94">
        <w:rPr>
          <w:b w:val="0"/>
          <w:color w:val="000000"/>
          <w:szCs w:val="22"/>
        </w:rPr>
        <w:t xml:space="preserve"> </w:t>
      </w:r>
      <w:r w:rsidRPr="00A83C94">
        <w:rPr>
          <w:rFonts w:cs="Sylfaen"/>
          <w:b w:val="0"/>
          <w:color w:val="000000"/>
          <w:szCs w:val="22"/>
        </w:rPr>
        <w:t>չի</w:t>
      </w:r>
      <w:r w:rsidRPr="00A83C94">
        <w:rPr>
          <w:b w:val="0"/>
          <w:color w:val="000000"/>
          <w:szCs w:val="22"/>
        </w:rPr>
        <w:t xml:space="preserve"> </w:t>
      </w:r>
      <w:r w:rsidRPr="00A83C94">
        <w:rPr>
          <w:rFonts w:cs="Sylfaen"/>
          <w:b w:val="0"/>
          <w:color w:val="000000"/>
          <w:szCs w:val="22"/>
        </w:rPr>
        <w:t>հիմնավորվում</w:t>
      </w:r>
      <w:r w:rsidRPr="00A83C94">
        <w:rPr>
          <w:b w:val="0"/>
          <w:color w:val="000000"/>
          <w:szCs w:val="22"/>
        </w:rPr>
        <w:t xml:space="preserve"> «</w:t>
      </w:r>
      <w:r w:rsidRPr="00A83C94">
        <w:rPr>
          <w:rFonts w:cs="Sylfaen"/>
          <w:b w:val="0"/>
          <w:color w:val="000000"/>
          <w:szCs w:val="22"/>
        </w:rPr>
        <w:t>ծախսեր</w:t>
      </w:r>
      <w:r w:rsidRPr="00A83C94">
        <w:rPr>
          <w:b w:val="0"/>
          <w:color w:val="000000"/>
          <w:szCs w:val="22"/>
        </w:rPr>
        <w:t>-</w:t>
      </w:r>
      <w:r w:rsidRPr="00A83C94">
        <w:rPr>
          <w:rFonts w:cs="Sylfaen"/>
          <w:b w:val="0"/>
          <w:color w:val="000000"/>
          <w:szCs w:val="22"/>
        </w:rPr>
        <w:t>օգուտներ</w:t>
      </w:r>
      <w:r w:rsidRPr="00A83C94">
        <w:rPr>
          <w:b w:val="0"/>
          <w:color w:val="000000"/>
          <w:szCs w:val="22"/>
        </w:rPr>
        <w:t xml:space="preserve">» </w:t>
      </w:r>
      <w:r w:rsidRPr="00A83C94">
        <w:rPr>
          <w:rFonts w:cs="Sylfaen"/>
          <w:b w:val="0"/>
          <w:color w:val="000000"/>
          <w:szCs w:val="22"/>
        </w:rPr>
        <w:t>վերլու</w:t>
      </w:r>
      <w:r w:rsidRPr="00A83C94">
        <w:rPr>
          <w:rFonts w:cs="Sylfaen"/>
          <w:b w:val="0"/>
          <w:color w:val="000000"/>
          <w:szCs w:val="22"/>
        </w:rPr>
        <w:softHyphen/>
        <w:t>ծու</w:t>
      </w:r>
      <w:r w:rsidRPr="00A83C94">
        <w:rPr>
          <w:rFonts w:cs="Sylfaen"/>
          <w:b w:val="0"/>
          <w:color w:val="000000"/>
          <w:szCs w:val="22"/>
        </w:rPr>
        <w:softHyphen/>
        <w:t>թյուն</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արդ</w:t>
      </w:r>
      <w:r w:rsidRPr="00A83C94">
        <w:rPr>
          <w:rFonts w:cs="Sylfaen"/>
          <w:b w:val="0"/>
          <w:color w:val="000000"/>
          <w:szCs w:val="22"/>
        </w:rPr>
        <w:softHyphen/>
        <w:t>յունքներով</w:t>
      </w:r>
      <w:r w:rsidRPr="00A83C94">
        <w:rPr>
          <w:b w:val="0"/>
          <w:color w:val="000000"/>
          <w:szCs w:val="22"/>
        </w:rPr>
        <w:t xml:space="preserve">: </w:t>
      </w:r>
      <w:r w:rsidRPr="00A83C94">
        <w:rPr>
          <w:rFonts w:cs="Sylfaen"/>
          <w:b w:val="0"/>
          <w:color w:val="000000"/>
          <w:szCs w:val="22"/>
        </w:rPr>
        <w:t>Այսինքն</w:t>
      </w:r>
      <w:r w:rsidRPr="00A83C94">
        <w:rPr>
          <w:b w:val="0"/>
          <w:color w:val="000000"/>
          <w:szCs w:val="22"/>
        </w:rPr>
        <w:t xml:space="preserve">, </w:t>
      </w:r>
      <w:r w:rsidRPr="00A83C94">
        <w:rPr>
          <w:rFonts w:cs="Sylfaen"/>
          <w:b w:val="0"/>
          <w:color w:val="000000"/>
          <w:szCs w:val="22"/>
        </w:rPr>
        <w:t>բոլոր</w:t>
      </w:r>
      <w:r w:rsidRPr="00A83C94">
        <w:rPr>
          <w:b w:val="0"/>
          <w:color w:val="000000"/>
          <w:szCs w:val="22"/>
        </w:rPr>
        <w:t xml:space="preserve"> </w:t>
      </w:r>
      <w:r w:rsidRPr="00A83C94">
        <w:rPr>
          <w:rFonts w:cs="Sylfaen"/>
          <w:b w:val="0"/>
          <w:color w:val="000000"/>
          <w:szCs w:val="22"/>
        </w:rPr>
        <w:t>այն հարկային արտոնությունները</w:t>
      </w:r>
      <w:r w:rsidRPr="00A83C94">
        <w:rPr>
          <w:b w:val="0"/>
          <w:color w:val="000000"/>
          <w:szCs w:val="22"/>
        </w:rPr>
        <w:t xml:space="preserve">, </w:t>
      </w:r>
      <w:r w:rsidRPr="00A83C94">
        <w:rPr>
          <w:rFonts w:cs="Sylfaen"/>
          <w:b w:val="0"/>
          <w:color w:val="000000"/>
          <w:szCs w:val="22"/>
        </w:rPr>
        <w:t>որոնց</w:t>
      </w:r>
      <w:r w:rsidRPr="00A83C94">
        <w:rPr>
          <w:b w:val="0"/>
          <w:color w:val="000000"/>
          <w:szCs w:val="22"/>
        </w:rPr>
        <w:t xml:space="preserve"> </w:t>
      </w:r>
      <w:r w:rsidRPr="00A83C94">
        <w:rPr>
          <w:rFonts w:cs="Sylfaen"/>
          <w:b w:val="0"/>
          <w:color w:val="000000"/>
          <w:szCs w:val="22"/>
        </w:rPr>
        <w:t>կիրառու</w:t>
      </w:r>
      <w:r w:rsidRPr="00A83C94">
        <w:rPr>
          <w:rFonts w:cs="Sylfaen"/>
          <w:b w:val="0"/>
          <w:color w:val="000000"/>
          <w:szCs w:val="22"/>
        </w:rPr>
        <w:softHyphen/>
        <w:t>թյան</w:t>
      </w:r>
      <w:r w:rsidRPr="00A83C94">
        <w:rPr>
          <w:b w:val="0"/>
          <w:color w:val="000000"/>
          <w:szCs w:val="22"/>
        </w:rPr>
        <w:t xml:space="preserve"> </w:t>
      </w:r>
      <w:r w:rsidRPr="00A83C94">
        <w:rPr>
          <w:rFonts w:cs="Sylfaen"/>
          <w:b w:val="0"/>
          <w:color w:val="000000"/>
          <w:szCs w:val="22"/>
        </w:rPr>
        <w:t>արդ</w:t>
      </w:r>
      <w:r w:rsidRPr="00A83C94">
        <w:rPr>
          <w:rFonts w:cs="Sylfaen"/>
          <w:b w:val="0"/>
          <w:color w:val="000000"/>
          <w:szCs w:val="22"/>
        </w:rPr>
        <w:softHyphen/>
        <w:t>յունքում</w:t>
      </w:r>
      <w:r w:rsidRPr="00A83C94">
        <w:rPr>
          <w:b w:val="0"/>
          <w:color w:val="000000"/>
          <w:szCs w:val="22"/>
        </w:rPr>
        <w:t xml:space="preserve"> </w:t>
      </w:r>
      <w:r w:rsidRPr="00A83C94">
        <w:rPr>
          <w:rFonts w:cs="Sylfaen"/>
          <w:b w:val="0"/>
          <w:color w:val="000000"/>
          <w:szCs w:val="22"/>
        </w:rPr>
        <w:t>սպառողների</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վարող</w:t>
      </w:r>
      <w:r w:rsidRPr="00A83C94">
        <w:rPr>
          <w:b w:val="0"/>
          <w:color w:val="000000"/>
          <w:szCs w:val="22"/>
        </w:rPr>
        <w:t xml:space="preserve"> </w:t>
      </w:r>
      <w:r w:rsidRPr="00A83C94">
        <w:rPr>
          <w:rFonts w:cs="Sylfaen"/>
          <w:b w:val="0"/>
          <w:color w:val="000000"/>
          <w:szCs w:val="22"/>
        </w:rPr>
        <w:t>սուբյեկտների</w:t>
      </w:r>
      <w:r w:rsidRPr="00A83C94">
        <w:rPr>
          <w:b w:val="0"/>
          <w:color w:val="000000"/>
          <w:szCs w:val="22"/>
        </w:rPr>
        <w:t xml:space="preserve"> </w:t>
      </w:r>
      <w:r w:rsidRPr="00A83C94">
        <w:rPr>
          <w:rFonts w:cs="Sylfaen"/>
          <w:b w:val="0"/>
          <w:color w:val="000000"/>
          <w:szCs w:val="22"/>
        </w:rPr>
        <w:t>համար</w:t>
      </w:r>
      <w:r w:rsidRPr="00A83C94">
        <w:rPr>
          <w:b w:val="0"/>
          <w:color w:val="000000"/>
          <w:szCs w:val="22"/>
        </w:rPr>
        <w:t xml:space="preserve"> </w:t>
      </w:r>
      <w:r w:rsidRPr="00A83C94">
        <w:rPr>
          <w:rFonts w:cs="Sylfaen"/>
          <w:b w:val="0"/>
          <w:color w:val="000000"/>
          <w:szCs w:val="22"/>
        </w:rPr>
        <w:t>ստեղծվող</w:t>
      </w:r>
      <w:r w:rsidRPr="00A83C94">
        <w:rPr>
          <w:b w:val="0"/>
          <w:color w:val="000000"/>
          <w:szCs w:val="22"/>
        </w:rPr>
        <w:t xml:space="preserve"> «</w:t>
      </w:r>
      <w:r w:rsidRPr="00A83C94">
        <w:rPr>
          <w:rFonts w:cs="Sylfaen"/>
          <w:b w:val="0"/>
          <w:color w:val="000000"/>
          <w:szCs w:val="22"/>
        </w:rPr>
        <w:t>օգուտ</w:t>
      </w:r>
      <w:r w:rsidRPr="00A83C94">
        <w:rPr>
          <w:rFonts w:cs="Sylfaen"/>
          <w:b w:val="0"/>
          <w:color w:val="000000"/>
          <w:szCs w:val="22"/>
        </w:rPr>
        <w:softHyphen/>
        <w:t>ները</w:t>
      </w:r>
      <w:r w:rsidRPr="00A83C94">
        <w:rPr>
          <w:b w:val="0"/>
          <w:color w:val="000000"/>
          <w:szCs w:val="22"/>
        </w:rPr>
        <w:t xml:space="preserve">» </w:t>
      </w:r>
      <w:r w:rsidRPr="00A83C94">
        <w:rPr>
          <w:rFonts w:cs="Sylfaen"/>
          <w:b w:val="0"/>
          <w:color w:val="000000"/>
          <w:szCs w:val="22"/>
        </w:rPr>
        <w:t>համարժեք</w:t>
      </w:r>
      <w:r w:rsidRPr="00A83C94">
        <w:rPr>
          <w:b w:val="0"/>
          <w:color w:val="000000"/>
          <w:szCs w:val="22"/>
        </w:rPr>
        <w:t xml:space="preserve"> </w:t>
      </w:r>
      <w:r w:rsidRPr="00A83C94">
        <w:rPr>
          <w:rFonts w:cs="Sylfaen"/>
          <w:b w:val="0"/>
          <w:color w:val="000000"/>
          <w:szCs w:val="22"/>
        </w:rPr>
        <w:t>չեն</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կրած</w:t>
      </w:r>
      <w:r w:rsidRPr="00A83C94">
        <w:rPr>
          <w:b w:val="0"/>
          <w:color w:val="000000"/>
          <w:szCs w:val="22"/>
        </w:rPr>
        <w:t xml:space="preserve"> «</w:t>
      </w:r>
      <w:r w:rsidRPr="00A83C94">
        <w:rPr>
          <w:rFonts w:cs="Sylfaen"/>
          <w:b w:val="0"/>
          <w:color w:val="000000"/>
          <w:szCs w:val="22"/>
        </w:rPr>
        <w:t>ծախ</w:t>
      </w:r>
      <w:r w:rsidRPr="00A83C94">
        <w:rPr>
          <w:rFonts w:cs="Sylfaen"/>
          <w:b w:val="0"/>
          <w:color w:val="000000"/>
          <w:szCs w:val="22"/>
        </w:rPr>
        <w:softHyphen/>
        <w:t>սերին</w:t>
      </w:r>
      <w:r w:rsidRPr="00A83C94">
        <w:rPr>
          <w:b w:val="0"/>
          <w:color w:val="000000"/>
          <w:szCs w:val="22"/>
        </w:rPr>
        <w:t>»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կորցրած հարկային եկա</w:t>
      </w:r>
      <w:r w:rsidRPr="00A83C94">
        <w:rPr>
          <w:rFonts w:cs="Sylfaen"/>
          <w:b w:val="0"/>
          <w:color w:val="000000"/>
          <w:szCs w:val="22"/>
        </w:rPr>
        <w:softHyphen/>
        <w:t>մուտ</w:t>
      </w:r>
      <w:r w:rsidRPr="00A83C94">
        <w:rPr>
          <w:rFonts w:cs="Sylfaen"/>
          <w:b w:val="0"/>
          <w:color w:val="000000"/>
          <w:szCs w:val="22"/>
        </w:rPr>
        <w:softHyphen/>
      </w:r>
      <w:r w:rsidRPr="00A83C94">
        <w:rPr>
          <w:rFonts w:cs="Sylfaen"/>
          <w:b w:val="0"/>
          <w:color w:val="000000"/>
          <w:szCs w:val="22"/>
        </w:rPr>
        <w:softHyphen/>
        <w:t>նե</w:t>
      </w:r>
      <w:r w:rsidRPr="00A83C94">
        <w:rPr>
          <w:rFonts w:cs="Sylfaen"/>
          <w:b w:val="0"/>
          <w:color w:val="000000"/>
          <w:szCs w:val="22"/>
        </w:rPr>
        <w:softHyphen/>
        <w:t>րին</w:t>
      </w:r>
      <w:r w:rsidRPr="00A83C94">
        <w:rPr>
          <w:b w:val="0"/>
          <w:color w:val="000000"/>
          <w:szCs w:val="22"/>
        </w:rPr>
        <w:t xml:space="preserve">), </w:t>
      </w:r>
      <w:r w:rsidRPr="00A83C94">
        <w:rPr>
          <w:rFonts w:cs="Sylfaen"/>
          <w:b w:val="0"/>
          <w:color w:val="000000"/>
          <w:szCs w:val="22"/>
        </w:rPr>
        <w:t>պետք</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աստիճանաբար</w:t>
      </w:r>
      <w:r w:rsidRPr="00A83C94">
        <w:rPr>
          <w:b w:val="0"/>
          <w:color w:val="000000"/>
          <w:szCs w:val="22"/>
        </w:rPr>
        <w:t xml:space="preserve"> </w:t>
      </w:r>
      <w:r w:rsidRPr="00A83C94">
        <w:rPr>
          <w:rFonts w:cs="Sylfaen"/>
          <w:b w:val="0"/>
          <w:color w:val="000000"/>
          <w:szCs w:val="22"/>
        </w:rPr>
        <w:t>կրճատ</w:t>
      </w:r>
      <w:r w:rsidRPr="00A83C94">
        <w:rPr>
          <w:rFonts w:cs="Sylfaen"/>
          <w:b w:val="0"/>
          <w:color w:val="000000"/>
          <w:szCs w:val="22"/>
        </w:rPr>
        <w:softHyphen/>
        <w:t>վեն</w:t>
      </w:r>
      <w:r w:rsidRPr="00A83C94">
        <w:rPr>
          <w:b w:val="0"/>
          <w:color w:val="000000"/>
          <w:szCs w:val="22"/>
        </w:rPr>
        <w:t xml:space="preserve">: </w:t>
      </w:r>
      <w:r w:rsidRPr="00A83C94">
        <w:rPr>
          <w:rFonts w:cs="Sylfaen"/>
          <w:b w:val="0"/>
          <w:color w:val="000000"/>
          <w:szCs w:val="22"/>
        </w:rPr>
        <w:t>Քաղաքականության</w:t>
      </w:r>
      <w:r w:rsidRPr="00A83C94">
        <w:rPr>
          <w:b w:val="0"/>
          <w:color w:val="000000"/>
          <w:szCs w:val="22"/>
        </w:rPr>
        <w:t xml:space="preserve"> </w:t>
      </w:r>
      <w:r w:rsidRPr="00A83C94">
        <w:rPr>
          <w:rFonts w:cs="Sylfaen"/>
          <w:b w:val="0"/>
          <w:color w:val="000000"/>
          <w:szCs w:val="22"/>
        </w:rPr>
        <w:t>այսպիսի</w:t>
      </w:r>
      <w:r w:rsidRPr="00A83C94">
        <w:rPr>
          <w:b w:val="0"/>
          <w:color w:val="000000"/>
          <w:szCs w:val="22"/>
        </w:rPr>
        <w:t xml:space="preserve"> </w:t>
      </w:r>
      <w:r w:rsidRPr="00A83C94">
        <w:rPr>
          <w:rFonts w:cs="Sylfaen"/>
          <w:b w:val="0"/>
          <w:color w:val="000000"/>
          <w:szCs w:val="22"/>
        </w:rPr>
        <w:t>մոտեցումը</w:t>
      </w:r>
      <w:r w:rsidRPr="00A83C94">
        <w:rPr>
          <w:b w:val="0"/>
          <w:color w:val="000000"/>
          <w:szCs w:val="22"/>
        </w:rPr>
        <w:t xml:space="preserve"> </w:t>
      </w:r>
      <w:r w:rsidRPr="00A83C94">
        <w:rPr>
          <w:rFonts w:cs="Sylfaen"/>
          <w:b w:val="0"/>
          <w:color w:val="000000"/>
          <w:szCs w:val="22"/>
        </w:rPr>
        <w:t>հիմ</w:t>
      </w:r>
      <w:r w:rsidRPr="00A83C94">
        <w:rPr>
          <w:rFonts w:cs="Sylfaen"/>
          <w:b w:val="0"/>
          <w:color w:val="000000"/>
          <w:szCs w:val="22"/>
        </w:rPr>
        <w:softHyphen/>
      </w:r>
      <w:r w:rsidRPr="00A83C94">
        <w:rPr>
          <w:rFonts w:cs="Sylfaen"/>
          <w:b w:val="0"/>
          <w:color w:val="000000"/>
          <w:szCs w:val="22"/>
        </w:rPr>
        <w:softHyphen/>
        <w:t>նա</w:t>
      </w:r>
      <w:r w:rsidRPr="00A83C94">
        <w:rPr>
          <w:rFonts w:cs="Sylfaen"/>
          <w:b w:val="0"/>
          <w:color w:val="000000"/>
          <w:szCs w:val="22"/>
        </w:rPr>
        <w:softHyphen/>
        <w:t>վորվում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ֆինանսական</w:t>
      </w:r>
      <w:r w:rsidRPr="00A83C94">
        <w:rPr>
          <w:b w:val="0"/>
          <w:color w:val="000000"/>
          <w:szCs w:val="22"/>
        </w:rPr>
        <w:t xml:space="preserve"> </w:t>
      </w:r>
      <w:r w:rsidRPr="00A83C94">
        <w:rPr>
          <w:rFonts w:cs="Sylfaen"/>
          <w:b w:val="0"/>
          <w:color w:val="000000"/>
          <w:szCs w:val="22"/>
        </w:rPr>
        <w:t>ռեսուրս</w:t>
      </w:r>
      <w:r w:rsidRPr="00A83C94">
        <w:rPr>
          <w:rFonts w:cs="Sylfaen"/>
          <w:b w:val="0"/>
          <w:color w:val="000000"/>
          <w:szCs w:val="22"/>
        </w:rPr>
        <w:softHyphen/>
        <w:t>ներ</w:t>
      </w:r>
      <w:r w:rsidRPr="00A83C94">
        <w:rPr>
          <w:b w:val="0"/>
          <w:color w:val="000000"/>
          <w:szCs w:val="22"/>
        </w:rPr>
        <w:t xml:space="preserve"> </w:t>
      </w:r>
      <w:r w:rsidRPr="00A83C94">
        <w:rPr>
          <w:rFonts w:cs="Sylfaen"/>
          <w:b w:val="0"/>
          <w:color w:val="000000"/>
          <w:szCs w:val="22"/>
        </w:rPr>
        <w:t>կենտրոնացնելու՝</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սահմանափակ</w:t>
      </w:r>
      <w:r w:rsidRPr="00A83C94">
        <w:rPr>
          <w:b w:val="0"/>
          <w:color w:val="000000"/>
          <w:szCs w:val="22"/>
        </w:rPr>
        <w:t xml:space="preserve"> </w:t>
      </w:r>
      <w:r w:rsidRPr="00A83C94">
        <w:rPr>
          <w:rFonts w:cs="Sylfaen"/>
          <w:b w:val="0"/>
          <w:color w:val="000000"/>
          <w:szCs w:val="22"/>
        </w:rPr>
        <w:t>ներուժը</w:t>
      </w:r>
      <w:r w:rsidRPr="00A83C94">
        <w:rPr>
          <w:b w:val="0"/>
          <w:color w:val="000000"/>
          <w:szCs w:val="22"/>
        </w:rPr>
        <w:t xml:space="preserve"> </w:t>
      </w:r>
      <w:r w:rsidRPr="00A83C94">
        <w:rPr>
          <w:rFonts w:cs="Sylfaen"/>
          <w:b w:val="0"/>
          <w:color w:val="000000"/>
          <w:szCs w:val="22"/>
        </w:rPr>
        <w:t>առավել</w:t>
      </w:r>
      <w:r w:rsidRPr="00A83C94">
        <w:rPr>
          <w:b w:val="0"/>
          <w:color w:val="000000"/>
          <w:szCs w:val="22"/>
        </w:rPr>
        <w:t xml:space="preserve"> </w:t>
      </w:r>
      <w:r w:rsidRPr="00A83C94">
        <w:rPr>
          <w:rFonts w:cs="Sylfaen"/>
          <w:b w:val="0"/>
          <w:color w:val="000000"/>
          <w:szCs w:val="22"/>
        </w:rPr>
        <w:t>արդյունավետ</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առա</w:t>
      </w:r>
      <w:r w:rsidRPr="00A83C94">
        <w:rPr>
          <w:rFonts w:cs="Sylfaen"/>
          <w:b w:val="0"/>
          <w:color w:val="000000"/>
          <w:szCs w:val="22"/>
        </w:rPr>
        <w:softHyphen/>
        <w:t>վել</w:t>
      </w:r>
      <w:r w:rsidRPr="00A83C94">
        <w:rPr>
          <w:b w:val="0"/>
          <w:color w:val="000000"/>
          <w:szCs w:val="22"/>
        </w:rPr>
        <w:t xml:space="preserve"> </w:t>
      </w:r>
      <w:r w:rsidRPr="00A83C94">
        <w:rPr>
          <w:rFonts w:cs="Sylfaen"/>
          <w:b w:val="0"/>
          <w:color w:val="000000"/>
          <w:szCs w:val="22"/>
        </w:rPr>
        <w:t>հասցեական</w:t>
      </w:r>
      <w:r w:rsidRPr="00A83C94">
        <w:rPr>
          <w:b w:val="0"/>
          <w:color w:val="000000"/>
          <w:szCs w:val="22"/>
        </w:rPr>
        <w:t xml:space="preserve"> </w:t>
      </w:r>
      <w:r w:rsidRPr="00A83C94">
        <w:rPr>
          <w:rFonts w:cs="Sylfaen"/>
          <w:b w:val="0"/>
          <w:color w:val="000000"/>
          <w:szCs w:val="22"/>
        </w:rPr>
        <w:t>ձևով</w:t>
      </w:r>
      <w:r w:rsidRPr="00A83C94">
        <w:rPr>
          <w:b w:val="0"/>
          <w:color w:val="000000"/>
          <w:szCs w:val="22"/>
        </w:rPr>
        <w:t xml:space="preserve"> </w:t>
      </w:r>
      <w:r w:rsidRPr="00A83C94">
        <w:rPr>
          <w:rFonts w:cs="Sylfaen"/>
          <w:b w:val="0"/>
          <w:color w:val="000000"/>
          <w:szCs w:val="22"/>
        </w:rPr>
        <w:t>օգտագործելու</w:t>
      </w:r>
      <w:r w:rsidRPr="00A83C94">
        <w:rPr>
          <w:b w:val="0"/>
          <w:color w:val="000000"/>
          <w:szCs w:val="22"/>
        </w:rPr>
        <w:t xml:space="preserve"> </w:t>
      </w:r>
      <w:r w:rsidRPr="00A83C94">
        <w:rPr>
          <w:rFonts w:cs="Sylfaen"/>
          <w:b w:val="0"/>
          <w:color w:val="000000"/>
          <w:szCs w:val="22"/>
        </w:rPr>
        <w:t>նպատակա</w:t>
      </w:r>
      <w:r w:rsidRPr="00A83C94">
        <w:rPr>
          <w:rFonts w:cs="Sylfaen"/>
          <w:b w:val="0"/>
          <w:color w:val="000000"/>
          <w:szCs w:val="22"/>
        </w:rPr>
        <w:softHyphen/>
        <w:t>դրու</w:t>
      </w:r>
      <w:r w:rsidRPr="00A83C94">
        <w:rPr>
          <w:rFonts w:cs="Sylfaen"/>
          <w:b w:val="0"/>
          <w:color w:val="000000"/>
          <w:szCs w:val="22"/>
        </w:rPr>
        <w:softHyphen/>
      </w:r>
      <w:r w:rsidRPr="00A83C94">
        <w:rPr>
          <w:rFonts w:cs="Sylfaen"/>
          <w:b w:val="0"/>
          <w:color w:val="000000"/>
          <w:szCs w:val="22"/>
        </w:rPr>
        <w:softHyphen/>
        <w:t>մով</w:t>
      </w:r>
      <w:r w:rsidRPr="00A83C94">
        <w:rPr>
          <w:b w:val="0"/>
          <w:color w:val="000000"/>
          <w:szCs w:val="22"/>
        </w:rPr>
        <w:t xml:space="preserve">, </w:t>
      </w:r>
      <w:r w:rsidRPr="00A83C94">
        <w:rPr>
          <w:rFonts w:cs="Sylfaen"/>
          <w:b w:val="0"/>
          <w:color w:val="000000"/>
          <w:szCs w:val="22"/>
        </w:rPr>
        <w:t>քանի</w:t>
      </w:r>
      <w:r w:rsidRPr="00A83C94">
        <w:rPr>
          <w:b w:val="0"/>
          <w:color w:val="000000"/>
          <w:szCs w:val="22"/>
        </w:rPr>
        <w:t xml:space="preserve"> </w:t>
      </w:r>
      <w:r w:rsidRPr="00A83C94">
        <w:rPr>
          <w:rFonts w:cs="Sylfaen"/>
          <w:b w:val="0"/>
          <w:color w:val="000000"/>
          <w:szCs w:val="22"/>
        </w:rPr>
        <w:t>որ հարկային արտո</w:t>
      </w:r>
      <w:r w:rsidRPr="00A83C94">
        <w:rPr>
          <w:rFonts w:cs="Sylfaen"/>
          <w:b w:val="0"/>
          <w:color w:val="000000"/>
          <w:szCs w:val="22"/>
        </w:rPr>
        <w:softHyphen/>
        <w:t>նու</w:t>
      </w:r>
      <w:r w:rsidRPr="00A83C94">
        <w:rPr>
          <w:rFonts w:cs="Sylfaen"/>
          <w:b w:val="0"/>
          <w:color w:val="000000"/>
          <w:szCs w:val="22"/>
        </w:rPr>
        <w:softHyphen/>
        <w:t>թյունների</w:t>
      </w:r>
      <w:r w:rsidRPr="00A83C94">
        <w:rPr>
          <w:b w:val="0"/>
          <w:color w:val="000000"/>
          <w:szCs w:val="22"/>
        </w:rPr>
        <w:t xml:space="preserve"> </w:t>
      </w:r>
      <w:r w:rsidRPr="00A83C94">
        <w:rPr>
          <w:rFonts w:cs="Sylfaen"/>
          <w:b w:val="0"/>
          <w:color w:val="000000"/>
          <w:szCs w:val="22"/>
        </w:rPr>
        <w:t>տրամադրմամբ</w:t>
      </w:r>
      <w:r w:rsidRPr="00A83C94">
        <w:rPr>
          <w:b w:val="0"/>
          <w:color w:val="000000"/>
          <w:szCs w:val="22"/>
        </w:rPr>
        <w:t xml:space="preserve">, </w:t>
      </w:r>
      <w:r w:rsidRPr="00A83C94">
        <w:rPr>
          <w:rFonts w:cs="Sylfaen"/>
          <w:b w:val="0"/>
          <w:color w:val="000000"/>
          <w:szCs w:val="22"/>
        </w:rPr>
        <w:t>պետությունը</w:t>
      </w:r>
      <w:r w:rsidRPr="00A83C94">
        <w:rPr>
          <w:b w:val="0"/>
          <w:color w:val="000000"/>
          <w:szCs w:val="22"/>
        </w:rPr>
        <w:t xml:space="preserve">, </w:t>
      </w:r>
      <w:r w:rsidRPr="00A83C94">
        <w:rPr>
          <w:rFonts w:cs="Sylfaen"/>
          <w:b w:val="0"/>
          <w:color w:val="000000"/>
          <w:szCs w:val="22"/>
        </w:rPr>
        <w:t>ըստ</w:t>
      </w:r>
      <w:r w:rsidRPr="00A83C94">
        <w:rPr>
          <w:b w:val="0"/>
          <w:color w:val="000000"/>
          <w:szCs w:val="22"/>
        </w:rPr>
        <w:t xml:space="preserve"> </w:t>
      </w:r>
      <w:r w:rsidRPr="00A83C94">
        <w:rPr>
          <w:rFonts w:cs="Sylfaen"/>
          <w:b w:val="0"/>
          <w:color w:val="000000"/>
          <w:szCs w:val="22"/>
        </w:rPr>
        <w:t>էութ</w:t>
      </w:r>
      <w:r w:rsidRPr="00A83C94">
        <w:rPr>
          <w:rFonts w:cs="Sylfaen"/>
          <w:b w:val="0"/>
          <w:color w:val="000000"/>
          <w:szCs w:val="22"/>
        </w:rPr>
        <w:softHyphen/>
        <w:t>յան</w:t>
      </w:r>
      <w:r w:rsidRPr="00A83C94">
        <w:rPr>
          <w:b w:val="0"/>
          <w:color w:val="000000"/>
          <w:szCs w:val="22"/>
        </w:rPr>
        <w:t xml:space="preserve">, </w:t>
      </w:r>
      <w:r w:rsidRPr="00A83C94">
        <w:rPr>
          <w:rFonts w:cs="Sylfaen"/>
          <w:b w:val="0"/>
          <w:color w:val="000000"/>
          <w:szCs w:val="22"/>
        </w:rPr>
        <w:t>զրկվում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լրացուցիչ հարկային եկա</w:t>
      </w:r>
      <w:r w:rsidRPr="00A83C94">
        <w:rPr>
          <w:rFonts w:cs="Sylfaen"/>
          <w:b w:val="0"/>
          <w:color w:val="000000"/>
          <w:szCs w:val="22"/>
        </w:rPr>
        <w:softHyphen/>
        <w:t>մուտներ հավաքագրելու</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զարգացման,</w:t>
      </w:r>
      <w:r w:rsidRPr="00A83C94">
        <w:rPr>
          <w:b w:val="0"/>
          <w:color w:val="000000"/>
          <w:szCs w:val="22"/>
        </w:rPr>
        <w:t xml:space="preserve"> </w:t>
      </w:r>
      <w:r w:rsidRPr="00A83C94">
        <w:rPr>
          <w:rFonts w:cs="Sylfaen"/>
          <w:b w:val="0"/>
          <w:color w:val="000000"/>
          <w:szCs w:val="22"/>
        </w:rPr>
        <w:t>սոցիա</w:t>
      </w:r>
      <w:r w:rsidRPr="00A83C94">
        <w:rPr>
          <w:rFonts w:cs="Sylfaen"/>
          <w:b w:val="0"/>
          <w:color w:val="000000"/>
          <w:szCs w:val="22"/>
        </w:rPr>
        <w:softHyphen/>
        <w:t>լա</w:t>
      </w:r>
      <w:r w:rsidRPr="00A83C94">
        <w:rPr>
          <w:rFonts w:cs="Sylfaen"/>
          <w:b w:val="0"/>
          <w:color w:val="000000"/>
          <w:szCs w:val="22"/>
        </w:rPr>
        <w:softHyphen/>
        <w:t xml:space="preserve">կան, </w:t>
      </w:r>
      <w:r w:rsidRPr="00A83C94">
        <w:rPr>
          <w:rFonts w:cs="Sylfaen"/>
          <w:b w:val="0"/>
          <w:color w:val="000000"/>
          <w:szCs w:val="22"/>
          <w:lang w:val="en-US"/>
        </w:rPr>
        <w:t>բնապահպանական</w:t>
      </w:r>
      <w:r w:rsidRPr="00A83C94">
        <w:rPr>
          <w:rFonts w:cs="Sylfaen"/>
          <w:b w:val="0"/>
          <w:color w:val="000000"/>
          <w:szCs w:val="22"/>
        </w:rPr>
        <w:t xml:space="preserve">, </w:t>
      </w:r>
      <w:r w:rsidRPr="00A83C94">
        <w:rPr>
          <w:rFonts w:cs="Sylfaen"/>
          <w:b w:val="0"/>
          <w:color w:val="000000"/>
          <w:szCs w:val="22"/>
          <w:lang w:val="en-US"/>
        </w:rPr>
        <w:t>առողջա</w:t>
      </w:r>
      <w:r w:rsidRPr="00A83C94">
        <w:rPr>
          <w:rFonts w:cs="Sylfaen"/>
          <w:b w:val="0"/>
          <w:color w:val="000000"/>
          <w:szCs w:val="22"/>
        </w:rPr>
        <w:softHyphen/>
      </w:r>
      <w:r w:rsidRPr="00A83C94">
        <w:rPr>
          <w:rFonts w:cs="Sylfaen"/>
          <w:b w:val="0"/>
          <w:color w:val="000000"/>
          <w:szCs w:val="22"/>
          <w:lang w:val="en-US"/>
        </w:rPr>
        <w:t>պա</w:t>
      </w:r>
      <w:r w:rsidRPr="00A83C94">
        <w:rPr>
          <w:rFonts w:cs="Sylfaen"/>
          <w:b w:val="0"/>
          <w:color w:val="000000"/>
          <w:szCs w:val="22"/>
        </w:rPr>
        <w:softHyphen/>
      </w:r>
      <w:r w:rsidRPr="00A83C94">
        <w:rPr>
          <w:rFonts w:cs="Sylfaen"/>
          <w:b w:val="0"/>
          <w:color w:val="000000"/>
          <w:szCs w:val="22"/>
          <w:lang w:val="en-US"/>
        </w:rPr>
        <w:t>հական</w:t>
      </w:r>
      <w:r w:rsidRPr="00A83C94">
        <w:rPr>
          <w:rFonts w:cs="Sylfaen"/>
          <w:b w:val="0"/>
          <w:color w:val="000000"/>
          <w:szCs w:val="22"/>
        </w:rPr>
        <w:t xml:space="preserve"> </w:t>
      </w:r>
      <w:r w:rsidRPr="00A83C94">
        <w:rPr>
          <w:rFonts w:cs="Sylfaen"/>
          <w:b w:val="0"/>
          <w:color w:val="000000"/>
          <w:szCs w:val="22"/>
          <w:lang w:val="en-US"/>
        </w:rPr>
        <w:t>կամ</w:t>
      </w:r>
      <w:r w:rsidRPr="00A83C94">
        <w:rPr>
          <w:rFonts w:cs="Sylfaen"/>
          <w:b w:val="0"/>
          <w:color w:val="000000"/>
          <w:szCs w:val="22"/>
        </w:rPr>
        <w:t xml:space="preserve"> </w:t>
      </w:r>
      <w:r w:rsidRPr="00A83C94">
        <w:rPr>
          <w:rFonts w:cs="Sylfaen"/>
          <w:b w:val="0"/>
          <w:color w:val="000000"/>
          <w:szCs w:val="22"/>
          <w:lang w:val="en-US"/>
        </w:rPr>
        <w:t>այլ</w:t>
      </w:r>
      <w:r w:rsidRPr="00A83C94">
        <w:rPr>
          <w:rFonts w:cs="Sylfaen"/>
          <w:b w:val="0"/>
          <w:color w:val="000000"/>
          <w:szCs w:val="22"/>
        </w:rPr>
        <w:t xml:space="preserve"> </w:t>
      </w:r>
      <w:r w:rsidRPr="00A83C94">
        <w:rPr>
          <w:rFonts w:cs="Sylfaen"/>
          <w:b w:val="0"/>
          <w:color w:val="000000"/>
          <w:szCs w:val="22"/>
          <w:lang w:val="en-US"/>
        </w:rPr>
        <w:t>հանրօգուտ</w:t>
      </w:r>
      <w:r w:rsidRPr="00A83C94">
        <w:rPr>
          <w:rFonts w:cs="Sylfaen"/>
          <w:b w:val="0"/>
          <w:color w:val="000000"/>
          <w:szCs w:val="22"/>
        </w:rPr>
        <w:t xml:space="preserve"> </w:t>
      </w:r>
      <w:r w:rsidRPr="00A83C94">
        <w:rPr>
          <w:rFonts w:cs="Sylfaen"/>
          <w:b w:val="0"/>
          <w:color w:val="000000"/>
          <w:szCs w:val="22"/>
          <w:lang w:val="en-US"/>
        </w:rPr>
        <w:t>նպատակներով</w:t>
      </w:r>
      <w:r w:rsidRPr="00A83C94">
        <w:rPr>
          <w:b w:val="0"/>
          <w:color w:val="000000"/>
          <w:szCs w:val="22"/>
        </w:rPr>
        <w:t xml:space="preserve"> </w:t>
      </w:r>
      <w:r w:rsidRPr="00A83C94">
        <w:rPr>
          <w:rFonts w:cs="Sylfaen"/>
          <w:b w:val="0"/>
          <w:color w:val="000000"/>
          <w:szCs w:val="22"/>
        </w:rPr>
        <w:t>լրա</w:t>
      </w:r>
      <w:r w:rsidRPr="00A83C94">
        <w:rPr>
          <w:rFonts w:cs="Sylfaen"/>
          <w:b w:val="0"/>
          <w:color w:val="000000"/>
          <w:szCs w:val="22"/>
        </w:rPr>
        <w:softHyphen/>
        <w:t>ցու</w:t>
      </w:r>
      <w:r w:rsidRPr="00A83C94">
        <w:rPr>
          <w:rFonts w:cs="Sylfaen"/>
          <w:b w:val="0"/>
          <w:color w:val="000000"/>
          <w:szCs w:val="22"/>
        </w:rPr>
        <w:softHyphen/>
        <w:t>ցիչ</w:t>
      </w:r>
      <w:r w:rsidRPr="00A83C94">
        <w:rPr>
          <w:b w:val="0"/>
          <w:color w:val="000000"/>
          <w:szCs w:val="22"/>
        </w:rPr>
        <w:t xml:space="preserve"> </w:t>
      </w:r>
      <w:r w:rsidRPr="00A83C94">
        <w:rPr>
          <w:rFonts w:cs="Sylfaen"/>
          <w:b w:val="0"/>
          <w:color w:val="000000"/>
          <w:szCs w:val="22"/>
        </w:rPr>
        <w:t>ծրագրեր</w:t>
      </w:r>
      <w:r w:rsidRPr="00A83C94">
        <w:rPr>
          <w:b w:val="0"/>
          <w:color w:val="000000"/>
          <w:szCs w:val="22"/>
        </w:rPr>
        <w:t xml:space="preserve"> </w:t>
      </w:r>
      <w:r w:rsidRPr="00A83C94">
        <w:rPr>
          <w:rFonts w:cs="Sylfaen"/>
          <w:b w:val="0"/>
          <w:color w:val="000000"/>
          <w:szCs w:val="22"/>
        </w:rPr>
        <w:t>իրականացնելու</w:t>
      </w:r>
      <w:r w:rsidRPr="00A83C94">
        <w:rPr>
          <w:b w:val="0"/>
          <w:color w:val="000000"/>
          <w:szCs w:val="22"/>
        </w:rPr>
        <w:t xml:space="preserve"> </w:t>
      </w:r>
      <w:r w:rsidRPr="00A83C94">
        <w:rPr>
          <w:rFonts w:cs="Sylfaen"/>
          <w:b w:val="0"/>
          <w:color w:val="000000"/>
          <w:szCs w:val="22"/>
        </w:rPr>
        <w:t>հնա</w:t>
      </w:r>
      <w:r w:rsidRPr="00A83C94">
        <w:rPr>
          <w:rFonts w:cs="Sylfaen"/>
          <w:b w:val="0"/>
          <w:color w:val="000000"/>
          <w:szCs w:val="22"/>
        </w:rPr>
        <w:softHyphen/>
        <w:t>րա</w:t>
      </w:r>
      <w:r w:rsidRPr="00A83C94">
        <w:rPr>
          <w:rFonts w:cs="Sylfaen"/>
          <w:b w:val="0"/>
          <w:color w:val="000000"/>
          <w:szCs w:val="22"/>
        </w:rPr>
        <w:softHyphen/>
        <w:t>վորություններից</w:t>
      </w:r>
      <w:r w:rsidRPr="00A83C94">
        <w:rPr>
          <w:b w:val="0"/>
          <w:color w:val="000000"/>
          <w:szCs w:val="22"/>
        </w:rPr>
        <w:t xml:space="preserve">: </w:t>
      </w:r>
      <w:r w:rsidRPr="00A83C94">
        <w:rPr>
          <w:rFonts w:cs="Sylfaen"/>
          <w:b w:val="0"/>
          <w:color w:val="000000"/>
          <w:szCs w:val="22"/>
        </w:rPr>
        <w:t>Արդ</w:t>
      </w:r>
      <w:r w:rsidRPr="00A83C94">
        <w:rPr>
          <w:rFonts w:cs="Sylfaen"/>
          <w:b w:val="0"/>
          <w:color w:val="000000"/>
          <w:szCs w:val="22"/>
        </w:rPr>
        <w:softHyphen/>
        <w:t>յուն</w:t>
      </w:r>
      <w:r w:rsidRPr="00A83C94">
        <w:rPr>
          <w:rFonts w:cs="Sylfaen"/>
          <w:b w:val="0"/>
          <w:color w:val="000000"/>
          <w:szCs w:val="22"/>
        </w:rPr>
        <w:softHyphen/>
        <w:t>քում</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կարևորա</w:t>
      </w:r>
      <w:r w:rsidRPr="00A83C94">
        <w:rPr>
          <w:rFonts w:cs="Sylfaen"/>
          <w:b w:val="0"/>
          <w:color w:val="000000"/>
          <w:szCs w:val="22"/>
        </w:rPr>
        <w:softHyphen/>
        <w:t>գույն</w:t>
      </w:r>
      <w:r w:rsidRPr="00A83C94">
        <w:rPr>
          <w:b w:val="0"/>
          <w:color w:val="000000"/>
          <w:szCs w:val="22"/>
        </w:rPr>
        <w:t xml:space="preserve"> </w:t>
      </w:r>
      <w:r w:rsidRPr="00A83C94">
        <w:rPr>
          <w:rFonts w:cs="Sylfaen"/>
          <w:b w:val="0"/>
          <w:color w:val="000000"/>
          <w:szCs w:val="22"/>
        </w:rPr>
        <w:t>գործառույթներից</w:t>
      </w:r>
      <w:r w:rsidRPr="00A83C94">
        <w:rPr>
          <w:b w:val="0"/>
          <w:color w:val="000000"/>
          <w:szCs w:val="22"/>
        </w:rPr>
        <w:t xml:space="preserve"> </w:t>
      </w:r>
      <w:r w:rsidRPr="00A83C94">
        <w:rPr>
          <w:rFonts w:cs="Sylfaen"/>
          <w:b w:val="0"/>
          <w:color w:val="000000"/>
          <w:szCs w:val="22"/>
        </w:rPr>
        <w:t>մեկը՝</w:t>
      </w:r>
      <w:r w:rsidRPr="00A83C94">
        <w:rPr>
          <w:b w:val="0"/>
          <w:color w:val="000000"/>
          <w:szCs w:val="22"/>
        </w:rPr>
        <w:t xml:space="preserve"> </w:t>
      </w:r>
      <w:r w:rsidRPr="00A83C94">
        <w:rPr>
          <w:rFonts w:cs="Sylfaen"/>
          <w:b w:val="0"/>
          <w:color w:val="000000"/>
          <w:szCs w:val="22"/>
        </w:rPr>
        <w:t>եկա</w:t>
      </w:r>
      <w:r w:rsidRPr="00A83C94">
        <w:rPr>
          <w:rFonts w:cs="Sylfaen"/>
          <w:b w:val="0"/>
          <w:color w:val="000000"/>
          <w:szCs w:val="22"/>
        </w:rPr>
        <w:softHyphen/>
        <w:t>մուտ</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վերաբաշխ</w:t>
      </w:r>
      <w:r w:rsidRPr="00A83C94">
        <w:rPr>
          <w:rFonts w:cs="Sylfaen"/>
          <w:b w:val="0"/>
          <w:color w:val="000000"/>
          <w:szCs w:val="22"/>
        </w:rPr>
        <w:softHyphen/>
        <w:t>ման</w:t>
      </w:r>
      <w:r w:rsidRPr="00A83C94">
        <w:rPr>
          <w:b w:val="0"/>
          <w:color w:val="000000"/>
          <w:szCs w:val="22"/>
        </w:rPr>
        <w:t xml:space="preserve"> </w:t>
      </w:r>
      <w:r w:rsidRPr="00A83C94">
        <w:rPr>
          <w:rFonts w:cs="Sylfaen"/>
          <w:b w:val="0"/>
          <w:color w:val="000000"/>
          <w:szCs w:val="22"/>
        </w:rPr>
        <w:t>գոր</w:t>
      </w:r>
      <w:r w:rsidRPr="00A83C94">
        <w:rPr>
          <w:rFonts w:cs="Sylfaen"/>
          <w:b w:val="0"/>
          <w:color w:val="000000"/>
          <w:szCs w:val="22"/>
        </w:rPr>
        <w:softHyphen/>
        <w:t>ծառույթը,</w:t>
      </w:r>
      <w:r w:rsidRPr="00A83C94">
        <w:rPr>
          <w:b w:val="0"/>
          <w:color w:val="000000"/>
          <w:szCs w:val="22"/>
        </w:rPr>
        <w:t xml:space="preserve"> </w:t>
      </w:r>
      <w:r w:rsidRPr="00A83C94">
        <w:rPr>
          <w:rFonts w:cs="Sylfaen"/>
          <w:b w:val="0"/>
          <w:color w:val="000000"/>
          <w:szCs w:val="22"/>
        </w:rPr>
        <w:t>ամբողջությամբ</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հասցեական</w:t>
      </w:r>
      <w:r w:rsidRPr="00A83C94">
        <w:rPr>
          <w:b w:val="0"/>
          <w:color w:val="000000"/>
          <w:szCs w:val="22"/>
        </w:rPr>
        <w:t xml:space="preserve"> </w:t>
      </w:r>
      <w:r w:rsidRPr="00A83C94">
        <w:rPr>
          <w:rFonts w:cs="Sylfaen"/>
          <w:b w:val="0"/>
          <w:color w:val="000000"/>
          <w:szCs w:val="22"/>
        </w:rPr>
        <w:t>ձևով</w:t>
      </w:r>
      <w:r w:rsidRPr="00A83C94">
        <w:rPr>
          <w:b w:val="0"/>
          <w:color w:val="000000"/>
          <w:szCs w:val="22"/>
        </w:rPr>
        <w:t xml:space="preserve"> </w:t>
      </w:r>
      <w:r w:rsidRPr="00A83C94">
        <w:rPr>
          <w:rFonts w:cs="Sylfaen"/>
          <w:b w:val="0"/>
          <w:color w:val="000000"/>
          <w:szCs w:val="22"/>
        </w:rPr>
        <w:t>չի</w:t>
      </w:r>
      <w:r w:rsidRPr="00A83C94">
        <w:rPr>
          <w:b w:val="0"/>
          <w:color w:val="000000"/>
          <w:szCs w:val="22"/>
        </w:rPr>
        <w:t xml:space="preserve"> </w:t>
      </w:r>
      <w:r w:rsidRPr="00A83C94">
        <w:rPr>
          <w:rFonts w:cs="Sylfaen"/>
          <w:b w:val="0"/>
          <w:color w:val="000000"/>
          <w:szCs w:val="22"/>
        </w:rPr>
        <w:t>իրակա</w:t>
      </w:r>
      <w:r w:rsidRPr="00A83C94">
        <w:rPr>
          <w:rFonts w:cs="Sylfaen"/>
          <w:b w:val="0"/>
          <w:color w:val="000000"/>
          <w:szCs w:val="22"/>
        </w:rPr>
        <w:softHyphen/>
        <w:t>նաց</w:t>
      </w:r>
      <w:r w:rsidRPr="00A83C94">
        <w:rPr>
          <w:rFonts w:cs="Sylfaen"/>
          <w:b w:val="0"/>
          <w:color w:val="000000"/>
          <w:szCs w:val="22"/>
        </w:rPr>
        <w:softHyphen/>
        <w:t>վում</w:t>
      </w:r>
      <w:r w:rsidRPr="00A83C94">
        <w:rPr>
          <w:b w:val="0"/>
          <w:color w:val="000000"/>
          <w:szCs w:val="22"/>
        </w:rPr>
        <w:t>:</w:t>
      </w:r>
    </w:p>
    <w:p w14:paraId="1D2F328F"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p>
    <w:p w14:paraId="36B34EB9"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u w:val="single"/>
        </w:rPr>
      </w:pPr>
      <w:r w:rsidRPr="00A83C94">
        <w:rPr>
          <w:b w:val="0"/>
          <w:color w:val="000000"/>
          <w:szCs w:val="22"/>
          <w:u w:val="single"/>
          <w:lang w:val="en-US"/>
        </w:rPr>
        <w:t>Հարկային</w:t>
      </w:r>
      <w:r w:rsidRPr="00A83C94">
        <w:rPr>
          <w:b w:val="0"/>
          <w:color w:val="000000"/>
          <w:szCs w:val="22"/>
          <w:u w:val="single"/>
        </w:rPr>
        <w:t xml:space="preserve"> </w:t>
      </w:r>
      <w:r w:rsidRPr="00A83C94">
        <w:rPr>
          <w:b w:val="0"/>
          <w:color w:val="000000"/>
          <w:szCs w:val="22"/>
          <w:u w:val="single"/>
          <w:lang w:val="en-US"/>
        </w:rPr>
        <w:t>ծախսերի</w:t>
      </w:r>
      <w:r w:rsidRPr="00A83C94">
        <w:rPr>
          <w:b w:val="0"/>
          <w:color w:val="000000"/>
          <w:szCs w:val="22"/>
          <w:u w:val="single"/>
        </w:rPr>
        <w:t xml:space="preserve"> </w:t>
      </w:r>
      <w:r w:rsidRPr="00A83C94">
        <w:rPr>
          <w:b w:val="0"/>
          <w:color w:val="000000"/>
          <w:szCs w:val="22"/>
          <w:u w:val="single"/>
          <w:lang w:val="en-US"/>
        </w:rPr>
        <w:t>գնահատականները</w:t>
      </w:r>
      <w:r w:rsidRPr="00A83C94">
        <w:rPr>
          <w:b w:val="0"/>
          <w:color w:val="000000"/>
          <w:szCs w:val="22"/>
          <w:u w:val="single"/>
        </w:rPr>
        <w:t xml:space="preserve"> </w:t>
      </w:r>
      <w:r w:rsidRPr="00A83C94">
        <w:rPr>
          <w:b w:val="0"/>
          <w:color w:val="000000"/>
          <w:szCs w:val="22"/>
          <w:u w:val="single"/>
          <w:lang w:val="en-US"/>
        </w:rPr>
        <w:t>ըստ</w:t>
      </w:r>
      <w:r w:rsidRPr="00A83C94">
        <w:rPr>
          <w:b w:val="0"/>
          <w:color w:val="000000"/>
          <w:szCs w:val="22"/>
          <w:u w:val="single"/>
        </w:rPr>
        <w:t xml:space="preserve"> </w:t>
      </w:r>
      <w:r w:rsidRPr="00A83C94">
        <w:rPr>
          <w:b w:val="0"/>
          <w:color w:val="000000"/>
          <w:szCs w:val="22"/>
          <w:u w:val="single"/>
          <w:lang w:val="en-US"/>
        </w:rPr>
        <w:t>հարկատեսակների</w:t>
      </w:r>
      <w:r w:rsidRPr="00A83C94">
        <w:rPr>
          <w:b w:val="0"/>
          <w:color w:val="000000"/>
          <w:szCs w:val="22"/>
          <w:u w:val="single"/>
        </w:rPr>
        <w:t xml:space="preserve"> </w:t>
      </w:r>
      <w:r w:rsidRPr="00A83C94">
        <w:rPr>
          <w:b w:val="0"/>
          <w:color w:val="000000"/>
          <w:szCs w:val="22"/>
          <w:u w:val="single"/>
          <w:lang w:val="en-US"/>
        </w:rPr>
        <w:t>ու</w:t>
      </w:r>
      <w:r w:rsidRPr="00A83C94">
        <w:rPr>
          <w:b w:val="0"/>
          <w:color w:val="000000"/>
          <w:szCs w:val="22"/>
          <w:u w:val="single"/>
        </w:rPr>
        <w:t xml:space="preserve"> </w:t>
      </w:r>
    </w:p>
    <w:p w14:paraId="17DFE095"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u w:val="single"/>
        </w:rPr>
      </w:pPr>
      <w:r w:rsidRPr="00A83C94">
        <w:rPr>
          <w:b w:val="0"/>
          <w:color w:val="000000"/>
          <w:szCs w:val="22"/>
          <w:u w:val="single"/>
          <w:lang w:val="en-US"/>
        </w:rPr>
        <w:t>արտոնությունների</w:t>
      </w:r>
      <w:r w:rsidRPr="00A83C94">
        <w:rPr>
          <w:b w:val="0"/>
          <w:color w:val="000000"/>
          <w:szCs w:val="22"/>
          <w:u w:val="single"/>
        </w:rPr>
        <w:t xml:space="preserve"> </w:t>
      </w:r>
      <w:r w:rsidRPr="00A83C94">
        <w:rPr>
          <w:b w:val="0"/>
          <w:color w:val="000000"/>
          <w:szCs w:val="22"/>
          <w:u w:val="single"/>
          <w:lang w:val="en-US"/>
        </w:rPr>
        <w:t>հիմնական</w:t>
      </w:r>
      <w:r w:rsidRPr="00A83C94">
        <w:rPr>
          <w:b w:val="0"/>
          <w:color w:val="000000"/>
          <w:szCs w:val="22"/>
          <w:u w:val="single"/>
        </w:rPr>
        <w:t xml:space="preserve"> </w:t>
      </w:r>
      <w:r w:rsidRPr="00A83C94">
        <w:rPr>
          <w:b w:val="0"/>
          <w:color w:val="000000"/>
          <w:szCs w:val="22"/>
          <w:u w:val="single"/>
          <w:lang w:val="en-US"/>
        </w:rPr>
        <w:t>տեսակների</w:t>
      </w:r>
      <w:r w:rsidRPr="00A83C94">
        <w:rPr>
          <w:b w:val="0"/>
          <w:color w:val="000000"/>
          <w:szCs w:val="22"/>
          <w:u w:val="single"/>
        </w:rPr>
        <w:t>.</w:t>
      </w:r>
    </w:p>
    <w:p w14:paraId="02B771A6" w14:textId="77777777" w:rsidR="00840AE8" w:rsidRPr="00A83C94" w:rsidRDefault="00840AE8" w:rsidP="00840AE8">
      <w:pPr>
        <w:spacing w:line="276" w:lineRule="auto"/>
        <w:rPr>
          <w:rFonts w:cs="Sylfaen"/>
          <w:b w:val="0"/>
          <w:iCs/>
          <w:color w:val="000000"/>
          <w:szCs w:val="22"/>
        </w:rPr>
      </w:pPr>
      <w:r w:rsidRPr="00A83C94">
        <w:rPr>
          <w:rFonts w:cs="Sylfaen"/>
          <w:b w:val="0"/>
          <w:iCs/>
          <w:color w:val="000000"/>
          <w:szCs w:val="22"/>
        </w:rPr>
        <w:t>Սույն հաշվետվությամբ ներկայացված է հարկային արտոնությունների հետևանքով պետա</w:t>
      </w:r>
      <w:r w:rsidRPr="00A83C94">
        <w:rPr>
          <w:rFonts w:cs="Sylfaen"/>
          <w:b w:val="0"/>
          <w:iCs/>
          <w:color w:val="000000"/>
          <w:szCs w:val="22"/>
        </w:rPr>
        <w:softHyphen/>
        <w:t>կան բյուջե չգանձվող (պակաս գանձվող) հարկային եկամուտների մակրոտնտե</w:t>
      </w:r>
      <w:r w:rsidRPr="00A83C94">
        <w:rPr>
          <w:rFonts w:cs="Sylfaen"/>
          <w:b w:val="0"/>
          <w:iCs/>
          <w:color w:val="000000"/>
          <w:szCs w:val="22"/>
        </w:rPr>
        <w:softHyphen/>
        <w:t>սա</w:t>
      </w:r>
      <w:r w:rsidRPr="00A83C94">
        <w:rPr>
          <w:rFonts w:cs="Sylfaen"/>
          <w:b w:val="0"/>
          <w:iCs/>
          <w:color w:val="000000"/>
          <w:szCs w:val="22"/>
        </w:rPr>
        <w:softHyphen/>
        <w:t>կան գնահատականը՝ տնտեսության այն ոլորտների մասով, որոնք օգտվում են հարկային արտո</w:t>
      </w:r>
      <w:r w:rsidRPr="00A83C94">
        <w:rPr>
          <w:rFonts w:cs="Sylfaen"/>
          <w:b w:val="0"/>
          <w:iCs/>
          <w:color w:val="000000"/>
          <w:szCs w:val="22"/>
        </w:rPr>
        <w:softHyphen/>
        <w:t>նություններից:  Միաժամանակ, գնահատվել են մի քանի այլ հարկային արտո</w:t>
      </w:r>
      <w:r w:rsidRPr="00A83C94">
        <w:rPr>
          <w:rFonts w:cs="Sylfaen"/>
          <w:b w:val="0"/>
          <w:iCs/>
          <w:color w:val="000000"/>
          <w:szCs w:val="22"/>
        </w:rPr>
        <w:softHyphen/>
        <w:t>նու</w:t>
      </w:r>
      <w:r w:rsidRPr="00A83C94">
        <w:rPr>
          <w:rFonts w:cs="Sylfaen"/>
          <w:b w:val="0"/>
          <w:iCs/>
          <w:color w:val="000000"/>
          <w:szCs w:val="22"/>
        </w:rPr>
        <w:softHyphen/>
        <w:t>թյուն</w:t>
      </w:r>
      <w:r w:rsidRPr="00A83C94">
        <w:rPr>
          <w:rFonts w:cs="Sylfaen"/>
          <w:b w:val="0"/>
          <w:iCs/>
          <w:color w:val="000000"/>
          <w:szCs w:val="22"/>
        </w:rPr>
        <w:softHyphen/>
        <w:t>ների (ոչ ոլորտային նշանակության) կիրառության հետևանքով պետական բյուջեի հար</w:t>
      </w:r>
      <w:r w:rsidRPr="00A83C94">
        <w:rPr>
          <w:rFonts w:cs="Sylfaen"/>
          <w:b w:val="0"/>
          <w:iCs/>
          <w:color w:val="000000"/>
          <w:szCs w:val="22"/>
        </w:rPr>
        <w:softHyphen/>
        <w:t>կա</w:t>
      </w:r>
      <w:r w:rsidRPr="00A83C94">
        <w:rPr>
          <w:rFonts w:cs="Sylfaen"/>
          <w:b w:val="0"/>
          <w:iCs/>
          <w:color w:val="000000"/>
          <w:szCs w:val="22"/>
        </w:rPr>
        <w:softHyphen/>
        <w:t>յին եկամուտների կորուստները: 2022 թվականի հարկային ծախսերի գնահատականը ներառում է նաև ԱԱՀ-ի հաշվարկով արտացոլված մի շարք այլ հարկային արտոնությունների գնահատականները:</w:t>
      </w:r>
    </w:p>
    <w:p w14:paraId="528FA5A6" w14:textId="77777777" w:rsidR="00840AE8" w:rsidRPr="00A83C94" w:rsidRDefault="00840AE8" w:rsidP="00840AE8">
      <w:pPr>
        <w:spacing w:line="276" w:lineRule="auto"/>
        <w:rPr>
          <w:rFonts w:cs="Sylfaen"/>
          <w:b w:val="0"/>
          <w:iCs/>
          <w:color w:val="000000"/>
          <w:szCs w:val="22"/>
        </w:rPr>
      </w:pPr>
      <w:r w:rsidRPr="00A83C94">
        <w:rPr>
          <w:rFonts w:cs="Sylfaen"/>
          <w:b w:val="0"/>
          <w:iCs/>
          <w:color w:val="000000"/>
          <w:szCs w:val="22"/>
        </w:rPr>
        <w:t xml:space="preserve">Գնահատման արդյունքների համաձայն, հարկային ծախսերի տարեկան մեծությունը կազմել է 503,301 մլն. դրամ, </w:t>
      </w:r>
      <w:r w:rsidRPr="00A83C94">
        <w:rPr>
          <w:rFonts w:cs="Sylfaen"/>
          <w:b w:val="0"/>
          <w:iCs/>
          <w:color w:val="000000"/>
          <w:szCs w:val="22"/>
          <w:lang w:val="hy-AM"/>
        </w:rPr>
        <w:t>ինչը 52,226 մլն. դրամով կամ 11.6 տոկոսով ավելին է, քան նախորդ տարվա գնահատականը: Ա</w:t>
      </w:r>
      <w:r w:rsidRPr="00A83C94">
        <w:rPr>
          <w:rFonts w:cs="Sylfaen"/>
          <w:b w:val="0"/>
          <w:iCs/>
          <w:color w:val="000000"/>
          <w:szCs w:val="22"/>
        </w:rPr>
        <w:t>վելացված արժեքի հարկի գծով</w:t>
      </w:r>
      <w:r w:rsidRPr="00A83C94">
        <w:rPr>
          <w:rFonts w:cs="Sylfaen"/>
          <w:b w:val="0"/>
          <w:iCs/>
          <w:color w:val="000000"/>
          <w:szCs w:val="22"/>
          <w:lang w:val="hy-AM"/>
        </w:rPr>
        <w:t xml:space="preserve"> հարկային ծախսերը գնահատվել են </w:t>
      </w:r>
      <w:r w:rsidRPr="00A83C94">
        <w:rPr>
          <w:rFonts w:cs="Sylfaen"/>
          <w:b w:val="0"/>
          <w:iCs/>
          <w:color w:val="000000"/>
          <w:szCs w:val="22"/>
        </w:rPr>
        <w:t xml:space="preserve">363,296 մլն. դրամ, </w:t>
      </w:r>
      <w:r w:rsidRPr="00A83C94">
        <w:rPr>
          <w:rFonts w:cs="Sylfaen"/>
          <w:b w:val="0"/>
          <w:iCs/>
          <w:color w:val="000000"/>
          <w:szCs w:val="22"/>
          <w:lang w:val="hy-AM"/>
        </w:rPr>
        <w:t>ինչը 365 մլն. դրամով կամ 0.1 տոկոսով ավելին է, քան նախորդ տարվա գնահատականը: Շ</w:t>
      </w:r>
      <w:r w:rsidRPr="00A83C94">
        <w:rPr>
          <w:rFonts w:cs="Sylfaen"/>
          <w:b w:val="0"/>
          <w:iCs/>
          <w:color w:val="000000"/>
          <w:szCs w:val="22"/>
        </w:rPr>
        <w:t>ահութահարկի գծով</w:t>
      </w:r>
      <w:r w:rsidRPr="00A83C94">
        <w:rPr>
          <w:rFonts w:cs="Sylfaen"/>
          <w:b w:val="0"/>
          <w:iCs/>
          <w:color w:val="000000"/>
          <w:szCs w:val="22"/>
          <w:lang w:val="hy-AM"/>
        </w:rPr>
        <w:t xml:space="preserve"> հարկային ծախսերը գնահատվել են </w:t>
      </w:r>
      <w:r w:rsidRPr="00A83C94">
        <w:rPr>
          <w:b w:val="0"/>
          <w:color w:val="000000"/>
          <w:szCs w:val="22"/>
        </w:rPr>
        <w:t>78,931</w:t>
      </w:r>
      <w:r w:rsidRPr="00A83C94">
        <w:rPr>
          <w:b w:val="0"/>
          <w:i/>
          <w:szCs w:val="22"/>
        </w:rPr>
        <w:t xml:space="preserve"> </w:t>
      </w:r>
      <w:r w:rsidRPr="00A83C94">
        <w:rPr>
          <w:rFonts w:cs="Sylfaen"/>
          <w:b w:val="0"/>
          <w:iCs/>
          <w:color w:val="000000"/>
          <w:szCs w:val="22"/>
        </w:rPr>
        <w:t>մլն. դրամ,</w:t>
      </w:r>
      <w:r w:rsidRPr="00A83C94">
        <w:rPr>
          <w:rFonts w:cs="Sylfaen"/>
          <w:b w:val="0"/>
          <w:iCs/>
          <w:color w:val="000000"/>
          <w:szCs w:val="22"/>
          <w:lang w:val="hy-AM"/>
        </w:rPr>
        <w:t xml:space="preserve"> ինչը 7,192 մլն. դրամով կամ 10.0 տոկոսով ավելին է, քան նախորդ տարվա գնահատականը: Այս գնահատականում ներառված է նաև 1,500 մլն. դրամի չափով ՏՏ ոլորտի արտոնությունների գնահատականը, որը ներառված չի եղել նախորդ գնահատականում: Ե</w:t>
      </w:r>
      <w:r w:rsidRPr="00A83C94">
        <w:rPr>
          <w:rFonts w:cs="Sylfaen"/>
          <w:b w:val="0"/>
          <w:iCs/>
          <w:color w:val="000000"/>
          <w:szCs w:val="22"/>
        </w:rPr>
        <w:t>կամտային հարկի գծով</w:t>
      </w:r>
      <w:r w:rsidRPr="00A83C94">
        <w:rPr>
          <w:rFonts w:cs="Sylfaen"/>
          <w:b w:val="0"/>
          <w:iCs/>
          <w:color w:val="000000"/>
          <w:szCs w:val="22"/>
          <w:lang w:val="hy-AM"/>
        </w:rPr>
        <w:t xml:space="preserve"> հարկային ծախսերը գնահատվել են</w:t>
      </w:r>
      <w:r w:rsidRPr="00A83C94">
        <w:rPr>
          <w:rFonts w:cs="Sylfaen"/>
          <w:b w:val="0"/>
          <w:iCs/>
          <w:color w:val="000000"/>
          <w:szCs w:val="22"/>
        </w:rPr>
        <w:t xml:space="preserve"> </w:t>
      </w:r>
      <w:r w:rsidRPr="00A83C94">
        <w:rPr>
          <w:b w:val="0"/>
          <w:color w:val="000000"/>
          <w:szCs w:val="22"/>
        </w:rPr>
        <w:t>61,075</w:t>
      </w:r>
      <w:r w:rsidRPr="00A83C94">
        <w:rPr>
          <w:b w:val="0"/>
          <w:i/>
          <w:color w:val="000000"/>
          <w:szCs w:val="22"/>
        </w:rPr>
        <w:t xml:space="preserve"> </w:t>
      </w:r>
      <w:r w:rsidRPr="00A83C94">
        <w:rPr>
          <w:rFonts w:cs="Sylfaen"/>
          <w:b w:val="0"/>
          <w:iCs/>
          <w:color w:val="000000"/>
          <w:szCs w:val="22"/>
        </w:rPr>
        <w:t xml:space="preserve">մլն. </w:t>
      </w:r>
      <w:r w:rsidRPr="00A83C94">
        <w:rPr>
          <w:rFonts w:cs="Sylfaen"/>
          <w:b w:val="0"/>
          <w:iCs/>
          <w:color w:val="000000"/>
          <w:szCs w:val="22"/>
          <w:lang w:val="hy-AM"/>
        </w:rPr>
        <w:t>դ</w:t>
      </w:r>
      <w:r w:rsidRPr="00A83C94">
        <w:rPr>
          <w:rFonts w:cs="Sylfaen"/>
          <w:b w:val="0"/>
          <w:iCs/>
          <w:color w:val="000000"/>
          <w:szCs w:val="22"/>
        </w:rPr>
        <w:t>րամ</w:t>
      </w:r>
      <w:r w:rsidRPr="00A83C94">
        <w:rPr>
          <w:rFonts w:cs="Sylfaen"/>
          <w:b w:val="0"/>
          <w:iCs/>
          <w:color w:val="000000"/>
          <w:szCs w:val="22"/>
          <w:lang w:val="hy-AM"/>
        </w:rPr>
        <w:t>, ինչը 44,669 մլն. դրամով կամ 2.7 անգամ ավելին է, քան նախորդ տարվա գնահատականը: Այս գնահատականում ներառված է նաև 4,091 մլն. դրամի չափով ՏՏ ոլորտի արտոնությունների և 38,005 մլն. դրամի չափով հիպոտեկային վարկերի տոկոսների սպասարկման համար վարկառուներին և համավարկառուներին վերադարձված եկամտային հարկի գումարների գնահատականները, որոնք ներառված չեն եղել նախորդ գնահատականում:</w:t>
      </w:r>
    </w:p>
    <w:p w14:paraId="6BD2C1EC" w14:textId="77777777" w:rsidR="00840AE8" w:rsidRPr="00A83C94" w:rsidRDefault="00840AE8" w:rsidP="00786462">
      <w:pPr>
        <w:pStyle w:val="ListParagraph"/>
        <w:numPr>
          <w:ilvl w:val="0"/>
          <w:numId w:val="31"/>
        </w:numPr>
        <w:tabs>
          <w:tab w:val="left" w:pos="851"/>
        </w:tabs>
        <w:spacing w:before="240" w:line="276" w:lineRule="auto"/>
        <w:ind w:left="0" w:firstLine="567"/>
        <w:rPr>
          <w:b w:val="0"/>
          <w:i/>
          <w:szCs w:val="22"/>
        </w:rPr>
      </w:pPr>
      <w:r w:rsidRPr="00A83C94">
        <w:rPr>
          <w:rFonts w:cs="Sylfaen"/>
          <w:b w:val="0"/>
          <w:i/>
          <w:szCs w:val="22"/>
        </w:rPr>
        <w:t>ԱԱՀ</w:t>
      </w:r>
      <w:r w:rsidRPr="00A83C94">
        <w:rPr>
          <w:b w:val="0"/>
          <w:i/>
          <w:szCs w:val="22"/>
        </w:rPr>
        <w:t>-ի գծով հարկային ծախսերը.</w:t>
      </w:r>
    </w:p>
    <w:p w14:paraId="0F666BCE" w14:textId="77777777" w:rsidR="00840AE8" w:rsidRPr="00A83C94" w:rsidRDefault="00840AE8" w:rsidP="00840AE8">
      <w:pPr>
        <w:spacing w:line="276" w:lineRule="auto"/>
        <w:rPr>
          <w:rFonts w:cs="Sylfaen"/>
          <w:b w:val="0"/>
          <w:iCs/>
          <w:color w:val="000000"/>
          <w:szCs w:val="22"/>
        </w:rPr>
      </w:pPr>
      <w:r w:rsidRPr="00A83C94">
        <w:rPr>
          <w:rFonts w:cs="Sylfaen"/>
          <w:b w:val="0"/>
          <w:iCs/>
          <w:color w:val="000000"/>
          <w:szCs w:val="22"/>
        </w:rPr>
        <w:t>Ավելացված արժեքի հարկի գծով հարկային ծախսերի մեծությունը տնտեսության տար</w:t>
      </w:r>
      <w:r w:rsidRPr="00A83C94">
        <w:rPr>
          <w:rFonts w:cs="Sylfaen"/>
          <w:b w:val="0"/>
          <w:iCs/>
          <w:color w:val="000000"/>
          <w:szCs w:val="22"/>
        </w:rPr>
        <w:softHyphen/>
        <w:t>բեր ոլորտների ու առանձին հարկային արտոնությունների միջև բաշխվում է հետևյալ կերպ.</w:t>
      </w:r>
    </w:p>
    <w:p w14:paraId="6742750E"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գյուղատնտեսություն` </w:t>
      </w:r>
      <w:r w:rsidRPr="00A83C94">
        <w:rPr>
          <w:b w:val="0"/>
          <w:i/>
          <w:szCs w:val="22"/>
        </w:rPr>
        <w:t>18,444 մլն. դրամ</w:t>
      </w:r>
      <w:r w:rsidRPr="00A83C94">
        <w:rPr>
          <w:b w:val="0"/>
          <w:szCs w:val="22"/>
        </w:rPr>
        <w:t>,</w:t>
      </w:r>
    </w:p>
    <w:p w14:paraId="7B919544"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առողջապահություն` </w:t>
      </w:r>
      <w:r w:rsidRPr="00A83C94">
        <w:rPr>
          <w:b w:val="0"/>
          <w:i/>
          <w:szCs w:val="22"/>
        </w:rPr>
        <w:t>77,801 մլն. դրամ</w:t>
      </w:r>
      <w:r w:rsidRPr="00A83C94">
        <w:rPr>
          <w:b w:val="0"/>
          <w:szCs w:val="22"/>
        </w:rPr>
        <w:t>,</w:t>
      </w:r>
    </w:p>
    <w:p w14:paraId="1B184339"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կրթություն` </w:t>
      </w:r>
      <w:r w:rsidRPr="00A83C94">
        <w:rPr>
          <w:b w:val="0"/>
          <w:i/>
          <w:szCs w:val="22"/>
        </w:rPr>
        <w:t>28,521 մլն. դրամ</w:t>
      </w:r>
      <w:r w:rsidRPr="00A83C94">
        <w:rPr>
          <w:b w:val="0"/>
          <w:szCs w:val="22"/>
        </w:rPr>
        <w:t>,</w:t>
      </w:r>
    </w:p>
    <w:p w14:paraId="0CD79C61"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ֆինանսներ և ապահովագրություն` </w:t>
      </w:r>
      <w:r w:rsidRPr="00A83C94">
        <w:rPr>
          <w:b w:val="0"/>
          <w:i/>
          <w:szCs w:val="22"/>
        </w:rPr>
        <w:t>69,255 մլն. դրամ</w:t>
      </w:r>
      <w:r w:rsidRPr="00A83C94">
        <w:rPr>
          <w:b w:val="0"/>
          <w:szCs w:val="22"/>
        </w:rPr>
        <w:t>,</w:t>
      </w:r>
    </w:p>
    <w:p w14:paraId="4696F155"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խաղատների գործունեություն, շահումով խաղերի (այդ թվում՝ ինտերնետ շահումով խաղերի), տոտալիզատորի և ինտերնետ տոտալիզատորի կազմակերպում՝ </w:t>
      </w:r>
      <w:r w:rsidRPr="00A83C94">
        <w:rPr>
          <w:b w:val="0"/>
          <w:i/>
          <w:szCs w:val="22"/>
        </w:rPr>
        <w:t>44,589 մլն. դրամ</w:t>
      </w:r>
      <w:r w:rsidRPr="00A83C94">
        <w:rPr>
          <w:b w:val="0"/>
          <w:szCs w:val="22"/>
        </w:rPr>
        <w:t>,</w:t>
      </w:r>
    </w:p>
    <w:p w14:paraId="27B51748"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ոսկու և թանկարժեք քարերի իրացում՝ </w:t>
      </w:r>
      <w:r w:rsidRPr="00A83C94">
        <w:rPr>
          <w:b w:val="0"/>
          <w:i/>
          <w:szCs w:val="22"/>
        </w:rPr>
        <w:t>3,783 մլն. դրամ</w:t>
      </w:r>
      <w:r w:rsidRPr="00A83C94">
        <w:rPr>
          <w:b w:val="0"/>
          <w:szCs w:val="22"/>
        </w:rPr>
        <w:t>,</w:t>
      </w:r>
    </w:p>
    <w:p w14:paraId="694AF0FB"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մարդասիրական օգնություն՝ </w:t>
      </w:r>
      <w:r w:rsidRPr="00A83C94">
        <w:rPr>
          <w:b w:val="0"/>
          <w:i/>
          <w:szCs w:val="22"/>
        </w:rPr>
        <w:t>4,471 մլն. դրամ</w:t>
      </w:r>
      <w:r w:rsidRPr="00A83C94">
        <w:rPr>
          <w:b w:val="0"/>
          <w:szCs w:val="22"/>
        </w:rPr>
        <w:t>,</w:t>
      </w:r>
    </w:p>
    <w:p w14:paraId="7B0BC67D"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պարարտանյութերի իրացում՝ </w:t>
      </w:r>
      <w:r w:rsidRPr="00A83C94">
        <w:rPr>
          <w:b w:val="0"/>
          <w:i/>
          <w:szCs w:val="22"/>
        </w:rPr>
        <w:t>5,043 մլն. դրամ</w:t>
      </w:r>
      <w:r w:rsidRPr="00A83C94">
        <w:rPr>
          <w:b w:val="0"/>
          <w:szCs w:val="22"/>
        </w:rPr>
        <w:t>,</w:t>
      </w:r>
    </w:p>
    <w:p w14:paraId="0DCAAC8A"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ջրօգտագործողների ընկերությունների կողմից ոռոգման ջրի օտարում՝ </w:t>
      </w:r>
      <w:r w:rsidRPr="00A83C94">
        <w:rPr>
          <w:b w:val="0"/>
          <w:i/>
          <w:szCs w:val="22"/>
        </w:rPr>
        <w:t>1,977 մլն. դրամ</w:t>
      </w:r>
      <w:r w:rsidRPr="00A83C94">
        <w:rPr>
          <w:b w:val="0"/>
          <w:szCs w:val="22"/>
        </w:rPr>
        <w:t>,</w:t>
      </w:r>
    </w:p>
    <w:p w14:paraId="3349D8D0"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w:t>
      </w:r>
      <w:r w:rsidRPr="00A83C94">
        <w:rPr>
          <w:b w:val="0"/>
          <w:i/>
          <w:szCs w:val="22"/>
        </w:rPr>
        <w:t>1,011 մլն. դրամ</w:t>
      </w:r>
      <w:r w:rsidRPr="00A83C94">
        <w:rPr>
          <w:b w:val="0"/>
          <w:szCs w:val="22"/>
        </w:rPr>
        <w:t>,</w:t>
      </w:r>
    </w:p>
    <w:p w14:paraId="330F839F"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w:t>
      </w:r>
      <w:r w:rsidRPr="00A83C94">
        <w:rPr>
          <w:b w:val="0"/>
          <w:i/>
          <w:szCs w:val="22"/>
        </w:rPr>
        <w:t>169 մլն. դրամ</w:t>
      </w:r>
      <w:r w:rsidRPr="00A83C94">
        <w:rPr>
          <w:b w:val="0"/>
          <w:szCs w:val="22"/>
        </w:rPr>
        <w:t>,</w:t>
      </w:r>
    </w:p>
    <w:p w14:paraId="75393F5A"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lang w:val="hy-AM"/>
        </w:rPr>
        <w:t xml:space="preserve">օրենգրքով սահմանված </w:t>
      </w:r>
      <w:r w:rsidRPr="00A83C94">
        <w:rPr>
          <w:b w:val="0"/>
          <w:szCs w:val="22"/>
        </w:rPr>
        <w:t xml:space="preserve">վերը չնշված այլ արտոնություններ` </w:t>
      </w:r>
      <w:r w:rsidRPr="00A83C94">
        <w:rPr>
          <w:b w:val="0"/>
          <w:i/>
          <w:szCs w:val="22"/>
          <w:lang w:val="hy-AM"/>
        </w:rPr>
        <w:t>47,412</w:t>
      </w:r>
      <w:r w:rsidRPr="00A83C94">
        <w:rPr>
          <w:b w:val="0"/>
          <w:i/>
          <w:szCs w:val="22"/>
        </w:rPr>
        <w:t xml:space="preserve"> մլն. դրամ*</w:t>
      </w:r>
    </w:p>
    <w:p w14:paraId="304062AC" w14:textId="77777777" w:rsidR="00840AE8" w:rsidRPr="00A83C94" w:rsidRDefault="00840AE8" w:rsidP="00786462">
      <w:pPr>
        <w:pStyle w:val="ListParagraph"/>
        <w:numPr>
          <w:ilvl w:val="0"/>
          <w:numId w:val="30"/>
        </w:numPr>
        <w:tabs>
          <w:tab w:val="left" w:pos="900"/>
        </w:tabs>
        <w:spacing w:before="0" w:line="276" w:lineRule="auto"/>
        <w:ind w:left="0" w:firstLine="567"/>
        <w:rPr>
          <w:b w:val="0"/>
          <w:szCs w:val="22"/>
        </w:rPr>
      </w:pPr>
      <w:r w:rsidRPr="00A83C94">
        <w:rPr>
          <w:b w:val="0"/>
          <w:szCs w:val="22"/>
        </w:rPr>
        <w:t xml:space="preserve">այլ օրենքներով տրված արտոնություններ՝ </w:t>
      </w:r>
      <w:r w:rsidRPr="00A83C94">
        <w:rPr>
          <w:b w:val="0"/>
          <w:i/>
          <w:szCs w:val="22"/>
        </w:rPr>
        <w:t>335 մլն. դրամ:</w:t>
      </w:r>
    </w:p>
    <w:p w14:paraId="31162771" w14:textId="77777777" w:rsidR="00840AE8" w:rsidRPr="00A83C94" w:rsidRDefault="00840AE8" w:rsidP="00840AE8">
      <w:pPr>
        <w:spacing w:before="240" w:line="276" w:lineRule="auto"/>
        <w:rPr>
          <w:rFonts w:cs="Sylfaen"/>
          <w:b w:val="0"/>
          <w:i/>
          <w:iCs/>
          <w:color w:val="000000"/>
          <w:szCs w:val="22"/>
        </w:rPr>
      </w:pPr>
      <w:r w:rsidRPr="00A83C94">
        <w:rPr>
          <w:rFonts w:cs="Sylfaen"/>
          <w:b w:val="0"/>
          <w:iCs/>
          <w:color w:val="000000"/>
          <w:szCs w:val="22"/>
        </w:rPr>
        <w:t xml:space="preserve">* </w:t>
      </w:r>
      <w:r w:rsidRPr="00A83C94">
        <w:rPr>
          <w:rFonts w:cs="Sylfaen"/>
          <w:b w:val="0"/>
          <w:i/>
          <w:iCs/>
          <w:color w:val="000000"/>
          <w:szCs w:val="22"/>
        </w:rPr>
        <w:t>ավելացված արժեքի հարկի գծով հարկային ծախսերի մեծությունը գնահատելիս՝</w:t>
      </w:r>
    </w:p>
    <w:p w14:paraId="39F3F46A" w14:textId="77777777" w:rsidR="00840AE8" w:rsidRPr="00A83C94" w:rsidRDefault="00840AE8" w:rsidP="00786462">
      <w:pPr>
        <w:numPr>
          <w:ilvl w:val="0"/>
          <w:numId w:val="33"/>
        </w:numPr>
        <w:tabs>
          <w:tab w:val="left" w:pos="851"/>
        </w:tabs>
        <w:spacing w:before="0" w:line="276" w:lineRule="auto"/>
        <w:ind w:left="0" w:firstLine="567"/>
        <w:contextualSpacing w:val="0"/>
        <w:rPr>
          <w:rFonts w:cs="Sylfaen"/>
          <w:b w:val="0"/>
          <w:iCs/>
          <w:color w:val="000000"/>
          <w:szCs w:val="22"/>
        </w:rPr>
      </w:pPr>
      <w:r w:rsidRPr="00A83C94">
        <w:rPr>
          <w:rFonts w:cs="Sylfaen"/>
          <w:b w:val="0"/>
          <w:iCs/>
          <w:color w:val="000000"/>
          <w:szCs w:val="22"/>
        </w:rPr>
        <w:t>ավելացված արժեքի հարկի զրոյական դրույքաչափի կիրառությունը չի դիտվել որպես հարկային ծախս, քանի որ այն հիմնականում կիրառվում է արտահանվող ապրանք</w:t>
      </w:r>
      <w:r w:rsidRPr="00A83C94">
        <w:rPr>
          <w:rFonts w:cs="Sylfaen"/>
          <w:b w:val="0"/>
          <w:iCs/>
          <w:color w:val="000000"/>
          <w:szCs w:val="22"/>
        </w:rPr>
        <w:softHyphen/>
        <w:t>ների իրացման գործարքների համար, որոնց մասով ավելացված արժեքի հարկի զրոյական դրույ</w:t>
      </w:r>
      <w:r w:rsidRPr="00A83C94">
        <w:rPr>
          <w:rFonts w:cs="Sylfaen"/>
          <w:b w:val="0"/>
          <w:iCs/>
          <w:color w:val="000000"/>
          <w:szCs w:val="22"/>
        </w:rPr>
        <w:softHyphen/>
        <w:t>քաչափի կիրառությունը միջազգային պրակտիկայում ընդունված մոտեցում է, և հետևա</w:t>
      </w:r>
      <w:r w:rsidRPr="00A83C94">
        <w:rPr>
          <w:rFonts w:cs="Sylfaen"/>
          <w:b w:val="0"/>
          <w:iCs/>
          <w:color w:val="000000"/>
          <w:szCs w:val="22"/>
        </w:rPr>
        <w:softHyphen/>
        <w:t>բար, այդ գործարքներից ավելացված արժեքի հարկի հաշվարկային մեծությունը չի կարող համարվել հենանիշային հարկ,</w:t>
      </w:r>
    </w:p>
    <w:p w14:paraId="5EF46298" w14:textId="77777777" w:rsidR="00840AE8" w:rsidRPr="00A83C94" w:rsidRDefault="00840AE8" w:rsidP="00786462">
      <w:pPr>
        <w:numPr>
          <w:ilvl w:val="0"/>
          <w:numId w:val="33"/>
        </w:numPr>
        <w:tabs>
          <w:tab w:val="left" w:pos="851"/>
        </w:tabs>
        <w:spacing w:before="0" w:line="276" w:lineRule="auto"/>
        <w:ind w:left="0" w:firstLine="567"/>
        <w:contextualSpacing w:val="0"/>
        <w:rPr>
          <w:rFonts w:cs="Sylfaen"/>
          <w:b w:val="0"/>
          <w:iCs/>
          <w:color w:val="000000"/>
          <w:szCs w:val="22"/>
        </w:rPr>
      </w:pPr>
      <w:r w:rsidRPr="00A83C94">
        <w:rPr>
          <w:rFonts w:cs="Sylfaen"/>
          <w:b w:val="0"/>
          <w:iCs/>
          <w:color w:val="000000"/>
          <w:szCs w:val="22"/>
        </w:rPr>
        <w:t>հաշվարկներում չեն ներառվել նաև ներդրումային ծրագրերի շրջանակներում ներ</w:t>
      </w:r>
      <w:r w:rsidRPr="00A83C94">
        <w:rPr>
          <w:rFonts w:cs="Sylfaen"/>
          <w:b w:val="0"/>
          <w:iCs/>
          <w:color w:val="000000"/>
          <w:szCs w:val="22"/>
        </w:rPr>
        <w:softHyphen/>
        <w:t>մուծ</w:t>
      </w:r>
      <w:r w:rsidRPr="00A83C94">
        <w:rPr>
          <w:rFonts w:cs="Sylfaen"/>
          <w:b w:val="0"/>
          <w:iCs/>
          <w:color w:val="000000"/>
          <w:szCs w:val="22"/>
        </w:rPr>
        <w:softHyphen/>
        <w:t>վող ապրանքների մասով մաքսային մարմինների կողմից հաշվարկվող ավելացված արժեքի հարկի գումարները, որոնց վճարման ժամկետը հետաձգվում է օրենքով սահ</w:t>
      </w:r>
      <w:r w:rsidRPr="00A83C94">
        <w:rPr>
          <w:rFonts w:cs="Sylfaen"/>
          <w:b w:val="0"/>
          <w:iCs/>
          <w:color w:val="000000"/>
          <w:szCs w:val="22"/>
        </w:rPr>
        <w:softHyphen/>
        <w:t>ման</w:t>
      </w:r>
      <w:r w:rsidRPr="00A83C94">
        <w:rPr>
          <w:rFonts w:cs="Sylfaen"/>
          <w:b w:val="0"/>
          <w:iCs/>
          <w:color w:val="000000"/>
          <w:szCs w:val="22"/>
        </w:rPr>
        <w:softHyphen/>
        <w:t>ված համապատասխան ժամկետներով՝ հաշվի առնելով այն, որ ավելացված արժեքի հարկի գումար</w:t>
      </w:r>
      <w:r w:rsidRPr="00A83C94">
        <w:rPr>
          <w:rFonts w:cs="Sylfaen"/>
          <w:b w:val="0"/>
          <w:iCs/>
          <w:color w:val="000000"/>
          <w:szCs w:val="22"/>
        </w:rPr>
        <w:softHyphen/>
        <w:t>ների վճարման ժամկետի հետաձգումը միայն ժամանակային ազդեցություն է ունե</w:t>
      </w:r>
      <w:r w:rsidRPr="00A83C94">
        <w:rPr>
          <w:rFonts w:cs="Sylfaen"/>
          <w:b w:val="0"/>
          <w:iCs/>
          <w:color w:val="000000"/>
          <w:szCs w:val="22"/>
        </w:rPr>
        <w:softHyphen/>
        <w:t>նում պետական բյուջեի հարկային եկամուտների մեծության վրա,</w:t>
      </w:r>
    </w:p>
    <w:p w14:paraId="6077441F" w14:textId="77777777" w:rsidR="00840AE8" w:rsidRPr="00A83C94" w:rsidRDefault="00840AE8" w:rsidP="00786462">
      <w:pPr>
        <w:numPr>
          <w:ilvl w:val="0"/>
          <w:numId w:val="33"/>
        </w:numPr>
        <w:tabs>
          <w:tab w:val="left" w:pos="851"/>
        </w:tabs>
        <w:spacing w:before="0" w:line="276" w:lineRule="auto"/>
        <w:ind w:left="0" w:firstLine="567"/>
        <w:contextualSpacing w:val="0"/>
        <w:rPr>
          <w:rFonts w:cs="Sylfaen"/>
          <w:b w:val="0"/>
          <w:iCs/>
          <w:color w:val="000000"/>
          <w:szCs w:val="22"/>
        </w:rPr>
      </w:pPr>
      <w:r w:rsidRPr="00A83C94">
        <w:rPr>
          <w:rFonts w:cs="Sylfaen"/>
          <w:b w:val="0"/>
          <w:iCs/>
          <w:color w:val="000000"/>
          <w:szCs w:val="22"/>
        </w:rPr>
        <w:t>հաշվարկներում չեն ներառվել նաև այն ապրանքների ներմուծման համար ավելաց</w:t>
      </w:r>
      <w:r w:rsidRPr="00A83C94">
        <w:rPr>
          <w:rFonts w:cs="Sylfaen"/>
          <w:b w:val="0"/>
          <w:iCs/>
          <w:color w:val="000000"/>
          <w:szCs w:val="22"/>
        </w:rPr>
        <w:softHyphen/>
        <w:t>ված արժեքի հարկի հաշվարկային գումարները, որոնք ներառված են «Կազմակերպու</w:t>
      </w:r>
      <w:r w:rsidRPr="00A83C94">
        <w:rPr>
          <w:rFonts w:cs="Sylfaen"/>
          <w:b w:val="0"/>
          <w:iCs/>
          <w:color w:val="000000"/>
          <w:szCs w:val="22"/>
        </w:rPr>
        <w:softHyphen/>
        <w:t>թյուն</w:t>
      </w:r>
      <w:r w:rsidRPr="00A83C94">
        <w:rPr>
          <w:rFonts w:cs="Sylfaen"/>
          <w:b w:val="0"/>
          <w:iCs/>
          <w:color w:val="000000"/>
          <w:szCs w:val="22"/>
        </w:rPr>
        <w:softHyphen/>
        <w:t>ների և անհատ ձեռնարկատերերի կողմից ներմուծվող՝ ակցիզային հարկով հարկման ոչ ենթակա այն ապրանքների ցանկը հաստատելու մասին, որոնց ներմուծումն ազատված է ավելացված արժեքի հարկից» ՀՀ օրենքով հաստատված ցանկում, քանի որ այդ ապրանք</w:t>
      </w:r>
      <w:r w:rsidRPr="00A83C94">
        <w:rPr>
          <w:rFonts w:cs="Sylfaen"/>
          <w:b w:val="0"/>
          <w:iCs/>
          <w:color w:val="000000"/>
          <w:szCs w:val="22"/>
        </w:rPr>
        <w:softHyphen/>
        <w:t>ների մասով, տնտեսական գործունեության հետագա փուլերում կարող են ձևավորվել ավելացված արժեքով հարկման բազաներ, որոնցից ավելացված արժեքի հարկը հաշվարկվում և վճարվում է օրենքով սահմանված կարգով:</w:t>
      </w:r>
    </w:p>
    <w:p w14:paraId="5A7D5079" w14:textId="77777777" w:rsidR="00840AE8" w:rsidRPr="00A83C94" w:rsidRDefault="00840AE8" w:rsidP="00840AE8">
      <w:pPr>
        <w:spacing w:before="240" w:line="276" w:lineRule="auto"/>
        <w:rPr>
          <w:b w:val="0"/>
          <w:szCs w:val="22"/>
        </w:rPr>
      </w:pPr>
      <w:r w:rsidRPr="00A83C94">
        <w:rPr>
          <w:b w:val="0"/>
          <w:szCs w:val="22"/>
        </w:rPr>
        <w:t xml:space="preserve">Այսպիսով, 2022 թվականի ԱԱՀ-ի գծով գնահատված հարկային ծախսերը կազմում են </w:t>
      </w:r>
      <w:r w:rsidRPr="00A83C94">
        <w:rPr>
          <w:rFonts w:cs="Sylfaen"/>
          <w:b w:val="0"/>
          <w:iCs/>
          <w:color w:val="000000"/>
          <w:szCs w:val="22"/>
        </w:rPr>
        <w:t>363,</w:t>
      </w:r>
      <w:r w:rsidRPr="00A83C94">
        <w:rPr>
          <w:rFonts w:cs="Sylfaen"/>
          <w:b w:val="0"/>
          <w:iCs/>
          <w:color w:val="000000"/>
          <w:szCs w:val="22"/>
          <w:lang w:val="hy-AM"/>
        </w:rPr>
        <w:t xml:space="preserve">296 </w:t>
      </w:r>
      <w:r w:rsidRPr="00A83C94">
        <w:rPr>
          <w:b w:val="0"/>
          <w:i/>
          <w:szCs w:val="22"/>
        </w:rPr>
        <w:t>մլն. դրամ</w:t>
      </w:r>
      <w:r w:rsidRPr="00A83C94">
        <w:rPr>
          <w:b w:val="0"/>
          <w:szCs w:val="22"/>
        </w:rPr>
        <w:t xml:space="preserve">*: </w:t>
      </w:r>
    </w:p>
    <w:p w14:paraId="14850B6D" w14:textId="77777777" w:rsidR="00840AE8" w:rsidRPr="00A83C94" w:rsidRDefault="00840AE8" w:rsidP="00840AE8">
      <w:pPr>
        <w:spacing w:before="240" w:line="276" w:lineRule="auto"/>
        <w:rPr>
          <w:b w:val="0"/>
          <w:i/>
          <w:szCs w:val="22"/>
        </w:rPr>
      </w:pPr>
      <w:r w:rsidRPr="00A83C94">
        <w:rPr>
          <w:b w:val="0"/>
          <w:i/>
          <w:szCs w:val="22"/>
        </w:rPr>
        <w:t>*Տրված գնահատականում ներառված է նաև ԱԱՀ-ի շեմի կիրառության հետևան</w:t>
      </w:r>
      <w:r w:rsidRPr="00A83C94">
        <w:rPr>
          <w:b w:val="0"/>
          <w:i/>
          <w:szCs w:val="22"/>
        </w:rPr>
        <w:softHyphen/>
        <w:t>քով ԱԱՀ-ի գծով հարկային եկամուտների հաշվարկային կորուստը, որը սույն հաշվետ</w:t>
      </w:r>
      <w:r w:rsidRPr="00A83C94">
        <w:rPr>
          <w:b w:val="0"/>
          <w:i/>
          <w:szCs w:val="22"/>
        </w:rPr>
        <w:softHyphen/>
        <w:t>վու</w:t>
      </w:r>
      <w:r w:rsidRPr="00A83C94">
        <w:rPr>
          <w:b w:val="0"/>
          <w:i/>
          <w:szCs w:val="22"/>
        </w:rPr>
        <w:softHyphen/>
      </w:r>
      <w:r w:rsidRPr="00A83C94">
        <w:rPr>
          <w:b w:val="0"/>
          <w:i/>
          <w:szCs w:val="22"/>
        </w:rPr>
        <w:softHyphen/>
        <w:t xml:space="preserve">թյունում ներկայացվում է առանձին գնահատմամբ և կազմում է 47,655 մլն. դրամ, </w:t>
      </w:r>
      <w:r w:rsidRPr="00A83C94">
        <w:rPr>
          <w:b w:val="0"/>
          <w:szCs w:val="22"/>
        </w:rPr>
        <w:t xml:space="preserve">ինչպես նաև միկրոբիզնեսին տրված հարկային արտոնությունների մասով ԱԱՀ-ի գծով </w:t>
      </w:r>
      <w:r w:rsidRPr="00A83C94">
        <w:rPr>
          <w:b w:val="0"/>
          <w:i/>
          <w:szCs w:val="22"/>
        </w:rPr>
        <w:t>հարկային եկամուտների հաշվարկային կորուստը, որը սույն հաշվետ</w:t>
      </w:r>
      <w:r w:rsidRPr="00A83C94">
        <w:rPr>
          <w:b w:val="0"/>
          <w:i/>
          <w:szCs w:val="22"/>
        </w:rPr>
        <w:softHyphen/>
        <w:t>վու</w:t>
      </w:r>
      <w:r w:rsidRPr="00A83C94">
        <w:rPr>
          <w:b w:val="0"/>
          <w:i/>
          <w:szCs w:val="22"/>
        </w:rPr>
        <w:softHyphen/>
      </w:r>
      <w:r w:rsidRPr="00A83C94">
        <w:rPr>
          <w:b w:val="0"/>
          <w:i/>
          <w:szCs w:val="22"/>
        </w:rPr>
        <w:softHyphen/>
        <w:t>թյունում ներկայացվում է առանձին գնահատմամբ և կազմում է 12,830 մլն. դրամ:</w:t>
      </w:r>
    </w:p>
    <w:p w14:paraId="4F14036D" w14:textId="77777777" w:rsidR="00840AE8" w:rsidRPr="00A83C94" w:rsidRDefault="00840AE8" w:rsidP="00840AE8">
      <w:pPr>
        <w:pStyle w:val="ListParagraph"/>
        <w:tabs>
          <w:tab w:val="left" w:pos="851"/>
        </w:tabs>
        <w:spacing w:line="276" w:lineRule="auto"/>
        <w:ind w:left="567"/>
        <w:rPr>
          <w:b w:val="0"/>
          <w:i/>
          <w:szCs w:val="22"/>
        </w:rPr>
      </w:pPr>
    </w:p>
    <w:p w14:paraId="4DD45A98" w14:textId="77777777" w:rsidR="00840AE8" w:rsidRPr="00A83C94" w:rsidRDefault="00840AE8" w:rsidP="00786462">
      <w:pPr>
        <w:pStyle w:val="ListParagraph"/>
        <w:numPr>
          <w:ilvl w:val="0"/>
          <w:numId w:val="31"/>
        </w:numPr>
        <w:tabs>
          <w:tab w:val="left" w:pos="851"/>
        </w:tabs>
        <w:spacing w:before="0" w:line="276" w:lineRule="auto"/>
        <w:ind w:left="0" w:firstLine="567"/>
        <w:rPr>
          <w:b w:val="0"/>
          <w:i/>
          <w:szCs w:val="22"/>
        </w:rPr>
      </w:pPr>
      <w:r w:rsidRPr="00A83C94">
        <w:rPr>
          <w:rFonts w:cs="Sylfaen"/>
          <w:b w:val="0"/>
          <w:i/>
          <w:szCs w:val="22"/>
        </w:rPr>
        <w:t>Շահութահարկի</w:t>
      </w:r>
      <w:r w:rsidRPr="00A83C94">
        <w:rPr>
          <w:b w:val="0"/>
          <w:i/>
          <w:szCs w:val="22"/>
        </w:rPr>
        <w:t xml:space="preserve"> գծով հարկային ծախսեր.</w:t>
      </w:r>
    </w:p>
    <w:p w14:paraId="66A44592" w14:textId="77777777" w:rsidR="00840AE8" w:rsidRPr="00A83C94" w:rsidRDefault="00840AE8" w:rsidP="00840AE8">
      <w:pPr>
        <w:spacing w:line="276" w:lineRule="auto"/>
        <w:rPr>
          <w:b w:val="0"/>
          <w:szCs w:val="22"/>
        </w:rPr>
      </w:pPr>
      <w:r w:rsidRPr="00A83C94">
        <w:rPr>
          <w:b w:val="0"/>
          <w:szCs w:val="22"/>
        </w:rPr>
        <w:t xml:space="preserve">Շահութահարկի գծով հարկային ծախսերը գնահատվել են </w:t>
      </w:r>
      <w:r w:rsidRPr="00A83C94">
        <w:rPr>
          <w:b w:val="0"/>
          <w:i/>
          <w:szCs w:val="22"/>
          <w:lang w:val="hy-AM"/>
        </w:rPr>
        <w:t>78,931</w:t>
      </w:r>
      <w:r w:rsidRPr="00A83C94">
        <w:rPr>
          <w:b w:val="0"/>
          <w:i/>
          <w:szCs w:val="22"/>
        </w:rPr>
        <w:t xml:space="preserve"> մլն. դրամի չափով*</w:t>
      </w:r>
      <w:r w:rsidRPr="00A83C94">
        <w:rPr>
          <w:b w:val="0"/>
          <w:szCs w:val="22"/>
        </w:rPr>
        <w:t>: Շահու</w:t>
      </w:r>
      <w:r w:rsidRPr="00A83C94">
        <w:rPr>
          <w:b w:val="0"/>
          <w:szCs w:val="22"/>
        </w:rPr>
        <w:softHyphen/>
        <w:t>թահարկի գծով հարկային արտոնությունները գնահատվել են հետևյալ հիմնական ուղղու</w:t>
      </w:r>
      <w:r w:rsidRPr="00A83C94">
        <w:rPr>
          <w:b w:val="0"/>
          <w:szCs w:val="22"/>
        </w:rPr>
        <w:softHyphen/>
        <w:t>թյուններով.</w:t>
      </w:r>
    </w:p>
    <w:p w14:paraId="470DCF66" w14:textId="77777777" w:rsidR="00840AE8" w:rsidRPr="00A83C94" w:rsidRDefault="00840AE8" w:rsidP="00786462">
      <w:pPr>
        <w:pStyle w:val="ListParagraph"/>
        <w:numPr>
          <w:ilvl w:val="0"/>
          <w:numId w:val="32"/>
        </w:numPr>
        <w:tabs>
          <w:tab w:val="left" w:pos="851"/>
        </w:tabs>
        <w:spacing w:before="0" w:line="276" w:lineRule="auto"/>
        <w:ind w:left="0" w:firstLine="567"/>
        <w:rPr>
          <w:b w:val="0"/>
          <w:szCs w:val="22"/>
        </w:rPr>
      </w:pPr>
      <w:r w:rsidRPr="00A83C94">
        <w:rPr>
          <w:b w:val="0"/>
          <w:szCs w:val="22"/>
        </w:rPr>
        <w:t xml:space="preserve">գյուղատնտեսություն` </w:t>
      </w:r>
      <w:r w:rsidRPr="00A83C94">
        <w:rPr>
          <w:b w:val="0"/>
          <w:i/>
          <w:color w:val="000000"/>
          <w:szCs w:val="22"/>
        </w:rPr>
        <w:t>51,757</w:t>
      </w:r>
      <w:r w:rsidRPr="00A83C94">
        <w:rPr>
          <w:b w:val="0"/>
          <w:i/>
          <w:szCs w:val="22"/>
        </w:rPr>
        <w:t xml:space="preserve"> մլն. դրամ</w:t>
      </w:r>
      <w:r w:rsidRPr="00A83C94">
        <w:rPr>
          <w:b w:val="0"/>
          <w:szCs w:val="22"/>
        </w:rPr>
        <w:t xml:space="preserve">, այդ թվում՝ կազմակերպությունների շահույթից՝ </w:t>
      </w:r>
      <w:r w:rsidRPr="00A83C94">
        <w:rPr>
          <w:b w:val="0"/>
          <w:i/>
          <w:color w:val="000000"/>
          <w:szCs w:val="22"/>
        </w:rPr>
        <w:t>3,103</w:t>
      </w:r>
      <w:r w:rsidRPr="00A83C94">
        <w:rPr>
          <w:b w:val="0"/>
          <w:i/>
          <w:szCs w:val="22"/>
        </w:rPr>
        <w:t xml:space="preserve"> մլն. դրամ</w:t>
      </w:r>
      <w:r w:rsidRPr="00A83C94">
        <w:rPr>
          <w:b w:val="0"/>
          <w:szCs w:val="22"/>
        </w:rPr>
        <w:t xml:space="preserve">, և ֆիզիկական անձանց (ԱՁ-ների) շահույթից՝ </w:t>
      </w:r>
      <w:r w:rsidRPr="00A83C94">
        <w:rPr>
          <w:b w:val="0"/>
          <w:i/>
          <w:color w:val="000000"/>
          <w:szCs w:val="22"/>
        </w:rPr>
        <w:t>48,653</w:t>
      </w:r>
      <w:r w:rsidRPr="00A83C94">
        <w:rPr>
          <w:b w:val="0"/>
          <w:i/>
          <w:szCs w:val="22"/>
        </w:rPr>
        <w:t xml:space="preserve"> մլն. դրամ</w:t>
      </w:r>
      <w:r w:rsidRPr="00A83C94">
        <w:rPr>
          <w:b w:val="0"/>
          <w:szCs w:val="22"/>
        </w:rPr>
        <w:t>,</w:t>
      </w:r>
    </w:p>
    <w:p w14:paraId="77DA6254"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b w:val="0"/>
          <w:szCs w:val="22"/>
        </w:rPr>
        <w:t xml:space="preserve">հարկվող շահույթի նվազեցման արտոնություններ, բացառությամբ՝ գյուղատնտեսության՝ </w:t>
      </w:r>
      <w:r w:rsidRPr="00A83C94">
        <w:rPr>
          <w:b w:val="0"/>
          <w:i/>
          <w:color w:val="000000"/>
          <w:szCs w:val="22"/>
        </w:rPr>
        <w:t>3,864</w:t>
      </w:r>
      <w:r w:rsidRPr="00A83C94">
        <w:rPr>
          <w:b w:val="0"/>
          <w:i/>
          <w:szCs w:val="22"/>
        </w:rPr>
        <w:t xml:space="preserve"> մլն. դրամ</w:t>
      </w:r>
      <w:r w:rsidRPr="00A83C94">
        <w:rPr>
          <w:b w:val="0"/>
          <w:szCs w:val="22"/>
        </w:rPr>
        <w:t>,</w:t>
      </w:r>
    </w:p>
    <w:p w14:paraId="0FFB2E66"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b w:val="0"/>
          <w:szCs w:val="22"/>
        </w:rPr>
        <w:t xml:space="preserve">շահութահարկի նվազեցման արտոնություններ՝ </w:t>
      </w:r>
      <w:r w:rsidRPr="00A83C94">
        <w:rPr>
          <w:b w:val="0"/>
          <w:i/>
          <w:color w:val="000000"/>
          <w:szCs w:val="22"/>
        </w:rPr>
        <w:t>36</w:t>
      </w:r>
      <w:r w:rsidRPr="00A83C94">
        <w:rPr>
          <w:b w:val="0"/>
          <w:i/>
          <w:szCs w:val="22"/>
        </w:rPr>
        <w:t xml:space="preserve"> մլն. դրամ</w:t>
      </w:r>
      <w:r w:rsidRPr="00A83C94">
        <w:rPr>
          <w:b w:val="0"/>
          <w:szCs w:val="22"/>
        </w:rPr>
        <w:t>,</w:t>
      </w:r>
    </w:p>
    <w:p w14:paraId="322FB887"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rFonts w:cs="Sylfaen"/>
          <w:b w:val="0"/>
          <w:szCs w:val="22"/>
        </w:rPr>
        <w:t xml:space="preserve">ԱԱՀ-ի շեմ` </w:t>
      </w:r>
      <w:r w:rsidRPr="00A83C94">
        <w:rPr>
          <w:b w:val="0"/>
          <w:i/>
          <w:szCs w:val="22"/>
        </w:rPr>
        <w:t>17,156 մլն. դրամ,</w:t>
      </w:r>
    </w:p>
    <w:p w14:paraId="6BC6D2BB"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rFonts w:cs="Sylfaen"/>
          <w:b w:val="0"/>
          <w:szCs w:val="22"/>
        </w:rPr>
        <w:t xml:space="preserve">միկրոբիզնես՝ </w:t>
      </w:r>
      <w:r w:rsidRPr="00A83C94">
        <w:rPr>
          <w:b w:val="0"/>
          <w:i/>
          <w:szCs w:val="22"/>
        </w:rPr>
        <w:t xml:space="preserve">4,619 մլն. </w:t>
      </w:r>
      <w:r w:rsidRPr="00A83C94">
        <w:rPr>
          <w:b w:val="0"/>
          <w:i/>
          <w:szCs w:val="22"/>
          <w:lang w:val="hy-AM"/>
        </w:rPr>
        <w:t>դ</w:t>
      </w:r>
      <w:r w:rsidRPr="00A83C94">
        <w:rPr>
          <w:b w:val="0"/>
          <w:i/>
          <w:szCs w:val="22"/>
        </w:rPr>
        <w:t>րամ</w:t>
      </w:r>
      <w:r w:rsidRPr="00A83C94">
        <w:rPr>
          <w:b w:val="0"/>
          <w:i/>
          <w:szCs w:val="22"/>
          <w:lang w:val="hy-AM"/>
        </w:rPr>
        <w:t>,</w:t>
      </w:r>
    </w:p>
    <w:p w14:paraId="458F38E8"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b w:val="0"/>
          <w:szCs w:val="22"/>
          <w:lang w:val="hy-AM"/>
        </w:rPr>
        <w:t>ՏՏ ոլորտի արտոնություններ`</w:t>
      </w:r>
      <w:r w:rsidRPr="00A83C94">
        <w:rPr>
          <w:b w:val="0"/>
          <w:i/>
          <w:szCs w:val="22"/>
          <w:lang w:val="hy-AM"/>
        </w:rPr>
        <w:t xml:space="preserve"> 1,500 մլն. դրամ</w:t>
      </w:r>
      <w:r w:rsidRPr="00A83C94">
        <w:rPr>
          <w:b w:val="0"/>
          <w:i/>
          <w:szCs w:val="22"/>
        </w:rPr>
        <w:t>:</w:t>
      </w:r>
    </w:p>
    <w:p w14:paraId="2287088E" w14:textId="77777777" w:rsidR="00840AE8" w:rsidRPr="00A83C94" w:rsidRDefault="00840AE8" w:rsidP="006C390E">
      <w:pPr>
        <w:pStyle w:val="ListParagraph"/>
        <w:tabs>
          <w:tab w:val="left" w:pos="851"/>
        </w:tabs>
        <w:spacing w:line="276" w:lineRule="auto"/>
        <w:ind w:left="567"/>
        <w:rPr>
          <w:b w:val="0"/>
          <w:szCs w:val="22"/>
        </w:rPr>
      </w:pPr>
    </w:p>
    <w:p w14:paraId="315FF51F" w14:textId="77777777" w:rsidR="00840AE8" w:rsidRPr="00A83C94" w:rsidRDefault="00840AE8" w:rsidP="006C390E">
      <w:pPr>
        <w:pStyle w:val="ListParagraph"/>
        <w:spacing w:line="276" w:lineRule="auto"/>
        <w:ind w:left="0" w:firstLine="720"/>
        <w:rPr>
          <w:b w:val="0"/>
          <w:i/>
          <w:szCs w:val="22"/>
        </w:rPr>
      </w:pPr>
      <w:r w:rsidRPr="00A83C94">
        <w:rPr>
          <w:b w:val="0"/>
          <w:i/>
          <w:szCs w:val="22"/>
        </w:rPr>
        <w:t>*</w:t>
      </w:r>
      <w:r w:rsidRPr="00A83C94">
        <w:rPr>
          <w:b w:val="0"/>
          <w:i/>
          <w:szCs w:val="22"/>
          <w:lang w:val="hy-AM"/>
        </w:rPr>
        <w:t>Մինչև 2020 թվականը</w:t>
      </w:r>
      <w:r w:rsidRPr="00A83C94">
        <w:rPr>
          <w:b w:val="0"/>
          <w:i/>
          <w:szCs w:val="22"/>
        </w:rPr>
        <w:t xml:space="preserve"> հարկային ծախսերի գնահատականներում ֆիզիկական անձանց (ԱՁ-ների) շահույթի գծով հարկային ծախսերը ներառված էին եկամտային հարկի բաժնում:</w:t>
      </w:r>
    </w:p>
    <w:p w14:paraId="494B6F51" w14:textId="77777777" w:rsidR="00840AE8" w:rsidRPr="00A83C94" w:rsidRDefault="00840AE8" w:rsidP="006C390E">
      <w:pPr>
        <w:pStyle w:val="ListParagraph"/>
        <w:spacing w:line="276" w:lineRule="auto"/>
        <w:rPr>
          <w:b w:val="0"/>
          <w:i/>
          <w:szCs w:val="22"/>
        </w:rPr>
      </w:pPr>
    </w:p>
    <w:p w14:paraId="6DFA5415" w14:textId="77777777" w:rsidR="00840AE8" w:rsidRPr="00A83C94" w:rsidRDefault="00840AE8" w:rsidP="006C390E">
      <w:pPr>
        <w:pStyle w:val="ListParagraph"/>
        <w:numPr>
          <w:ilvl w:val="0"/>
          <w:numId w:val="31"/>
        </w:numPr>
        <w:tabs>
          <w:tab w:val="left" w:pos="993"/>
        </w:tabs>
        <w:spacing w:before="0" w:line="276" w:lineRule="auto"/>
        <w:ind w:left="0" w:firstLine="567"/>
        <w:rPr>
          <w:rFonts w:cs="Sylfaen"/>
          <w:b w:val="0"/>
          <w:i/>
          <w:szCs w:val="22"/>
        </w:rPr>
      </w:pPr>
      <w:r w:rsidRPr="00A83C94">
        <w:rPr>
          <w:rFonts w:cs="Sylfaen"/>
          <w:b w:val="0"/>
          <w:i/>
          <w:szCs w:val="22"/>
        </w:rPr>
        <w:t>Եկամտային հարկի գծով հարկային ծախսեր.</w:t>
      </w:r>
    </w:p>
    <w:p w14:paraId="3778ABC8" w14:textId="77777777" w:rsidR="00840AE8" w:rsidRPr="00A83C94" w:rsidRDefault="00840AE8" w:rsidP="006C390E">
      <w:pPr>
        <w:spacing w:line="276" w:lineRule="auto"/>
        <w:rPr>
          <w:b w:val="0"/>
          <w:szCs w:val="22"/>
        </w:rPr>
      </w:pPr>
      <w:r w:rsidRPr="00A83C94">
        <w:rPr>
          <w:b w:val="0"/>
          <w:szCs w:val="22"/>
        </w:rPr>
        <w:t xml:space="preserve">Եկամտային հարկի գծով հարկային ծախսերը գնահատվել են </w:t>
      </w:r>
      <w:r w:rsidRPr="00A83C94">
        <w:rPr>
          <w:b w:val="0"/>
          <w:szCs w:val="22"/>
          <w:lang w:val="hy-AM"/>
        </w:rPr>
        <w:t>61,075</w:t>
      </w:r>
      <w:r w:rsidRPr="00A83C94">
        <w:rPr>
          <w:b w:val="0"/>
          <w:szCs w:val="22"/>
        </w:rPr>
        <w:t xml:space="preserve"> մլն. դրամի չափով, այդ թվում՝ եկամտային հարկի գծով հարկային ծախսերը գնահատվել են գյուղատնտեսության վարձու աշխատողների աշխատանքի վարձատրության մասով, ինչպես նաև միկրոբիզնեսի մասով՝ 4,838</w:t>
      </w:r>
      <w:r w:rsidRPr="00A83C94">
        <w:rPr>
          <w:b w:val="0"/>
          <w:szCs w:val="22"/>
          <w:lang w:val="hy-AM"/>
        </w:rPr>
        <w:t xml:space="preserve"> </w:t>
      </w:r>
      <w:r w:rsidRPr="00A83C94">
        <w:rPr>
          <w:b w:val="0"/>
          <w:szCs w:val="22"/>
        </w:rPr>
        <w:t>մլն. դրամի չափով:</w:t>
      </w:r>
    </w:p>
    <w:p w14:paraId="2B62DEC4" w14:textId="77777777" w:rsidR="00840AE8" w:rsidRPr="00A83C94" w:rsidRDefault="00840AE8" w:rsidP="006C390E">
      <w:pPr>
        <w:pStyle w:val="ListParagraph"/>
        <w:spacing w:line="276" w:lineRule="auto"/>
        <w:ind w:left="0"/>
        <w:rPr>
          <w:b w:val="0"/>
          <w:i/>
        </w:rPr>
      </w:pPr>
    </w:p>
    <w:p w14:paraId="0B08C725" w14:textId="77777777" w:rsidR="00840AE8" w:rsidRPr="00A83C94" w:rsidRDefault="00840AE8" w:rsidP="006C390E">
      <w:pPr>
        <w:pStyle w:val="ListParagraph"/>
        <w:numPr>
          <w:ilvl w:val="0"/>
          <w:numId w:val="31"/>
        </w:numPr>
        <w:tabs>
          <w:tab w:val="left" w:pos="993"/>
        </w:tabs>
        <w:spacing w:before="0" w:line="276" w:lineRule="auto"/>
        <w:ind w:left="0" w:firstLine="567"/>
        <w:rPr>
          <w:rFonts w:cs="Sylfaen"/>
          <w:b w:val="0"/>
          <w:i/>
        </w:rPr>
      </w:pPr>
      <w:r w:rsidRPr="00A83C94">
        <w:rPr>
          <w:rFonts w:cs="Sylfaen"/>
          <w:b w:val="0"/>
          <w:i/>
        </w:rPr>
        <w:t>ԱԱՀ-ի շեմի գծով հարկային ծախսերը.</w:t>
      </w:r>
    </w:p>
    <w:p w14:paraId="6ACC83EC" w14:textId="77777777" w:rsidR="00840AE8" w:rsidRPr="00A83C94" w:rsidRDefault="00840AE8" w:rsidP="006C390E">
      <w:pPr>
        <w:spacing w:line="276" w:lineRule="auto"/>
        <w:rPr>
          <w:b w:val="0"/>
          <w:szCs w:val="22"/>
        </w:rPr>
      </w:pPr>
      <w:r w:rsidRPr="00A83C94">
        <w:rPr>
          <w:b w:val="0"/>
          <w:szCs w:val="22"/>
        </w:rPr>
        <w:t xml:space="preserve">ԱԱՀ-ի շեմի գծով հարկային ծախսերը գնահատվել են </w:t>
      </w:r>
      <w:r w:rsidRPr="00A83C94">
        <w:rPr>
          <w:b w:val="0"/>
          <w:i/>
          <w:szCs w:val="22"/>
        </w:rPr>
        <w:t>64,811 մլն. դրամի չափով*,</w:t>
      </w:r>
      <w:r w:rsidRPr="00A83C94">
        <w:rPr>
          <w:b w:val="0"/>
          <w:szCs w:val="22"/>
        </w:rPr>
        <w:t xml:space="preserve"> այդ թվում`</w:t>
      </w:r>
    </w:p>
    <w:p w14:paraId="42EDD864" w14:textId="77777777" w:rsidR="00840AE8" w:rsidRPr="00A83C94" w:rsidRDefault="00840AE8" w:rsidP="006C390E">
      <w:pPr>
        <w:spacing w:line="276" w:lineRule="auto"/>
        <w:rPr>
          <w:b w:val="0"/>
          <w:szCs w:val="22"/>
        </w:rPr>
      </w:pPr>
      <w:r w:rsidRPr="00A83C94">
        <w:rPr>
          <w:b w:val="0"/>
          <w:szCs w:val="22"/>
        </w:rPr>
        <w:t xml:space="preserve">ԱԱՀ` </w:t>
      </w:r>
      <w:r w:rsidRPr="00A83C94">
        <w:rPr>
          <w:b w:val="0"/>
          <w:i/>
          <w:szCs w:val="22"/>
        </w:rPr>
        <w:t>47,655 մլն. դրամ</w:t>
      </w:r>
      <w:r w:rsidRPr="00A83C94">
        <w:rPr>
          <w:b w:val="0"/>
          <w:szCs w:val="22"/>
        </w:rPr>
        <w:t>,</w:t>
      </w:r>
    </w:p>
    <w:p w14:paraId="39933E48" w14:textId="77777777" w:rsidR="00840AE8" w:rsidRPr="00A83C94" w:rsidRDefault="00840AE8" w:rsidP="006C390E">
      <w:pPr>
        <w:pStyle w:val="NormalWeb"/>
        <w:shd w:val="clear" w:color="auto" w:fill="FFFFFF"/>
        <w:spacing w:before="0" w:beforeAutospacing="0" w:after="0" w:afterAutospacing="0" w:line="276" w:lineRule="auto"/>
        <w:rPr>
          <w:b w:val="0"/>
          <w:szCs w:val="22"/>
        </w:rPr>
      </w:pPr>
      <w:r w:rsidRPr="00A83C94">
        <w:rPr>
          <w:b w:val="0"/>
          <w:szCs w:val="22"/>
        </w:rPr>
        <w:t xml:space="preserve">Շահութահարկ` </w:t>
      </w:r>
      <w:r w:rsidRPr="00A83C94">
        <w:rPr>
          <w:b w:val="0"/>
          <w:i/>
          <w:szCs w:val="22"/>
        </w:rPr>
        <w:t xml:space="preserve">17,156 </w:t>
      </w:r>
      <w:r w:rsidRPr="00A83C94">
        <w:rPr>
          <w:b w:val="0"/>
          <w:i/>
          <w:szCs w:val="22"/>
          <w:lang w:val="en-US"/>
        </w:rPr>
        <w:t>մլն</w:t>
      </w:r>
      <w:r w:rsidRPr="00A83C94">
        <w:rPr>
          <w:b w:val="0"/>
          <w:i/>
          <w:szCs w:val="22"/>
        </w:rPr>
        <w:t xml:space="preserve">. </w:t>
      </w:r>
      <w:r w:rsidRPr="00A83C94">
        <w:rPr>
          <w:b w:val="0"/>
          <w:i/>
          <w:szCs w:val="22"/>
          <w:lang w:val="en-US"/>
        </w:rPr>
        <w:t>դրամ</w:t>
      </w:r>
      <w:r w:rsidRPr="00A83C94">
        <w:rPr>
          <w:b w:val="0"/>
          <w:szCs w:val="22"/>
        </w:rPr>
        <w:t>:</w:t>
      </w:r>
    </w:p>
    <w:p w14:paraId="60C934B5" w14:textId="77777777" w:rsidR="00840AE8" w:rsidRPr="00A83C94" w:rsidRDefault="00840AE8" w:rsidP="006C390E">
      <w:pPr>
        <w:spacing w:before="240" w:line="276" w:lineRule="auto"/>
        <w:rPr>
          <w:b w:val="0"/>
          <w:i/>
          <w:szCs w:val="22"/>
        </w:rPr>
      </w:pPr>
      <w:r w:rsidRPr="00A83C94">
        <w:rPr>
          <w:b w:val="0"/>
          <w:i/>
          <w:szCs w:val="22"/>
        </w:rPr>
        <w:t>*ԱԱՀ-ի շեմի գծով հարկային ծախսերի գնահատման համար ԱԱՀ-ի շեմն ընդունվել է 115.0 մլն. դրամ:</w:t>
      </w:r>
    </w:p>
    <w:p w14:paraId="21F7FAD1" w14:textId="77777777" w:rsidR="00840AE8" w:rsidRPr="00A83C94" w:rsidRDefault="00840AE8" w:rsidP="006C390E">
      <w:pPr>
        <w:pStyle w:val="ListParagraph"/>
        <w:numPr>
          <w:ilvl w:val="0"/>
          <w:numId w:val="31"/>
        </w:numPr>
        <w:tabs>
          <w:tab w:val="left" w:pos="993"/>
        </w:tabs>
        <w:spacing w:before="0" w:line="276" w:lineRule="auto"/>
        <w:ind w:left="0" w:firstLine="567"/>
        <w:rPr>
          <w:rFonts w:cs="Sylfaen"/>
          <w:b w:val="0"/>
          <w:i/>
        </w:rPr>
      </w:pPr>
      <w:r w:rsidRPr="00A83C94">
        <w:rPr>
          <w:rFonts w:cs="Sylfaen"/>
          <w:b w:val="0"/>
          <w:i/>
        </w:rPr>
        <w:t>Միկրոբիզնեսի գծով հարկային ծախսերը.</w:t>
      </w:r>
    </w:p>
    <w:p w14:paraId="415DEF74" w14:textId="77777777" w:rsidR="00840AE8" w:rsidRPr="00A83C94" w:rsidRDefault="00840AE8" w:rsidP="006C390E">
      <w:pPr>
        <w:spacing w:line="276" w:lineRule="auto"/>
        <w:rPr>
          <w:b w:val="0"/>
          <w:szCs w:val="22"/>
        </w:rPr>
      </w:pPr>
      <w:r w:rsidRPr="00A83C94">
        <w:rPr>
          <w:b w:val="0"/>
          <w:szCs w:val="22"/>
          <w:lang w:val="hy-AM"/>
        </w:rPr>
        <w:t>Միկրոբիզնեսի</w:t>
      </w:r>
      <w:r w:rsidRPr="00A83C94">
        <w:rPr>
          <w:b w:val="0"/>
          <w:szCs w:val="22"/>
        </w:rPr>
        <w:t xml:space="preserve"> գծով հարկային ծախսերը գնահատվել են </w:t>
      </w:r>
      <w:r w:rsidRPr="00A83C94">
        <w:rPr>
          <w:b w:val="0"/>
          <w:i/>
          <w:szCs w:val="22"/>
        </w:rPr>
        <w:t>22,287 մլն. դրամի չափով*,</w:t>
      </w:r>
      <w:r w:rsidRPr="00A83C94">
        <w:rPr>
          <w:b w:val="0"/>
          <w:szCs w:val="22"/>
        </w:rPr>
        <w:t xml:space="preserve"> այդ թվում`</w:t>
      </w:r>
    </w:p>
    <w:p w14:paraId="4BB81293" w14:textId="77777777" w:rsidR="00840AE8" w:rsidRPr="00A83C94" w:rsidRDefault="00840AE8" w:rsidP="006C390E">
      <w:pPr>
        <w:spacing w:line="276" w:lineRule="auto"/>
        <w:rPr>
          <w:b w:val="0"/>
          <w:szCs w:val="22"/>
        </w:rPr>
      </w:pPr>
      <w:r w:rsidRPr="00A83C94">
        <w:rPr>
          <w:b w:val="0"/>
          <w:szCs w:val="22"/>
        </w:rPr>
        <w:t xml:space="preserve">ԱԱՀ` </w:t>
      </w:r>
      <w:r w:rsidRPr="00A83C94">
        <w:rPr>
          <w:b w:val="0"/>
          <w:i/>
          <w:szCs w:val="22"/>
        </w:rPr>
        <w:t>12,830 մլն. դրամ</w:t>
      </w:r>
      <w:r w:rsidRPr="00A83C94">
        <w:rPr>
          <w:b w:val="0"/>
          <w:szCs w:val="22"/>
        </w:rPr>
        <w:t>,</w:t>
      </w:r>
    </w:p>
    <w:p w14:paraId="6FAD7EA5" w14:textId="77777777" w:rsidR="00840AE8" w:rsidRPr="00A83C94" w:rsidRDefault="00840AE8" w:rsidP="006C390E">
      <w:pPr>
        <w:spacing w:before="240" w:line="276" w:lineRule="auto"/>
        <w:rPr>
          <w:b w:val="0"/>
          <w:szCs w:val="22"/>
        </w:rPr>
      </w:pPr>
      <w:r w:rsidRPr="00A83C94">
        <w:rPr>
          <w:b w:val="0"/>
          <w:szCs w:val="22"/>
        </w:rPr>
        <w:t xml:space="preserve">Շահութահարկ` </w:t>
      </w:r>
      <w:r w:rsidRPr="00A83C94">
        <w:rPr>
          <w:b w:val="0"/>
          <w:i/>
          <w:szCs w:val="22"/>
        </w:rPr>
        <w:t>4,619 մլն. դրամ</w:t>
      </w:r>
      <w:r w:rsidRPr="00A83C94">
        <w:rPr>
          <w:b w:val="0"/>
          <w:szCs w:val="22"/>
        </w:rPr>
        <w:t>,</w:t>
      </w:r>
    </w:p>
    <w:p w14:paraId="6DE079B3" w14:textId="77777777" w:rsidR="00840AE8" w:rsidRPr="00A83C94" w:rsidRDefault="00840AE8" w:rsidP="006C390E">
      <w:pPr>
        <w:spacing w:before="240" w:line="276" w:lineRule="auto"/>
        <w:rPr>
          <w:b w:val="0"/>
          <w:i/>
          <w:szCs w:val="22"/>
        </w:rPr>
      </w:pPr>
      <w:r w:rsidRPr="00A83C94">
        <w:rPr>
          <w:b w:val="0"/>
          <w:szCs w:val="22"/>
        </w:rPr>
        <w:t xml:space="preserve">Եկամտային հարկ՝ </w:t>
      </w:r>
      <w:r w:rsidRPr="00A83C94">
        <w:rPr>
          <w:b w:val="0"/>
          <w:i/>
          <w:szCs w:val="22"/>
        </w:rPr>
        <w:t>4,838 մլն. դրամ</w:t>
      </w:r>
      <w:r w:rsidRPr="00A83C94">
        <w:rPr>
          <w:b w:val="0"/>
          <w:szCs w:val="22"/>
        </w:rPr>
        <w:t>:</w:t>
      </w:r>
    </w:p>
    <w:p w14:paraId="57A9A84F" w14:textId="20345744" w:rsidR="00840AE8" w:rsidRPr="00A83C94" w:rsidRDefault="00840AE8" w:rsidP="006C390E">
      <w:pPr>
        <w:spacing w:before="240" w:line="276" w:lineRule="auto"/>
        <w:rPr>
          <w:b w:val="0"/>
          <w:szCs w:val="22"/>
        </w:rPr>
      </w:pPr>
      <w:r w:rsidRPr="00A83C94">
        <w:rPr>
          <w:b w:val="0"/>
          <w:szCs w:val="22"/>
        </w:rPr>
        <w:t xml:space="preserve">Ընդհանուր հարկային ծախսը գնահատվել է </w:t>
      </w:r>
      <w:r w:rsidRPr="00A83C94">
        <w:rPr>
          <w:rFonts w:cs="Sylfaen"/>
          <w:b w:val="0"/>
          <w:i/>
          <w:iCs/>
          <w:szCs w:val="22"/>
          <w:lang w:val="hy-AM"/>
        </w:rPr>
        <w:t xml:space="preserve">503,301 </w:t>
      </w:r>
      <w:r w:rsidRPr="00A83C94">
        <w:rPr>
          <w:b w:val="0"/>
          <w:i/>
          <w:szCs w:val="22"/>
        </w:rPr>
        <w:t>մլն. դրամի չափով</w:t>
      </w:r>
      <w:r w:rsidRPr="00A83C94">
        <w:rPr>
          <w:b w:val="0"/>
          <w:szCs w:val="22"/>
        </w:rPr>
        <w:t xml:space="preserve">, ինչը 2022 թվականի համար կանխատեսված հարկային եկամուտների և ՀՆԱ-ի նկատմամբ կազմում է համապատասխանաբար` </w:t>
      </w:r>
      <w:r w:rsidRPr="00A83C94">
        <w:rPr>
          <w:b w:val="0"/>
          <w:i/>
          <w:szCs w:val="22"/>
          <w:lang w:val="hy-AM"/>
        </w:rPr>
        <w:t>27.3</w:t>
      </w:r>
      <w:r w:rsidRPr="00A83C94">
        <w:rPr>
          <w:b w:val="0"/>
          <w:i/>
          <w:szCs w:val="22"/>
        </w:rPr>
        <w:t xml:space="preserve"> և 6.</w:t>
      </w:r>
      <w:r w:rsidRPr="00A83C94">
        <w:rPr>
          <w:b w:val="0"/>
          <w:i/>
          <w:szCs w:val="22"/>
          <w:lang w:val="hy-AM"/>
        </w:rPr>
        <w:t>4</w:t>
      </w:r>
      <w:r w:rsidRPr="00A83C94">
        <w:rPr>
          <w:b w:val="0"/>
          <w:i/>
          <w:szCs w:val="22"/>
        </w:rPr>
        <w:t xml:space="preserve"> տոկոս:</w:t>
      </w:r>
    </w:p>
    <w:p w14:paraId="22AAC846" w14:textId="7239B01D" w:rsidR="00840AE8" w:rsidRDefault="00840AE8" w:rsidP="006C390E">
      <w:pPr>
        <w:spacing w:line="276" w:lineRule="auto"/>
        <w:rPr>
          <w:b w:val="0"/>
          <w:szCs w:val="22"/>
        </w:rPr>
      </w:pPr>
      <w:r w:rsidRPr="00A83C94">
        <w:rPr>
          <w:b w:val="0"/>
          <w:szCs w:val="22"/>
        </w:rPr>
        <w:t>Վերլուծության ամփոփ արդյունքները ներ</w:t>
      </w:r>
      <w:r w:rsidRPr="00A83C94">
        <w:rPr>
          <w:b w:val="0"/>
          <w:szCs w:val="22"/>
        </w:rPr>
        <w:softHyphen/>
        <w:t>կա</w:t>
      </w:r>
      <w:r w:rsidRPr="00A83C94">
        <w:rPr>
          <w:b w:val="0"/>
          <w:szCs w:val="22"/>
        </w:rPr>
        <w:softHyphen/>
        <w:t>յաց</w:t>
      </w:r>
      <w:r w:rsidRPr="00A83C94">
        <w:rPr>
          <w:b w:val="0"/>
          <w:szCs w:val="22"/>
        </w:rPr>
        <w:softHyphen/>
        <w:t>ված են ստորև.</w:t>
      </w:r>
    </w:p>
    <w:p w14:paraId="2A263110" w14:textId="77777777" w:rsidR="00962F00" w:rsidRPr="00A83C94" w:rsidRDefault="00962F00" w:rsidP="006C390E">
      <w:pPr>
        <w:spacing w:line="276" w:lineRule="auto"/>
        <w:rPr>
          <w:b w:val="0"/>
          <w:szCs w:val="22"/>
        </w:rPr>
      </w:pPr>
    </w:p>
    <w:p w14:paraId="1D78A441" w14:textId="77777777" w:rsidR="00A00B8B" w:rsidRPr="00A83C94" w:rsidRDefault="00A00B8B" w:rsidP="006C390E">
      <w:pPr>
        <w:spacing w:before="0" w:line="276" w:lineRule="auto"/>
        <w:ind w:firstLine="720"/>
        <w:contextualSpacing w:val="0"/>
        <w:jc w:val="right"/>
        <w:rPr>
          <w:b w:val="0"/>
          <w:szCs w:val="22"/>
          <w:lang w:val="en-US" w:eastAsia="en-US"/>
        </w:rPr>
      </w:pPr>
      <w:r w:rsidRPr="00A83C94">
        <w:rPr>
          <w:b w:val="0"/>
          <w:szCs w:val="22"/>
          <w:lang w:val="en-US" w:eastAsia="en-US"/>
        </w:rPr>
        <w:t>մլն. դրամ</w:t>
      </w:r>
    </w:p>
    <w:tbl>
      <w:tblPr>
        <w:tblW w:w="9667"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3443"/>
        <w:gridCol w:w="1820"/>
        <w:gridCol w:w="1820"/>
        <w:gridCol w:w="1820"/>
      </w:tblGrid>
      <w:tr w:rsidR="00A00B8B" w:rsidRPr="00A83C94" w14:paraId="05E79A3A" w14:textId="77777777" w:rsidTr="00A066BB">
        <w:trPr>
          <w:trHeight w:val="1410"/>
        </w:trPr>
        <w:tc>
          <w:tcPr>
            <w:tcW w:w="764" w:type="dxa"/>
            <w:shd w:val="clear" w:color="auto" w:fill="4F81BD" w:themeFill="accent1"/>
            <w:vAlign w:val="center"/>
            <w:hideMark/>
          </w:tcPr>
          <w:p w14:paraId="3842192C"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Հ/Հ</w:t>
            </w:r>
          </w:p>
        </w:tc>
        <w:tc>
          <w:tcPr>
            <w:tcW w:w="3443" w:type="dxa"/>
            <w:shd w:val="clear" w:color="auto" w:fill="4F81BD" w:themeFill="accent1"/>
            <w:vAlign w:val="center"/>
            <w:hideMark/>
          </w:tcPr>
          <w:p w14:paraId="5ACC725E"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Հարկային ծախսերի տեսակը</w:t>
            </w:r>
          </w:p>
        </w:tc>
        <w:tc>
          <w:tcPr>
            <w:tcW w:w="1820" w:type="dxa"/>
            <w:shd w:val="clear" w:color="auto" w:fill="4F81BD" w:themeFill="accent1"/>
            <w:vAlign w:val="center"/>
            <w:hideMark/>
          </w:tcPr>
          <w:p w14:paraId="704C61A1"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Հարկային ծախսերի չափը</w:t>
            </w:r>
          </w:p>
        </w:tc>
        <w:tc>
          <w:tcPr>
            <w:tcW w:w="1820" w:type="dxa"/>
            <w:shd w:val="clear" w:color="auto" w:fill="4F81BD" w:themeFill="accent1"/>
            <w:vAlign w:val="center"/>
            <w:hideMark/>
          </w:tcPr>
          <w:p w14:paraId="3D4A4364"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Կշիռը հարկային եկամուտների մեջ</w:t>
            </w:r>
          </w:p>
        </w:tc>
        <w:tc>
          <w:tcPr>
            <w:tcW w:w="1820" w:type="dxa"/>
            <w:shd w:val="clear" w:color="auto" w:fill="4F81BD" w:themeFill="accent1"/>
            <w:vAlign w:val="center"/>
            <w:hideMark/>
          </w:tcPr>
          <w:p w14:paraId="65082E5D"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Կշիռը ՀՆԱ-ի մեջ</w:t>
            </w:r>
          </w:p>
        </w:tc>
      </w:tr>
      <w:tr w:rsidR="00570952" w:rsidRPr="00A83C94" w14:paraId="5306F5B4" w14:textId="77777777" w:rsidTr="00570952">
        <w:trPr>
          <w:trHeight w:val="795"/>
        </w:trPr>
        <w:tc>
          <w:tcPr>
            <w:tcW w:w="764" w:type="dxa"/>
            <w:shd w:val="clear" w:color="auto" w:fill="DBE5F1" w:themeFill="accent1" w:themeFillTint="33"/>
            <w:vAlign w:val="center"/>
          </w:tcPr>
          <w:p w14:paraId="211460E3" w14:textId="753105DA"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1</w:t>
            </w:r>
          </w:p>
        </w:tc>
        <w:tc>
          <w:tcPr>
            <w:tcW w:w="3443" w:type="dxa"/>
            <w:shd w:val="clear" w:color="auto" w:fill="DBE5F1" w:themeFill="accent1" w:themeFillTint="33"/>
            <w:vAlign w:val="center"/>
          </w:tcPr>
          <w:p w14:paraId="25D5B8B0" w14:textId="74BA7726" w:rsidR="00570952" w:rsidRPr="00A83C94" w:rsidRDefault="00570952" w:rsidP="006C390E">
            <w:pPr>
              <w:spacing w:before="0" w:line="276" w:lineRule="auto"/>
              <w:ind w:firstLine="0"/>
              <w:contextualSpacing w:val="0"/>
              <w:jc w:val="left"/>
              <w:rPr>
                <w:rFonts w:cs="Calibri"/>
                <w:bCs/>
                <w:color w:val="000000"/>
                <w:szCs w:val="22"/>
                <w:lang w:val="en-US" w:eastAsia="en-US"/>
              </w:rPr>
            </w:pPr>
            <w:r w:rsidRPr="00A83C94">
              <w:rPr>
                <w:rFonts w:cs="Calibri"/>
                <w:bCs/>
                <w:color w:val="000000"/>
                <w:szCs w:val="22"/>
              </w:rPr>
              <w:t>ԱԱՀ</w:t>
            </w:r>
            <w:r w:rsidRPr="00A83C94">
              <w:rPr>
                <w:rFonts w:cs="Calibri"/>
                <w:bCs/>
                <w:color w:val="000000"/>
                <w:szCs w:val="22"/>
                <w:lang w:val="en-US"/>
              </w:rPr>
              <w:t>-</w:t>
            </w:r>
            <w:r w:rsidRPr="00A83C94">
              <w:rPr>
                <w:rFonts w:cs="Calibri"/>
                <w:bCs/>
                <w:color w:val="000000"/>
                <w:szCs w:val="22"/>
              </w:rPr>
              <w:t>ի</w:t>
            </w:r>
            <w:r w:rsidRPr="00A83C94">
              <w:rPr>
                <w:rFonts w:cs="Calibri"/>
                <w:bCs/>
                <w:color w:val="000000"/>
                <w:szCs w:val="22"/>
                <w:lang w:val="en-US"/>
              </w:rPr>
              <w:t xml:space="preserve"> </w:t>
            </w:r>
            <w:r w:rsidRPr="00A83C94">
              <w:rPr>
                <w:rFonts w:cs="Calibri"/>
                <w:bCs/>
                <w:color w:val="000000"/>
                <w:szCs w:val="22"/>
              </w:rPr>
              <w:t>գծով</w:t>
            </w:r>
            <w:r w:rsidRPr="00A83C94">
              <w:rPr>
                <w:rFonts w:cs="Calibri"/>
                <w:bCs/>
                <w:color w:val="000000"/>
                <w:szCs w:val="22"/>
                <w:lang w:val="en-US"/>
              </w:rPr>
              <w:t xml:space="preserve">, </w:t>
            </w:r>
            <w:r w:rsidRPr="00A83C94">
              <w:rPr>
                <w:rFonts w:cs="Calibri"/>
                <w:bCs/>
                <w:color w:val="000000"/>
                <w:szCs w:val="22"/>
              </w:rPr>
              <w:t>այդ</w:t>
            </w:r>
            <w:r w:rsidRPr="00A83C94">
              <w:rPr>
                <w:rFonts w:cs="Calibri"/>
                <w:bCs/>
                <w:color w:val="000000"/>
                <w:szCs w:val="22"/>
                <w:lang w:val="en-US"/>
              </w:rPr>
              <w:t xml:space="preserve"> </w:t>
            </w:r>
            <w:r w:rsidRPr="00A83C94">
              <w:rPr>
                <w:rFonts w:cs="Calibri"/>
                <w:bCs/>
                <w:color w:val="000000"/>
                <w:szCs w:val="22"/>
              </w:rPr>
              <w:t>թվում</w:t>
            </w:r>
            <w:r w:rsidRPr="00A83C94">
              <w:rPr>
                <w:rFonts w:cs="Calibri"/>
                <w:bCs/>
                <w:color w:val="000000"/>
                <w:szCs w:val="22"/>
                <w:lang w:val="en-US"/>
              </w:rPr>
              <w:t>`</w:t>
            </w:r>
          </w:p>
        </w:tc>
        <w:tc>
          <w:tcPr>
            <w:tcW w:w="1820" w:type="dxa"/>
            <w:shd w:val="clear" w:color="auto" w:fill="DBE5F1" w:themeFill="accent1" w:themeFillTint="33"/>
            <w:vAlign w:val="center"/>
          </w:tcPr>
          <w:p w14:paraId="131AF1B6" w14:textId="3079EFDB"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363,296</w:t>
            </w:r>
          </w:p>
        </w:tc>
        <w:tc>
          <w:tcPr>
            <w:tcW w:w="1820" w:type="dxa"/>
            <w:shd w:val="clear" w:color="auto" w:fill="DBE5F1" w:themeFill="accent1" w:themeFillTint="33"/>
            <w:vAlign w:val="center"/>
          </w:tcPr>
          <w:p w14:paraId="0BB78852" w14:textId="50F3728F"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19.70%</w:t>
            </w:r>
          </w:p>
        </w:tc>
        <w:tc>
          <w:tcPr>
            <w:tcW w:w="1820" w:type="dxa"/>
            <w:shd w:val="clear" w:color="auto" w:fill="DBE5F1" w:themeFill="accent1" w:themeFillTint="33"/>
            <w:vAlign w:val="center"/>
          </w:tcPr>
          <w:p w14:paraId="1AF563EB" w14:textId="267EB529"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4.62%</w:t>
            </w:r>
          </w:p>
        </w:tc>
      </w:tr>
      <w:tr w:rsidR="00570952" w:rsidRPr="00A83C94" w14:paraId="777DB941" w14:textId="77777777" w:rsidTr="00570952">
        <w:trPr>
          <w:trHeight w:val="535"/>
        </w:trPr>
        <w:tc>
          <w:tcPr>
            <w:tcW w:w="764" w:type="dxa"/>
            <w:shd w:val="clear" w:color="auto" w:fill="auto"/>
            <w:vAlign w:val="center"/>
          </w:tcPr>
          <w:p w14:paraId="4D0CD13B" w14:textId="65F8BE3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w:t>
            </w:r>
          </w:p>
        </w:tc>
        <w:tc>
          <w:tcPr>
            <w:tcW w:w="3443" w:type="dxa"/>
            <w:shd w:val="clear" w:color="auto" w:fill="auto"/>
            <w:vAlign w:val="center"/>
          </w:tcPr>
          <w:p w14:paraId="7FC3B246" w14:textId="12A6E38F"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գյուղատնտեսություն</w:t>
            </w:r>
          </w:p>
        </w:tc>
        <w:tc>
          <w:tcPr>
            <w:tcW w:w="1820" w:type="dxa"/>
            <w:shd w:val="clear" w:color="auto" w:fill="auto"/>
            <w:vAlign w:val="center"/>
          </w:tcPr>
          <w:p w14:paraId="119B3293" w14:textId="27749DAC"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18,444</w:t>
            </w:r>
          </w:p>
        </w:tc>
        <w:tc>
          <w:tcPr>
            <w:tcW w:w="1820" w:type="dxa"/>
            <w:shd w:val="clear" w:color="auto" w:fill="auto"/>
            <w:vAlign w:val="center"/>
          </w:tcPr>
          <w:p w14:paraId="09EFF0B8" w14:textId="3FD1963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1.00%</w:t>
            </w:r>
          </w:p>
        </w:tc>
        <w:tc>
          <w:tcPr>
            <w:tcW w:w="1820" w:type="dxa"/>
            <w:shd w:val="clear" w:color="auto" w:fill="auto"/>
            <w:vAlign w:val="center"/>
          </w:tcPr>
          <w:p w14:paraId="54F288FA" w14:textId="667CA7C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0.23%</w:t>
            </w:r>
          </w:p>
        </w:tc>
      </w:tr>
      <w:tr w:rsidR="00570952" w:rsidRPr="00A83C94" w14:paraId="5B64E481" w14:textId="77777777" w:rsidTr="00570952">
        <w:trPr>
          <w:trHeight w:val="447"/>
        </w:trPr>
        <w:tc>
          <w:tcPr>
            <w:tcW w:w="764" w:type="dxa"/>
            <w:shd w:val="clear" w:color="auto" w:fill="DBE5F1" w:themeFill="accent1" w:themeFillTint="33"/>
            <w:vAlign w:val="center"/>
          </w:tcPr>
          <w:p w14:paraId="2D38FC09" w14:textId="573E4BE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1.2.</w:t>
            </w:r>
          </w:p>
        </w:tc>
        <w:tc>
          <w:tcPr>
            <w:tcW w:w="3443" w:type="dxa"/>
            <w:shd w:val="clear" w:color="auto" w:fill="DBE5F1" w:themeFill="accent1" w:themeFillTint="33"/>
            <w:vAlign w:val="center"/>
          </w:tcPr>
          <w:p w14:paraId="7E299DD6" w14:textId="0BF37E85"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առողջապահություն</w:t>
            </w:r>
          </w:p>
        </w:tc>
        <w:tc>
          <w:tcPr>
            <w:tcW w:w="1820" w:type="dxa"/>
            <w:shd w:val="clear" w:color="auto" w:fill="DBE5F1" w:themeFill="accent1" w:themeFillTint="33"/>
            <w:vAlign w:val="center"/>
          </w:tcPr>
          <w:p w14:paraId="1D992044" w14:textId="1749695E"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77,801</w:t>
            </w:r>
          </w:p>
        </w:tc>
        <w:tc>
          <w:tcPr>
            <w:tcW w:w="1820" w:type="dxa"/>
            <w:shd w:val="clear" w:color="auto" w:fill="DBE5F1" w:themeFill="accent1" w:themeFillTint="33"/>
            <w:vAlign w:val="center"/>
          </w:tcPr>
          <w:p w14:paraId="16779E8E" w14:textId="765C05B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4.22%</w:t>
            </w:r>
          </w:p>
        </w:tc>
        <w:tc>
          <w:tcPr>
            <w:tcW w:w="1820" w:type="dxa"/>
            <w:shd w:val="clear" w:color="auto" w:fill="DBE5F1" w:themeFill="accent1" w:themeFillTint="33"/>
            <w:vAlign w:val="center"/>
          </w:tcPr>
          <w:p w14:paraId="060A7CDD" w14:textId="435399F7"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0.99%</w:t>
            </w:r>
          </w:p>
        </w:tc>
      </w:tr>
      <w:tr w:rsidR="00570952" w:rsidRPr="00A83C94" w14:paraId="6C75B9B0" w14:textId="77777777" w:rsidTr="00570952">
        <w:trPr>
          <w:trHeight w:val="487"/>
        </w:trPr>
        <w:tc>
          <w:tcPr>
            <w:tcW w:w="764" w:type="dxa"/>
            <w:shd w:val="clear" w:color="auto" w:fill="auto"/>
            <w:vAlign w:val="center"/>
          </w:tcPr>
          <w:p w14:paraId="489F07DF" w14:textId="79466EF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1.3.</w:t>
            </w:r>
          </w:p>
        </w:tc>
        <w:tc>
          <w:tcPr>
            <w:tcW w:w="3443" w:type="dxa"/>
            <w:shd w:val="clear" w:color="auto" w:fill="auto"/>
            <w:vAlign w:val="center"/>
          </w:tcPr>
          <w:p w14:paraId="17FDDC24" w14:textId="1E1C22EC"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կրթություն</w:t>
            </w:r>
          </w:p>
        </w:tc>
        <w:tc>
          <w:tcPr>
            <w:tcW w:w="1820" w:type="dxa"/>
            <w:shd w:val="clear" w:color="auto" w:fill="auto"/>
            <w:vAlign w:val="center"/>
          </w:tcPr>
          <w:p w14:paraId="00F31AA9" w14:textId="387470E8"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28,521</w:t>
            </w:r>
          </w:p>
        </w:tc>
        <w:tc>
          <w:tcPr>
            <w:tcW w:w="1820" w:type="dxa"/>
            <w:shd w:val="clear" w:color="auto" w:fill="auto"/>
            <w:vAlign w:val="center"/>
          </w:tcPr>
          <w:p w14:paraId="0952871C" w14:textId="661C3E7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1.55%</w:t>
            </w:r>
          </w:p>
        </w:tc>
        <w:tc>
          <w:tcPr>
            <w:tcW w:w="1820" w:type="dxa"/>
            <w:shd w:val="clear" w:color="auto" w:fill="auto"/>
            <w:vAlign w:val="center"/>
          </w:tcPr>
          <w:p w14:paraId="3E15FC1D" w14:textId="649507F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0.36%</w:t>
            </w:r>
          </w:p>
        </w:tc>
      </w:tr>
      <w:tr w:rsidR="00570952" w:rsidRPr="00A83C94" w14:paraId="7E10D65C" w14:textId="77777777" w:rsidTr="00570952">
        <w:trPr>
          <w:trHeight w:val="795"/>
        </w:trPr>
        <w:tc>
          <w:tcPr>
            <w:tcW w:w="764" w:type="dxa"/>
            <w:shd w:val="clear" w:color="auto" w:fill="DBE5F1" w:themeFill="accent1" w:themeFillTint="33"/>
            <w:vAlign w:val="center"/>
          </w:tcPr>
          <w:p w14:paraId="7B6192AA" w14:textId="445F531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1.4.</w:t>
            </w:r>
          </w:p>
        </w:tc>
        <w:tc>
          <w:tcPr>
            <w:tcW w:w="3443" w:type="dxa"/>
            <w:shd w:val="clear" w:color="auto" w:fill="DBE5F1" w:themeFill="accent1" w:themeFillTint="33"/>
            <w:vAlign w:val="center"/>
          </w:tcPr>
          <w:p w14:paraId="69447C2A" w14:textId="18027FD5"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ֆինանսներ և ապահովագրություն</w:t>
            </w:r>
          </w:p>
        </w:tc>
        <w:tc>
          <w:tcPr>
            <w:tcW w:w="1820" w:type="dxa"/>
            <w:shd w:val="clear" w:color="auto" w:fill="DBE5F1" w:themeFill="accent1" w:themeFillTint="33"/>
            <w:vAlign w:val="center"/>
          </w:tcPr>
          <w:p w14:paraId="035C5391" w14:textId="32EEBAE3"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69,255</w:t>
            </w:r>
          </w:p>
        </w:tc>
        <w:tc>
          <w:tcPr>
            <w:tcW w:w="1820" w:type="dxa"/>
            <w:shd w:val="clear" w:color="auto" w:fill="DBE5F1" w:themeFill="accent1" w:themeFillTint="33"/>
            <w:vAlign w:val="center"/>
          </w:tcPr>
          <w:p w14:paraId="07FEA245" w14:textId="0B846C4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3.76%</w:t>
            </w:r>
          </w:p>
        </w:tc>
        <w:tc>
          <w:tcPr>
            <w:tcW w:w="1820" w:type="dxa"/>
            <w:shd w:val="clear" w:color="auto" w:fill="DBE5F1" w:themeFill="accent1" w:themeFillTint="33"/>
            <w:vAlign w:val="center"/>
          </w:tcPr>
          <w:p w14:paraId="4EA3D435" w14:textId="7239F8F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0.88%</w:t>
            </w:r>
          </w:p>
        </w:tc>
      </w:tr>
      <w:tr w:rsidR="00570952" w:rsidRPr="00A83C94" w14:paraId="61401BAA" w14:textId="77777777" w:rsidTr="00570952">
        <w:trPr>
          <w:trHeight w:val="497"/>
        </w:trPr>
        <w:tc>
          <w:tcPr>
            <w:tcW w:w="764" w:type="dxa"/>
            <w:shd w:val="clear" w:color="auto" w:fill="auto"/>
            <w:vAlign w:val="center"/>
          </w:tcPr>
          <w:p w14:paraId="66FC70D8" w14:textId="3511FA0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1.5.</w:t>
            </w:r>
          </w:p>
        </w:tc>
        <w:tc>
          <w:tcPr>
            <w:tcW w:w="3443" w:type="dxa"/>
            <w:shd w:val="clear" w:color="auto" w:fill="auto"/>
            <w:vAlign w:val="center"/>
          </w:tcPr>
          <w:p w14:paraId="7D81FE2F" w14:textId="0DB17241"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ԱԱՀ-ի շեմ</w:t>
            </w:r>
          </w:p>
        </w:tc>
        <w:tc>
          <w:tcPr>
            <w:tcW w:w="1820" w:type="dxa"/>
            <w:shd w:val="clear" w:color="auto" w:fill="auto"/>
            <w:vAlign w:val="center"/>
          </w:tcPr>
          <w:p w14:paraId="7F014A9B" w14:textId="6B78D25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47,655</w:t>
            </w:r>
          </w:p>
        </w:tc>
        <w:tc>
          <w:tcPr>
            <w:tcW w:w="1820" w:type="dxa"/>
            <w:shd w:val="clear" w:color="auto" w:fill="auto"/>
            <w:vAlign w:val="center"/>
          </w:tcPr>
          <w:p w14:paraId="6F980E1F" w14:textId="15298229"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2.58%</w:t>
            </w:r>
          </w:p>
        </w:tc>
        <w:tc>
          <w:tcPr>
            <w:tcW w:w="1820" w:type="dxa"/>
            <w:shd w:val="clear" w:color="auto" w:fill="auto"/>
            <w:vAlign w:val="center"/>
          </w:tcPr>
          <w:p w14:paraId="3762B82B" w14:textId="747327C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0.61%</w:t>
            </w:r>
          </w:p>
        </w:tc>
      </w:tr>
      <w:tr w:rsidR="00570952" w:rsidRPr="00A83C94" w14:paraId="42851735" w14:textId="77777777" w:rsidTr="00570952">
        <w:trPr>
          <w:trHeight w:val="1710"/>
        </w:trPr>
        <w:tc>
          <w:tcPr>
            <w:tcW w:w="764" w:type="dxa"/>
            <w:shd w:val="clear" w:color="auto" w:fill="DBE5F1" w:themeFill="accent1" w:themeFillTint="33"/>
            <w:vAlign w:val="center"/>
          </w:tcPr>
          <w:p w14:paraId="737244FC" w14:textId="00CAB33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1.6.</w:t>
            </w:r>
          </w:p>
        </w:tc>
        <w:tc>
          <w:tcPr>
            <w:tcW w:w="3443" w:type="dxa"/>
            <w:shd w:val="clear" w:color="auto" w:fill="DBE5F1" w:themeFill="accent1" w:themeFillTint="33"/>
            <w:vAlign w:val="center"/>
          </w:tcPr>
          <w:p w14:paraId="01CD7DE6" w14:textId="7B496931"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խաղատների</w:t>
            </w:r>
            <w:r w:rsidRPr="00A83C94">
              <w:rPr>
                <w:rFonts w:cs="Calibri"/>
                <w:b w:val="0"/>
                <w:i/>
                <w:iCs/>
                <w:color w:val="000000"/>
                <w:szCs w:val="22"/>
                <w:lang w:val="en-US"/>
              </w:rPr>
              <w:t xml:space="preserve"> </w:t>
            </w:r>
            <w:r w:rsidRPr="00A83C94">
              <w:rPr>
                <w:rFonts w:cs="Calibri"/>
                <w:b w:val="0"/>
                <w:i/>
                <w:iCs/>
                <w:color w:val="000000"/>
                <w:szCs w:val="22"/>
              </w:rPr>
              <w:t>գործունեություն</w:t>
            </w:r>
            <w:r w:rsidRPr="00A83C94">
              <w:rPr>
                <w:rFonts w:cs="Calibri"/>
                <w:b w:val="0"/>
                <w:i/>
                <w:iCs/>
                <w:color w:val="000000"/>
                <w:szCs w:val="22"/>
                <w:lang w:val="en-US"/>
              </w:rPr>
              <w:t xml:space="preserve">, </w:t>
            </w:r>
            <w:r w:rsidRPr="00A83C94">
              <w:rPr>
                <w:rFonts w:cs="Calibri"/>
                <w:b w:val="0"/>
                <w:i/>
                <w:iCs/>
                <w:color w:val="000000"/>
                <w:szCs w:val="22"/>
              </w:rPr>
              <w:t>շահումով</w:t>
            </w:r>
            <w:r w:rsidRPr="00A83C94">
              <w:rPr>
                <w:rFonts w:cs="Calibri"/>
                <w:b w:val="0"/>
                <w:i/>
                <w:iCs/>
                <w:color w:val="000000"/>
                <w:szCs w:val="22"/>
                <w:lang w:val="en-US"/>
              </w:rPr>
              <w:t xml:space="preserve"> </w:t>
            </w:r>
            <w:r w:rsidRPr="00A83C94">
              <w:rPr>
                <w:rFonts w:cs="Calibri"/>
                <w:b w:val="0"/>
                <w:i/>
                <w:iCs/>
                <w:color w:val="000000"/>
                <w:szCs w:val="22"/>
              </w:rPr>
              <w:t>խաղերի</w:t>
            </w:r>
            <w:r w:rsidRPr="00A83C94">
              <w:rPr>
                <w:rFonts w:cs="Calibri"/>
                <w:b w:val="0"/>
                <w:i/>
                <w:iCs/>
                <w:color w:val="000000"/>
                <w:szCs w:val="22"/>
                <w:lang w:val="en-US"/>
              </w:rPr>
              <w:t xml:space="preserve"> (</w:t>
            </w:r>
            <w:r w:rsidRPr="00A83C94">
              <w:rPr>
                <w:rFonts w:cs="Calibri"/>
                <w:b w:val="0"/>
                <w:i/>
                <w:iCs/>
                <w:color w:val="000000"/>
                <w:szCs w:val="22"/>
              </w:rPr>
              <w:t>այդ</w:t>
            </w:r>
            <w:r w:rsidRPr="00A83C94">
              <w:rPr>
                <w:rFonts w:cs="Calibri"/>
                <w:b w:val="0"/>
                <w:i/>
                <w:iCs/>
                <w:color w:val="000000"/>
                <w:szCs w:val="22"/>
                <w:lang w:val="en-US"/>
              </w:rPr>
              <w:t xml:space="preserve"> </w:t>
            </w:r>
            <w:r w:rsidRPr="00A83C94">
              <w:rPr>
                <w:rFonts w:cs="Calibri"/>
                <w:b w:val="0"/>
                <w:i/>
                <w:iCs/>
                <w:color w:val="000000"/>
                <w:szCs w:val="22"/>
              </w:rPr>
              <w:t>թվում՝</w:t>
            </w:r>
            <w:r w:rsidRPr="00A83C94">
              <w:rPr>
                <w:rFonts w:cs="Calibri"/>
                <w:b w:val="0"/>
                <w:i/>
                <w:iCs/>
                <w:color w:val="000000"/>
                <w:szCs w:val="22"/>
                <w:lang w:val="en-US"/>
              </w:rPr>
              <w:t xml:space="preserve"> </w:t>
            </w:r>
            <w:r w:rsidRPr="00A83C94">
              <w:rPr>
                <w:rFonts w:cs="Calibri"/>
                <w:b w:val="0"/>
                <w:i/>
                <w:iCs/>
                <w:color w:val="000000"/>
                <w:szCs w:val="22"/>
              </w:rPr>
              <w:t>ինտերնետ</w:t>
            </w:r>
            <w:r w:rsidRPr="00A83C94">
              <w:rPr>
                <w:rFonts w:cs="Calibri"/>
                <w:b w:val="0"/>
                <w:i/>
                <w:iCs/>
                <w:color w:val="000000"/>
                <w:szCs w:val="22"/>
                <w:lang w:val="en-US"/>
              </w:rPr>
              <w:t xml:space="preserve"> </w:t>
            </w:r>
            <w:r w:rsidRPr="00A83C94">
              <w:rPr>
                <w:rFonts w:cs="Calibri"/>
                <w:b w:val="0"/>
                <w:i/>
                <w:iCs/>
                <w:color w:val="000000"/>
                <w:szCs w:val="22"/>
              </w:rPr>
              <w:t>շահումով</w:t>
            </w:r>
            <w:r w:rsidRPr="00A83C94">
              <w:rPr>
                <w:rFonts w:cs="Calibri"/>
                <w:b w:val="0"/>
                <w:i/>
                <w:iCs/>
                <w:color w:val="000000"/>
                <w:szCs w:val="22"/>
                <w:lang w:val="en-US"/>
              </w:rPr>
              <w:t xml:space="preserve"> </w:t>
            </w:r>
            <w:r w:rsidRPr="00A83C94">
              <w:rPr>
                <w:rFonts w:cs="Calibri"/>
                <w:b w:val="0"/>
                <w:i/>
                <w:iCs/>
                <w:color w:val="000000"/>
                <w:szCs w:val="22"/>
              </w:rPr>
              <w:t>խաղերի</w:t>
            </w:r>
            <w:r w:rsidRPr="00A83C94">
              <w:rPr>
                <w:rFonts w:cs="Calibri"/>
                <w:b w:val="0"/>
                <w:i/>
                <w:iCs/>
                <w:color w:val="000000"/>
                <w:szCs w:val="22"/>
                <w:lang w:val="en-US"/>
              </w:rPr>
              <w:t xml:space="preserve">), </w:t>
            </w:r>
            <w:r w:rsidRPr="00A83C94">
              <w:rPr>
                <w:rFonts w:cs="Calibri"/>
                <w:b w:val="0"/>
                <w:i/>
                <w:iCs/>
                <w:color w:val="000000"/>
                <w:szCs w:val="22"/>
              </w:rPr>
              <w:t>տոտալիզատորի</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ինտերնետ</w:t>
            </w:r>
            <w:r w:rsidRPr="00A83C94">
              <w:rPr>
                <w:rFonts w:cs="Calibri"/>
                <w:b w:val="0"/>
                <w:i/>
                <w:iCs/>
                <w:color w:val="000000"/>
                <w:szCs w:val="22"/>
                <w:lang w:val="en-US"/>
              </w:rPr>
              <w:t xml:space="preserve"> </w:t>
            </w:r>
            <w:r w:rsidRPr="00A83C94">
              <w:rPr>
                <w:rFonts w:cs="Calibri"/>
                <w:b w:val="0"/>
                <w:i/>
                <w:iCs/>
                <w:color w:val="000000"/>
                <w:szCs w:val="22"/>
              </w:rPr>
              <w:t>տոտալիզատորի</w:t>
            </w:r>
            <w:r w:rsidRPr="00A83C94">
              <w:rPr>
                <w:rFonts w:cs="Calibri"/>
                <w:b w:val="0"/>
                <w:i/>
                <w:iCs/>
                <w:color w:val="000000"/>
                <w:szCs w:val="22"/>
                <w:lang w:val="en-US"/>
              </w:rPr>
              <w:t xml:space="preserve"> </w:t>
            </w:r>
            <w:r w:rsidRPr="00A83C94">
              <w:rPr>
                <w:rFonts w:cs="Calibri"/>
                <w:b w:val="0"/>
                <w:i/>
                <w:iCs/>
                <w:color w:val="000000"/>
                <w:szCs w:val="22"/>
              </w:rPr>
              <w:t>կազմակերպում</w:t>
            </w:r>
          </w:p>
        </w:tc>
        <w:tc>
          <w:tcPr>
            <w:tcW w:w="1820" w:type="dxa"/>
            <w:shd w:val="clear" w:color="auto" w:fill="DBE5F1" w:themeFill="accent1" w:themeFillTint="33"/>
            <w:vAlign w:val="center"/>
          </w:tcPr>
          <w:p w14:paraId="436387E4" w14:textId="4A556973"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44,589</w:t>
            </w:r>
          </w:p>
        </w:tc>
        <w:tc>
          <w:tcPr>
            <w:tcW w:w="1820" w:type="dxa"/>
            <w:shd w:val="clear" w:color="auto" w:fill="DBE5F1" w:themeFill="accent1" w:themeFillTint="33"/>
            <w:vAlign w:val="center"/>
          </w:tcPr>
          <w:p w14:paraId="5C611D88" w14:textId="49BB2E54"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2.42%</w:t>
            </w:r>
          </w:p>
        </w:tc>
        <w:tc>
          <w:tcPr>
            <w:tcW w:w="1820" w:type="dxa"/>
            <w:shd w:val="clear" w:color="auto" w:fill="DBE5F1" w:themeFill="accent1" w:themeFillTint="33"/>
            <w:vAlign w:val="center"/>
          </w:tcPr>
          <w:p w14:paraId="14B6C3E0" w14:textId="2CED264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0.57%</w:t>
            </w:r>
          </w:p>
        </w:tc>
      </w:tr>
      <w:tr w:rsidR="00570952" w:rsidRPr="00A83C94" w14:paraId="32AF626C" w14:textId="77777777" w:rsidTr="00570952">
        <w:trPr>
          <w:trHeight w:val="795"/>
        </w:trPr>
        <w:tc>
          <w:tcPr>
            <w:tcW w:w="764" w:type="dxa"/>
            <w:shd w:val="clear" w:color="auto" w:fill="auto"/>
            <w:vAlign w:val="center"/>
          </w:tcPr>
          <w:p w14:paraId="06D813E4" w14:textId="20E262D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1.7.</w:t>
            </w:r>
          </w:p>
        </w:tc>
        <w:tc>
          <w:tcPr>
            <w:tcW w:w="3443" w:type="dxa"/>
            <w:shd w:val="clear" w:color="auto" w:fill="auto"/>
            <w:vAlign w:val="center"/>
          </w:tcPr>
          <w:p w14:paraId="2A7FB7D2" w14:textId="27F76F6F"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ոսկու</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թանկարժեք</w:t>
            </w:r>
            <w:r w:rsidRPr="00A83C94">
              <w:rPr>
                <w:rFonts w:cs="Calibri"/>
                <w:b w:val="0"/>
                <w:i/>
                <w:iCs/>
                <w:color w:val="000000"/>
                <w:szCs w:val="22"/>
                <w:lang w:val="en-US"/>
              </w:rPr>
              <w:t xml:space="preserve"> </w:t>
            </w:r>
            <w:r w:rsidRPr="00A83C94">
              <w:rPr>
                <w:rFonts w:cs="Calibri"/>
                <w:b w:val="0"/>
                <w:i/>
                <w:iCs/>
                <w:color w:val="000000"/>
                <w:szCs w:val="22"/>
              </w:rPr>
              <w:t>քարերի</w:t>
            </w:r>
            <w:r w:rsidRPr="00A83C94">
              <w:rPr>
                <w:rFonts w:cs="Calibri"/>
                <w:b w:val="0"/>
                <w:i/>
                <w:iCs/>
                <w:color w:val="000000"/>
                <w:szCs w:val="22"/>
                <w:lang w:val="en-US"/>
              </w:rPr>
              <w:t xml:space="preserve"> </w:t>
            </w:r>
            <w:r w:rsidRPr="00A83C94">
              <w:rPr>
                <w:rFonts w:cs="Calibri"/>
                <w:b w:val="0"/>
                <w:i/>
                <w:iCs/>
                <w:color w:val="000000"/>
                <w:szCs w:val="22"/>
              </w:rPr>
              <w:t>իրացում</w:t>
            </w:r>
          </w:p>
        </w:tc>
        <w:tc>
          <w:tcPr>
            <w:tcW w:w="1820" w:type="dxa"/>
            <w:shd w:val="clear" w:color="auto" w:fill="auto"/>
            <w:vAlign w:val="center"/>
          </w:tcPr>
          <w:p w14:paraId="00BBAA4A" w14:textId="5A7AC32C"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3,783</w:t>
            </w:r>
          </w:p>
        </w:tc>
        <w:tc>
          <w:tcPr>
            <w:tcW w:w="1820" w:type="dxa"/>
            <w:shd w:val="clear" w:color="auto" w:fill="auto"/>
            <w:vAlign w:val="center"/>
          </w:tcPr>
          <w:p w14:paraId="3A8098CC" w14:textId="329E649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0.21%</w:t>
            </w:r>
          </w:p>
        </w:tc>
        <w:tc>
          <w:tcPr>
            <w:tcW w:w="1820" w:type="dxa"/>
            <w:shd w:val="clear" w:color="auto" w:fill="auto"/>
            <w:vAlign w:val="center"/>
          </w:tcPr>
          <w:p w14:paraId="7272A1A0" w14:textId="01870859"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r>
      <w:tr w:rsidR="00570952" w:rsidRPr="00A83C94" w14:paraId="7AF0845A" w14:textId="77777777" w:rsidTr="00570952">
        <w:trPr>
          <w:trHeight w:val="475"/>
        </w:trPr>
        <w:tc>
          <w:tcPr>
            <w:tcW w:w="764" w:type="dxa"/>
            <w:shd w:val="clear" w:color="auto" w:fill="DBE5F1" w:themeFill="accent1" w:themeFillTint="33"/>
            <w:vAlign w:val="center"/>
          </w:tcPr>
          <w:p w14:paraId="0D5FA746" w14:textId="3457F6F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1.8.</w:t>
            </w:r>
          </w:p>
        </w:tc>
        <w:tc>
          <w:tcPr>
            <w:tcW w:w="3443" w:type="dxa"/>
            <w:shd w:val="clear" w:color="auto" w:fill="DBE5F1" w:themeFill="accent1" w:themeFillTint="33"/>
            <w:vAlign w:val="center"/>
          </w:tcPr>
          <w:p w14:paraId="29A0DA55" w14:textId="2DAABAF3"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մարդասիրական օգնություն</w:t>
            </w:r>
          </w:p>
        </w:tc>
        <w:tc>
          <w:tcPr>
            <w:tcW w:w="1820" w:type="dxa"/>
            <w:shd w:val="clear" w:color="auto" w:fill="DBE5F1" w:themeFill="accent1" w:themeFillTint="33"/>
            <w:vAlign w:val="center"/>
          </w:tcPr>
          <w:p w14:paraId="1AE4C7AC" w14:textId="09D2D15D"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4,471</w:t>
            </w:r>
          </w:p>
        </w:tc>
        <w:tc>
          <w:tcPr>
            <w:tcW w:w="1820" w:type="dxa"/>
            <w:shd w:val="clear" w:color="auto" w:fill="DBE5F1" w:themeFill="accent1" w:themeFillTint="33"/>
            <w:vAlign w:val="center"/>
          </w:tcPr>
          <w:p w14:paraId="55CCCE53" w14:textId="77B686C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0.24%</w:t>
            </w:r>
          </w:p>
        </w:tc>
        <w:tc>
          <w:tcPr>
            <w:tcW w:w="1820" w:type="dxa"/>
            <w:shd w:val="clear" w:color="auto" w:fill="DBE5F1" w:themeFill="accent1" w:themeFillTint="33"/>
            <w:vAlign w:val="center"/>
          </w:tcPr>
          <w:p w14:paraId="2D1432E0" w14:textId="305D8C5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0.06%</w:t>
            </w:r>
          </w:p>
        </w:tc>
      </w:tr>
      <w:tr w:rsidR="00570952" w:rsidRPr="00A83C94" w14:paraId="4B17F953" w14:textId="77777777" w:rsidTr="00570952">
        <w:trPr>
          <w:trHeight w:val="553"/>
        </w:trPr>
        <w:tc>
          <w:tcPr>
            <w:tcW w:w="764" w:type="dxa"/>
            <w:shd w:val="clear" w:color="auto" w:fill="auto"/>
            <w:vAlign w:val="center"/>
          </w:tcPr>
          <w:p w14:paraId="78126DBF" w14:textId="0FDEF55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1.9.</w:t>
            </w:r>
          </w:p>
        </w:tc>
        <w:tc>
          <w:tcPr>
            <w:tcW w:w="3443" w:type="dxa"/>
            <w:shd w:val="clear" w:color="auto" w:fill="auto"/>
            <w:vAlign w:val="center"/>
          </w:tcPr>
          <w:p w14:paraId="76093EBB" w14:textId="77773331"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պարարտանյութերի իրացում</w:t>
            </w:r>
          </w:p>
        </w:tc>
        <w:tc>
          <w:tcPr>
            <w:tcW w:w="1820" w:type="dxa"/>
            <w:shd w:val="clear" w:color="auto" w:fill="auto"/>
            <w:vAlign w:val="center"/>
          </w:tcPr>
          <w:p w14:paraId="5BB87FFF" w14:textId="32F3D32A"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5,043</w:t>
            </w:r>
          </w:p>
        </w:tc>
        <w:tc>
          <w:tcPr>
            <w:tcW w:w="1820" w:type="dxa"/>
            <w:shd w:val="clear" w:color="auto" w:fill="auto"/>
            <w:vAlign w:val="center"/>
          </w:tcPr>
          <w:p w14:paraId="50134169" w14:textId="4EF8CF8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0.27%</w:t>
            </w:r>
          </w:p>
        </w:tc>
        <w:tc>
          <w:tcPr>
            <w:tcW w:w="1820" w:type="dxa"/>
            <w:shd w:val="clear" w:color="auto" w:fill="auto"/>
            <w:vAlign w:val="center"/>
          </w:tcPr>
          <w:p w14:paraId="0DC148F1" w14:textId="3A3EE6C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0.06%</w:t>
            </w:r>
          </w:p>
        </w:tc>
      </w:tr>
      <w:tr w:rsidR="00570952" w:rsidRPr="00A83C94" w14:paraId="5FC25AD3" w14:textId="77777777" w:rsidTr="00570952">
        <w:trPr>
          <w:trHeight w:val="1695"/>
        </w:trPr>
        <w:tc>
          <w:tcPr>
            <w:tcW w:w="764" w:type="dxa"/>
            <w:shd w:val="clear" w:color="auto" w:fill="DBE5F1" w:themeFill="accent1" w:themeFillTint="33"/>
            <w:vAlign w:val="center"/>
          </w:tcPr>
          <w:p w14:paraId="71C4D2B2" w14:textId="1A29487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1.10.</w:t>
            </w:r>
          </w:p>
        </w:tc>
        <w:tc>
          <w:tcPr>
            <w:tcW w:w="3443" w:type="dxa"/>
            <w:shd w:val="clear" w:color="auto" w:fill="DBE5F1" w:themeFill="accent1" w:themeFillTint="33"/>
            <w:vAlign w:val="center"/>
          </w:tcPr>
          <w:p w14:paraId="26D3E5EF" w14:textId="3CCE296B"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ջրօգտագործողների</w:t>
            </w:r>
            <w:r w:rsidRPr="00A83C94">
              <w:rPr>
                <w:rFonts w:cs="Calibri"/>
                <w:b w:val="0"/>
                <w:i/>
                <w:iCs/>
                <w:color w:val="000000"/>
                <w:szCs w:val="22"/>
                <w:lang w:val="en-US"/>
              </w:rPr>
              <w:t xml:space="preserve"> </w:t>
            </w:r>
            <w:r w:rsidRPr="00A83C94">
              <w:rPr>
                <w:rFonts w:cs="Calibri"/>
                <w:b w:val="0"/>
                <w:i/>
                <w:iCs/>
                <w:color w:val="000000"/>
                <w:szCs w:val="22"/>
              </w:rPr>
              <w:t>ընկերությունների</w:t>
            </w:r>
            <w:r w:rsidRPr="00A83C94">
              <w:rPr>
                <w:rFonts w:cs="Calibri"/>
                <w:b w:val="0"/>
                <w:i/>
                <w:iCs/>
                <w:color w:val="000000"/>
                <w:szCs w:val="22"/>
                <w:lang w:val="en-US"/>
              </w:rPr>
              <w:t xml:space="preserve"> </w:t>
            </w:r>
            <w:r w:rsidRPr="00A83C94">
              <w:rPr>
                <w:rFonts w:cs="Calibri"/>
                <w:b w:val="0"/>
                <w:i/>
                <w:iCs/>
                <w:color w:val="000000"/>
                <w:szCs w:val="22"/>
              </w:rPr>
              <w:t>կողմից</w:t>
            </w:r>
            <w:r w:rsidRPr="00A83C94">
              <w:rPr>
                <w:rFonts w:cs="Calibri"/>
                <w:b w:val="0"/>
                <w:i/>
                <w:iCs/>
                <w:color w:val="000000"/>
                <w:szCs w:val="22"/>
                <w:lang w:val="en-US"/>
              </w:rPr>
              <w:t xml:space="preserve"> </w:t>
            </w:r>
            <w:r w:rsidRPr="00A83C94">
              <w:rPr>
                <w:rFonts w:cs="Calibri"/>
                <w:b w:val="0"/>
                <w:i/>
                <w:iCs/>
                <w:color w:val="000000"/>
                <w:szCs w:val="22"/>
              </w:rPr>
              <w:t>ոռոգման</w:t>
            </w:r>
            <w:r w:rsidRPr="00A83C94">
              <w:rPr>
                <w:rFonts w:cs="Calibri"/>
                <w:b w:val="0"/>
                <w:i/>
                <w:iCs/>
                <w:color w:val="000000"/>
                <w:szCs w:val="22"/>
                <w:lang w:val="en-US"/>
              </w:rPr>
              <w:t xml:space="preserve"> </w:t>
            </w:r>
            <w:r w:rsidRPr="00A83C94">
              <w:rPr>
                <w:rFonts w:cs="Calibri"/>
                <w:b w:val="0"/>
                <w:i/>
                <w:iCs/>
                <w:color w:val="000000"/>
                <w:szCs w:val="22"/>
              </w:rPr>
              <w:t>ջրի</w:t>
            </w:r>
            <w:r w:rsidRPr="00A83C94">
              <w:rPr>
                <w:rFonts w:cs="Calibri"/>
                <w:b w:val="0"/>
                <w:i/>
                <w:iCs/>
                <w:color w:val="000000"/>
                <w:szCs w:val="22"/>
                <w:lang w:val="en-US"/>
              </w:rPr>
              <w:t xml:space="preserve"> </w:t>
            </w:r>
            <w:r w:rsidRPr="00A83C94">
              <w:rPr>
                <w:rFonts w:cs="Calibri"/>
                <w:b w:val="0"/>
                <w:i/>
                <w:iCs/>
                <w:color w:val="000000"/>
                <w:szCs w:val="22"/>
              </w:rPr>
              <w:t>օտարում</w:t>
            </w:r>
          </w:p>
        </w:tc>
        <w:tc>
          <w:tcPr>
            <w:tcW w:w="1820" w:type="dxa"/>
            <w:shd w:val="clear" w:color="auto" w:fill="DBE5F1" w:themeFill="accent1" w:themeFillTint="33"/>
            <w:vAlign w:val="center"/>
          </w:tcPr>
          <w:p w14:paraId="2A28D1A0" w14:textId="4C17B115"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1,977</w:t>
            </w:r>
          </w:p>
        </w:tc>
        <w:tc>
          <w:tcPr>
            <w:tcW w:w="1820" w:type="dxa"/>
            <w:shd w:val="clear" w:color="auto" w:fill="DBE5F1" w:themeFill="accent1" w:themeFillTint="33"/>
            <w:vAlign w:val="center"/>
          </w:tcPr>
          <w:p w14:paraId="7AFEABC2" w14:textId="43F149D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0.11%</w:t>
            </w:r>
          </w:p>
        </w:tc>
        <w:tc>
          <w:tcPr>
            <w:tcW w:w="1820" w:type="dxa"/>
            <w:shd w:val="clear" w:color="auto" w:fill="DBE5F1" w:themeFill="accent1" w:themeFillTint="33"/>
            <w:vAlign w:val="center"/>
          </w:tcPr>
          <w:p w14:paraId="17101A01" w14:textId="1AAACDC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0.03%</w:t>
            </w:r>
          </w:p>
        </w:tc>
      </w:tr>
      <w:tr w:rsidR="00570952" w:rsidRPr="00A83C94" w14:paraId="46543F22" w14:textId="77777777" w:rsidTr="00570952">
        <w:trPr>
          <w:trHeight w:val="900"/>
        </w:trPr>
        <w:tc>
          <w:tcPr>
            <w:tcW w:w="764" w:type="dxa"/>
            <w:shd w:val="clear" w:color="auto" w:fill="auto"/>
            <w:vAlign w:val="center"/>
          </w:tcPr>
          <w:p w14:paraId="3E232EEA" w14:textId="25A5B4E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1.11.</w:t>
            </w:r>
          </w:p>
        </w:tc>
        <w:tc>
          <w:tcPr>
            <w:tcW w:w="3443" w:type="dxa"/>
            <w:shd w:val="clear" w:color="auto" w:fill="auto"/>
            <w:vAlign w:val="center"/>
          </w:tcPr>
          <w:p w14:paraId="66CB8DD0" w14:textId="611A82D8"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սուբսիդիաների</w:t>
            </w:r>
            <w:r w:rsidRPr="00A83C94">
              <w:rPr>
                <w:rFonts w:cs="Calibri"/>
                <w:b w:val="0"/>
                <w:i/>
                <w:iCs/>
                <w:color w:val="000000"/>
                <w:szCs w:val="22"/>
                <w:lang w:val="en-US"/>
              </w:rPr>
              <w:t xml:space="preserve">, </w:t>
            </w:r>
            <w:r w:rsidRPr="00A83C94">
              <w:rPr>
                <w:rFonts w:cs="Calibri"/>
                <w:b w:val="0"/>
                <w:i/>
                <w:iCs/>
                <w:color w:val="000000"/>
                <w:szCs w:val="22"/>
              </w:rPr>
              <w:t>սուբվենցիաների</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դրամաշնորհային</w:t>
            </w:r>
            <w:r w:rsidRPr="00A83C94">
              <w:rPr>
                <w:rFonts w:cs="Calibri"/>
                <w:b w:val="0"/>
                <w:i/>
                <w:iCs/>
                <w:color w:val="000000"/>
                <w:szCs w:val="22"/>
                <w:lang w:val="en-US"/>
              </w:rPr>
              <w:t xml:space="preserve"> </w:t>
            </w:r>
            <w:r w:rsidRPr="00A83C94">
              <w:rPr>
                <w:rFonts w:cs="Calibri"/>
                <w:b w:val="0"/>
                <w:i/>
                <w:iCs/>
                <w:color w:val="000000"/>
                <w:szCs w:val="22"/>
              </w:rPr>
              <w:t>ծրագրերի</w:t>
            </w:r>
            <w:r w:rsidRPr="00A83C94">
              <w:rPr>
                <w:rFonts w:cs="Calibri"/>
                <w:b w:val="0"/>
                <w:i/>
                <w:iCs/>
                <w:color w:val="000000"/>
                <w:szCs w:val="22"/>
                <w:lang w:val="en-US"/>
              </w:rPr>
              <w:t xml:space="preserve"> </w:t>
            </w:r>
            <w:r w:rsidRPr="00A83C94">
              <w:rPr>
                <w:rFonts w:cs="Calibri"/>
                <w:b w:val="0"/>
                <w:i/>
                <w:iCs/>
                <w:color w:val="000000"/>
                <w:szCs w:val="22"/>
              </w:rPr>
              <w:t>շրջանակներում</w:t>
            </w:r>
            <w:r w:rsidRPr="00A83C94">
              <w:rPr>
                <w:rFonts w:cs="Calibri"/>
                <w:b w:val="0"/>
                <w:i/>
                <w:iCs/>
                <w:color w:val="000000"/>
                <w:szCs w:val="22"/>
                <w:lang w:val="en-US"/>
              </w:rPr>
              <w:t xml:space="preserve"> </w:t>
            </w:r>
            <w:r w:rsidRPr="00A83C94">
              <w:rPr>
                <w:rFonts w:cs="Calibri"/>
                <w:b w:val="0"/>
                <w:i/>
                <w:iCs/>
                <w:color w:val="000000"/>
                <w:szCs w:val="22"/>
              </w:rPr>
              <w:t>իրականացվող</w:t>
            </w:r>
            <w:r w:rsidRPr="00A83C94">
              <w:rPr>
                <w:rFonts w:cs="Calibri"/>
                <w:b w:val="0"/>
                <w:i/>
                <w:iCs/>
                <w:color w:val="000000"/>
                <w:szCs w:val="22"/>
                <w:lang w:val="en-US"/>
              </w:rPr>
              <w:t xml:space="preserve">` </w:t>
            </w:r>
            <w:r w:rsidRPr="00A83C94">
              <w:rPr>
                <w:rFonts w:cs="Calibri"/>
                <w:b w:val="0"/>
                <w:i/>
                <w:iCs/>
                <w:color w:val="000000"/>
                <w:szCs w:val="22"/>
              </w:rPr>
              <w:t>ապրանքի</w:t>
            </w:r>
            <w:r w:rsidRPr="00A83C94">
              <w:rPr>
                <w:rFonts w:cs="Calibri"/>
                <w:b w:val="0"/>
                <w:i/>
                <w:iCs/>
                <w:color w:val="000000"/>
                <w:szCs w:val="22"/>
                <w:lang w:val="en-US"/>
              </w:rPr>
              <w:t xml:space="preserve"> </w:t>
            </w:r>
            <w:r w:rsidRPr="00A83C94">
              <w:rPr>
                <w:rFonts w:cs="Calibri"/>
                <w:b w:val="0"/>
                <w:i/>
                <w:iCs/>
                <w:color w:val="000000"/>
                <w:szCs w:val="22"/>
              </w:rPr>
              <w:t>մատակարարում</w:t>
            </w:r>
            <w:r w:rsidRPr="00A83C94">
              <w:rPr>
                <w:rFonts w:cs="Calibri"/>
                <w:b w:val="0"/>
                <w:i/>
                <w:iCs/>
                <w:color w:val="000000"/>
                <w:szCs w:val="22"/>
                <w:lang w:val="en-US"/>
              </w:rPr>
              <w:t xml:space="preserve">, </w:t>
            </w:r>
            <w:r w:rsidRPr="00A83C94">
              <w:rPr>
                <w:rFonts w:cs="Calibri"/>
                <w:b w:val="0"/>
                <w:i/>
                <w:iCs/>
                <w:color w:val="000000"/>
                <w:szCs w:val="22"/>
              </w:rPr>
              <w:t>աշխատանքի</w:t>
            </w:r>
            <w:r w:rsidRPr="00A83C94">
              <w:rPr>
                <w:rFonts w:cs="Calibri"/>
                <w:b w:val="0"/>
                <w:i/>
                <w:iCs/>
                <w:color w:val="000000"/>
                <w:szCs w:val="22"/>
                <w:lang w:val="en-US"/>
              </w:rPr>
              <w:t xml:space="preserve"> </w:t>
            </w:r>
            <w:r w:rsidRPr="00A83C94">
              <w:rPr>
                <w:rFonts w:cs="Calibri"/>
                <w:b w:val="0"/>
                <w:i/>
                <w:iCs/>
                <w:color w:val="000000"/>
                <w:szCs w:val="22"/>
              </w:rPr>
              <w:t>կատարում</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կամ</w:t>
            </w:r>
            <w:r w:rsidRPr="00A83C94">
              <w:rPr>
                <w:rFonts w:cs="Calibri"/>
                <w:b w:val="0"/>
                <w:i/>
                <w:iCs/>
                <w:color w:val="000000"/>
                <w:szCs w:val="22"/>
                <w:lang w:val="en-US"/>
              </w:rPr>
              <w:t xml:space="preserve">) </w:t>
            </w:r>
            <w:r w:rsidRPr="00A83C94">
              <w:rPr>
                <w:rFonts w:cs="Calibri"/>
                <w:b w:val="0"/>
                <w:i/>
                <w:iCs/>
                <w:color w:val="000000"/>
                <w:szCs w:val="22"/>
              </w:rPr>
              <w:t>ծառայության</w:t>
            </w:r>
            <w:r w:rsidRPr="00A83C94">
              <w:rPr>
                <w:rFonts w:cs="Calibri"/>
                <w:b w:val="0"/>
                <w:i/>
                <w:iCs/>
                <w:color w:val="000000"/>
                <w:szCs w:val="22"/>
                <w:lang w:val="en-US"/>
              </w:rPr>
              <w:t xml:space="preserve"> </w:t>
            </w:r>
            <w:r w:rsidRPr="00A83C94">
              <w:rPr>
                <w:rFonts w:cs="Calibri"/>
                <w:b w:val="0"/>
                <w:i/>
                <w:iCs/>
                <w:color w:val="000000"/>
                <w:szCs w:val="22"/>
              </w:rPr>
              <w:t>մատուցում</w:t>
            </w:r>
          </w:p>
        </w:tc>
        <w:tc>
          <w:tcPr>
            <w:tcW w:w="1820" w:type="dxa"/>
            <w:shd w:val="clear" w:color="auto" w:fill="auto"/>
            <w:vAlign w:val="center"/>
          </w:tcPr>
          <w:p w14:paraId="2A0C575B" w14:textId="511A92C0"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1,011</w:t>
            </w:r>
          </w:p>
        </w:tc>
        <w:tc>
          <w:tcPr>
            <w:tcW w:w="1820" w:type="dxa"/>
            <w:shd w:val="clear" w:color="auto" w:fill="auto"/>
            <w:vAlign w:val="center"/>
          </w:tcPr>
          <w:p w14:paraId="367FFC06" w14:textId="037CBA6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c>
          <w:tcPr>
            <w:tcW w:w="1820" w:type="dxa"/>
            <w:shd w:val="clear" w:color="auto" w:fill="auto"/>
            <w:vAlign w:val="center"/>
          </w:tcPr>
          <w:p w14:paraId="66F45455" w14:textId="6306BA8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0.01%</w:t>
            </w:r>
          </w:p>
        </w:tc>
      </w:tr>
      <w:tr w:rsidR="00570952" w:rsidRPr="00A83C94" w14:paraId="0ABBEF49" w14:textId="77777777" w:rsidTr="00570952">
        <w:trPr>
          <w:trHeight w:val="2430"/>
        </w:trPr>
        <w:tc>
          <w:tcPr>
            <w:tcW w:w="764" w:type="dxa"/>
            <w:shd w:val="clear" w:color="auto" w:fill="DBE5F1" w:themeFill="accent1" w:themeFillTint="33"/>
            <w:vAlign w:val="center"/>
          </w:tcPr>
          <w:p w14:paraId="2906D7AA" w14:textId="142FD6F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1.12.</w:t>
            </w:r>
          </w:p>
        </w:tc>
        <w:tc>
          <w:tcPr>
            <w:tcW w:w="3443" w:type="dxa"/>
            <w:shd w:val="clear" w:color="auto" w:fill="DBE5F1" w:themeFill="accent1" w:themeFillTint="33"/>
            <w:vAlign w:val="center"/>
          </w:tcPr>
          <w:p w14:paraId="068C6635" w14:textId="0A55B0F9"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կազմակերպչին</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շահագործողին</w:t>
            </w:r>
            <w:r w:rsidRPr="00A83C94">
              <w:rPr>
                <w:rFonts w:cs="Calibri"/>
                <w:b w:val="0"/>
                <w:i/>
                <w:iCs/>
                <w:color w:val="000000"/>
                <w:szCs w:val="22"/>
                <w:lang w:val="en-US"/>
              </w:rPr>
              <w:t xml:space="preserve"> </w:t>
            </w:r>
            <w:r w:rsidRPr="00A83C94">
              <w:rPr>
                <w:rFonts w:cs="Calibri"/>
                <w:b w:val="0"/>
                <w:i/>
                <w:iCs/>
                <w:color w:val="000000"/>
                <w:szCs w:val="22"/>
              </w:rPr>
              <w:t>ծառայությունների</w:t>
            </w:r>
            <w:r w:rsidRPr="00A83C94">
              <w:rPr>
                <w:rFonts w:cs="Calibri"/>
                <w:b w:val="0"/>
                <w:i/>
                <w:iCs/>
                <w:color w:val="000000"/>
                <w:szCs w:val="22"/>
                <w:lang w:val="en-US"/>
              </w:rPr>
              <w:t xml:space="preserve"> </w:t>
            </w:r>
            <w:r w:rsidRPr="00A83C94">
              <w:rPr>
                <w:rFonts w:cs="Calibri"/>
                <w:b w:val="0"/>
                <w:i/>
                <w:iCs/>
                <w:color w:val="000000"/>
                <w:szCs w:val="22"/>
              </w:rPr>
              <w:t>մատուցումը</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կազմակերպչի</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շահագործողի</w:t>
            </w:r>
            <w:r w:rsidRPr="00A83C94">
              <w:rPr>
                <w:rFonts w:cs="Calibri"/>
                <w:b w:val="0"/>
                <w:i/>
                <w:iCs/>
                <w:color w:val="000000"/>
                <w:szCs w:val="22"/>
                <w:lang w:val="en-US"/>
              </w:rPr>
              <w:t xml:space="preserve"> </w:t>
            </w:r>
            <w:r w:rsidRPr="00A83C94">
              <w:rPr>
                <w:rFonts w:cs="Calibri"/>
                <w:b w:val="0"/>
                <w:i/>
                <w:iCs/>
                <w:color w:val="000000"/>
                <w:szCs w:val="22"/>
              </w:rPr>
              <w:t>համար</w:t>
            </w:r>
            <w:r w:rsidRPr="00A83C94">
              <w:rPr>
                <w:rFonts w:cs="Calibri"/>
                <w:b w:val="0"/>
                <w:i/>
                <w:iCs/>
                <w:color w:val="000000"/>
                <w:szCs w:val="22"/>
                <w:lang w:val="en-US"/>
              </w:rPr>
              <w:t xml:space="preserve"> </w:t>
            </w:r>
            <w:r w:rsidRPr="00A83C94">
              <w:rPr>
                <w:rFonts w:cs="Calibri"/>
                <w:b w:val="0"/>
                <w:i/>
                <w:iCs/>
                <w:color w:val="000000"/>
                <w:szCs w:val="22"/>
              </w:rPr>
              <w:t>աշխատանքների</w:t>
            </w:r>
            <w:r w:rsidRPr="00A83C94">
              <w:rPr>
                <w:rFonts w:cs="Calibri"/>
                <w:b w:val="0"/>
                <w:i/>
                <w:iCs/>
                <w:color w:val="000000"/>
                <w:szCs w:val="22"/>
                <w:lang w:val="en-US"/>
              </w:rPr>
              <w:t xml:space="preserve"> </w:t>
            </w:r>
            <w:r w:rsidRPr="00A83C94">
              <w:rPr>
                <w:rFonts w:cs="Calibri"/>
                <w:b w:val="0"/>
                <w:i/>
                <w:iCs/>
                <w:color w:val="000000"/>
                <w:szCs w:val="22"/>
              </w:rPr>
              <w:t>կատարումը</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տարածքում</w:t>
            </w:r>
            <w:r w:rsidRPr="00A83C94">
              <w:rPr>
                <w:rFonts w:cs="Calibri"/>
                <w:b w:val="0"/>
                <w:i/>
                <w:iCs/>
                <w:color w:val="000000"/>
                <w:szCs w:val="22"/>
                <w:lang w:val="en-US"/>
              </w:rPr>
              <w:t xml:space="preserve"> </w:t>
            </w:r>
            <w:r w:rsidRPr="00A83C94">
              <w:rPr>
                <w:rFonts w:cs="Calibri"/>
                <w:b w:val="0"/>
                <w:i/>
                <w:iCs/>
                <w:color w:val="000000"/>
                <w:szCs w:val="22"/>
              </w:rPr>
              <w:t>ապրանքների</w:t>
            </w:r>
            <w:r w:rsidRPr="00A83C94">
              <w:rPr>
                <w:rFonts w:cs="Calibri"/>
                <w:b w:val="0"/>
                <w:i/>
                <w:iCs/>
                <w:color w:val="000000"/>
                <w:szCs w:val="22"/>
                <w:lang w:val="en-US"/>
              </w:rPr>
              <w:t xml:space="preserve"> </w:t>
            </w:r>
            <w:r w:rsidRPr="00A83C94">
              <w:rPr>
                <w:rFonts w:cs="Calibri"/>
                <w:b w:val="0"/>
                <w:i/>
                <w:iCs/>
                <w:color w:val="000000"/>
                <w:szCs w:val="22"/>
              </w:rPr>
              <w:t>մատակարարում</w:t>
            </w:r>
          </w:p>
        </w:tc>
        <w:tc>
          <w:tcPr>
            <w:tcW w:w="1820" w:type="dxa"/>
            <w:shd w:val="clear" w:color="auto" w:fill="DBE5F1" w:themeFill="accent1" w:themeFillTint="33"/>
            <w:vAlign w:val="center"/>
          </w:tcPr>
          <w:p w14:paraId="5339C3BD" w14:textId="1472F6A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169</w:t>
            </w:r>
          </w:p>
        </w:tc>
        <w:tc>
          <w:tcPr>
            <w:tcW w:w="1820" w:type="dxa"/>
            <w:shd w:val="clear" w:color="auto" w:fill="DBE5F1" w:themeFill="accent1" w:themeFillTint="33"/>
            <w:vAlign w:val="center"/>
          </w:tcPr>
          <w:p w14:paraId="6A17043F" w14:textId="196C64D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0.01%</w:t>
            </w:r>
          </w:p>
        </w:tc>
        <w:tc>
          <w:tcPr>
            <w:tcW w:w="1820" w:type="dxa"/>
            <w:shd w:val="clear" w:color="auto" w:fill="DBE5F1" w:themeFill="accent1" w:themeFillTint="33"/>
            <w:vAlign w:val="center"/>
          </w:tcPr>
          <w:p w14:paraId="100AD5E2" w14:textId="6E656A9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r>
      <w:tr w:rsidR="00570952" w:rsidRPr="00A83C94" w14:paraId="3C98F1E7" w14:textId="77777777" w:rsidTr="006C390E">
        <w:trPr>
          <w:trHeight w:val="917"/>
        </w:trPr>
        <w:tc>
          <w:tcPr>
            <w:tcW w:w="764" w:type="dxa"/>
            <w:shd w:val="clear" w:color="auto" w:fill="auto"/>
            <w:vAlign w:val="center"/>
          </w:tcPr>
          <w:p w14:paraId="66D76F20" w14:textId="43B6FE9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1.13.</w:t>
            </w:r>
          </w:p>
        </w:tc>
        <w:tc>
          <w:tcPr>
            <w:tcW w:w="3443" w:type="dxa"/>
            <w:shd w:val="clear" w:color="auto" w:fill="auto"/>
            <w:vAlign w:val="center"/>
          </w:tcPr>
          <w:p w14:paraId="71CF13E3" w14:textId="5E50E71A"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Օրենսգրքով</w:t>
            </w:r>
            <w:r w:rsidRPr="00A83C94">
              <w:rPr>
                <w:rFonts w:cs="Calibri"/>
                <w:b w:val="0"/>
                <w:i/>
                <w:iCs/>
                <w:color w:val="000000"/>
                <w:szCs w:val="22"/>
                <w:lang w:val="en-US"/>
              </w:rPr>
              <w:t xml:space="preserve"> </w:t>
            </w:r>
            <w:r w:rsidRPr="00A83C94">
              <w:rPr>
                <w:rFonts w:cs="Calibri"/>
                <w:b w:val="0"/>
                <w:i/>
                <w:iCs/>
                <w:color w:val="000000"/>
                <w:szCs w:val="22"/>
              </w:rPr>
              <w:t>սահմանված</w:t>
            </w:r>
            <w:r w:rsidRPr="00A83C94">
              <w:rPr>
                <w:rFonts w:cs="Calibri"/>
                <w:b w:val="0"/>
                <w:i/>
                <w:iCs/>
                <w:color w:val="000000"/>
                <w:szCs w:val="22"/>
                <w:lang w:val="en-US"/>
              </w:rPr>
              <w:t xml:space="preserve"> </w:t>
            </w:r>
            <w:r w:rsidRPr="00A83C94">
              <w:rPr>
                <w:rFonts w:cs="Calibri"/>
                <w:b w:val="0"/>
                <w:i/>
                <w:iCs/>
                <w:color w:val="000000"/>
                <w:szCs w:val="22"/>
              </w:rPr>
              <w:t>վերը</w:t>
            </w:r>
            <w:r w:rsidRPr="00A83C94">
              <w:rPr>
                <w:rFonts w:cs="Calibri"/>
                <w:b w:val="0"/>
                <w:i/>
                <w:iCs/>
                <w:color w:val="000000"/>
                <w:szCs w:val="22"/>
                <w:lang w:val="en-US"/>
              </w:rPr>
              <w:t xml:space="preserve"> </w:t>
            </w:r>
            <w:r w:rsidRPr="00A83C94">
              <w:rPr>
                <w:rFonts w:cs="Calibri"/>
                <w:b w:val="0"/>
                <w:i/>
                <w:iCs/>
                <w:color w:val="000000"/>
                <w:szCs w:val="22"/>
              </w:rPr>
              <w:t>չնշված</w:t>
            </w:r>
            <w:r w:rsidRPr="00A83C94">
              <w:rPr>
                <w:rFonts w:cs="Calibri"/>
                <w:b w:val="0"/>
                <w:i/>
                <w:iCs/>
                <w:color w:val="000000"/>
                <w:szCs w:val="22"/>
                <w:lang w:val="en-US"/>
              </w:rPr>
              <w:t xml:space="preserve"> </w:t>
            </w:r>
            <w:r w:rsidRPr="00A83C94">
              <w:rPr>
                <w:rFonts w:cs="Calibri"/>
                <w:b w:val="0"/>
                <w:i/>
                <w:iCs/>
                <w:color w:val="000000"/>
                <w:szCs w:val="22"/>
              </w:rPr>
              <w:t>այլ</w:t>
            </w:r>
            <w:r w:rsidRPr="00A83C94">
              <w:rPr>
                <w:rFonts w:cs="Calibri"/>
                <w:b w:val="0"/>
                <w:i/>
                <w:iCs/>
                <w:color w:val="000000"/>
                <w:szCs w:val="22"/>
                <w:lang w:val="en-US"/>
              </w:rPr>
              <w:t xml:space="preserve"> </w:t>
            </w:r>
            <w:r w:rsidRPr="00A83C94">
              <w:rPr>
                <w:rFonts w:cs="Calibri"/>
                <w:b w:val="0"/>
                <w:i/>
                <w:iCs/>
                <w:color w:val="000000"/>
                <w:szCs w:val="22"/>
              </w:rPr>
              <w:t>արտոնություններ</w:t>
            </w:r>
          </w:p>
        </w:tc>
        <w:tc>
          <w:tcPr>
            <w:tcW w:w="1820" w:type="dxa"/>
            <w:shd w:val="clear" w:color="auto" w:fill="auto"/>
            <w:vAlign w:val="center"/>
          </w:tcPr>
          <w:p w14:paraId="303ACF92" w14:textId="60BEB5E6"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47,412</w:t>
            </w:r>
          </w:p>
        </w:tc>
        <w:tc>
          <w:tcPr>
            <w:tcW w:w="1820" w:type="dxa"/>
            <w:shd w:val="clear" w:color="auto" w:fill="auto"/>
            <w:vAlign w:val="center"/>
          </w:tcPr>
          <w:p w14:paraId="5B39E14A" w14:textId="0F55102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2.57%</w:t>
            </w:r>
          </w:p>
        </w:tc>
        <w:tc>
          <w:tcPr>
            <w:tcW w:w="1820" w:type="dxa"/>
            <w:shd w:val="clear" w:color="auto" w:fill="auto"/>
            <w:vAlign w:val="center"/>
          </w:tcPr>
          <w:p w14:paraId="5684B823" w14:textId="4D59423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0.60%</w:t>
            </w:r>
          </w:p>
        </w:tc>
      </w:tr>
      <w:tr w:rsidR="00570952" w:rsidRPr="00A83C94" w14:paraId="237168E5" w14:textId="77777777" w:rsidTr="00570952">
        <w:trPr>
          <w:trHeight w:val="795"/>
        </w:trPr>
        <w:tc>
          <w:tcPr>
            <w:tcW w:w="764" w:type="dxa"/>
            <w:shd w:val="clear" w:color="auto" w:fill="DBE5F1" w:themeFill="accent1" w:themeFillTint="33"/>
            <w:vAlign w:val="center"/>
          </w:tcPr>
          <w:p w14:paraId="528506EE" w14:textId="744F2674"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1.14.</w:t>
            </w:r>
          </w:p>
        </w:tc>
        <w:tc>
          <w:tcPr>
            <w:tcW w:w="3443" w:type="dxa"/>
            <w:shd w:val="clear" w:color="auto" w:fill="DBE5F1" w:themeFill="accent1" w:themeFillTint="33"/>
            <w:vAlign w:val="center"/>
          </w:tcPr>
          <w:p w14:paraId="5467B466" w14:textId="1B83197E"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այլ օրենքներով տրված արտանություններ</w:t>
            </w:r>
          </w:p>
        </w:tc>
        <w:tc>
          <w:tcPr>
            <w:tcW w:w="1820" w:type="dxa"/>
            <w:shd w:val="clear" w:color="auto" w:fill="DBE5F1" w:themeFill="accent1" w:themeFillTint="33"/>
            <w:vAlign w:val="center"/>
          </w:tcPr>
          <w:p w14:paraId="29808206" w14:textId="0F75B93D"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335</w:t>
            </w:r>
          </w:p>
        </w:tc>
        <w:tc>
          <w:tcPr>
            <w:tcW w:w="1820" w:type="dxa"/>
            <w:shd w:val="clear" w:color="auto" w:fill="DBE5F1" w:themeFill="accent1" w:themeFillTint="33"/>
            <w:vAlign w:val="center"/>
          </w:tcPr>
          <w:p w14:paraId="4208F945" w14:textId="3250110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0.02%</w:t>
            </w:r>
          </w:p>
        </w:tc>
        <w:tc>
          <w:tcPr>
            <w:tcW w:w="1820" w:type="dxa"/>
            <w:shd w:val="clear" w:color="auto" w:fill="DBE5F1" w:themeFill="accent1" w:themeFillTint="33"/>
            <w:vAlign w:val="center"/>
          </w:tcPr>
          <w:p w14:paraId="6D4FA4C7" w14:textId="44AB334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r>
      <w:tr w:rsidR="00570952" w:rsidRPr="00A83C94" w14:paraId="64268292" w14:textId="77777777" w:rsidTr="00570952">
        <w:trPr>
          <w:trHeight w:val="429"/>
        </w:trPr>
        <w:tc>
          <w:tcPr>
            <w:tcW w:w="764" w:type="dxa"/>
            <w:shd w:val="clear" w:color="auto" w:fill="auto"/>
            <w:vAlign w:val="center"/>
          </w:tcPr>
          <w:p w14:paraId="50D1E3BF" w14:textId="76DA3767"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1.15.</w:t>
            </w:r>
          </w:p>
        </w:tc>
        <w:tc>
          <w:tcPr>
            <w:tcW w:w="3443" w:type="dxa"/>
            <w:shd w:val="clear" w:color="auto" w:fill="auto"/>
            <w:vAlign w:val="center"/>
          </w:tcPr>
          <w:p w14:paraId="1F1AE5F7" w14:textId="2C8C4EC0"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Միկրոբիզնես</w:t>
            </w:r>
          </w:p>
        </w:tc>
        <w:tc>
          <w:tcPr>
            <w:tcW w:w="1820" w:type="dxa"/>
            <w:shd w:val="clear" w:color="auto" w:fill="auto"/>
            <w:vAlign w:val="center"/>
          </w:tcPr>
          <w:p w14:paraId="65F4E475" w14:textId="1DB5D79F"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12,830</w:t>
            </w:r>
          </w:p>
        </w:tc>
        <w:tc>
          <w:tcPr>
            <w:tcW w:w="1820" w:type="dxa"/>
            <w:shd w:val="clear" w:color="auto" w:fill="auto"/>
            <w:vAlign w:val="center"/>
          </w:tcPr>
          <w:p w14:paraId="7EED5163" w14:textId="641DA74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0.70%</w:t>
            </w:r>
          </w:p>
        </w:tc>
        <w:tc>
          <w:tcPr>
            <w:tcW w:w="1820" w:type="dxa"/>
            <w:shd w:val="clear" w:color="auto" w:fill="auto"/>
            <w:vAlign w:val="center"/>
          </w:tcPr>
          <w:p w14:paraId="715850F4" w14:textId="60A6672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0.16%</w:t>
            </w:r>
          </w:p>
        </w:tc>
      </w:tr>
      <w:tr w:rsidR="00570952" w:rsidRPr="00A83C94" w14:paraId="122741D9" w14:textId="77777777" w:rsidTr="00570952">
        <w:trPr>
          <w:trHeight w:val="408"/>
        </w:trPr>
        <w:tc>
          <w:tcPr>
            <w:tcW w:w="764" w:type="dxa"/>
            <w:shd w:val="clear" w:color="auto" w:fill="DBE5F1" w:themeFill="accent1" w:themeFillTint="33"/>
            <w:vAlign w:val="center"/>
          </w:tcPr>
          <w:p w14:paraId="346C0477" w14:textId="6AD0AE71" w:rsidR="00570952" w:rsidRPr="00A83C94" w:rsidRDefault="00570952" w:rsidP="006C390E">
            <w:pPr>
              <w:spacing w:before="0" w:line="276" w:lineRule="auto"/>
              <w:ind w:firstLine="0"/>
              <w:contextualSpacing w:val="0"/>
              <w:jc w:val="center"/>
              <w:rPr>
                <w:rFonts w:cs="Calibri"/>
                <w:i/>
                <w:iCs/>
                <w:color w:val="000000"/>
                <w:szCs w:val="22"/>
                <w:lang w:val="en-US" w:eastAsia="en-US"/>
              </w:rPr>
            </w:pPr>
            <w:r w:rsidRPr="00A83C94">
              <w:rPr>
                <w:rFonts w:cs="Calibri"/>
                <w:bCs/>
                <w:color w:val="000000"/>
                <w:szCs w:val="22"/>
              </w:rPr>
              <w:t>2</w:t>
            </w:r>
          </w:p>
        </w:tc>
        <w:tc>
          <w:tcPr>
            <w:tcW w:w="3443" w:type="dxa"/>
            <w:shd w:val="clear" w:color="auto" w:fill="DBE5F1" w:themeFill="accent1" w:themeFillTint="33"/>
            <w:vAlign w:val="center"/>
          </w:tcPr>
          <w:p w14:paraId="2EF41283" w14:textId="62C10C60" w:rsidR="00570952" w:rsidRPr="00A83C94" w:rsidRDefault="00570952" w:rsidP="006C390E">
            <w:pPr>
              <w:spacing w:before="0" w:line="276" w:lineRule="auto"/>
              <w:ind w:firstLine="0"/>
              <w:contextualSpacing w:val="0"/>
              <w:jc w:val="left"/>
              <w:rPr>
                <w:rFonts w:cs="Calibri"/>
                <w:i/>
                <w:iCs/>
                <w:color w:val="000000"/>
                <w:szCs w:val="22"/>
                <w:lang w:val="en-US" w:eastAsia="en-US"/>
              </w:rPr>
            </w:pPr>
            <w:r w:rsidRPr="00A83C94">
              <w:rPr>
                <w:rFonts w:cs="Calibri"/>
                <w:bCs/>
                <w:color w:val="000000"/>
                <w:szCs w:val="22"/>
              </w:rPr>
              <w:t>Շահութահարկի գծով, այդ թվում`</w:t>
            </w:r>
          </w:p>
        </w:tc>
        <w:tc>
          <w:tcPr>
            <w:tcW w:w="1820" w:type="dxa"/>
            <w:shd w:val="clear" w:color="auto" w:fill="DBE5F1" w:themeFill="accent1" w:themeFillTint="33"/>
            <w:vAlign w:val="center"/>
          </w:tcPr>
          <w:p w14:paraId="6476F7CA" w14:textId="2304AB4C" w:rsidR="00570952" w:rsidRPr="00A83C94" w:rsidRDefault="00570952" w:rsidP="006C390E">
            <w:pPr>
              <w:spacing w:before="0" w:line="276" w:lineRule="auto"/>
              <w:ind w:firstLine="0"/>
              <w:contextualSpacing w:val="0"/>
              <w:jc w:val="center"/>
              <w:rPr>
                <w:rFonts w:cs="Calibri"/>
                <w:color w:val="000000"/>
                <w:szCs w:val="22"/>
                <w:lang w:val="en-US" w:eastAsia="en-US"/>
              </w:rPr>
            </w:pPr>
            <w:r w:rsidRPr="00A83C94">
              <w:rPr>
                <w:rFonts w:cs="Calibri"/>
                <w:bCs/>
                <w:color w:val="000000"/>
                <w:szCs w:val="22"/>
              </w:rPr>
              <w:t>78,931</w:t>
            </w:r>
          </w:p>
        </w:tc>
        <w:tc>
          <w:tcPr>
            <w:tcW w:w="1820" w:type="dxa"/>
            <w:shd w:val="clear" w:color="auto" w:fill="DBE5F1" w:themeFill="accent1" w:themeFillTint="33"/>
            <w:vAlign w:val="center"/>
          </w:tcPr>
          <w:p w14:paraId="430CF62C" w14:textId="052C5615" w:rsidR="00570952" w:rsidRPr="00A83C94" w:rsidRDefault="00570952" w:rsidP="006C390E">
            <w:pPr>
              <w:spacing w:before="0" w:line="276" w:lineRule="auto"/>
              <w:ind w:firstLine="0"/>
              <w:contextualSpacing w:val="0"/>
              <w:jc w:val="center"/>
              <w:rPr>
                <w:rFonts w:cs="Calibri"/>
                <w:i/>
                <w:iCs/>
                <w:color w:val="000000"/>
                <w:szCs w:val="22"/>
                <w:lang w:val="en-US" w:eastAsia="en-US"/>
              </w:rPr>
            </w:pPr>
            <w:r w:rsidRPr="00A83C94">
              <w:rPr>
                <w:rFonts w:cs="Calibri"/>
                <w:bCs/>
                <w:i/>
                <w:iCs/>
                <w:color w:val="000000"/>
                <w:szCs w:val="22"/>
              </w:rPr>
              <w:t>4.28%</w:t>
            </w:r>
          </w:p>
        </w:tc>
        <w:tc>
          <w:tcPr>
            <w:tcW w:w="1820" w:type="dxa"/>
            <w:shd w:val="clear" w:color="auto" w:fill="DBE5F1" w:themeFill="accent1" w:themeFillTint="33"/>
            <w:vAlign w:val="center"/>
          </w:tcPr>
          <w:p w14:paraId="634CBE23" w14:textId="10EF2472" w:rsidR="00570952" w:rsidRPr="00A83C94" w:rsidRDefault="00570952" w:rsidP="006C390E">
            <w:pPr>
              <w:spacing w:before="0" w:line="276" w:lineRule="auto"/>
              <w:ind w:firstLine="0"/>
              <w:contextualSpacing w:val="0"/>
              <w:jc w:val="center"/>
              <w:rPr>
                <w:rFonts w:cs="Calibri"/>
                <w:i/>
                <w:iCs/>
                <w:color w:val="000000"/>
                <w:szCs w:val="22"/>
                <w:lang w:val="en-US" w:eastAsia="en-US"/>
              </w:rPr>
            </w:pPr>
            <w:r w:rsidRPr="00A83C94">
              <w:rPr>
                <w:rFonts w:cs="Calibri"/>
                <w:bCs/>
                <w:i/>
                <w:iCs/>
                <w:color w:val="000000"/>
                <w:szCs w:val="22"/>
              </w:rPr>
              <w:t>1.00%</w:t>
            </w:r>
          </w:p>
        </w:tc>
      </w:tr>
      <w:tr w:rsidR="00570952" w:rsidRPr="00A83C94" w14:paraId="23B256C1" w14:textId="77777777" w:rsidTr="00570952">
        <w:trPr>
          <w:trHeight w:val="795"/>
        </w:trPr>
        <w:tc>
          <w:tcPr>
            <w:tcW w:w="764" w:type="dxa"/>
            <w:shd w:val="clear" w:color="auto" w:fill="auto"/>
            <w:vAlign w:val="center"/>
          </w:tcPr>
          <w:p w14:paraId="0715E259" w14:textId="4155E176"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i/>
                <w:iCs/>
                <w:color w:val="000000"/>
                <w:szCs w:val="22"/>
              </w:rPr>
              <w:t>2.1.</w:t>
            </w:r>
          </w:p>
        </w:tc>
        <w:tc>
          <w:tcPr>
            <w:tcW w:w="3443" w:type="dxa"/>
            <w:shd w:val="clear" w:color="auto" w:fill="auto"/>
            <w:vAlign w:val="center"/>
          </w:tcPr>
          <w:p w14:paraId="6D9932DE" w14:textId="16B7409D" w:rsidR="00570952" w:rsidRPr="00A83C94" w:rsidRDefault="00570952" w:rsidP="006C390E">
            <w:pPr>
              <w:spacing w:before="0" w:line="276" w:lineRule="auto"/>
              <w:ind w:firstLine="0"/>
              <w:contextualSpacing w:val="0"/>
              <w:jc w:val="left"/>
              <w:rPr>
                <w:rFonts w:cs="Calibri"/>
                <w:b w:val="0"/>
                <w:bCs/>
                <w:color w:val="000000"/>
                <w:szCs w:val="22"/>
                <w:lang w:val="en-US" w:eastAsia="en-US"/>
              </w:rPr>
            </w:pPr>
            <w:r w:rsidRPr="00A83C94">
              <w:rPr>
                <w:rFonts w:cs="Calibri"/>
                <w:b w:val="0"/>
                <w:i/>
                <w:iCs/>
                <w:color w:val="000000"/>
                <w:szCs w:val="22"/>
              </w:rPr>
              <w:t>գյուղատնտեսություն, այդ թվում՝</w:t>
            </w:r>
          </w:p>
        </w:tc>
        <w:tc>
          <w:tcPr>
            <w:tcW w:w="1820" w:type="dxa"/>
            <w:shd w:val="clear" w:color="auto" w:fill="auto"/>
            <w:vAlign w:val="center"/>
          </w:tcPr>
          <w:p w14:paraId="294153E1" w14:textId="0F368B39"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color w:val="000000"/>
                <w:szCs w:val="22"/>
              </w:rPr>
              <w:t>51,757</w:t>
            </w:r>
          </w:p>
        </w:tc>
        <w:tc>
          <w:tcPr>
            <w:tcW w:w="1820" w:type="dxa"/>
            <w:shd w:val="clear" w:color="auto" w:fill="auto"/>
            <w:vAlign w:val="center"/>
          </w:tcPr>
          <w:p w14:paraId="4A3BA180" w14:textId="3A87C86C" w:rsidR="00570952" w:rsidRPr="00A83C94" w:rsidRDefault="00570952" w:rsidP="006C390E">
            <w:pPr>
              <w:spacing w:before="0" w:line="276" w:lineRule="auto"/>
              <w:ind w:firstLine="0"/>
              <w:contextualSpacing w:val="0"/>
              <w:jc w:val="center"/>
              <w:rPr>
                <w:rFonts w:cs="Calibri"/>
                <w:b w:val="0"/>
                <w:bCs/>
                <w:i/>
                <w:iCs/>
                <w:color w:val="000000"/>
                <w:szCs w:val="22"/>
                <w:lang w:val="en-US" w:eastAsia="en-US"/>
              </w:rPr>
            </w:pPr>
            <w:r w:rsidRPr="00A83C94">
              <w:rPr>
                <w:rFonts w:cs="Calibri"/>
                <w:b w:val="0"/>
                <w:bCs/>
                <w:i/>
                <w:iCs/>
                <w:color w:val="000000"/>
                <w:szCs w:val="22"/>
              </w:rPr>
              <w:t>2.81%</w:t>
            </w:r>
          </w:p>
        </w:tc>
        <w:tc>
          <w:tcPr>
            <w:tcW w:w="1820" w:type="dxa"/>
            <w:shd w:val="clear" w:color="auto" w:fill="auto"/>
            <w:vAlign w:val="center"/>
          </w:tcPr>
          <w:p w14:paraId="6CAF7F44" w14:textId="0620B25A" w:rsidR="00570952" w:rsidRPr="00A83C94" w:rsidRDefault="00570952" w:rsidP="006C390E">
            <w:pPr>
              <w:spacing w:before="0" w:line="276" w:lineRule="auto"/>
              <w:ind w:firstLine="0"/>
              <w:contextualSpacing w:val="0"/>
              <w:jc w:val="center"/>
              <w:rPr>
                <w:rFonts w:cs="Calibri"/>
                <w:b w:val="0"/>
                <w:bCs/>
                <w:i/>
                <w:iCs/>
                <w:color w:val="000000"/>
                <w:szCs w:val="22"/>
                <w:lang w:val="en-US" w:eastAsia="en-US"/>
              </w:rPr>
            </w:pPr>
            <w:r w:rsidRPr="00A83C94">
              <w:rPr>
                <w:rFonts w:cs="Calibri"/>
                <w:b w:val="0"/>
                <w:bCs/>
                <w:i/>
                <w:iCs/>
                <w:color w:val="000000"/>
                <w:szCs w:val="22"/>
              </w:rPr>
              <w:t>0.66%</w:t>
            </w:r>
          </w:p>
        </w:tc>
      </w:tr>
      <w:tr w:rsidR="00570952" w:rsidRPr="00A83C94" w14:paraId="116C82AE" w14:textId="77777777" w:rsidTr="00570952">
        <w:trPr>
          <w:trHeight w:val="795"/>
        </w:trPr>
        <w:tc>
          <w:tcPr>
            <w:tcW w:w="764" w:type="dxa"/>
            <w:shd w:val="clear" w:color="auto" w:fill="DBE5F1" w:themeFill="accent1" w:themeFillTint="33"/>
            <w:vAlign w:val="center"/>
          </w:tcPr>
          <w:p w14:paraId="0BB6F81E" w14:textId="2F66D56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2.1.1.</w:t>
            </w:r>
          </w:p>
        </w:tc>
        <w:tc>
          <w:tcPr>
            <w:tcW w:w="3443" w:type="dxa"/>
            <w:shd w:val="clear" w:color="auto" w:fill="DBE5F1" w:themeFill="accent1" w:themeFillTint="33"/>
            <w:vAlign w:val="center"/>
          </w:tcPr>
          <w:p w14:paraId="05594DC0" w14:textId="1714A3F0"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կազմակերպությունների շահույթից</w:t>
            </w:r>
          </w:p>
        </w:tc>
        <w:tc>
          <w:tcPr>
            <w:tcW w:w="1820" w:type="dxa"/>
            <w:shd w:val="clear" w:color="auto" w:fill="DBE5F1" w:themeFill="accent1" w:themeFillTint="33"/>
            <w:vAlign w:val="center"/>
          </w:tcPr>
          <w:p w14:paraId="4E0870BA" w14:textId="0DE1DC6C"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3,103</w:t>
            </w:r>
          </w:p>
        </w:tc>
        <w:tc>
          <w:tcPr>
            <w:tcW w:w="1820" w:type="dxa"/>
            <w:shd w:val="clear" w:color="auto" w:fill="DBE5F1" w:themeFill="accent1" w:themeFillTint="33"/>
            <w:vAlign w:val="center"/>
          </w:tcPr>
          <w:p w14:paraId="34D96F54" w14:textId="2CD1D17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0.17%</w:t>
            </w:r>
          </w:p>
        </w:tc>
        <w:tc>
          <w:tcPr>
            <w:tcW w:w="1820" w:type="dxa"/>
            <w:shd w:val="clear" w:color="auto" w:fill="DBE5F1" w:themeFill="accent1" w:themeFillTint="33"/>
            <w:vAlign w:val="center"/>
          </w:tcPr>
          <w:p w14:paraId="1490C89A" w14:textId="085E490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0.04%</w:t>
            </w:r>
          </w:p>
        </w:tc>
      </w:tr>
      <w:tr w:rsidR="00570952" w:rsidRPr="00A83C94" w14:paraId="7CE2917C" w14:textId="77777777" w:rsidTr="00570952">
        <w:trPr>
          <w:trHeight w:val="795"/>
        </w:trPr>
        <w:tc>
          <w:tcPr>
            <w:tcW w:w="764" w:type="dxa"/>
            <w:shd w:val="clear" w:color="auto" w:fill="auto"/>
            <w:vAlign w:val="center"/>
          </w:tcPr>
          <w:p w14:paraId="0ADE12AC" w14:textId="242385B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2.1.2.</w:t>
            </w:r>
          </w:p>
        </w:tc>
        <w:tc>
          <w:tcPr>
            <w:tcW w:w="3443" w:type="dxa"/>
            <w:shd w:val="clear" w:color="auto" w:fill="auto"/>
            <w:vAlign w:val="center"/>
          </w:tcPr>
          <w:p w14:paraId="047F1293" w14:textId="01CE0CA9"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ֆիզիկական</w:t>
            </w:r>
            <w:r w:rsidRPr="00A83C94">
              <w:rPr>
                <w:rFonts w:cs="Calibri"/>
                <w:b w:val="0"/>
                <w:i/>
                <w:iCs/>
                <w:color w:val="000000"/>
                <w:szCs w:val="22"/>
                <w:lang w:val="en-US"/>
              </w:rPr>
              <w:t xml:space="preserve"> </w:t>
            </w:r>
            <w:r w:rsidRPr="00A83C94">
              <w:rPr>
                <w:rFonts w:cs="Calibri"/>
                <w:b w:val="0"/>
                <w:i/>
                <w:iCs/>
                <w:color w:val="000000"/>
                <w:szCs w:val="22"/>
              </w:rPr>
              <w:t>անձանց</w:t>
            </w:r>
            <w:r w:rsidRPr="00A83C94">
              <w:rPr>
                <w:rFonts w:cs="Calibri"/>
                <w:b w:val="0"/>
                <w:i/>
                <w:iCs/>
                <w:color w:val="000000"/>
                <w:szCs w:val="22"/>
                <w:lang w:val="en-US"/>
              </w:rPr>
              <w:t xml:space="preserve"> (</w:t>
            </w:r>
            <w:r w:rsidRPr="00A83C94">
              <w:rPr>
                <w:rFonts w:cs="Calibri"/>
                <w:b w:val="0"/>
                <w:i/>
                <w:iCs/>
                <w:color w:val="000000"/>
                <w:szCs w:val="22"/>
              </w:rPr>
              <w:t>Ա</w:t>
            </w:r>
            <w:r w:rsidRPr="00A83C94">
              <w:rPr>
                <w:rFonts w:cs="Calibri"/>
                <w:b w:val="0"/>
                <w:i/>
                <w:iCs/>
                <w:color w:val="000000"/>
                <w:szCs w:val="22"/>
                <w:lang w:val="en-US"/>
              </w:rPr>
              <w:t>/</w:t>
            </w:r>
            <w:r w:rsidRPr="00A83C94">
              <w:rPr>
                <w:rFonts w:cs="Calibri"/>
                <w:b w:val="0"/>
                <w:i/>
                <w:iCs/>
                <w:color w:val="000000"/>
                <w:szCs w:val="22"/>
              </w:rPr>
              <w:t>Ձ</w:t>
            </w:r>
            <w:r w:rsidRPr="00A83C94">
              <w:rPr>
                <w:rFonts w:cs="Calibri"/>
                <w:b w:val="0"/>
                <w:i/>
                <w:iCs/>
                <w:color w:val="000000"/>
                <w:szCs w:val="22"/>
                <w:lang w:val="en-US"/>
              </w:rPr>
              <w:t>-</w:t>
            </w:r>
            <w:r w:rsidRPr="00A83C94">
              <w:rPr>
                <w:rFonts w:cs="Calibri"/>
                <w:b w:val="0"/>
                <w:i/>
                <w:iCs/>
                <w:color w:val="000000"/>
                <w:szCs w:val="22"/>
              </w:rPr>
              <w:t>ների</w:t>
            </w:r>
            <w:r w:rsidRPr="00A83C94">
              <w:rPr>
                <w:rFonts w:cs="Calibri"/>
                <w:b w:val="0"/>
                <w:i/>
                <w:iCs/>
                <w:color w:val="000000"/>
                <w:szCs w:val="22"/>
                <w:lang w:val="en-US"/>
              </w:rPr>
              <w:t xml:space="preserve">) </w:t>
            </w:r>
            <w:r w:rsidRPr="00A83C94">
              <w:rPr>
                <w:rFonts w:cs="Calibri"/>
                <w:b w:val="0"/>
                <w:i/>
                <w:iCs/>
                <w:color w:val="000000"/>
                <w:szCs w:val="22"/>
              </w:rPr>
              <w:t>շահույթից</w:t>
            </w:r>
          </w:p>
        </w:tc>
        <w:tc>
          <w:tcPr>
            <w:tcW w:w="1820" w:type="dxa"/>
            <w:shd w:val="clear" w:color="auto" w:fill="auto"/>
            <w:vAlign w:val="center"/>
          </w:tcPr>
          <w:p w14:paraId="19F84CD3" w14:textId="58C86BEF"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48,653</w:t>
            </w:r>
          </w:p>
        </w:tc>
        <w:tc>
          <w:tcPr>
            <w:tcW w:w="1820" w:type="dxa"/>
            <w:shd w:val="clear" w:color="auto" w:fill="auto"/>
            <w:vAlign w:val="center"/>
          </w:tcPr>
          <w:p w14:paraId="65A7EFB3" w14:textId="1BE1A70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2.64%</w:t>
            </w:r>
          </w:p>
        </w:tc>
        <w:tc>
          <w:tcPr>
            <w:tcW w:w="1820" w:type="dxa"/>
            <w:shd w:val="clear" w:color="auto" w:fill="auto"/>
            <w:vAlign w:val="center"/>
          </w:tcPr>
          <w:p w14:paraId="76A396F1" w14:textId="3AD1F4B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0.62%</w:t>
            </w:r>
          </w:p>
        </w:tc>
      </w:tr>
      <w:tr w:rsidR="00570952" w:rsidRPr="00A83C94" w14:paraId="6D18961D" w14:textId="77777777" w:rsidTr="00570952">
        <w:trPr>
          <w:trHeight w:val="795"/>
        </w:trPr>
        <w:tc>
          <w:tcPr>
            <w:tcW w:w="764" w:type="dxa"/>
            <w:shd w:val="clear" w:color="auto" w:fill="DBE5F1" w:themeFill="accent1" w:themeFillTint="33"/>
            <w:vAlign w:val="center"/>
          </w:tcPr>
          <w:p w14:paraId="1AF43EA8" w14:textId="23A6C2C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2.2.</w:t>
            </w:r>
          </w:p>
        </w:tc>
        <w:tc>
          <w:tcPr>
            <w:tcW w:w="3443" w:type="dxa"/>
            <w:shd w:val="clear" w:color="auto" w:fill="DBE5F1" w:themeFill="accent1" w:themeFillTint="33"/>
            <w:vAlign w:val="center"/>
          </w:tcPr>
          <w:p w14:paraId="27146935" w14:textId="4F8B87D6"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հարկվող</w:t>
            </w:r>
            <w:r w:rsidRPr="00A83C94">
              <w:rPr>
                <w:rFonts w:cs="Calibri"/>
                <w:b w:val="0"/>
                <w:i/>
                <w:iCs/>
                <w:color w:val="000000"/>
                <w:szCs w:val="22"/>
                <w:lang w:val="en-US"/>
              </w:rPr>
              <w:t xml:space="preserve"> </w:t>
            </w:r>
            <w:r w:rsidRPr="00A83C94">
              <w:rPr>
                <w:rFonts w:cs="Calibri"/>
                <w:b w:val="0"/>
                <w:i/>
                <w:iCs/>
                <w:color w:val="000000"/>
                <w:szCs w:val="22"/>
              </w:rPr>
              <w:t>շահույթի</w:t>
            </w:r>
            <w:r w:rsidRPr="00A83C94">
              <w:rPr>
                <w:rFonts w:cs="Calibri"/>
                <w:b w:val="0"/>
                <w:i/>
                <w:iCs/>
                <w:color w:val="000000"/>
                <w:szCs w:val="22"/>
                <w:lang w:val="en-US"/>
              </w:rPr>
              <w:t xml:space="preserve"> </w:t>
            </w:r>
            <w:r w:rsidRPr="00A83C94">
              <w:rPr>
                <w:rFonts w:cs="Calibri"/>
                <w:b w:val="0"/>
                <w:i/>
                <w:iCs/>
                <w:color w:val="000000"/>
                <w:szCs w:val="22"/>
              </w:rPr>
              <w:t>նվազեցման</w:t>
            </w:r>
            <w:r w:rsidRPr="00A83C94">
              <w:rPr>
                <w:rFonts w:cs="Calibri"/>
                <w:b w:val="0"/>
                <w:i/>
                <w:iCs/>
                <w:color w:val="000000"/>
                <w:szCs w:val="22"/>
                <w:lang w:val="en-US"/>
              </w:rPr>
              <w:t xml:space="preserve"> </w:t>
            </w:r>
            <w:r w:rsidRPr="00A83C94">
              <w:rPr>
                <w:rFonts w:cs="Calibri"/>
                <w:b w:val="0"/>
                <w:i/>
                <w:iCs/>
                <w:color w:val="000000"/>
                <w:szCs w:val="22"/>
              </w:rPr>
              <w:t>արտոնություններ</w:t>
            </w:r>
            <w:r w:rsidRPr="00A83C94">
              <w:rPr>
                <w:rFonts w:cs="Calibri"/>
                <w:b w:val="0"/>
                <w:i/>
                <w:iCs/>
                <w:color w:val="000000"/>
                <w:szCs w:val="22"/>
                <w:lang w:val="en-US"/>
              </w:rPr>
              <w:t xml:space="preserve">, </w:t>
            </w:r>
            <w:r w:rsidRPr="00A83C94">
              <w:rPr>
                <w:rFonts w:cs="Calibri"/>
                <w:b w:val="0"/>
                <w:i/>
                <w:iCs/>
                <w:color w:val="000000"/>
                <w:szCs w:val="22"/>
              </w:rPr>
              <w:t>բացառությամբ՝</w:t>
            </w:r>
            <w:r w:rsidRPr="00A83C94">
              <w:rPr>
                <w:rFonts w:cs="Calibri"/>
                <w:b w:val="0"/>
                <w:i/>
                <w:iCs/>
                <w:color w:val="000000"/>
                <w:szCs w:val="22"/>
                <w:lang w:val="en-US"/>
              </w:rPr>
              <w:t xml:space="preserve"> </w:t>
            </w:r>
            <w:r w:rsidRPr="00A83C94">
              <w:rPr>
                <w:rFonts w:cs="Calibri"/>
                <w:b w:val="0"/>
                <w:i/>
                <w:iCs/>
                <w:color w:val="000000"/>
                <w:szCs w:val="22"/>
              </w:rPr>
              <w:t>գյուղատնտեսության</w:t>
            </w:r>
          </w:p>
        </w:tc>
        <w:tc>
          <w:tcPr>
            <w:tcW w:w="1820" w:type="dxa"/>
            <w:shd w:val="clear" w:color="auto" w:fill="DBE5F1" w:themeFill="accent1" w:themeFillTint="33"/>
            <w:vAlign w:val="center"/>
          </w:tcPr>
          <w:p w14:paraId="5514D63E" w14:textId="36E70F6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3,864</w:t>
            </w:r>
          </w:p>
        </w:tc>
        <w:tc>
          <w:tcPr>
            <w:tcW w:w="1820" w:type="dxa"/>
            <w:shd w:val="clear" w:color="auto" w:fill="DBE5F1" w:themeFill="accent1" w:themeFillTint="33"/>
            <w:vAlign w:val="center"/>
          </w:tcPr>
          <w:p w14:paraId="1B6BE703" w14:textId="5945F8F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0.21%</w:t>
            </w:r>
          </w:p>
        </w:tc>
        <w:tc>
          <w:tcPr>
            <w:tcW w:w="1820" w:type="dxa"/>
            <w:shd w:val="clear" w:color="auto" w:fill="DBE5F1" w:themeFill="accent1" w:themeFillTint="33"/>
            <w:vAlign w:val="center"/>
          </w:tcPr>
          <w:p w14:paraId="158A1371" w14:textId="6C6E12A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r>
      <w:tr w:rsidR="00570952" w:rsidRPr="00A83C94" w14:paraId="1CFBCEFD" w14:textId="77777777" w:rsidTr="006C390E">
        <w:trPr>
          <w:trHeight w:val="791"/>
        </w:trPr>
        <w:tc>
          <w:tcPr>
            <w:tcW w:w="764" w:type="dxa"/>
            <w:shd w:val="clear" w:color="auto" w:fill="auto"/>
            <w:vAlign w:val="center"/>
          </w:tcPr>
          <w:p w14:paraId="6343BBFC" w14:textId="55CF27A0"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2.3.</w:t>
            </w:r>
          </w:p>
        </w:tc>
        <w:tc>
          <w:tcPr>
            <w:tcW w:w="3443" w:type="dxa"/>
            <w:shd w:val="clear" w:color="auto" w:fill="auto"/>
            <w:vAlign w:val="center"/>
          </w:tcPr>
          <w:p w14:paraId="388FB0A7" w14:textId="0730088F"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շահութահարկի նվազեցման արտոնություններ</w:t>
            </w:r>
          </w:p>
        </w:tc>
        <w:tc>
          <w:tcPr>
            <w:tcW w:w="1820" w:type="dxa"/>
            <w:shd w:val="clear" w:color="auto" w:fill="auto"/>
            <w:vAlign w:val="center"/>
          </w:tcPr>
          <w:p w14:paraId="7B78C50A" w14:textId="58C50AD9"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36</w:t>
            </w:r>
          </w:p>
        </w:tc>
        <w:tc>
          <w:tcPr>
            <w:tcW w:w="1820" w:type="dxa"/>
            <w:shd w:val="clear" w:color="auto" w:fill="auto"/>
            <w:vAlign w:val="center"/>
          </w:tcPr>
          <w:p w14:paraId="632C10AF" w14:textId="1A3E09D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c>
          <w:tcPr>
            <w:tcW w:w="1820" w:type="dxa"/>
            <w:shd w:val="clear" w:color="auto" w:fill="auto"/>
            <w:vAlign w:val="center"/>
          </w:tcPr>
          <w:p w14:paraId="2C88F3C0" w14:textId="590B486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r>
      <w:tr w:rsidR="00570952" w:rsidRPr="00A83C94" w14:paraId="1822C8C6" w14:textId="77777777" w:rsidTr="00570952">
        <w:trPr>
          <w:trHeight w:val="795"/>
        </w:trPr>
        <w:tc>
          <w:tcPr>
            <w:tcW w:w="764" w:type="dxa"/>
            <w:shd w:val="clear" w:color="auto" w:fill="DBE5F1" w:themeFill="accent1" w:themeFillTint="33"/>
            <w:vAlign w:val="center"/>
          </w:tcPr>
          <w:p w14:paraId="03408945" w14:textId="20E4869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2.4.</w:t>
            </w:r>
          </w:p>
        </w:tc>
        <w:tc>
          <w:tcPr>
            <w:tcW w:w="3443" w:type="dxa"/>
            <w:shd w:val="clear" w:color="auto" w:fill="DBE5F1" w:themeFill="accent1" w:themeFillTint="33"/>
            <w:vAlign w:val="center"/>
          </w:tcPr>
          <w:p w14:paraId="5DDEC8DF" w14:textId="7A0BD7B2"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ԱԱՀ-ի շեմ</w:t>
            </w:r>
          </w:p>
        </w:tc>
        <w:tc>
          <w:tcPr>
            <w:tcW w:w="1820" w:type="dxa"/>
            <w:shd w:val="clear" w:color="auto" w:fill="DBE5F1" w:themeFill="accent1" w:themeFillTint="33"/>
            <w:vAlign w:val="center"/>
          </w:tcPr>
          <w:p w14:paraId="46CD04AE" w14:textId="335EB223"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17,156</w:t>
            </w:r>
          </w:p>
        </w:tc>
        <w:tc>
          <w:tcPr>
            <w:tcW w:w="1820" w:type="dxa"/>
            <w:shd w:val="clear" w:color="auto" w:fill="DBE5F1" w:themeFill="accent1" w:themeFillTint="33"/>
            <w:vAlign w:val="center"/>
          </w:tcPr>
          <w:p w14:paraId="423966BF" w14:textId="52E4C6E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0.93%</w:t>
            </w:r>
          </w:p>
        </w:tc>
        <w:tc>
          <w:tcPr>
            <w:tcW w:w="1820" w:type="dxa"/>
            <w:shd w:val="clear" w:color="auto" w:fill="DBE5F1" w:themeFill="accent1" w:themeFillTint="33"/>
            <w:vAlign w:val="center"/>
          </w:tcPr>
          <w:p w14:paraId="2F277791" w14:textId="2DAF4BC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0.22%</w:t>
            </w:r>
          </w:p>
        </w:tc>
      </w:tr>
      <w:tr w:rsidR="00570952" w:rsidRPr="00A83C94" w14:paraId="0A1CFE3D" w14:textId="77777777" w:rsidTr="00570952">
        <w:trPr>
          <w:trHeight w:val="427"/>
        </w:trPr>
        <w:tc>
          <w:tcPr>
            <w:tcW w:w="764" w:type="dxa"/>
            <w:shd w:val="clear" w:color="auto" w:fill="auto"/>
            <w:vAlign w:val="center"/>
          </w:tcPr>
          <w:p w14:paraId="097D1845" w14:textId="38FA220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2.5.</w:t>
            </w:r>
          </w:p>
        </w:tc>
        <w:tc>
          <w:tcPr>
            <w:tcW w:w="3443" w:type="dxa"/>
            <w:shd w:val="clear" w:color="auto" w:fill="auto"/>
            <w:vAlign w:val="center"/>
          </w:tcPr>
          <w:p w14:paraId="1F18B55B" w14:textId="4207F779" w:rsidR="00570952" w:rsidRPr="00A83C94" w:rsidRDefault="002F3AE0"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Մ</w:t>
            </w:r>
            <w:r w:rsidR="00570952" w:rsidRPr="00A83C94">
              <w:rPr>
                <w:rFonts w:cs="Calibri"/>
                <w:b w:val="0"/>
                <w:i/>
                <w:iCs/>
                <w:color w:val="000000"/>
                <w:szCs w:val="22"/>
              </w:rPr>
              <w:t>իկրոբիզնես</w:t>
            </w:r>
          </w:p>
        </w:tc>
        <w:tc>
          <w:tcPr>
            <w:tcW w:w="1820" w:type="dxa"/>
            <w:shd w:val="clear" w:color="auto" w:fill="auto"/>
            <w:vAlign w:val="center"/>
          </w:tcPr>
          <w:p w14:paraId="11F236EF" w14:textId="408F1208"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4,619</w:t>
            </w:r>
          </w:p>
        </w:tc>
        <w:tc>
          <w:tcPr>
            <w:tcW w:w="1820" w:type="dxa"/>
            <w:shd w:val="clear" w:color="auto" w:fill="auto"/>
            <w:vAlign w:val="center"/>
          </w:tcPr>
          <w:p w14:paraId="14321E42" w14:textId="4BB3831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0.25%</w:t>
            </w:r>
          </w:p>
        </w:tc>
        <w:tc>
          <w:tcPr>
            <w:tcW w:w="1820" w:type="dxa"/>
            <w:shd w:val="clear" w:color="auto" w:fill="auto"/>
            <w:vAlign w:val="center"/>
          </w:tcPr>
          <w:p w14:paraId="61BF7CA0" w14:textId="40B9D0F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0.06%</w:t>
            </w:r>
          </w:p>
        </w:tc>
      </w:tr>
      <w:tr w:rsidR="00570952" w:rsidRPr="00A83C94" w14:paraId="0AB2B5A4" w14:textId="77777777" w:rsidTr="00570952">
        <w:trPr>
          <w:trHeight w:val="438"/>
        </w:trPr>
        <w:tc>
          <w:tcPr>
            <w:tcW w:w="764" w:type="dxa"/>
            <w:shd w:val="clear" w:color="auto" w:fill="DBE5F1" w:themeFill="accent1" w:themeFillTint="33"/>
            <w:vAlign w:val="center"/>
          </w:tcPr>
          <w:p w14:paraId="15522428" w14:textId="33918C7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2.6.</w:t>
            </w:r>
          </w:p>
        </w:tc>
        <w:tc>
          <w:tcPr>
            <w:tcW w:w="3443" w:type="dxa"/>
            <w:shd w:val="clear" w:color="auto" w:fill="DBE5F1" w:themeFill="accent1" w:themeFillTint="33"/>
            <w:vAlign w:val="center"/>
          </w:tcPr>
          <w:p w14:paraId="0B41DCA4" w14:textId="71C75034"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ՏՏ ոլորտի արտոնություններ</w:t>
            </w:r>
          </w:p>
        </w:tc>
        <w:tc>
          <w:tcPr>
            <w:tcW w:w="1820" w:type="dxa"/>
            <w:shd w:val="clear" w:color="auto" w:fill="DBE5F1" w:themeFill="accent1" w:themeFillTint="33"/>
            <w:vAlign w:val="center"/>
          </w:tcPr>
          <w:p w14:paraId="78BA2557" w14:textId="065CCEF5"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1,500</w:t>
            </w:r>
          </w:p>
        </w:tc>
        <w:tc>
          <w:tcPr>
            <w:tcW w:w="1820" w:type="dxa"/>
            <w:shd w:val="clear" w:color="auto" w:fill="DBE5F1" w:themeFill="accent1" w:themeFillTint="33"/>
            <w:vAlign w:val="center"/>
          </w:tcPr>
          <w:p w14:paraId="1837696D" w14:textId="317C4E6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0.08%</w:t>
            </w:r>
          </w:p>
        </w:tc>
        <w:tc>
          <w:tcPr>
            <w:tcW w:w="1820" w:type="dxa"/>
            <w:shd w:val="clear" w:color="auto" w:fill="DBE5F1" w:themeFill="accent1" w:themeFillTint="33"/>
            <w:vAlign w:val="center"/>
          </w:tcPr>
          <w:p w14:paraId="20D446F4" w14:textId="08D9284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0.02%</w:t>
            </w:r>
          </w:p>
        </w:tc>
      </w:tr>
      <w:tr w:rsidR="00570952" w:rsidRPr="00A83C94" w14:paraId="7269D42C" w14:textId="77777777" w:rsidTr="00570952">
        <w:trPr>
          <w:trHeight w:val="795"/>
        </w:trPr>
        <w:tc>
          <w:tcPr>
            <w:tcW w:w="764" w:type="dxa"/>
            <w:shd w:val="clear" w:color="auto" w:fill="auto"/>
            <w:vAlign w:val="center"/>
          </w:tcPr>
          <w:p w14:paraId="04EF147F" w14:textId="0DEBEC1D"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3</w:t>
            </w:r>
          </w:p>
        </w:tc>
        <w:tc>
          <w:tcPr>
            <w:tcW w:w="3443" w:type="dxa"/>
            <w:shd w:val="clear" w:color="auto" w:fill="auto"/>
            <w:vAlign w:val="center"/>
          </w:tcPr>
          <w:p w14:paraId="62F1FD4A" w14:textId="2ECDDBB8" w:rsidR="00570952" w:rsidRPr="00A83C94" w:rsidRDefault="00570952" w:rsidP="006C390E">
            <w:pPr>
              <w:spacing w:before="0" w:line="276" w:lineRule="auto"/>
              <w:ind w:firstLine="0"/>
              <w:contextualSpacing w:val="0"/>
              <w:jc w:val="left"/>
              <w:rPr>
                <w:rFonts w:cs="Calibri"/>
                <w:bCs/>
                <w:color w:val="000000"/>
                <w:szCs w:val="22"/>
                <w:lang w:val="en-US" w:eastAsia="en-US"/>
              </w:rPr>
            </w:pPr>
            <w:r w:rsidRPr="00A83C94">
              <w:rPr>
                <w:rFonts w:cs="Calibri"/>
                <w:bCs/>
                <w:color w:val="000000"/>
                <w:szCs w:val="22"/>
              </w:rPr>
              <w:t>Եկամտային</w:t>
            </w:r>
            <w:r w:rsidRPr="00A83C94">
              <w:rPr>
                <w:rFonts w:cs="Calibri"/>
                <w:bCs/>
                <w:color w:val="000000"/>
                <w:szCs w:val="22"/>
                <w:lang w:val="en-US"/>
              </w:rPr>
              <w:t xml:space="preserve"> </w:t>
            </w:r>
            <w:r w:rsidRPr="00A83C94">
              <w:rPr>
                <w:rFonts w:cs="Calibri"/>
                <w:bCs/>
                <w:color w:val="000000"/>
                <w:szCs w:val="22"/>
              </w:rPr>
              <w:t>հարկի</w:t>
            </w:r>
            <w:r w:rsidRPr="00A83C94">
              <w:rPr>
                <w:rFonts w:cs="Calibri"/>
                <w:bCs/>
                <w:color w:val="000000"/>
                <w:szCs w:val="22"/>
                <w:lang w:val="en-US"/>
              </w:rPr>
              <w:t xml:space="preserve"> </w:t>
            </w:r>
            <w:r w:rsidRPr="00A83C94">
              <w:rPr>
                <w:rFonts w:cs="Calibri"/>
                <w:bCs/>
                <w:color w:val="000000"/>
                <w:szCs w:val="22"/>
              </w:rPr>
              <w:t>գծով</w:t>
            </w:r>
            <w:r w:rsidRPr="00A83C94">
              <w:rPr>
                <w:rFonts w:cs="Calibri"/>
                <w:bCs/>
                <w:color w:val="000000"/>
                <w:szCs w:val="22"/>
                <w:lang w:val="en-US"/>
              </w:rPr>
              <w:t xml:space="preserve">, </w:t>
            </w:r>
            <w:r w:rsidRPr="00A83C94">
              <w:rPr>
                <w:rFonts w:cs="Calibri"/>
                <w:bCs/>
                <w:color w:val="000000"/>
                <w:szCs w:val="22"/>
              </w:rPr>
              <w:t>այդ</w:t>
            </w:r>
            <w:r w:rsidRPr="00A83C94">
              <w:rPr>
                <w:rFonts w:cs="Calibri"/>
                <w:bCs/>
                <w:color w:val="000000"/>
                <w:szCs w:val="22"/>
                <w:lang w:val="en-US"/>
              </w:rPr>
              <w:t xml:space="preserve"> </w:t>
            </w:r>
            <w:r w:rsidRPr="00A83C94">
              <w:rPr>
                <w:rFonts w:cs="Calibri"/>
                <w:bCs/>
                <w:color w:val="000000"/>
                <w:szCs w:val="22"/>
              </w:rPr>
              <w:t>թվում</w:t>
            </w:r>
            <w:r w:rsidRPr="00A83C94">
              <w:rPr>
                <w:rFonts w:cs="Calibri"/>
                <w:bCs/>
                <w:color w:val="000000"/>
                <w:szCs w:val="22"/>
                <w:lang w:val="en-US"/>
              </w:rPr>
              <w:t>`</w:t>
            </w:r>
          </w:p>
        </w:tc>
        <w:tc>
          <w:tcPr>
            <w:tcW w:w="1820" w:type="dxa"/>
            <w:shd w:val="clear" w:color="auto" w:fill="auto"/>
            <w:vAlign w:val="center"/>
          </w:tcPr>
          <w:p w14:paraId="788EDFB7" w14:textId="2A72EAC0"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61,075</w:t>
            </w:r>
          </w:p>
        </w:tc>
        <w:tc>
          <w:tcPr>
            <w:tcW w:w="1820" w:type="dxa"/>
            <w:shd w:val="clear" w:color="auto" w:fill="auto"/>
            <w:vAlign w:val="center"/>
          </w:tcPr>
          <w:p w14:paraId="1C295589" w14:textId="15A4977A"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3.31%</w:t>
            </w:r>
          </w:p>
        </w:tc>
        <w:tc>
          <w:tcPr>
            <w:tcW w:w="1820" w:type="dxa"/>
            <w:shd w:val="clear" w:color="auto" w:fill="auto"/>
            <w:vAlign w:val="center"/>
          </w:tcPr>
          <w:p w14:paraId="78C32B87" w14:textId="6653E0FC"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0.78%</w:t>
            </w:r>
          </w:p>
        </w:tc>
      </w:tr>
      <w:tr w:rsidR="00570952" w:rsidRPr="00A83C94" w14:paraId="72A3CCB8" w14:textId="77777777" w:rsidTr="00570952">
        <w:trPr>
          <w:trHeight w:val="795"/>
        </w:trPr>
        <w:tc>
          <w:tcPr>
            <w:tcW w:w="764" w:type="dxa"/>
            <w:shd w:val="clear" w:color="auto" w:fill="DBE5F1" w:themeFill="accent1" w:themeFillTint="33"/>
            <w:vAlign w:val="center"/>
          </w:tcPr>
          <w:p w14:paraId="60FD9F2F" w14:textId="3AEB103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3.1.</w:t>
            </w:r>
          </w:p>
        </w:tc>
        <w:tc>
          <w:tcPr>
            <w:tcW w:w="3443" w:type="dxa"/>
            <w:shd w:val="clear" w:color="auto" w:fill="DBE5F1" w:themeFill="accent1" w:themeFillTint="33"/>
            <w:vAlign w:val="center"/>
          </w:tcPr>
          <w:p w14:paraId="7CD0AA02" w14:textId="66D9102D"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գյուղատնտեսության ոլորտի աշխատողների աշխատավարձ</w:t>
            </w:r>
          </w:p>
        </w:tc>
        <w:tc>
          <w:tcPr>
            <w:tcW w:w="1820" w:type="dxa"/>
            <w:shd w:val="clear" w:color="auto" w:fill="DBE5F1" w:themeFill="accent1" w:themeFillTint="33"/>
            <w:vAlign w:val="center"/>
          </w:tcPr>
          <w:p w14:paraId="6C170A0E" w14:textId="304E6929"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14,141</w:t>
            </w:r>
          </w:p>
        </w:tc>
        <w:tc>
          <w:tcPr>
            <w:tcW w:w="1820" w:type="dxa"/>
            <w:shd w:val="clear" w:color="auto" w:fill="DBE5F1" w:themeFill="accent1" w:themeFillTint="33"/>
            <w:vAlign w:val="center"/>
          </w:tcPr>
          <w:p w14:paraId="4AE9BAB0" w14:textId="4B25296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0.77%</w:t>
            </w:r>
          </w:p>
        </w:tc>
        <w:tc>
          <w:tcPr>
            <w:tcW w:w="1820" w:type="dxa"/>
            <w:shd w:val="clear" w:color="auto" w:fill="DBE5F1" w:themeFill="accent1" w:themeFillTint="33"/>
            <w:vAlign w:val="center"/>
          </w:tcPr>
          <w:p w14:paraId="03ABD8AB" w14:textId="6BB32B2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0.18%</w:t>
            </w:r>
          </w:p>
        </w:tc>
      </w:tr>
      <w:tr w:rsidR="00570952" w:rsidRPr="00A83C94" w14:paraId="561A5683" w14:textId="77777777" w:rsidTr="00570952">
        <w:trPr>
          <w:trHeight w:val="795"/>
        </w:trPr>
        <w:tc>
          <w:tcPr>
            <w:tcW w:w="764" w:type="dxa"/>
            <w:shd w:val="clear" w:color="auto" w:fill="auto"/>
            <w:vAlign w:val="center"/>
          </w:tcPr>
          <w:p w14:paraId="00719063" w14:textId="538AD72C"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i/>
                <w:iCs/>
                <w:color w:val="000000"/>
                <w:szCs w:val="22"/>
              </w:rPr>
              <w:t>3.2.</w:t>
            </w:r>
          </w:p>
        </w:tc>
        <w:tc>
          <w:tcPr>
            <w:tcW w:w="3443" w:type="dxa"/>
            <w:shd w:val="clear" w:color="auto" w:fill="auto"/>
            <w:vAlign w:val="center"/>
          </w:tcPr>
          <w:p w14:paraId="1FBCC8A9" w14:textId="1DE819CA" w:rsidR="00570952" w:rsidRPr="00A83C94" w:rsidRDefault="002F3AE0" w:rsidP="006C390E">
            <w:pPr>
              <w:spacing w:before="0" w:line="276" w:lineRule="auto"/>
              <w:ind w:firstLine="0"/>
              <w:contextualSpacing w:val="0"/>
              <w:jc w:val="left"/>
              <w:rPr>
                <w:rFonts w:cs="Calibri"/>
                <w:b w:val="0"/>
                <w:bCs/>
                <w:color w:val="000000"/>
                <w:szCs w:val="22"/>
                <w:lang w:val="en-US" w:eastAsia="en-US"/>
              </w:rPr>
            </w:pPr>
            <w:r w:rsidRPr="00A83C94">
              <w:rPr>
                <w:rFonts w:cs="Calibri"/>
                <w:b w:val="0"/>
                <w:i/>
                <w:iCs/>
                <w:color w:val="000000"/>
                <w:szCs w:val="22"/>
              </w:rPr>
              <w:t>Մ</w:t>
            </w:r>
            <w:r w:rsidR="00570952" w:rsidRPr="00A83C94">
              <w:rPr>
                <w:rFonts w:cs="Calibri"/>
                <w:b w:val="0"/>
                <w:i/>
                <w:iCs/>
                <w:color w:val="000000"/>
                <w:szCs w:val="22"/>
              </w:rPr>
              <w:t>իկրոբիզնես</w:t>
            </w:r>
          </w:p>
        </w:tc>
        <w:tc>
          <w:tcPr>
            <w:tcW w:w="1820" w:type="dxa"/>
            <w:shd w:val="clear" w:color="auto" w:fill="auto"/>
            <w:vAlign w:val="center"/>
          </w:tcPr>
          <w:p w14:paraId="286AB2B2" w14:textId="5849EF18"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color w:val="000000"/>
                <w:szCs w:val="22"/>
              </w:rPr>
              <w:t>4,838</w:t>
            </w:r>
          </w:p>
        </w:tc>
        <w:tc>
          <w:tcPr>
            <w:tcW w:w="1820" w:type="dxa"/>
            <w:shd w:val="clear" w:color="auto" w:fill="auto"/>
            <w:vAlign w:val="center"/>
          </w:tcPr>
          <w:p w14:paraId="20561797" w14:textId="276660D5"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bCs/>
                <w:i/>
                <w:iCs/>
                <w:color w:val="000000"/>
                <w:szCs w:val="22"/>
              </w:rPr>
              <w:t>0.26%</w:t>
            </w:r>
          </w:p>
        </w:tc>
        <w:tc>
          <w:tcPr>
            <w:tcW w:w="1820" w:type="dxa"/>
            <w:shd w:val="clear" w:color="auto" w:fill="auto"/>
            <w:vAlign w:val="center"/>
          </w:tcPr>
          <w:p w14:paraId="21D3D18A" w14:textId="1D9DA18D"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bCs/>
                <w:i/>
                <w:iCs/>
                <w:color w:val="000000"/>
                <w:szCs w:val="22"/>
              </w:rPr>
              <w:t>0.06%</w:t>
            </w:r>
          </w:p>
        </w:tc>
      </w:tr>
      <w:tr w:rsidR="00570952" w:rsidRPr="00A83C94" w14:paraId="21BF6DF2" w14:textId="77777777" w:rsidTr="00570952">
        <w:trPr>
          <w:trHeight w:val="795"/>
        </w:trPr>
        <w:tc>
          <w:tcPr>
            <w:tcW w:w="764" w:type="dxa"/>
            <w:shd w:val="clear" w:color="auto" w:fill="DBE5F1" w:themeFill="accent1" w:themeFillTint="33"/>
            <w:vAlign w:val="center"/>
          </w:tcPr>
          <w:p w14:paraId="1E462340" w14:textId="434B4D5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3.3.</w:t>
            </w:r>
          </w:p>
        </w:tc>
        <w:tc>
          <w:tcPr>
            <w:tcW w:w="3443" w:type="dxa"/>
            <w:shd w:val="clear" w:color="auto" w:fill="DBE5F1" w:themeFill="accent1" w:themeFillTint="33"/>
            <w:vAlign w:val="center"/>
          </w:tcPr>
          <w:p w14:paraId="03C30481" w14:textId="3AE35933"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Հիպոտեկային</w:t>
            </w:r>
            <w:r w:rsidRPr="00A83C94">
              <w:rPr>
                <w:rFonts w:cs="Calibri"/>
                <w:b w:val="0"/>
                <w:i/>
                <w:iCs/>
                <w:color w:val="000000"/>
                <w:szCs w:val="22"/>
                <w:lang w:val="en-US"/>
              </w:rPr>
              <w:t xml:space="preserve"> </w:t>
            </w:r>
            <w:r w:rsidRPr="00A83C94">
              <w:rPr>
                <w:rFonts w:cs="Calibri"/>
                <w:b w:val="0"/>
                <w:i/>
                <w:iCs/>
                <w:color w:val="000000"/>
                <w:szCs w:val="22"/>
              </w:rPr>
              <w:t>վարկերի</w:t>
            </w:r>
            <w:r w:rsidRPr="00A83C94">
              <w:rPr>
                <w:rFonts w:cs="Calibri"/>
                <w:b w:val="0"/>
                <w:i/>
                <w:iCs/>
                <w:color w:val="000000"/>
                <w:szCs w:val="22"/>
                <w:lang w:val="en-US"/>
              </w:rPr>
              <w:t xml:space="preserve"> </w:t>
            </w:r>
            <w:r w:rsidRPr="00A83C94">
              <w:rPr>
                <w:rFonts w:cs="Calibri"/>
                <w:b w:val="0"/>
                <w:i/>
                <w:iCs/>
                <w:color w:val="000000"/>
                <w:szCs w:val="22"/>
              </w:rPr>
              <w:t>տոկոսների</w:t>
            </w:r>
            <w:r w:rsidRPr="00A83C94">
              <w:rPr>
                <w:rFonts w:cs="Calibri"/>
                <w:b w:val="0"/>
                <w:i/>
                <w:iCs/>
                <w:color w:val="000000"/>
                <w:szCs w:val="22"/>
                <w:lang w:val="en-US"/>
              </w:rPr>
              <w:t xml:space="preserve"> </w:t>
            </w:r>
            <w:r w:rsidRPr="00A83C94">
              <w:rPr>
                <w:rFonts w:cs="Calibri"/>
                <w:b w:val="0"/>
                <w:i/>
                <w:iCs/>
                <w:color w:val="000000"/>
                <w:szCs w:val="22"/>
              </w:rPr>
              <w:t>սպասարկման</w:t>
            </w:r>
            <w:r w:rsidRPr="00A83C94">
              <w:rPr>
                <w:rFonts w:cs="Calibri"/>
                <w:b w:val="0"/>
                <w:i/>
                <w:iCs/>
                <w:color w:val="000000"/>
                <w:szCs w:val="22"/>
                <w:lang w:val="en-US"/>
              </w:rPr>
              <w:t xml:space="preserve"> </w:t>
            </w:r>
            <w:r w:rsidRPr="00A83C94">
              <w:rPr>
                <w:rFonts w:cs="Calibri"/>
                <w:b w:val="0"/>
                <w:i/>
                <w:iCs/>
                <w:color w:val="000000"/>
                <w:szCs w:val="22"/>
              </w:rPr>
              <w:t>համար</w:t>
            </w:r>
            <w:r w:rsidRPr="00A83C94">
              <w:rPr>
                <w:rFonts w:cs="Calibri"/>
                <w:b w:val="0"/>
                <w:i/>
                <w:iCs/>
                <w:color w:val="000000"/>
                <w:szCs w:val="22"/>
                <w:lang w:val="en-US"/>
              </w:rPr>
              <w:t xml:space="preserve"> </w:t>
            </w:r>
            <w:r w:rsidRPr="00A83C94">
              <w:rPr>
                <w:rFonts w:cs="Calibri"/>
                <w:b w:val="0"/>
                <w:i/>
                <w:iCs/>
                <w:color w:val="000000"/>
                <w:szCs w:val="22"/>
              </w:rPr>
              <w:t>վերադարձված</w:t>
            </w:r>
            <w:r w:rsidRPr="00A83C94">
              <w:rPr>
                <w:rFonts w:cs="Calibri"/>
                <w:b w:val="0"/>
                <w:i/>
                <w:iCs/>
                <w:color w:val="000000"/>
                <w:szCs w:val="22"/>
                <w:lang w:val="en-US"/>
              </w:rPr>
              <w:t xml:space="preserve"> </w:t>
            </w:r>
            <w:r w:rsidRPr="00A83C94">
              <w:rPr>
                <w:rFonts w:cs="Calibri"/>
                <w:b w:val="0"/>
                <w:i/>
                <w:iCs/>
                <w:color w:val="000000"/>
                <w:szCs w:val="22"/>
              </w:rPr>
              <w:t>եկամտային</w:t>
            </w:r>
            <w:r w:rsidRPr="00A83C94">
              <w:rPr>
                <w:rFonts w:cs="Calibri"/>
                <w:b w:val="0"/>
                <w:i/>
                <w:iCs/>
                <w:color w:val="000000"/>
                <w:szCs w:val="22"/>
                <w:lang w:val="en-US"/>
              </w:rPr>
              <w:t xml:space="preserve"> </w:t>
            </w:r>
            <w:r w:rsidRPr="00A83C94">
              <w:rPr>
                <w:rFonts w:cs="Calibri"/>
                <w:b w:val="0"/>
                <w:i/>
                <w:iCs/>
                <w:color w:val="000000"/>
                <w:szCs w:val="22"/>
              </w:rPr>
              <w:t>հարկ</w:t>
            </w:r>
            <w:r w:rsidRPr="00A83C94">
              <w:rPr>
                <w:rFonts w:cs="Calibri"/>
                <w:b w:val="0"/>
                <w:i/>
                <w:iCs/>
                <w:color w:val="000000"/>
                <w:szCs w:val="22"/>
                <w:lang w:val="en-US"/>
              </w:rPr>
              <w:t xml:space="preserve"> </w:t>
            </w:r>
          </w:p>
        </w:tc>
        <w:tc>
          <w:tcPr>
            <w:tcW w:w="1820" w:type="dxa"/>
            <w:shd w:val="clear" w:color="auto" w:fill="DBE5F1" w:themeFill="accent1" w:themeFillTint="33"/>
            <w:vAlign w:val="center"/>
          </w:tcPr>
          <w:p w14:paraId="6B906974" w14:textId="3EE1DBC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38,005</w:t>
            </w:r>
          </w:p>
        </w:tc>
        <w:tc>
          <w:tcPr>
            <w:tcW w:w="1820" w:type="dxa"/>
            <w:shd w:val="clear" w:color="auto" w:fill="DBE5F1" w:themeFill="accent1" w:themeFillTint="33"/>
            <w:vAlign w:val="center"/>
          </w:tcPr>
          <w:p w14:paraId="1E2A87DF" w14:textId="79B8805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2.06%</w:t>
            </w:r>
          </w:p>
        </w:tc>
        <w:tc>
          <w:tcPr>
            <w:tcW w:w="1820" w:type="dxa"/>
            <w:shd w:val="clear" w:color="auto" w:fill="DBE5F1" w:themeFill="accent1" w:themeFillTint="33"/>
            <w:vAlign w:val="center"/>
          </w:tcPr>
          <w:p w14:paraId="60AB2BE2" w14:textId="36203B6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0.48%</w:t>
            </w:r>
          </w:p>
        </w:tc>
      </w:tr>
      <w:tr w:rsidR="00570952" w:rsidRPr="00A83C94" w14:paraId="629353DF" w14:textId="77777777" w:rsidTr="00570952">
        <w:trPr>
          <w:trHeight w:val="504"/>
        </w:trPr>
        <w:tc>
          <w:tcPr>
            <w:tcW w:w="764" w:type="dxa"/>
            <w:shd w:val="clear" w:color="auto" w:fill="auto"/>
            <w:vAlign w:val="center"/>
          </w:tcPr>
          <w:p w14:paraId="10F19C51" w14:textId="0D94E339"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3.4.</w:t>
            </w:r>
          </w:p>
        </w:tc>
        <w:tc>
          <w:tcPr>
            <w:tcW w:w="3443" w:type="dxa"/>
            <w:shd w:val="clear" w:color="auto" w:fill="auto"/>
            <w:vAlign w:val="center"/>
          </w:tcPr>
          <w:p w14:paraId="20069171" w14:textId="23DDC9A4"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ՏՏ ոլորտի արտոնություններ</w:t>
            </w:r>
          </w:p>
        </w:tc>
        <w:tc>
          <w:tcPr>
            <w:tcW w:w="1820" w:type="dxa"/>
            <w:shd w:val="clear" w:color="auto" w:fill="auto"/>
            <w:vAlign w:val="center"/>
          </w:tcPr>
          <w:p w14:paraId="37065080" w14:textId="0E8D5A7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4,091</w:t>
            </w:r>
          </w:p>
        </w:tc>
        <w:tc>
          <w:tcPr>
            <w:tcW w:w="1820" w:type="dxa"/>
            <w:shd w:val="clear" w:color="auto" w:fill="auto"/>
            <w:vAlign w:val="center"/>
          </w:tcPr>
          <w:p w14:paraId="084B1E0A" w14:textId="5FD36DE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0.22%</w:t>
            </w:r>
          </w:p>
        </w:tc>
        <w:tc>
          <w:tcPr>
            <w:tcW w:w="1820" w:type="dxa"/>
            <w:shd w:val="clear" w:color="auto" w:fill="auto"/>
            <w:vAlign w:val="center"/>
          </w:tcPr>
          <w:p w14:paraId="44CC0973" w14:textId="4D2D04D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r>
      <w:tr w:rsidR="00570952" w:rsidRPr="00A83C94" w14:paraId="17C91B71" w14:textId="77777777" w:rsidTr="00B86D85">
        <w:trPr>
          <w:trHeight w:val="375"/>
        </w:trPr>
        <w:tc>
          <w:tcPr>
            <w:tcW w:w="4207" w:type="dxa"/>
            <w:gridSpan w:val="2"/>
            <w:shd w:val="clear" w:color="auto" w:fill="4F81BD" w:themeFill="accent1"/>
            <w:vAlign w:val="center"/>
            <w:hideMark/>
          </w:tcPr>
          <w:p w14:paraId="49057CB6" w14:textId="77777777" w:rsidR="00570952" w:rsidRPr="00A83C94" w:rsidRDefault="00570952"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Ընդամենը</w:t>
            </w:r>
          </w:p>
        </w:tc>
        <w:tc>
          <w:tcPr>
            <w:tcW w:w="1820" w:type="dxa"/>
            <w:shd w:val="clear" w:color="auto" w:fill="4F81BD" w:themeFill="accent1"/>
            <w:vAlign w:val="center"/>
            <w:hideMark/>
          </w:tcPr>
          <w:p w14:paraId="728E1EC4" w14:textId="6A6EC68D" w:rsidR="00570952" w:rsidRPr="00A83C94" w:rsidRDefault="00570952"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hy-AM" w:eastAsia="en-US"/>
              </w:rPr>
              <w:t>503</w:t>
            </w:r>
            <w:r w:rsidRPr="00A83C94">
              <w:rPr>
                <w:rFonts w:cs="Calibri"/>
                <w:bCs/>
                <w:color w:val="FFFFFF" w:themeColor="background1"/>
                <w:szCs w:val="22"/>
                <w:lang w:val="en-US" w:eastAsia="en-US"/>
              </w:rPr>
              <w:t>,</w:t>
            </w:r>
            <w:r w:rsidRPr="00A83C94">
              <w:rPr>
                <w:rFonts w:cs="Calibri"/>
                <w:bCs/>
                <w:color w:val="FFFFFF" w:themeColor="background1"/>
                <w:szCs w:val="22"/>
                <w:lang w:val="hy-AM" w:eastAsia="en-US"/>
              </w:rPr>
              <w:t>301</w:t>
            </w:r>
          </w:p>
        </w:tc>
        <w:tc>
          <w:tcPr>
            <w:tcW w:w="1820" w:type="dxa"/>
            <w:shd w:val="clear" w:color="auto" w:fill="4F81BD" w:themeFill="accent1"/>
            <w:vAlign w:val="center"/>
            <w:hideMark/>
          </w:tcPr>
          <w:p w14:paraId="513F3E70" w14:textId="6FC35F4E" w:rsidR="00570952" w:rsidRPr="00A83C94" w:rsidRDefault="00570952" w:rsidP="006C390E">
            <w:pPr>
              <w:spacing w:before="0" w:line="276" w:lineRule="auto"/>
              <w:ind w:firstLine="0"/>
              <w:contextualSpacing w:val="0"/>
              <w:jc w:val="center"/>
              <w:rPr>
                <w:rFonts w:cs="Calibri"/>
                <w:bCs/>
                <w:i/>
                <w:iCs/>
                <w:color w:val="FFFFFF" w:themeColor="background1"/>
                <w:szCs w:val="22"/>
                <w:lang w:val="en-US" w:eastAsia="en-US"/>
              </w:rPr>
            </w:pPr>
            <w:r w:rsidRPr="00A83C94">
              <w:rPr>
                <w:rFonts w:cs="Calibri"/>
                <w:bCs/>
                <w:i/>
                <w:iCs/>
                <w:color w:val="FFFFFF" w:themeColor="background1"/>
                <w:szCs w:val="22"/>
                <w:lang w:val="hy-AM" w:eastAsia="en-US"/>
              </w:rPr>
              <w:t>27</w:t>
            </w:r>
            <w:r w:rsidRPr="00A83C94">
              <w:rPr>
                <w:rFonts w:cs="Calibri"/>
                <w:bCs/>
                <w:i/>
                <w:iCs/>
                <w:color w:val="FFFFFF" w:themeColor="background1"/>
                <w:szCs w:val="22"/>
                <w:lang w:val="en-US" w:eastAsia="en-US"/>
              </w:rPr>
              <w:t>.3</w:t>
            </w:r>
            <w:r w:rsidR="00376BD1" w:rsidRPr="00A83C94">
              <w:rPr>
                <w:rFonts w:cs="Calibri"/>
                <w:bCs/>
                <w:i/>
                <w:iCs/>
                <w:color w:val="FFFFFF" w:themeColor="background1"/>
                <w:szCs w:val="22"/>
                <w:lang w:val="en-US" w:eastAsia="en-US"/>
              </w:rPr>
              <w:t>0</w:t>
            </w:r>
            <w:r w:rsidRPr="00A83C94">
              <w:rPr>
                <w:rFonts w:cs="Calibri"/>
                <w:bCs/>
                <w:i/>
                <w:iCs/>
                <w:color w:val="FFFFFF" w:themeColor="background1"/>
                <w:szCs w:val="22"/>
                <w:lang w:val="en-US" w:eastAsia="en-US"/>
              </w:rPr>
              <w:t>%</w:t>
            </w:r>
          </w:p>
        </w:tc>
        <w:tc>
          <w:tcPr>
            <w:tcW w:w="1820" w:type="dxa"/>
            <w:shd w:val="clear" w:color="auto" w:fill="4F81BD" w:themeFill="accent1"/>
            <w:vAlign w:val="center"/>
            <w:hideMark/>
          </w:tcPr>
          <w:p w14:paraId="024B24A2" w14:textId="2F3DC042" w:rsidR="00570952" w:rsidRPr="00A83C94" w:rsidRDefault="00570952" w:rsidP="006C390E">
            <w:pPr>
              <w:spacing w:before="0" w:line="276" w:lineRule="auto"/>
              <w:ind w:firstLine="0"/>
              <w:contextualSpacing w:val="0"/>
              <w:jc w:val="center"/>
              <w:rPr>
                <w:rFonts w:cs="Calibri"/>
                <w:bCs/>
                <w:i/>
                <w:iCs/>
                <w:color w:val="FFFFFF" w:themeColor="background1"/>
                <w:szCs w:val="22"/>
                <w:lang w:val="en-US" w:eastAsia="en-US"/>
              </w:rPr>
            </w:pPr>
            <w:r w:rsidRPr="00A83C94">
              <w:rPr>
                <w:rFonts w:cs="Calibri"/>
                <w:bCs/>
                <w:i/>
                <w:iCs/>
                <w:color w:val="FFFFFF" w:themeColor="background1"/>
                <w:szCs w:val="22"/>
                <w:lang w:val="hy-AM" w:eastAsia="en-US"/>
              </w:rPr>
              <w:t>6</w:t>
            </w:r>
            <w:r w:rsidRPr="00A83C94">
              <w:rPr>
                <w:rFonts w:cs="Calibri"/>
                <w:bCs/>
                <w:i/>
                <w:iCs/>
                <w:color w:val="FFFFFF" w:themeColor="background1"/>
                <w:szCs w:val="22"/>
                <w:lang w:val="en-US" w:eastAsia="en-US"/>
              </w:rPr>
              <w:t>.4</w:t>
            </w:r>
            <w:r w:rsidR="00376BD1" w:rsidRPr="00A83C94">
              <w:rPr>
                <w:rFonts w:cs="Calibri"/>
                <w:bCs/>
                <w:i/>
                <w:iCs/>
                <w:color w:val="FFFFFF" w:themeColor="background1"/>
                <w:szCs w:val="22"/>
                <w:lang w:val="en-US" w:eastAsia="en-US"/>
              </w:rPr>
              <w:t>0</w:t>
            </w:r>
            <w:r w:rsidRPr="00A83C94">
              <w:rPr>
                <w:rFonts w:cs="Calibri"/>
                <w:bCs/>
                <w:i/>
                <w:iCs/>
                <w:color w:val="FFFFFF" w:themeColor="background1"/>
                <w:szCs w:val="22"/>
                <w:lang w:val="en-US" w:eastAsia="en-US"/>
              </w:rPr>
              <w:t>%</w:t>
            </w:r>
          </w:p>
        </w:tc>
      </w:tr>
    </w:tbl>
    <w:p w14:paraId="192E878F" w14:textId="77777777" w:rsidR="00A00B8B" w:rsidRPr="00A83C94" w:rsidRDefault="00A00B8B" w:rsidP="006C390E">
      <w:pPr>
        <w:tabs>
          <w:tab w:val="left" w:pos="588"/>
        </w:tabs>
        <w:spacing w:before="0" w:line="276" w:lineRule="auto"/>
        <w:ind w:firstLine="0"/>
        <w:contextualSpacing w:val="0"/>
        <w:jc w:val="left"/>
        <w:rPr>
          <w:b w:val="0"/>
          <w:i/>
          <w:szCs w:val="22"/>
          <w:lang w:val="en-US" w:eastAsia="en-US"/>
        </w:rPr>
      </w:pPr>
    </w:p>
    <w:p w14:paraId="1EB60531" w14:textId="77777777" w:rsidR="00570952" w:rsidRPr="00A83C94" w:rsidRDefault="00570952" w:rsidP="006C390E">
      <w:pPr>
        <w:spacing w:before="0" w:line="276" w:lineRule="auto"/>
        <w:ind w:firstLine="0"/>
        <w:contextualSpacing w:val="0"/>
        <w:jc w:val="center"/>
        <w:rPr>
          <w:szCs w:val="22"/>
          <w:lang w:val="en-US" w:eastAsia="en-US"/>
        </w:rPr>
      </w:pPr>
    </w:p>
    <w:p w14:paraId="6D29C548" w14:textId="77777777" w:rsidR="00570952" w:rsidRPr="00A83C94" w:rsidRDefault="00570952" w:rsidP="006C390E">
      <w:pPr>
        <w:spacing w:before="0" w:line="276" w:lineRule="auto"/>
        <w:ind w:firstLine="0"/>
        <w:contextualSpacing w:val="0"/>
        <w:jc w:val="center"/>
        <w:rPr>
          <w:szCs w:val="22"/>
          <w:lang w:val="en-US" w:eastAsia="en-US"/>
        </w:rPr>
      </w:pPr>
    </w:p>
    <w:p w14:paraId="0CD5FBDE" w14:textId="77777777" w:rsidR="00570952" w:rsidRPr="00A83C94" w:rsidRDefault="00570952" w:rsidP="007730AA">
      <w:pPr>
        <w:spacing w:before="0" w:line="276" w:lineRule="auto"/>
        <w:ind w:firstLine="0"/>
        <w:contextualSpacing w:val="0"/>
        <w:jc w:val="center"/>
        <w:rPr>
          <w:szCs w:val="22"/>
          <w:lang w:val="en-US" w:eastAsia="en-US"/>
        </w:rPr>
      </w:pPr>
    </w:p>
    <w:p w14:paraId="21BD2394" w14:textId="77777777" w:rsidR="00570952" w:rsidRPr="00A83C94" w:rsidRDefault="00570952" w:rsidP="007730AA">
      <w:pPr>
        <w:spacing w:before="0" w:line="276" w:lineRule="auto"/>
        <w:ind w:firstLine="0"/>
        <w:contextualSpacing w:val="0"/>
        <w:jc w:val="center"/>
        <w:rPr>
          <w:szCs w:val="22"/>
          <w:lang w:val="en-US" w:eastAsia="en-US"/>
        </w:rPr>
      </w:pPr>
    </w:p>
    <w:p w14:paraId="7CC5639F" w14:textId="77777777" w:rsidR="00570952" w:rsidRPr="00A83C94" w:rsidRDefault="00570952" w:rsidP="007730AA">
      <w:pPr>
        <w:spacing w:before="0" w:line="276" w:lineRule="auto"/>
        <w:ind w:firstLine="0"/>
        <w:contextualSpacing w:val="0"/>
        <w:jc w:val="center"/>
        <w:rPr>
          <w:szCs w:val="22"/>
          <w:lang w:val="en-US" w:eastAsia="en-US"/>
        </w:rPr>
      </w:pPr>
    </w:p>
    <w:p w14:paraId="0D987C1D" w14:textId="77777777" w:rsidR="00570952" w:rsidRPr="00A83C94" w:rsidRDefault="00570952" w:rsidP="007730AA">
      <w:pPr>
        <w:spacing w:before="0" w:line="276" w:lineRule="auto"/>
        <w:ind w:firstLine="0"/>
        <w:contextualSpacing w:val="0"/>
        <w:jc w:val="center"/>
        <w:rPr>
          <w:szCs w:val="22"/>
          <w:lang w:val="en-US" w:eastAsia="en-US"/>
        </w:rPr>
      </w:pPr>
    </w:p>
    <w:p w14:paraId="09047CF4" w14:textId="77777777" w:rsidR="00570952" w:rsidRPr="00A83C94" w:rsidRDefault="00570952" w:rsidP="007730AA">
      <w:pPr>
        <w:spacing w:before="0" w:line="276" w:lineRule="auto"/>
        <w:ind w:firstLine="0"/>
        <w:contextualSpacing w:val="0"/>
        <w:jc w:val="center"/>
        <w:rPr>
          <w:szCs w:val="22"/>
          <w:lang w:val="en-US" w:eastAsia="en-US"/>
        </w:rPr>
      </w:pPr>
    </w:p>
    <w:p w14:paraId="155FA91F" w14:textId="77777777" w:rsidR="00570952" w:rsidRPr="00A83C94" w:rsidRDefault="00570952" w:rsidP="007730AA">
      <w:pPr>
        <w:spacing w:before="0" w:line="276" w:lineRule="auto"/>
        <w:ind w:firstLine="0"/>
        <w:contextualSpacing w:val="0"/>
        <w:jc w:val="center"/>
        <w:rPr>
          <w:szCs w:val="22"/>
          <w:lang w:val="en-US" w:eastAsia="en-US"/>
        </w:rPr>
      </w:pPr>
    </w:p>
    <w:p w14:paraId="1F11220E" w14:textId="15CBABA2" w:rsidR="002B0C15" w:rsidRDefault="002B0C15">
      <w:pPr>
        <w:spacing w:before="0" w:line="240" w:lineRule="auto"/>
        <w:ind w:firstLine="0"/>
        <w:contextualSpacing w:val="0"/>
        <w:jc w:val="left"/>
        <w:rPr>
          <w:szCs w:val="22"/>
          <w:lang w:val="en-US" w:eastAsia="en-US"/>
        </w:rPr>
      </w:pPr>
      <w:r>
        <w:rPr>
          <w:szCs w:val="22"/>
          <w:lang w:val="en-US" w:eastAsia="en-US"/>
        </w:rPr>
        <w:br w:type="page"/>
      </w:r>
    </w:p>
    <w:p w14:paraId="34BB7A8A" w14:textId="2C6CF173" w:rsidR="008B76F4" w:rsidRDefault="008B76F4" w:rsidP="00C662D0">
      <w:pPr>
        <w:spacing w:before="0" w:line="276" w:lineRule="auto"/>
        <w:ind w:firstLine="0"/>
        <w:jc w:val="center"/>
        <w:outlineLvl w:val="0"/>
        <w:rPr>
          <w:bCs/>
          <w:kern w:val="28"/>
          <w:sz w:val="28"/>
          <w:szCs w:val="28"/>
        </w:rPr>
      </w:pPr>
      <w:bookmarkStart w:id="331" w:name="_Toc499827216"/>
      <w:bookmarkStart w:id="332" w:name="_Toc26174959"/>
      <w:bookmarkStart w:id="333" w:name="_Toc83996406"/>
      <w:r w:rsidRPr="00A83C94">
        <w:rPr>
          <w:bCs/>
          <w:kern w:val="28"/>
          <w:sz w:val="28"/>
          <w:szCs w:val="28"/>
        </w:rPr>
        <w:t>ԱՂՅՈՒՍԱԿՆԵՐ</w:t>
      </w:r>
      <w:bookmarkEnd w:id="331"/>
      <w:bookmarkEnd w:id="332"/>
      <w:bookmarkEnd w:id="333"/>
    </w:p>
    <w:p w14:paraId="6A779F04" w14:textId="77777777" w:rsidR="00E379BD" w:rsidRDefault="00E379BD" w:rsidP="00C662D0">
      <w:pPr>
        <w:spacing w:before="0" w:line="276" w:lineRule="auto"/>
        <w:ind w:firstLine="0"/>
        <w:jc w:val="center"/>
        <w:outlineLvl w:val="0"/>
        <w:rPr>
          <w:bCs/>
          <w:kern w:val="28"/>
          <w:sz w:val="28"/>
          <w:szCs w:val="28"/>
        </w:rPr>
      </w:pPr>
    </w:p>
    <w:p w14:paraId="43BD059E" w14:textId="6E49B966" w:rsidR="00E379BD" w:rsidRDefault="003C3925" w:rsidP="00054D48">
      <w:pPr>
        <w:pStyle w:val="TableofFigures"/>
        <w:tabs>
          <w:tab w:val="left" w:pos="1260"/>
        </w:tabs>
        <w:rPr>
          <w:rFonts w:asciiTheme="minorHAnsi" w:eastAsiaTheme="minorEastAsia" w:hAnsiTheme="minorHAnsi" w:cstheme="minorBidi"/>
          <w:noProof/>
          <w:szCs w:val="22"/>
          <w:lang w:val="en-US" w:eastAsia="en-US"/>
        </w:rPr>
      </w:pPr>
      <w:r w:rsidRPr="00A83C94">
        <w:rPr>
          <w:rFonts w:eastAsia="Calibri" w:cs="Times Armenian"/>
          <w:szCs w:val="22"/>
          <w:lang w:val="hy-AM" w:eastAsia="en-US"/>
        </w:rPr>
        <w:fldChar w:fldCharType="begin"/>
      </w:r>
      <w:r w:rsidR="008B76F4" w:rsidRPr="00A83C94">
        <w:rPr>
          <w:rFonts w:eastAsia="Calibri" w:cs="Times Armenian"/>
          <w:szCs w:val="22"/>
          <w:lang w:val="hy-AM" w:eastAsia="en-US"/>
        </w:rPr>
        <w:instrText xml:space="preserve"> TOC \h \z \c "Աղյուսակ" </w:instrText>
      </w:r>
      <w:r w:rsidRPr="00A83C94">
        <w:rPr>
          <w:rFonts w:eastAsia="Calibri" w:cs="Times Armenian"/>
          <w:szCs w:val="22"/>
          <w:lang w:val="hy-AM" w:eastAsia="en-US"/>
        </w:rPr>
        <w:fldChar w:fldCharType="separate"/>
      </w:r>
      <w:hyperlink w:anchor="_Toc83928938" w:history="1">
        <w:r w:rsidR="00E379BD" w:rsidRPr="00E80FCB">
          <w:rPr>
            <w:rStyle w:val="Hyperlink"/>
            <w:noProof/>
          </w:rPr>
          <w:t>Աղյուսակ 1</w:t>
        </w:r>
        <w:r w:rsidR="00E379BD" w:rsidRPr="00E80FCB">
          <w:rPr>
            <w:rStyle w:val="Hyperlink"/>
            <w:noProof/>
            <w:lang w:val="en-US"/>
          </w:rPr>
          <w:t xml:space="preserve">. </w:t>
        </w:r>
        <w:r w:rsidR="00E379BD" w:rsidRPr="00E80FCB">
          <w:rPr>
            <w:rStyle w:val="Hyperlink"/>
            <w:i/>
            <w:noProof/>
            <w:lang w:val="hy-AM"/>
          </w:rPr>
          <w:t>2018-2022թթ պետական բյուջեի ամփոփ ցուցանիշները (մլրդ դրամով)</w:t>
        </w:r>
        <w:r w:rsidR="00E379BD">
          <w:rPr>
            <w:rStyle w:val="Hyperlink"/>
            <w:i/>
            <w:noProof/>
            <w:lang w:val="en-US"/>
          </w:rPr>
          <w:t>…………..</w:t>
        </w:r>
        <w:r w:rsidR="00E379BD">
          <w:rPr>
            <w:noProof/>
            <w:webHidden/>
          </w:rPr>
          <w:tab/>
        </w:r>
        <w:r w:rsidR="00E379BD">
          <w:rPr>
            <w:noProof/>
            <w:webHidden/>
          </w:rPr>
          <w:fldChar w:fldCharType="begin"/>
        </w:r>
        <w:r w:rsidR="00E379BD">
          <w:rPr>
            <w:noProof/>
            <w:webHidden/>
          </w:rPr>
          <w:instrText xml:space="preserve"> PAGEREF _Toc83928938 \h </w:instrText>
        </w:r>
        <w:r w:rsidR="00E379BD">
          <w:rPr>
            <w:noProof/>
            <w:webHidden/>
          </w:rPr>
        </w:r>
        <w:r w:rsidR="00E379BD">
          <w:rPr>
            <w:noProof/>
            <w:webHidden/>
          </w:rPr>
          <w:fldChar w:fldCharType="separate"/>
        </w:r>
        <w:r w:rsidR="00A867B4">
          <w:rPr>
            <w:noProof/>
            <w:webHidden/>
          </w:rPr>
          <w:t>91</w:t>
        </w:r>
        <w:r w:rsidR="00E379BD">
          <w:rPr>
            <w:noProof/>
            <w:webHidden/>
          </w:rPr>
          <w:fldChar w:fldCharType="end"/>
        </w:r>
      </w:hyperlink>
    </w:p>
    <w:p w14:paraId="458D60A1" w14:textId="0B025996"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39" w:history="1">
        <w:r w:rsidR="00E379BD" w:rsidRPr="00E80FCB">
          <w:rPr>
            <w:rStyle w:val="Hyperlink"/>
            <w:noProof/>
          </w:rPr>
          <w:t>Աղյուսակ 2</w:t>
        </w:r>
        <w:r w:rsidR="00E379BD" w:rsidRPr="00E80FCB">
          <w:rPr>
            <w:rStyle w:val="Hyperlink"/>
            <w:rFonts w:ascii="MS Gothic" w:eastAsia="MS Gothic" w:hAnsi="MS Gothic" w:cs="MS Gothic" w:hint="eastAsia"/>
            <w:noProof/>
            <w:lang w:val="hy-AM"/>
          </w:rPr>
          <w:t>․</w:t>
        </w:r>
        <w:r w:rsidR="00E379BD" w:rsidRPr="00E80FCB">
          <w:rPr>
            <w:rStyle w:val="Hyperlink"/>
            <w:i/>
            <w:noProof/>
            <w:lang w:val="hy-AM"/>
          </w:rPr>
          <w:t xml:space="preserve"> 202</w:t>
        </w:r>
        <w:r w:rsidR="00E379BD" w:rsidRPr="00E80FCB">
          <w:rPr>
            <w:rStyle w:val="Hyperlink"/>
            <w:i/>
            <w:noProof/>
            <w:lang w:val="es-ES"/>
          </w:rPr>
          <w:t>2</w:t>
        </w:r>
        <w:r w:rsidR="00E379BD" w:rsidRPr="00E80FCB">
          <w:rPr>
            <w:rStyle w:val="Hyperlink"/>
            <w:i/>
            <w:noProof/>
            <w:lang w:val="hy-AM"/>
          </w:rPr>
          <w:t>թ ակնկալվող արտաքին օժանդակությունն ըստ բնույթի</w:t>
        </w:r>
        <w:r w:rsidR="00E379BD">
          <w:rPr>
            <w:noProof/>
            <w:webHidden/>
          </w:rPr>
          <w:tab/>
        </w:r>
        <w:r w:rsidR="00E379BD">
          <w:rPr>
            <w:noProof/>
            <w:webHidden/>
          </w:rPr>
          <w:fldChar w:fldCharType="begin"/>
        </w:r>
        <w:r w:rsidR="00E379BD">
          <w:rPr>
            <w:noProof/>
            <w:webHidden/>
          </w:rPr>
          <w:instrText xml:space="preserve"> PAGEREF _Toc83928939 \h </w:instrText>
        </w:r>
        <w:r w:rsidR="00E379BD">
          <w:rPr>
            <w:noProof/>
            <w:webHidden/>
          </w:rPr>
        </w:r>
        <w:r w:rsidR="00E379BD">
          <w:rPr>
            <w:noProof/>
            <w:webHidden/>
          </w:rPr>
          <w:fldChar w:fldCharType="separate"/>
        </w:r>
        <w:r w:rsidR="00A867B4">
          <w:rPr>
            <w:noProof/>
            <w:webHidden/>
          </w:rPr>
          <w:t>94</w:t>
        </w:r>
        <w:r w:rsidR="00E379BD">
          <w:rPr>
            <w:noProof/>
            <w:webHidden/>
          </w:rPr>
          <w:fldChar w:fldCharType="end"/>
        </w:r>
      </w:hyperlink>
    </w:p>
    <w:p w14:paraId="5BC0DF59" w14:textId="408CD900"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0" w:history="1">
        <w:r w:rsidR="00E379BD" w:rsidRPr="00E80FCB">
          <w:rPr>
            <w:rStyle w:val="Hyperlink"/>
            <w:noProof/>
          </w:rPr>
          <w:t>Աղյուսակ 3</w:t>
        </w:r>
        <w:r w:rsidR="00E379BD" w:rsidRPr="00E80FCB">
          <w:rPr>
            <w:rStyle w:val="Hyperlink"/>
            <w:rFonts w:ascii="MS Gothic" w:eastAsia="MS Gothic" w:hAnsi="MS Gothic" w:cs="MS Gothic" w:hint="eastAsia"/>
            <w:noProof/>
            <w:lang w:val="hy-AM"/>
          </w:rPr>
          <w:t>․</w:t>
        </w:r>
        <w:r w:rsidR="00E379BD" w:rsidRPr="00E80FCB">
          <w:rPr>
            <w:rStyle w:val="Hyperlink"/>
            <w:rFonts w:ascii="Cambria Math" w:hAnsi="Cambria Math"/>
            <w:noProof/>
            <w:lang w:val="hy-AM"/>
          </w:rPr>
          <w:t xml:space="preserve"> </w:t>
        </w:r>
        <w:r w:rsidR="00E379BD" w:rsidRPr="00E80FCB">
          <w:rPr>
            <w:rStyle w:val="Hyperlink"/>
            <w:i/>
            <w:noProof/>
            <w:lang w:val="hy-AM"/>
          </w:rPr>
          <w:t>ՀՀ 2022 թվականի պետական բյուջեի նախագծի հաշվարկներում կիրառված տարադրամների փոխարժեքները ՀՀ դրամով</w:t>
        </w:r>
        <w:r w:rsidR="00E379BD">
          <w:rPr>
            <w:noProof/>
            <w:webHidden/>
          </w:rPr>
          <w:tab/>
        </w:r>
        <w:r w:rsidR="00E379BD">
          <w:rPr>
            <w:noProof/>
            <w:webHidden/>
          </w:rPr>
          <w:fldChar w:fldCharType="begin"/>
        </w:r>
        <w:r w:rsidR="00E379BD">
          <w:rPr>
            <w:noProof/>
            <w:webHidden/>
          </w:rPr>
          <w:instrText xml:space="preserve"> PAGEREF _Toc83928940 \h </w:instrText>
        </w:r>
        <w:r w:rsidR="00E379BD">
          <w:rPr>
            <w:noProof/>
            <w:webHidden/>
          </w:rPr>
        </w:r>
        <w:r w:rsidR="00E379BD">
          <w:rPr>
            <w:noProof/>
            <w:webHidden/>
          </w:rPr>
          <w:fldChar w:fldCharType="separate"/>
        </w:r>
        <w:r w:rsidR="00A867B4">
          <w:rPr>
            <w:noProof/>
            <w:webHidden/>
          </w:rPr>
          <w:t>94</w:t>
        </w:r>
        <w:r w:rsidR="00E379BD">
          <w:rPr>
            <w:noProof/>
            <w:webHidden/>
          </w:rPr>
          <w:fldChar w:fldCharType="end"/>
        </w:r>
      </w:hyperlink>
    </w:p>
    <w:p w14:paraId="11453187" w14:textId="10D7B8B6"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1" w:history="1">
        <w:r w:rsidR="00E379BD" w:rsidRPr="00E80FCB">
          <w:rPr>
            <w:rStyle w:val="Hyperlink"/>
            <w:noProof/>
          </w:rPr>
          <w:t>Աղյուսակ 4</w:t>
        </w:r>
        <w:r w:rsidR="00E379BD" w:rsidRPr="00E80FCB">
          <w:rPr>
            <w:rStyle w:val="Hyperlink"/>
            <w:rFonts w:ascii="MS Gothic" w:eastAsia="MS Gothic" w:hAnsi="MS Gothic" w:cs="MS Gothic" w:hint="eastAsia"/>
            <w:noProof/>
            <w:lang w:val="hy-AM"/>
          </w:rPr>
          <w:t>․</w:t>
        </w:r>
        <w:r w:rsidR="00E379BD" w:rsidRPr="00E80FCB">
          <w:rPr>
            <w:rStyle w:val="Hyperlink"/>
            <w:rFonts w:ascii="Cambria Math" w:hAnsi="Cambria Math"/>
            <w:noProof/>
            <w:lang w:val="hy-AM"/>
          </w:rPr>
          <w:t xml:space="preserve"> </w:t>
        </w:r>
        <w:r w:rsidR="00E379BD" w:rsidRPr="00E80FCB">
          <w:rPr>
            <w:rStyle w:val="Hyperlink"/>
            <w:i/>
            <w:noProof/>
            <w:lang w:val="hy-AM"/>
          </w:rPr>
          <w:t>ՀՀ 2018-2022թթ. պետական բյուջեների դեֆիցիտի ֆինանսավորման աղբյուրները (մլն դրամ)</w:t>
        </w:r>
        <w:r w:rsidR="00E379BD">
          <w:rPr>
            <w:noProof/>
            <w:webHidden/>
          </w:rPr>
          <w:tab/>
        </w:r>
        <w:r w:rsidR="00E379BD">
          <w:rPr>
            <w:noProof/>
            <w:webHidden/>
          </w:rPr>
          <w:fldChar w:fldCharType="begin"/>
        </w:r>
        <w:r w:rsidR="00E379BD">
          <w:rPr>
            <w:noProof/>
            <w:webHidden/>
          </w:rPr>
          <w:instrText xml:space="preserve"> PAGEREF _Toc83928941 \h </w:instrText>
        </w:r>
        <w:r w:rsidR="00E379BD">
          <w:rPr>
            <w:noProof/>
            <w:webHidden/>
          </w:rPr>
        </w:r>
        <w:r w:rsidR="00E379BD">
          <w:rPr>
            <w:noProof/>
            <w:webHidden/>
          </w:rPr>
          <w:fldChar w:fldCharType="separate"/>
        </w:r>
        <w:r w:rsidR="00A867B4">
          <w:rPr>
            <w:noProof/>
            <w:webHidden/>
          </w:rPr>
          <w:t>96</w:t>
        </w:r>
        <w:r w:rsidR="00E379BD">
          <w:rPr>
            <w:noProof/>
            <w:webHidden/>
          </w:rPr>
          <w:fldChar w:fldCharType="end"/>
        </w:r>
      </w:hyperlink>
    </w:p>
    <w:p w14:paraId="2689B381" w14:textId="5765F936"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2" w:history="1">
        <w:r w:rsidR="00E379BD" w:rsidRPr="00E80FCB">
          <w:rPr>
            <w:rStyle w:val="Hyperlink"/>
            <w:noProof/>
          </w:rPr>
          <w:t>Աղյուսակ 5</w:t>
        </w:r>
        <w:r w:rsidR="00E379BD" w:rsidRPr="00E80FCB">
          <w:rPr>
            <w:rStyle w:val="Hyperlink"/>
            <w:rFonts w:ascii="MS Gothic" w:eastAsia="MS Gothic" w:hAnsi="MS Gothic" w:cs="MS Gothic" w:hint="eastAsia"/>
            <w:noProof/>
            <w:lang w:val="hy-AM"/>
          </w:rPr>
          <w:t>․</w:t>
        </w:r>
        <w:r w:rsidR="00E379BD" w:rsidRPr="00E80FCB">
          <w:rPr>
            <w:rStyle w:val="Hyperlink"/>
            <w:rFonts w:ascii="Cambria Math" w:hAnsi="Cambria Math"/>
            <w:noProof/>
            <w:lang w:val="hy-AM"/>
          </w:rPr>
          <w:t xml:space="preserve"> </w:t>
        </w:r>
        <w:r w:rsidR="00E379BD" w:rsidRPr="00E80FCB">
          <w:rPr>
            <w:rStyle w:val="Hyperlink"/>
            <w:i/>
            <w:noProof/>
            <w:lang w:val="hy-AM"/>
          </w:rPr>
          <w:t>Ընդհանուր և առաջնային դեֆիցիտները (%-ով ՀՆԱ-ի նկատմամբ) 202</w:t>
        </w:r>
        <w:r w:rsidR="00E379BD" w:rsidRPr="00E80FCB">
          <w:rPr>
            <w:rStyle w:val="Hyperlink"/>
            <w:i/>
            <w:noProof/>
            <w:lang w:val="en-US"/>
          </w:rPr>
          <w:t>2</w:t>
        </w:r>
        <w:r w:rsidR="00E379BD" w:rsidRPr="00E80FCB">
          <w:rPr>
            <w:rStyle w:val="Hyperlink"/>
            <w:i/>
            <w:noProof/>
            <w:lang w:val="hy-AM"/>
          </w:rPr>
          <w:t>թ</w:t>
        </w:r>
        <w:r w:rsidR="00E379BD">
          <w:rPr>
            <w:rStyle w:val="Hyperlink"/>
            <w:i/>
            <w:noProof/>
            <w:lang w:val="en-US"/>
          </w:rPr>
          <w:t>………………</w:t>
        </w:r>
        <w:r w:rsidR="00E379BD">
          <w:rPr>
            <w:noProof/>
            <w:webHidden/>
          </w:rPr>
          <w:tab/>
        </w:r>
        <w:r w:rsidR="00E379BD">
          <w:rPr>
            <w:noProof/>
            <w:webHidden/>
          </w:rPr>
          <w:fldChar w:fldCharType="begin"/>
        </w:r>
        <w:r w:rsidR="00E379BD">
          <w:rPr>
            <w:noProof/>
            <w:webHidden/>
          </w:rPr>
          <w:instrText xml:space="preserve"> PAGEREF _Toc83928942 \h </w:instrText>
        </w:r>
        <w:r w:rsidR="00E379BD">
          <w:rPr>
            <w:noProof/>
            <w:webHidden/>
          </w:rPr>
        </w:r>
        <w:r w:rsidR="00E379BD">
          <w:rPr>
            <w:noProof/>
            <w:webHidden/>
          </w:rPr>
          <w:fldChar w:fldCharType="separate"/>
        </w:r>
        <w:r w:rsidR="00A867B4">
          <w:rPr>
            <w:noProof/>
            <w:webHidden/>
          </w:rPr>
          <w:t>96</w:t>
        </w:r>
        <w:r w:rsidR="00E379BD">
          <w:rPr>
            <w:noProof/>
            <w:webHidden/>
          </w:rPr>
          <w:fldChar w:fldCharType="end"/>
        </w:r>
      </w:hyperlink>
    </w:p>
    <w:p w14:paraId="0BB81CD4" w14:textId="10C5E6C8"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3" w:history="1">
        <w:r w:rsidR="00E379BD" w:rsidRPr="00E80FCB">
          <w:rPr>
            <w:rStyle w:val="Hyperlink"/>
            <w:noProof/>
          </w:rPr>
          <w:t>Աղյուսակ 6</w:t>
        </w:r>
        <w:r w:rsidR="00E379BD" w:rsidRPr="00E80FCB">
          <w:rPr>
            <w:rStyle w:val="Hyperlink"/>
            <w:rFonts w:ascii="MS Gothic" w:eastAsia="MS Gothic" w:hAnsi="MS Gothic" w:cs="MS Gothic" w:hint="eastAsia"/>
            <w:noProof/>
            <w:lang w:val="hy-AM"/>
          </w:rPr>
          <w:t>․</w:t>
        </w:r>
        <w:r w:rsidR="00E379BD" w:rsidRPr="00E80FCB">
          <w:rPr>
            <w:rStyle w:val="Hyperlink"/>
            <w:rFonts w:ascii="Cambria Math" w:hAnsi="Cambria Math"/>
            <w:noProof/>
            <w:lang w:val="hy-AM"/>
          </w:rPr>
          <w:t xml:space="preserve"> </w:t>
        </w:r>
        <w:r w:rsidR="00E379BD" w:rsidRPr="00E80FCB">
          <w:rPr>
            <w:rStyle w:val="Hyperlink"/>
            <w:i/>
            <w:noProof/>
            <w:lang w:val="hy-AM"/>
          </w:rPr>
          <w:t>2018-202</w:t>
        </w:r>
        <w:r w:rsidR="00E379BD" w:rsidRPr="00E80FCB">
          <w:rPr>
            <w:rStyle w:val="Hyperlink"/>
            <w:i/>
            <w:noProof/>
            <w:lang w:val="fr-FR"/>
          </w:rPr>
          <w:t>2</w:t>
        </w:r>
        <w:r w:rsidR="00E379BD" w:rsidRPr="00E80FCB">
          <w:rPr>
            <w:rStyle w:val="Hyperlink"/>
            <w:i/>
            <w:noProof/>
            <w:lang w:val="hy-AM"/>
          </w:rPr>
          <w:t>թթ փաստացի/կանխատեսումային բյուջետային եկամուտները (մլրդ դրամներով)</w:t>
        </w:r>
        <w:r w:rsidR="00E379BD">
          <w:rPr>
            <w:noProof/>
            <w:webHidden/>
          </w:rPr>
          <w:tab/>
        </w:r>
        <w:r w:rsidR="00E379BD">
          <w:rPr>
            <w:noProof/>
            <w:webHidden/>
          </w:rPr>
          <w:fldChar w:fldCharType="begin"/>
        </w:r>
        <w:r w:rsidR="00E379BD">
          <w:rPr>
            <w:noProof/>
            <w:webHidden/>
          </w:rPr>
          <w:instrText xml:space="preserve"> PAGEREF _Toc83928943 \h </w:instrText>
        </w:r>
        <w:r w:rsidR="00E379BD">
          <w:rPr>
            <w:noProof/>
            <w:webHidden/>
          </w:rPr>
        </w:r>
        <w:r w:rsidR="00E379BD">
          <w:rPr>
            <w:noProof/>
            <w:webHidden/>
          </w:rPr>
          <w:fldChar w:fldCharType="separate"/>
        </w:r>
        <w:r w:rsidR="00A867B4">
          <w:rPr>
            <w:noProof/>
            <w:webHidden/>
          </w:rPr>
          <w:t>97</w:t>
        </w:r>
        <w:r w:rsidR="00E379BD">
          <w:rPr>
            <w:noProof/>
            <w:webHidden/>
          </w:rPr>
          <w:fldChar w:fldCharType="end"/>
        </w:r>
      </w:hyperlink>
    </w:p>
    <w:p w14:paraId="3136B700" w14:textId="40A7A08C"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4" w:history="1">
        <w:r w:rsidR="00E379BD" w:rsidRPr="00E80FCB">
          <w:rPr>
            <w:rStyle w:val="Hyperlink"/>
            <w:noProof/>
          </w:rPr>
          <w:t>Աղյուսակ 7</w:t>
        </w:r>
        <w:r w:rsidR="00E379BD" w:rsidRPr="00E80FCB">
          <w:rPr>
            <w:rStyle w:val="Hyperlink"/>
            <w:rFonts w:ascii="MS Gothic" w:eastAsia="MS Gothic" w:hAnsi="MS Gothic" w:cs="MS Gothic" w:hint="eastAsia"/>
            <w:noProof/>
            <w:lang w:val="hy-AM"/>
          </w:rPr>
          <w:t>․</w:t>
        </w:r>
        <w:r w:rsidR="00E379BD" w:rsidRPr="00E80FCB">
          <w:rPr>
            <w:rStyle w:val="Hyperlink"/>
            <w:rFonts w:ascii="Cambria Math" w:hAnsi="Cambria Math"/>
            <w:noProof/>
            <w:lang w:val="hy-AM"/>
          </w:rPr>
          <w:t xml:space="preserve"> </w:t>
        </w:r>
        <w:r w:rsidR="00E379BD" w:rsidRPr="00E80FCB">
          <w:rPr>
            <w:rStyle w:val="Hyperlink"/>
            <w:i/>
            <w:noProof/>
            <w:lang w:val="hy-AM"/>
          </w:rPr>
          <w:t>2018-2022թթ փաստացի/կանխատեսումային պաշտոնական դրամաշնորհները (մլրդ դրամներով)</w:t>
        </w:r>
        <w:r w:rsidR="00E379BD">
          <w:rPr>
            <w:noProof/>
            <w:webHidden/>
          </w:rPr>
          <w:tab/>
        </w:r>
        <w:r w:rsidR="00E379BD">
          <w:rPr>
            <w:noProof/>
            <w:webHidden/>
          </w:rPr>
          <w:fldChar w:fldCharType="begin"/>
        </w:r>
        <w:r w:rsidR="00E379BD">
          <w:rPr>
            <w:noProof/>
            <w:webHidden/>
          </w:rPr>
          <w:instrText xml:space="preserve"> PAGEREF _Toc83928944 \h </w:instrText>
        </w:r>
        <w:r w:rsidR="00E379BD">
          <w:rPr>
            <w:noProof/>
            <w:webHidden/>
          </w:rPr>
        </w:r>
        <w:r w:rsidR="00E379BD">
          <w:rPr>
            <w:noProof/>
            <w:webHidden/>
          </w:rPr>
          <w:fldChar w:fldCharType="separate"/>
        </w:r>
        <w:r w:rsidR="00A867B4">
          <w:rPr>
            <w:noProof/>
            <w:webHidden/>
          </w:rPr>
          <w:t>104</w:t>
        </w:r>
        <w:r w:rsidR="00E379BD">
          <w:rPr>
            <w:noProof/>
            <w:webHidden/>
          </w:rPr>
          <w:fldChar w:fldCharType="end"/>
        </w:r>
      </w:hyperlink>
    </w:p>
    <w:p w14:paraId="1B174781" w14:textId="28DBF073"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5" w:history="1">
        <w:r w:rsidR="00E379BD" w:rsidRPr="00E80FCB">
          <w:rPr>
            <w:rStyle w:val="Hyperlink"/>
            <w:noProof/>
          </w:rPr>
          <w:t>Աղյուսակ 8</w:t>
        </w:r>
        <w:r w:rsidR="00E379BD" w:rsidRPr="00E80FCB">
          <w:rPr>
            <w:rStyle w:val="Hyperlink"/>
            <w:rFonts w:ascii="MS Gothic" w:eastAsia="MS Gothic" w:hAnsi="MS Gothic" w:cs="MS Gothic" w:hint="eastAsia"/>
            <w:noProof/>
            <w:lang w:val="hy-AM"/>
          </w:rPr>
          <w:t>․</w:t>
        </w:r>
        <w:r w:rsidR="00E379BD" w:rsidRPr="00E80FCB">
          <w:rPr>
            <w:rStyle w:val="Hyperlink"/>
            <w:noProof/>
            <w:lang w:val="af-ZA"/>
          </w:rPr>
          <w:t xml:space="preserve"> </w:t>
        </w:r>
        <w:r w:rsidR="00E379BD" w:rsidRPr="00E80FCB">
          <w:rPr>
            <w:rStyle w:val="Hyperlink"/>
            <w:i/>
            <w:noProof/>
          </w:rPr>
          <w:t>Այլ</w:t>
        </w:r>
        <w:r w:rsidR="00E379BD" w:rsidRPr="00E80FCB">
          <w:rPr>
            <w:rStyle w:val="Hyperlink"/>
            <w:i/>
            <w:noProof/>
            <w:lang w:val="af-ZA"/>
          </w:rPr>
          <w:t xml:space="preserve"> </w:t>
        </w:r>
        <w:r w:rsidR="00E379BD" w:rsidRPr="00E80FCB">
          <w:rPr>
            <w:rStyle w:val="Hyperlink"/>
            <w:i/>
            <w:noProof/>
          </w:rPr>
          <w:t>եկամուտների</w:t>
        </w:r>
        <w:r w:rsidR="00E379BD" w:rsidRPr="00E80FCB">
          <w:rPr>
            <w:rStyle w:val="Hyperlink"/>
            <w:i/>
            <w:noProof/>
            <w:lang w:val="af-ZA"/>
          </w:rPr>
          <w:t xml:space="preserve"> </w:t>
        </w:r>
        <w:r w:rsidR="00E379BD" w:rsidRPr="00E80FCB">
          <w:rPr>
            <w:rStyle w:val="Hyperlink"/>
            <w:i/>
            <w:noProof/>
          </w:rPr>
          <w:t>կազմում</w:t>
        </w:r>
        <w:r w:rsidR="00E379BD" w:rsidRPr="00E80FCB">
          <w:rPr>
            <w:rStyle w:val="Hyperlink"/>
            <w:i/>
            <w:noProof/>
            <w:lang w:val="af-ZA"/>
          </w:rPr>
          <w:t xml:space="preserve"> </w:t>
        </w:r>
        <w:r w:rsidR="00E379BD" w:rsidRPr="00E80FCB">
          <w:rPr>
            <w:rStyle w:val="Hyperlink"/>
            <w:i/>
            <w:noProof/>
          </w:rPr>
          <w:t>հաշվառվող</w:t>
        </w:r>
        <w:r w:rsidR="00E379BD" w:rsidRPr="00E80FCB">
          <w:rPr>
            <w:rStyle w:val="Hyperlink"/>
            <w:i/>
            <w:noProof/>
            <w:lang w:val="af-ZA"/>
          </w:rPr>
          <w:t xml:space="preserve"> </w:t>
        </w:r>
        <w:r w:rsidR="00E379BD" w:rsidRPr="00E80FCB">
          <w:rPr>
            <w:rStyle w:val="Hyperlink"/>
            <w:i/>
            <w:noProof/>
          </w:rPr>
          <w:t>եկամտատեսակների</w:t>
        </w:r>
        <w:r w:rsidR="00E379BD" w:rsidRPr="00E80FCB">
          <w:rPr>
            <w:rStyle w:val="Hyperlink"/>
            <w:i/>
            <w:noProof/>
            <w:lang w:val="af-ZA"/>
          </w:rPr>
          <w:t xml:space="preserve"> </w:t>
        </w:r>
        <w:r w:rsidR="00E379BD" w:rsidRPr="00E80FCB">
          <w:rPr>
            <w:rStyle w:val="Hyperlink"/>
            <w:i/>
            <w:noProof/>
          </w:rPr>
          <w:t>գծով</w:t>
        </w:r>
        <w:r w:rsidR="00E379BD" w:rsidRPr="00E80FCB">
          <w:rPr>
            <w:rStyle w:val="Hyperlink"/>
            <w:i/>
            <w:noProof/>
            <w:lang w:val="af-ZA"/>
          </w:rPr>
          <w:t xml:space="preserve"> </w:t>
        </w:r>
        <w:r w:rsidR="00E379BD" w:rsidRPr="00E80FCB">
          <w:rPr>
            <w:rStyle w:val="Hyperlink"/>
            <w:i/>
            <w:noProof/>
          </w:rPr>
          <w:t>ՀՀ</w:t>
        </w:r>
        <w:r w:rsidR="00E379BD" w:rsidRPr="00E80FCB">
          <w:rPr>
            <w:rStyle w:val="Hyperlink"/>
            <w:i/>
            <w:noProof/>
            <w:lang w:val="af-ZA"/>
          </w:rPr>
          <w:t xml:space="preserve"> 2018-2022</w:t>
        </w:r>
        <w:r w:rsidR="00E379BD" w:rsidRPr="00E80FCB">
          <w:rPr>
            <w:rStyle w:val="Hyperlink"/>
            <w:i/>
            <w:noProof/>
          </w:rPr>
          <w:t>թթ</w:t>
        </w:r>
        <w:r w:rsidR="00E379BD" w:rsidRPr="00E80FCB">
          <w:rPr>
            <w:rStyle w:val="Hyperlink"/>
            <w:i/>
            <w:noProof/>
            <w:lang w:val="af-ZA"/>
          </w:rPr>
          <w:t xml:space="preserve"> </w:t>
        </w:r>
        <w:r w:rsidR="00E379BD" w:rsidRPr="00E80FCB">
          <w:rPr>
            <w:rStyle w:val="Hyperlink"/>
            <w:i/>
            <w:noProof/>
          </w:rPr>
          <w:t>փաստացի</w:t>
        </w:r>
        <w:r w:rsidR="00E379BD" w:rsidRPr="00E80FCB">
          <w:rPr>
            <w:rStyle w:val="Hyperlink"/>
            <w:i/>
            <w:noProof/>
            <w:lang w:val="af-ZA"/>
          </w:rPr>
          <w:t>/</w:t>
        </w:r>
        <w:r w:rsidR="00E379BD" w:rsidRPr="00E80FCB">
          <w:rPr>
            <w:rStyle w:val="Hyperlink"/>
            <w:i/>
            <w:noProof/>
          </w:rPr>
          <w:t>կանխատեսումային</w:t>
        </w:r>
        <w:r w:rsidR="00E379BD" w:rsidRPr="00E80FCB">
          <w:rPr>
            <w:rStyle w:val="Hyperlink"/>
            <w:i/>
            <w:noProof/>
            <w:lang w:val="af-ZA"/>
          </w:rPr>
          <w:t xml:space="preserve"> </w:t>
        </w:r>
        <w:r w:rsidR="00E379BD" w:rsidRPr="00E80FCB">
          <w:rPr>
            <w:rStyle w:val="Hyperlink"/>
            <w:i/>
            <w:noProof/>
          </w:rPr>
          <w:t>ցուցանիշները</w:t>
        </w:r>
        <w:r w:rsidR="00E379BD" w:rsidRPr="00E80FCB">
          <w:rPr>
            <w:rStyle w:val="Hyperlink"/>
            <w:i/>
            <w:noProof/>
            <w:lang w:val="af-ZA"/>
          </w:rPr>
          <w:t xml:space="preserve"> (</w:t>
        </w:r>
        <w:r w:rsidR="00E379BD" w:rsidRPr="00E80FCB">
          <w:rPr>
            <w:rStyle w:val="Hyperlink"/>
            <w:i/>
            <w:noProof/>
          </w:rPr>
          <w:t>մլրդ</w:t>
        </w:r>
        <w:r w:rsidR="00E379BD" w:rsidRPr="00E80FCB">
          <w:rPr>
            <w:rStyle w:val="Hyperlink"/>
            <w:i/>
            <w:noProof/>
            <w:lang w:val="af-ZA"/>
          </w:rPr>
          <w:t xml:space="preserve"> </w:t>
        </w:r>
        <w:r w:rsidR="00E379BD" w:rsidRPr="00E80FCB">
          <w:rPr>
            <w:rStyle w:val="Hyperlink"/>
            <w:i/>
            <w:noProof/>
          </w:rPr>
          <w:t>դրամներով</w:t>
        </w:r>
        <w:r w:rsidR="00E379BD" w:rsidRPr="00E80FCB">
          <w:rPr>
            <w:rStyle w:val="Hyperlink"/>
            <w:i/>
            <w:noProof/>
            <w:lang w:val="af-ZA"/>
          </w:rPr>
          <w:t>)</w:t>
        </w:r>
        <w:r w:rsidR="00E379BD">
          <w:rPr>
            <w:noProof/>
            <w:webHidden/>
          </w:rPr>
          <w:tab/>
        </w:r>
        <w:r w:rsidR="00E379BD">
          <w:rPr>
            <w:noProof/>
            <w:webHidden/>
          </w:rPr>
          <w:fldChar w:fldCharType="begin"/>
        </w:r>
        <w:r w:rsidR="00E379BD">
          <w:rPr>
            <w:noProof/>
            <w:webHidden/>
          </w:rPr>
          <w:instrText xml:space="preserve"> PAGEREF _Toc83928945 \h </w:instrText>
        </w:r>
        <w:r w:rsidR="00E379BD">
          <w:rPr>
            <w:noProof/>
            <w:webHidden/>
          </w:rPr>
        </w:r>
        <w:r w:rsidR="00E379BD">
          <w:rPr>
            <w:noProof/>
            <w:webHidden/>
          </w:rPr>
          <w:fldChar w:fldCharType="separate"/>
        </w:r>
        <w:r w:rsidR="00A867B4">
          <w:rPr>
            <w:noProof/>
            <w:webHidden/>
          </w:rPr>
          <w:t>105</w:t>
        </w:r>
        <w:r w:rsidR="00E379BD">
          <w:rPr>
            <w:noProof/>
            <w:webHidden/>
          </w:rPr>
          <w:fldChar w:fldCharType="end"/>
        </w:r>
      </w:hyperlink>
    </w:p>
    <w:p w14:paraId="671EE4CC" w14:textId="0B02A9EA"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6" w:history="1">
        <w:r w:rsidR="00E379BD" w:rsidRPr="00E80FCB">
          <w:rPr>
            <w:rStyle w:val="Hyperlink"/>
            <w:noProof/>
          </w:rPr>
          <w:t>Աղյուսակ 9</w:t>
        </w:r>
        <w:r w:rsidR="00E379BD" w:rsidRPr="00E80FCB">
          <w:rPr>
            <w:rStyle w:val="Hyperlink"/>
            <w:rFonts w:ascii="MS Gothic" w:eastAsia="MS Gothic" w:hAnsi="MS Gothic" w:cs="MS Gothic" w:hint="eastAsia"/>
            <w:noProof/>
            <w:lang w:val="hy-AM"/>
          </w:rPr>
          <w:t>․</w:t>
        </w:r>
        <w:r w:rsidR="00E379BD" w:rsidRPr="00E80FCB">
          <w:rPr>
            <w:rStyle w:val="Hyperlink"/>
            <w:noProof/>
            <w:lang w:val="af-ZA"/>
          </w:rPr>
          <w:t xml:space="preserve"> </w:t>
        </w:r>
        <w:r w:rsidR="00E379BD" w:rsidRPr="00E80FCB">
          <w:rPr>
            <w:rStyle w:val="Hyperlink"/>
            <w:i/>
            <w:noProof/>
            <w:lang w:val="af-ZA"/>
          </w:rPr>
          <w:t>2018-2022</w:t>
        </w:r>
        <w:r w:rsidR="00E379BD" w:rsidRPr="00E80FCB">
          <w:rPr>
            <w:rStyle w:val="Hyperlink"/>
            <w:i/>
            <w:noProof/>
          </w:rPr>
          <w:t>թթ</w:t>
        </w:r>
        <w:r w:rsidR="00E379BD" w:rsidRPr="00E80FCB">
          <w:rPr>
            <w:rStyle w:val="Hyperlink"/>
            <w:i/>
            <w:noProof/>
            <w:lang w:val="af-ZA"/>
          </w:rPr>
          <w:t xml:space="preserve"> </w:t>
        </w:r>
        <w:r w:rsidR="00E379BD" w:rsidRPr="00E80FCB">
          <w:rPr>
            <w:rStyle w:val="Hyperlink"/>
            <w:i/>
            <w:noProof/>
          </w:rPr>
          <w:t>ընթացիկ</w:t>
        </w:r>
        <w:r w:rsidR="00E379BD" w:rsidRPr="00E80FCB">
          <w:rPr>
            <w:rStyle w:val="Hyperlink"/>
            <w:i/>
            <w:noProof/>
            <w:lang w:val="af-ZA"/>
          </w:rPr>
          <w:t xml:space="preserve"> </w:t>
        </w:r>
        <w:r w:rsidR="00E379BD" w:rsidRPr="00E80FCB">
          <w:rPr>
            <w:rStyle w:val="Hyperlink"/>
            <w:i/>
            <w:noProof/>
          </w:rPr>
          <w:t>և</w:t>
        </w:r>
        <w:r w:rsidR="00E379BD" w:rsidRPr="00E80FCB">
          <w:rPr>
            <w:rStyle w:val="Hyperlink"/>
            <w:i/>
            <w:noProof/>
            <w:lang w:val="af-ZA"/>
          </w:rPr>
          <w:t xml:space="preserve"> </w:t>
        </w:r>
        <w:r w:rsidR="00E379BD" w:rsidRPr="00E80FCB">
          <w:rPr>
            <w:rStyle w:val="Hyperlink"/>
            <w:i/>
            <w:noProof/>
          </w:rPr>
          <w:t>ոչ</w:t>
        </w:r>
        <w:r w:rsidR="00E379BD" w:rsidRPr="00E80FCB">
          <w:rPr>
            <w:rStyle w:val="Hyperlink"/>
            <w:i/>
            <w:noProof/>
            <w:lang w:val="af-ZA"/>
          </w:rPr>
          <w:t xml:space="preserve"> </w:t>
        </w:r>
        <w:r w:rsidR="00E379BD" w:rsidRPr="00E80FCB">
          <w:rPr>
            <w:rStyle w:val="Hyperlink"/>
            <w:i/>
            <w:noProof/>
          </w:rPr>
          <w:t>ֆինանսական</w:t>
        </w:r>
        <w:r w:rsidR="00E379BD" w:rsidRPr="00E80FCB">
          <w:rPr>
            <w:rStyle w:val="Hyperlink"/>
            <w:i/>
            <w:noProof/>
            <w:lang w:val="af-ZA"/>
          </w:rPr>
          <w:t xml:space="preserve"> </w:t>
        </w:r>
        <w:r w:rsidR="00E379BD" w:rsidRPr="00E80FCB">
          <w:rPr>
            <w:rStyle w:val="Hyperlink"/>
            <w:i/>
            <w:noProof/>
          </w:rPr>
          <w:t>ակտիվների</w:t>
        </w:r>
        <w:r w:rsidR="00E379BD" w:rsidRPr="00E80FCB">
          <w:rPr>
            <w:rStyle w:val="Hyperlink"/>
            <w:i/>
            <w:noProof/>
            <w:lang w:val="af-ZA"/>
          </w:rPr>
          <w:t xml:space="preserve"> </w:t>
        </w:r>
        <w:r w:rsidR="00E379BD" w:rsidRPr="00E80FCB">
          <w:rPr>
            <w:rStyle w:val="Hyperlink"/>
            <w:i/>
            <w:noProof/>
          </w:rPr>
          <w:t>գծով</w:t>
        </w:r>
        <w:r w:rsidR="00E379BD" w:rsidRPr="00E80FCB">
          <w:rPr>
            <w:rStyle w:val="Hyperlink"/>
            <w:i/>
            <w:noProof/>
            <w:lang w:val="af-ZA"/>
          </w:rPr>
          <w:t xml:space="preserve"> </w:t>
        </w:r>
        <w:r w:rsidR="00E379BD" w:rsidRPr="00E80FCB">
          <w:rPr>
            <w:rStyle w:val="Hyperlink"/>
            <w:i/>
            <w:noProof/>
          </w:rPr>
          <w:t>ծախսերի</w:t>
        </w:r>
        <w:r w:rsidR="00E379BD" w:rsidRPr="00E80FCB">
          <w:rPr>
            <w:rStyle w:val="Hyperlink"/>
            <w:i/>
            <w:noProof/>
            <w:lang w:val="af-ZA"/>
          </w:rPr>
          <w:t xml:space="preserve"> </w:t>
        </w:r>
        <w:r w:rsidR="00E379BD" w:rsidRPr="00E80FCB">
          <w:rPr>
            <w:rStyle w:val="Hyperlink"/>
            <w:i/>
            <w:noProof/>
          </w:rPr>
          <w:t>փոփոխության</w:t>
        </w:r>
        <w:r w:rsidR="00E379BD" w:rsidRPr="00E80FCB">
          <w:rPr>
            <w:rStyle w:val="Hyperlink"/>
            <w:i/>
            <w:noProof/>
            <w:lang w:val="af-ZA"/>
          </w:rPr>
          <w:t xml:space="preserve"> </w:t>
        </w:r>
        <w:r w:rsidR="00E379BD" w:rsidRPr="00E80FCB">
          <w:rPr>
            <w:rStyle w:val="Hyperlink"/>
            <w:i/>
            <w:noProof/>
          </w:rPr>
          <w:t>և</w:t>
        </w:r>
        <w:r w:rsidR="00E379BD" w:rsidRPr="00E80FCB">
          <w:rPr>
            <w:rStyle w:val="Hyperlink"/>
            <w:i/>
            <w:noProof/>
            <w:lang w:val="af-ZA"/>
          </w:rPr>
          <w:t xml:space="preserve"> </w:t>
        </w:r>
        <w:r w:rsidR="00E379BD" w:rsidRPr="00E80FCB">
          <w:rPr>
            <w:rStyle w:val="Hyperlink"/>
            <w:i/>
            <w:noProof/>
          </w:rPr>
          <w:t>հարաբերակցության</w:t>
        </w:r>
        <w:r w:rsidR="00E379BD" w:rsidRPr="00E80FCB">
          <w:rPr>
            <w:rStyle w:val="Hyperlink"/>
            <w:i/>
            <w:noProof/>
            <w:lang w:val="af-ZA"/>
          </w:rPr>
          <w:t xml:space="preserve"> </w:t>
        </w:r>
        <w:r w:rsidR="00E379BD" w:rsidRPr="00E80FCB">
          <w:rPr>
            <w:rStyle w:val="Hyperlink"/>
            <w:i/>
            <w:noProof/>
          </w:rPr>
          <w:t>միտումները</w:t>
        </w:r>
        <w:r w:rsidR="00E379BD">
          <w:rPr>
            <w:noProof/>
            <w:webHidden/>
          </w:rPr>
          <w:tab/>
        </w:r>
        <w:r w:rsidR="00E379BD">
          <w:rPr>
            <w:noProof/>
            <w:webHidden/>
          </w:rPr>
          <w:fldChar w:fldCharType="begin"/>
        </w:r>
        <w:r w:rsidR="00E379BD">
          <w:rPr>
            <w:noProof/>
            <w:webHidden/>
          </w:rPr>
          <w:instrText xml:space="preserve"> PAGEREF _Toc83928946 \h </w:instrText>
        </w:r>
        <w:r w:rsidR="00E379BD">
          <w:rPr>
            <w:noProof/>
            <w:webHidden/>
          </w:rPr>
        </w:r>
        <w:r w:rsidR="00E379BD">
          <w:rPr>
            <w:noProof/>
            <w:webHidden/>
          </w:rPr>
          <w:fldChar w:fldCharType="separate"/>
        </w:r>
        <w:r w:rsidR="00A867B4">
          <w:rPr>
            <w:noProof/>
            <w:webHidden/>
          </w:rPr>
          <w:t>109</w:t>
        </w:r>
        <w:r w:rsidR="00E379BD">
          <w:rPr>
            <w:noProof/>
            <w:webHidden/>
          </w:rPr>
          <w:fldChar w:fldCharType="end"/>
        </w:r>
      </w:hyperlink>
    </w:p>
    <w:p w14:paraId="273C4425" w14:textId="1ACB5C1D"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7" w:history="1">
        <w:r w:rsidR="00E379BD" w:rsidRPr="00E80FCB">
          <w:rPr>
            <w:rStyle w:val="Hyperlink"/>
            <w:noProof/>
          </w:rPr>
          <w:t>Աղյուսակ 10</w:t>
        </w:r>
        <w:r w:rsidR="00E379BD" w:rsidRPr="00E80FCB">
          <w:rPr>
            <w:rStyle w:val="Hyperlink"/>
            <w:rFonts w:ascii="MS Gothic" w:eastAsia="MS Gothic" w:hAnsi="MS Gothic" w:cs="MS Gothic" w:hint="eastAsia"/>
            <w:noProof/>
            <w:lang w:val="hy-AM"/>
          </w:rPr>
          <w:t>․</w:t>
        </w:r>
        <w:r w:rsidR="00E379BD" w:rsidRPr="00E80FCB">
          <w:rPr>
            <w:rStyle w:val="Hyperlink"/>
            <w:noProof/>
            <w:lang w:val="hy-AM"/>
          </w:rPr>
          <w:t xml:space="preserve"> </w:t>
        </w:r>
        <w:r w:rsidR="00E379BD" w:rsidRPr="00E80FCB">
          <w:rPr>
            <w:rStyle w:val="Hyperlink"/>
            <w:i/>
            <w:noProof/>
            <w:lang w:val="hy-AM"/>
          </w:rPr>
          <w:t>2018-2022թթ ընթացիկ ծախսերի ֆինանսավորման կառուցվածը ըստ տնտեսագիտական դասակարգման</w:t>
        </w:r>
        <w:r w:rsidR="00E379BD">
          <w:rPr>
            <w:noProof/>
            <w:webHidden/>
          </w:rPr>
          <w:tab/>
        </w:r>
        <w:r w:rsidR="00E379BD">
          <w:rPr>
            <w:noProof/>
            <w:webHidden/>
          </w:rPr>
          <w:fldChar w:fldCharType="begin"/>
        </w:r>
        <w:r w:rsidR="00E379BD">
          <w:rPr>
            <w:noProof/>
            <w:webHidden/>
          </w:rPr>
          <w:instrText xml:space="preserve"> PAGEREF _Toc83928947 \h </w:instrText>
        </w:r>
        <w:r w:rsidR="00E379BD">
          <w:rPr>
            <w:noProof/>
            <w:webHidden/>
          </w:rPr>
        </w:r>
        <w:r w:rsidR="00E379BD">
          <w:rPr>
            <w:noProof/>
            <w:webHidden/>
          </w:rPr>
          <w:fldChar w:fldCharType="separate"/>
        </w:r>
        <w:r w:rsidR="00A867B4">
          <w:rPr>
            <w:noProof/>
            <w:webHidden/>
          </w:rPr>
          <w:t>111</w:t>
        </w:r>
        <w:r w:rsidR="00E379BD">
          <w:rPr>
            <w:noProof/>
            <w:webHidden/>
          </w:rPr>
          <w:fldChar w:fldCharType="end"/>
        </w:r>
      </w:hyperlink>
    </w:p>
    <w:p w14:paraId="4E0F17B5" w14:textId="2057C08F"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8" w:history="1">
        <w:r w:rsidR="00E379BD" w:rsidRPr="00E80FCB">
          <w:rPr>
            <w:rStyle w:val="Hyperlink"/>
            <w:noProof/>
          </w:rPr>
          <w:t>Աղյուսակ 11</w:t>
        </w:r>
        <w:r w:rsidR="00E379BD" w:rsidRPr="00E80FCB">
          <w:rPr>
            <w:rStyle w:val="Hyperlink"/>
            <w:rFonts w:ascii="MS Gothic" w:eastAsia="MS Gothic" w:hAnsi="MS Gothic" w:cs="MS Gothic" w:hint="eastAsia"/>
            <w:noProof/>
            <w:lang w:val="hy-AM"/>
          </w:rPr>
          <w:t>․</w:t>
        </w:r>
        <w:r w:rsidR="00E379BD" w:rsidRPr="00E80FCB">
          <w:rPr>
            <w:rStyle w:val="Hyperlink"/>
            <w:noProof/>
            <w:lang w:val="af-ZA"/>
          </w:rPr>
          <w:t xml:space="preserve"> </w:t>
        </w:r>
        <w:r w:rsidR="00E379BD" w:rsidRPr="00E80FCB">
          <w:rPr>
            <w:rStyle w:val="Hyperlink"/>
            <w:i/>
            <w:noProof/>
          </w:rPr>
          <w:t>ՀՀ</w:t>
        </w:r>
        <w:r w:rsidR="00E379BD" w:rsidRPr="00E80FCB">
          <w:rPr>
            <w:rStyle w:val="Hyperlink"/>
            <w:i/>
            <w:noProof/>
            <w:lang w:val="af-ZA"/>
          </w:rPr>
          <w:t xml:space="preserve"> </w:t>
        </w:r>
        <w:r w:rsidR="00E379BD" w:rsidRPr="00E80FCB">
          <w:rPr>
            <w:rStyle w:val="Hyperlink"/>
            <w:i/>
            <w:noProof/>
          </w:rPr>
          <w:t>պետական</w:t>
        </w:r>
        <w:r w:rsidR="00E379BD" w:rsidRPr="00E80FCB">
          <w:rPr>
            <w:rStyle w:val="Hyperlink"/>
            <w:i/>
            <w:noProof/>
            <w:lang w:val="af-ZA"/>
          </w:rPr>
          <w:t xml:space="preserve"> </w:t>
        </w:r>
        <w:r w:rsidR="00E379BD" w:rsidRPr="00E80FCB">
          <w:rPr>
            <w:rStyle w:val="Hyperlink"/>
            <w:i/>
            <w:noProof/>
          </w:rPr>
          <w:t>բյուջեից</w:t>
        </w:r>
        <w:r w:rsidR="00E379BD" w:rsidRPr="00E80FCB">
          <w:rPr>
            <w:rStyle w:val="Hyperlink"/>
            <w:i/>
            <w:noProof/>
            <w:lang w:val="af-ZA"/>
          </w:rPr>
          <w:t xml:space="preserve"> </w:t>
        </w:r>
        <w:r w:rsidR="00E379BD" w:rsidRPr="00E80FCB">
          <w:rPr>
            <w:rStyle w:val="Hyperlink"/>
            <w:i/>
            <w:noProof/>
          </w:rPr>
          <w:t>համայնքներին</w:t>
        </w:r>
        <w:r w:rsidR="00E379BD" w:rsidRPr="00E80FCB">
          <w:rPr>
            <w:rStyle w:val="Hyperlink"/>
            <w:i/>
            <w:noProof/>
            <w:lang w:val="af-ZA"/>
          </w:rPr>
          <w:t xml:space="preserve"> </w:t>
        </w:r>
        <w:r w:rsidR="00E379BD" w:rsidRPr="00E80FCB">
          <w:rPr>
            <w:rStyle w:val="Hyperlink"/>
            <w:i/>
            <w:noProof/>
          </w:rPr>
          <w:t>տրվող</w:t>
        </w:r>
        <w:r w:rsidR="00E379BD" w:rsidRPr="00E80FCB">
          <w:rPr>
            <w:rStyle w:val="Hyperlink"/>
            <w:i/>
            <w:noProof/>
            <w:lang w:val="af-ZA"/>
          </w:rPr>
          <w:t xml:space="preserve"> </w:t>
        </w:r>
        <w:r w:rsidR="00E379BD" w:rsidRPr="00E80FCB">
          <w:rPr>
            <w:rStyle w:val="Hyperlink"/>
            <w:i/>
            <w:noProof/>
          </w:rPr>
          <w:t>հատկացումների</w:t>
        </w:r>
        <w:r w:rsidR="00E379BD" w:rsidRPr="00E80FCB">
          <w:rPr>
            <w:rStyle w:val="Hyperlink"/>
            <w:i/>
            <w:noProof/>
            <w:lang w:val="af-ZA"/>
          </w:rPr>
          <w:t xml:space="preserve"> </w:t>
        </w:r>
        <w:r w:rsidR="00E379BD" w:rsidRPr="00E80FCB">
          <w:rPr>
            <w:rStyle w:val="Hyperlink"/>
            <w:i/>
            <w:noProof/>
          </w:rPr>
          <w:t>վերաբերյալ</w:t>
        </w:r>
        <w:r w:rsidR="00E379BD">
          <w:rPr>
            <w:rStyle w:val="Hyperlink"/>
            <w:i/>
            <w:noProof/>
            <w:lang w:val="en-US"/>
          </w:rPr>
          <w:t>………</w:t>
        </w:r>
        <w:r w:rsidR="00E379BD">
          <w:rPr>
            <w:noProof/>
            <w:webHidden/>
          </w:rPr>
          <w:tab/>
        </w:r>
        <w:r w:rsidR="00E379BD">
          <w:rPr>
            <w:noProof/>
            <w:webHidden/>
          </w:rPr>
          <w:fldChar w:fldCharType="begin"/>
        </w:r>
        <w:r w:rsidR="00E379BD">
          <w:rPr>
            <w:noProof/>
            <w:webHidden/>
          </w:rPr>
          <w:instrText xml:space="preserve"> PAGEREF _Toc83928948 \h </w:instrText>
        </w:r>
        <w:r w:rsidR="00E379BD">
          <w:rPr>
            <w:noProof/>
            <w:webHidden/>
          </w:rPr>
        </w:r>
        <w:r w:rsidR="00E379BD">
          <w:rPr>
            <w:noProof/>
            <w:webHidden/>
          </w:rPr>
          <w:fldChar w:fldCharType="separate"/>
        </w:r>
        <w:r w:rsidR="00A867B4">
          <w:rPr>
            <w:noProof/>
            <w:webHidden/>
          </w:rPr>
          <w:t>112</w:t>
        </w:r>
        <w:r w:rsidR="00E379BD">
          <w:rPr>
            <w:noProof/>
            <w:webHidden/>
          </w:rPr>
          <w:fldChar w:fldCharType="end"/>
        </w:r>
      </w:hyperlink>
    </w:p>
    <w:p w14:paraId="340D538C" w14:textId="29697B10"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49" w:history="1">
        <w:r w:rsidR="00E379BD" w:rsidRPr="00E80FCB">
          <w:rPr>
            <w:rStyle w:val="Hyperlink"/>
            <w:noProof/>
          </w:rPr>
          <w:t>Աղյուսակ 12</w:t>
        </w:r>
        <w:r w:rsidR="00E379BD" w:rsidRPr="00E80FCB">
          <w:rPr>
            <w:rStyle w:val="Hyperlink"/>
            <w:noProof/>
            <w:lang w:val="af-ZA"/>
          </w:rPr>
          <w:t xml:space="preserve"> </w:t>
        </w:r>
        <w:r w:rsidR="00E379BD" w:rsidRPr="00E80FCB">
          <w:rPr>
            <w:rStyle w:val="Hyperlink"/>
            <w:i/>
            <w:noProof/>
            <w:lang w:val="af-ZA"/>
          </w:rPr>
          <w:t>2018-2022</w:t>
        </w:r>
        <w:r w:rsidR="00E379BD" w:rsidRPr="00E80FCB">
          <w:rPr>
            <w:rStyle w:val="Hyperlink"/>
            <w:i/>
            <w:noProof/>
            <w:lang w:val="it-IT"/>
          </w:rPr>
          <w:t>թթ.</w:t>
        </w:r>
        <w:r w:rsidR="00E379BD" w:rsidRPr="00E80FCB">
          <w:rPr>
            <w:rStyle w:val="Hyperlink"/>
            <w:i/>
            <w:noProof/>
            <w:lang w:val="af-ZA"/>
          </w:rPr>
          <w:t xml:space="preserve"> </w:t>
        </w:r>
        <w:r w:rsidR="00E379BD" w:rsidRPr="00E80FCB">
          <w:rPr>
            <w:rStyle w:val="Hyperlink"/>
            <w:rFonts w:cs="Sylfaen"/>
            <w:i/>
            <w:noProof/>
            <w:lang w:val="hy-AM"/>
          </w:rPr>
          <w:t>ոչ</w:t>
        </w:r>
        <w:r w:rsidR="00E379BD" w:rsidRPr="00E80FCB">
          <w:rPr>
            <w:rStyle w:val="Hyperlink"/>
            <w:i/>
            <w:noProof/>
            <w:lang w:val="hy-AM"/>
          </w:rPr>
          <w:t xml:space="preserve"> </w:t>
        </w:r>
        <w:r w:rsidR="00E379BD" w:rsidRPr="00E80FCB">
          <w:rPr>
            <w:rStyle w:val="Hyperlink"/>
            <w:rFonts w:cs="Sylfaen"/>
            <w:i/>
            <w:noProof/>
            <w:lang w:val="hy-AM"/>
          </w:rPr>
          <w:t>ֆինանսական</w:t>
        </w:r>
        <w:r w:rsidR="00E379BD" w:rsidRPr="00E80FCB">
          <w:rPr>
            <w:rStyle w:val="Hyperlink"/>
            <w:i/>
            <w:noProof/>
            <w:lang w:val="hy-AM"/>
          </w:rPr>
          <w:t xml:space="preserve"> </w:t>
        </w:r>
        <w:r w:rsidR="00E379BD" w:rsidRPr="00E80FCB">
          <w:rPr>
            <w:rStyle w:val="Hyperlink"/>
            <w:rFonts w:cs="Sylfaen"/>
            <w:i/>
            <w:noProof/>
            <w:lang w:val="hy-AM"/>
          </w:rPr>
          <w:t>ակտիվների</w:t>
        </w:r>
        <w:r w:rsidR="00E379BD" w:rsidRPr="00E80FCB">
          <w:rPr>
            <w:rStyle w:val="Hyperlink"/>
            <w:i/>
            <w:noProof/>
            <w:lang w:val="hy-AM"/>
          </w:rPr>
          <w:t xml:space="preserve"> </w:t>
        </w:r>
        <w:r w:rsidR="00E379BD" w:rsidRPr="00E80FCB">
          <w:rPr>
            <w:rStyle w:val="Hyperlink"/>
            <w:rFonts w:cs="Sylfaen"/>
            <w:i/>
            <w:noProof/>
            <w:lang w:val="hy-AM"/>
          </w:rPr>
          <w:t>գծով</w:t>
        </w:r>
        <w:r w:rsidR="00E379BD" w:rsidRPr="00E80FCB">
          <w:rPr>
            <w:rStyle w:val="Hyperlink"/>
            <w:i/>
            <w:noProof/>
            <w:lang w:val="hy-AM"/>
          </w:rPr>
          <w:t xml:space="preserve"> </w:t>
        </w:r>
        <w:r w:rsidR="00E379BD" w:rsidRPr="00E80FCB">
          <w:rPr>
            <w:rStyle w:val="Hyperlink"/>
            <w:rFonts w:cs="Sylfaen"/>
            <w:i/>
            <w:noProof/>
            <w:lang w:val="hy-AM"/>
          </w:rPr>
          <w:t>ծախսերի</w:t>
        </w:r>
        <w:r w:rsidR="00E379BD" w:rsidRPr="00E80FCB">
          <w:rPr>
            <w:rStyle w:val="Hyperlink"/>
            <w:i/>
            <w:noProof/>
            <w:lang w:val="hy-AM"/>
          </w:rPr>
          <w:t xml:space="preserve"> ֆինանսավորման կառուցվածը ըստ արտաքին և ներքին աղբյուրների</w:t>
        </w:r>
        <w:r w:rsidR="00E379BD">
          <w:rPr>
            <w:noProof/>
            <w:webHidden/>
          </w:rPr>
          <w:tab/>
        </w:r>
        <w:r w:rsidR="00E379BD">
          <w:rPr>
            <w:noProof/>
            <w:webHidden/>
          </w:rPr>
          <w:fldChar w:fldCharType="begin"/>
        </w:r>
        <w:r w:rsidR="00E379BD">
          <w:rPr>
            <w:noProof/>
            <w:webHidden/>
          </w:rPr>
          <w:instrText xml:space="preserve"> PAGEREF _Toc83928949 \h </w:instrText>
        </w:r>
        <w:r w:rsidR="00E379BD">
          <w:rPr>
            <w:noProof/>
            <w:webHidden/>
          </w:rPr>
        </w:r>
        <w:r w:rsidR="00E379BD">
          <w:rPr>
            <w:noProof/>
            <w:webHidden/>
          </w:rPr>
          <w:fldChar w:fldCharType="separate"/>
        </w:r>
        <w:r w:rsidR="00A867B4">
          <w:rPr>
            <w:noProof/>
            <w:webHidden/>
          </w:rPr>
          <w:t>113</w:t>
        </w:r>
        <w:r w:rsidR="00E379BD">
          <w:rPr>
            <w:noProof/>
            <w:webHidden/>
          </w:rPr>
          <w:fldChar w:fldCharType="end"/>
        </w:r>
      </w:hyperlink>
    </w:p>
    <w:p w14:paraId="7E4ADEB3" w14:textId="4D0C7ECF"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0" w:history="1">
        <w:r w:rsidR="00E379BD" w:rsidRPr="00E80FCB">
          <w:rPr>
            <w:rStyle w:val="Hyperlink"/>
            <w:noProof/>
          </w:rPr>
          <w:t>Աղյուսակ 13</w:t>
        </w:r>
        <w:r w:rsidR="00E379BD" w:rsidRPr="00E80FCB">
          <w:rPr>
            <w:rStyle w:val="Hyperlink"/>
            <w:rFonts w:ascii="MS Gothic" w:eastAsia="MS Gothic" w:hAnsi="MS Gothic" w:cs="MS Gothic" w:hint="eastAsia"/>
            <w:noProof/>
            <w:lang w:val="hy-AM"/>
          </w:rPr>
          <w:t>․</w:t>
        </w:r>
        <w:r w:rsidR="00E379BD" w:rsidRPr="00E80FCB">
          <w:rPr>
            <w:rStyle w:val="Hyperlink"/>
            <w:noProof/>
            <w:lang w:val="hy-AM"/>
          </w:rPr>
          <w:t xml:space="preserve"> </w:t>
        </w:r>
        <w:r w:rsidR="00E379BD" w:rsidRPr="00E80FCB">
          <w:rPr>
            <w:rStyle w:val="Hyperlink"/>
            <w:i/>
            <w:noProof/>
            <w:lang w:val="hy-AM"/>
          </w:rPr>
          <w:t>ՀՀ 2018-2022թթ պետական բյուջեների ծախսերը՝ ըստ ոլորտների (մլն. դրամ)</w:t>
        </w:r>
        <w:r w:rsidR="00E379BD">
          <w:rPr>
            <w:rStyle w:val="Hyperlink"/>
            <w:i/>
            <w:noProof/>
            <w:lang w:val="en-US"/>
          </w:rPr>
          <w:t>……….</w:t>
        </w:r>
        <w:r w:rsidR="00E379BD">
          <w:rPr>
            <w:noProof/>
            <w:webHidden/>
          </w:rPr>
          <w:tab/>
        </w:r>
        <w:r w:rsidR="00E379BD">
          <w:rPr>
            <w:noProof/>
            <w:webHidden/>
          </w:rPr>
          <w:fldChar w:fldCharType="begin"/>
        </w:r>
        <w:r w:rsidR="00E379BD">
          <w:rPr>
            <w:noProof/>
            <w:webHidden/>
          </w:rPr>
          <w:instrText xml:space="preserve"> PAGEREF _Toc83928950 \h </w:instrText>
        </w:r>
        <w:r w:rsidR="00E379BD">
          <w:rPr>
            <w:noProof/>
            <w:webHidden/>
          </w:rPr>
        </w:r>
        <w:r w:rsidR="00E379BD">
          <w:rPr>
            <w:noProof/>
            <w:webHidden/>
          </w:rPr>
          <w:fldChar w:fldCharType="separate"/>
        </w:r>
        <w:r w:rsidR="00A867B4">
          <w:rPr>
            <w:noProof/>
            <w:webHidden/>
          </w:rPr>
          <w:t>115</w:t>
        </w:r>
        <w:r w:rsidR="00E379BD">
          <w:rPr>
            <w:noProof/>
            <w:webHidden/>
          </w:rPr>
          <w:fldChar w:fldCharType="end"/>
        </w:r>
      </w:hyperlink>
    </w:p>
    <w:p w14:paraId="194E65C0" w14:textId="15F4C3D1"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1" w:history="1">
        <w:r w:rsidR="00E379BD" w:rsidRPr="00E80FCB">
          <w:rPr>
            <w:rStyle w:val="Hyperlink"/>
            <w:noProof/>
          </w:rPr>
          <w:t>Աղյուսակ 14</w:t>
        </w:r>
        <w:r w:rsidR="00E379BD" w:rsidRPr="00E80FCB">
          <w:rPr>
            <w:rStyle w:val="Hyperlink"/>
            <w:rFonts w:ascii="MS Gothic" w:eastAsia="MS Gothic" w:hAnsi="MS Gothic" w:cs="MS Gothic" w:hint="eastAsia"/>
            <w:noProof/>
            <w:lang w:val="hy-AM"/>
          </w:rPr>
          <w:t>․</w:t>
        </w:r>
        <w:r w:rsidR="00E379BD" w:rsidRPr="00E80FCB">
          <w:rPr>
            <w:rStyle w:val="Hyperlink"/>
            <w:rFonts w:ascii="Cambria Math" w:hAnsi="Cambria Math"/>
            <w:noProof/>
            <w:lang w:val="hy-AM"/>
          </w:rPr>
          <w:t xml:space="preserve"> </w:t>
        </w:r>
        <w:r w:rsidR="00E379BD" w:rsidRPr="00E80FCB">
          <w:rPr>
            <w:rStyle w:val="Hyperlink"/>
            <w:rFonts w:cs="Arial"/>
            <w:i/>
            <w:noProof/>
            <w:lang w:val="hy-AM"/>
          </w:rPr>
          <w:t>Տնտեսական ոլորտի</w:t>
        </w:r>
        <w:r w:rsidR="00E379BD" w:rsidRPr="00E80FCB">
          <w:rPr>
            <w:rStyle w:val="Hyperlink"/>
            <w:i/>
            <w:noProof/>
            <w:lang w:val="hy-AM"/>
          </w:rPr>
          <w:t xml:space="preserve"> 2018-2022</w:t>
        </w:r>
        <w:r w:rsidR="00E379BD" w:rsidRPr="00E80FCB">
          <w:rPr>
            <w:rStyle w:val="Hyperlink"/>
            <w:rFonts w:cs="Arial"/>
            <w:i/>
            <w:noProof/>
            <w:lang w:val="hy-AM"/>
          </w:rPr>
          <w:t>թթ</w:t>
        </w:r>
        <w:r w:rsidR="00E379BD" w:rsidRPr="00E80FCB">
          <w:rPr>
            <w:rStyle w:val="Hyperlink"/>
            <w:rFonts w:ascii="MS Gothic" w:eastAsia="MS Gothic" w:hAnsi="MS Gothic" w:cs="MS Gothic" w:hint="eastAsia"/>
            <w:i/>
            <w:noProof/>
            <w:lang w:val="hy-AM"/>
          </w:rPr>
          <w:t>․</w:t>
        </w:r>
        <w:r w:rsidR="00E379BD" w:rsidRPr="00E80FCB">
          <w:rPr>
            <w:rStyle w:val="Hyperlink"/>
            <w:i/>
            <w:noProof/>
            <w:lang w:val="hy-AM"/>
          </w:rPr>
          <w:t xml:space="preserve"> </w:t>
        </w:r>
        <w:r w:rsidR="00E379BD" w:rsidRPr="00E80FCB">
          <w:rPr>
            <w:rStyle w:val="Hyperlink"/>
            <w:rFonts w:cs="Arial"/>
            <w:i/>
            <w:noProof/>
            <w:lang w:val="hy-AM"/>
          </w:rPr>
          <w:t>բյուջետային</w:t>
        </w:r>
        <w:r w:rsidR="00E379BD" w:rsidRPr="00E80FCB">
          <w:rPr>
            <w:rStyle w:val="Hyperlink"/>
            <w:i/>
            <w:noProof/>
            <w:lang w:val="hy-AM"/>
          </w:rPr>
          <w:t xml:space="preserve"> </w:t>
        </w:r>
        <w:r w:rsidR="00E379BD" w:rsidRPr="00E80FCB">
          <w:rPr>
            <w:rStyle w:val="Hyperlink"/>
            <w:rFonts w:cs="Arial"/>
            <w:i/>
            <w:noProof/>
            <w:lang w:val="hy-AM"/>
          </w:rPr>
          <w:t>ծախսերը</w:t>
        </w:r>
        <w:r w:rsidR="00E379BD" w:rsidRPr="00E80FCB">
          <w:rPr>
            <w:rStyle w:val="Hyperlink"/>
            <w:i/>
            <w:noProof/>
            <w:lang w:val="hy-AM"/>
          </w:rPr>
          <w:t xml:space="preserve"> (</w:t>
        </w:r>
        <w:r w:rsidR="00E379BD" w:rsidRPr="00E80FCB">
          <w:rPr>
            <w:rStyle w:val="Hyperlink"/>
            <w:rFonts w:cs="Arial"/>
            <w:i/>
            <w:noProof/>
            <w:lang w:val="hy-AM"/>
          </w:rPr>
          <w:t>մլն</w:t>
        </w:r>
        <w:r w:rsidR="00E379BD" w:rsidRPr="00E80FCB">
          <w:rPr>
            <w:rStyle w:val="Hyperlink"/>
            <w:i/>
            <w:noProof/>
            <w:lang w:val="hy-AM"/>
          </w:rPr>
          <w:t xml:space="preserve"> </w:t>
        </w:r>
        <w:r w:rsidR="00E379BD" w:rsidRPr="00E80FCB">
          <w:rPr>
            <w:rStyle w:val="Hyperlink"/>
            <w:rFonts w:cs="Arial"/>
            <w:i/>
            <w:noProof/>
            <w:lang w:val="hy-AM"/>
          </w:rPr>
          <w:t>դրամ</w:t>
        </w:r>
        <w:r w:rsidR="00E379BD" w:rsidRPr="00E80FCB">
          <w:rPr>
            <w:rStyle w:val="Hyperlink"/>
            <w:i/>
            <w:noProof/>
            <w:lang w:val="hy-AM"/>
          </w:rPr>
          <w:t>)</w:t>
        </w:r>
        <w:r w:rsidR="00E379BD">
          <w:rPr>
            <w:rStyle w:val="Hyperlink"/>
            <w:i/>
            <w:noProof/>
            <w:lang w:val="en-US"/>
          </w:rPr>
          <w:t>………………</w:t>
        </w:r>
        <w:r w:rsidR="00E379BD">
          <w:rPr>
            <w:noProof/>
            <w:webHidden/>
          </w:rPr>
          <w:tab/>
        </w:r>
        <w:r w:rsidR="00E379BD">
          <w:rPr>
            <w:noProof/>
            <w:webHidden/>
          </w:rPr>
          <w:fldChar w:fldCharType="begin"/>
        </w:r>
        <w:r w:rsidR="00E379BD">
          <w:rPr>
            <w:noProof/>
            <w:webHidden/>
          </w:rPr>
          <w:instrText xml:space="preserve"> PAGEREF _Toc83928951 \h </w:instrText>
        </w:r>
        <w:r w:rsidR="00E379BD">
          <w:rPr>
            <w:noProof/>
            <w:webHidden/>
          </w:rPr>
        </w:r>
        <w:r w:rsidR="00E379BD">
          <w:rPr>
            <w:noProof/>
            <w:webHidden/>
          </w:rPr>
          <w:fldChar w:fldCharType="separate"/>
        </w:r>
        <w:r w:rsidR="00A867B4">
          <w:rPr>
            <w:noProof/>
            <w:webHidden/>
          </w:rPr>
          <w:t>117</w:t>
        </w:r>
        <w:r w:rsidR="00E379BD">
          <w:rPr>
            <w:noProof/>
            <w:webHidden/>
          </w:rPr>
          <w:fldChar w:fldCharType="end"/>
        </w:r>
      </w:hyperlink>
    </w:p>
    <w:p w14:paraId="6FA23FCD" w14:textId="777D079C"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2" w:history="1">
        <w:r w:rsidR="00E379BD" w:rsidRPr="00E80FCB">
          <w:rPr>
            <w:rStyle w:val="Hyperlink"/>
            <w:noProof/>
          </w:rPr>
          <w:t>Աղյուսակ 15</w:t>
        </w:r>
        <w:r w:rsidR="00E379BD" w:rsidRPr="00E80FCB">
          <w:rPr>
            <w:rStyle w:val="Hyperlink"/>
            <w:rFonts w:ascii="MS Gothic" w:eastAsia="MS Gothic" w:hAnsi="MS Gothic" w:cs="MS Gothic" w:hint="eastAsia"/>
            <w:noProof/>
            <w:lang w:val="hy-AM"/>
          </w:rPr>
          <w:t>․</w:t>
        </w:r>
        <w:r w:rsidR="00E379BD" w:rsidRPr="00E80FCB">
          <w:rPr>
            <w:rStyle w:val="Hyperlink"/>
            <w:rFonts w:ascii="Cambria Math" w:hAnsi="Cambria Math"/>
            <w:noProof/>
            <w:lang w:val="hy-AM"/>
          </w:rPr>
          <w:t xml:space="preserve"> </w:t>
        </w:r>
        <w:r w:rsidR="00E379BD" w:rsidRPr="00E80FCB">
          <w:rPr>
            <w:rStyle w:val="Hyperlink"/>
            <w:i/>
            <w:noProof/>
            <w:lang w:val="hy-AM"/>
          </w:rPr>
          <w:t>Սոցիալական ոլորտի 2018-2022</w:t>
        </w:r>
        <w:r w:rsidR="00E379BD" w:rsidRPr="00E80FCB">
          <w:rPr>
            <w:rStyle w:val="Hyperlink"/>
            <w:rFonts w:cs="Arial"/>
            <w:i/>
            <w:noProof/>
            <w:lang w:val="hy-AM"/>
          </w:rPr>
          <w:t>թթ</w:t>
        </w:r>
        <w:r w:rsidR="00E379BD" w:rsidRPr="00E80FCB">
          <w:rPr>
            <w:rStyle w:val="Hyperlink"/>
            <w:rFonts w:ascii="MS Gothic" w:eastAsia="MS Gothic" w:hAnsi="MS Gothic" w:cs="MS Gothic" w:hint="eastAsia"/>
            <w:i/>
            <w:noProof/>
            <w:lang w:val="hy-AM"/>
          </w:rPr>
          <w:t>․</w:t>
        </w:r>
        <w:r w:rsidR="00E379BD" w:rsidRPr="00E80FCB">
          <w:rPr>
            <w:rStyle w:val="Hyperlink"/>
            <w:i/>
            <w:noProof/>
            <w:lang w:val="hy-AM"/>
          </w:rPr>
          <w:t xml:space="preserve"> բյուջետային ծախսերը  (մլն դրամ)</w:t>
        </w:r>
        <w:r w:rsidR="00E379BD">
          <w:rPr>
            <w:rStyle w:val="Hyperlink"/>
            <w:i/>
            <w:noProof/>
            <w:lang w:val="en-US"/>
          </w:rPr>
          <w:t>………………</w:t>
        </w:r>
        <w:r w:rsidR="00E379BD">
          <w:rPr>
            <w:noProof/>
            <w:webHidden/>
          </w:rPr>
          <w:tab/>
        </w:r>
        <w:r w:rsidR="00E379BD">
          <w:rPr>
            <w:noProof/>
            <w:webHidden/>
          </w:rPr>
          <w:fldChar w:fldCharType="begin"/>
        </w:r>
        <w:r w:rsidR="00E379BD">
          <w:rPr>
            <w:noProof/>
            <w:webHidden/>
          </w:rPr>
          <w:instrText xml:space="preserve"> PAGEREF _Toc83928952 \h </w:instrText>
        </w:r>
        <w:r w:rsidR="00E379BD">
          <w:rPr>
            <w:noProof/>
            <w:webHidden/>
          </w:rPr>
        </w:r>
        <w:r w:rsidR="00E379BD">
          <w:rPr>
            <w:noProof/>
            <w:webHidden/>
          </w:rPr>
          <w:fldChar w:fldCharType="separate"/>
        </w:r>
        <w:r w:rsidR="00A867B4">
          <w:rPr>
            <w:noProof/>
            <w:webHidden/>
          </w:rPr>
          <w:t>118</w:t>
        </w:r>
        <w:r w:rsidR="00E379BD">
          <w:rPr>
            <w:noProof/>
            <w:webHidden/>
          </w:rPr>
          <w:fldChar w:fldCharType="end"/>
        </w:r>
      </w:hyperlink>
    </w:p>
    <w:p w14:paraId="3E769F7F" w14:textId="7C5840DB"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3" w:history="1">
        <w:r w:rsidR="00E379BD" w:rsidRPr="00E80FCB">
          <w:rPr>
            <w:rStyle w:val="Hyperlink"/>
            <w:noProof/>
          </w:rPr>
          <w:t>Աղյուսակ 16</w:t>
        </w:r>
        <w:r w:rsidR="00E379BD" w:rsidRPr="00E80FCB">
          <w:rPr>
            <w:rStyle w:val="Hyperlink"/>
            <w:rFonts w:ascii="MS Gothic" w:eastAsia="MS Gothic" w:hAnsi="MS Gothic" w:cs="MS Gothic" w:hint="eastAsia"/>
            <w:noProof/>
            <w:lang w:val="hy-AM"/>
          </w:rPr>
          <w:t>․</w:t>
        </w:r>
        <w:r w:rsidR="00E379BD" w:rsidRPr="00E80FCB">
          <w:rPr>
            <w:rStyle w:val="Hyperlink"/>
            <w:noProof/>
            <w:lang w:val="hy-AM"/>
          </w:rPr>
          <w:t xml:space="preserve"> </w:t>
        </w:r>
        <w:r w:rsidR="00E379BD" w:rsidRPr="00E80FCB">
          <w:rPr>
            <w:rStyle w:val="Hyperlink"/>
            <w:i/>
            <w:noProof/>
            <w:lang w:val="hy-AM"/>
          </w:rPr>
          <w:t>Արտաքին աղբյուրներից 2022թ. ստացվելիք միջոցների (վարկերի և պաշտոնական դրամաշնորհներ) հաշվին ֆինանսավորվող ծախսերը</w:t>
        </w:r>
        <w:r w:rsidR="00E379BD">
          <w:rPr>
            <w:noProof/>
            <w:webHidden/>
          </w:rPr>
          <w:tab/>
        </w:r>
        <w:r w:rsidR="00E379BD">
          <w:rPr>
            <w:noProof/>
            <w:webHidden/>
          </w:rPr>
          <w:fldChar w:fldCharType="begin"/>
        </w:r>
        <w:r w:rsidR="00E379BD">
          <w:rPr>
            <w:noProof/>
            <w:webHidden/>
          </w:rPr>
          <w:instrText xml:space="preserve"> PAGEREF _Toc83928953 \h </w:instrText>
        </w:r>
        <w:r w:rsidR="00E379BD">
          <w:rPr>
            <w:noProof/>
            <w:webHidden/>
          </w:rPr>
        </w:r>
        <w:r w:rsidR="00E379BD">
          <w:rPr>
            <w:noProof/>
            <w:webHidden/>
          </w:rPr>
          <w:fldChar w:fldCharType="separate"/>
        </w:r>
        <w:r w:rsidR="00A867B4">
          <w:rPr>
            <w:noProof/>
            <w:webHidden/>
          </w:rPr>
          <w:t>120</w:t>
        </w:r>
        <w:r w:rsidR="00E379BD">
          <w:rPr>
            <w:noProof/>
            <w:webHidden/>
          </w:rPr>
          <w:fldChar w:fldCharType="end"/>
        </w:r>
      </w:hyperlink>
    </w:p>
    <w:p w14:paraId="67D1A712" w14:textId="5E88170F"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4" w:history="1">
        <w:r w:rsidR="00E379BD" w:rsidRPr="00E80FCB">
          <w:rPr>
            <w:rStyle w:val="Hyperlink"/>
            <w:noProof/>
          </w:rPr>
          <w:t>Աղյուսակ 17. Հարկային եկամուտների վրա մակրոտնտեսական կանխատեսումների և ենթադրությունների ռիսկերի ազդեցություն</w:t>
        </w:r>
        <w:r w:rsidR="00E379BD">
          <w:rPr>
            <w:noProof/>
            <w:webHidden/>
          </w:rPr>
          <w:tab/>
        </w:r>
        <w:r w:rsidR="00E379BD">
          <w:rPr>
            <w:noProof/>
            <w:webHidden/>
          </w:rPr>
          <w:fldChar w:fldCharType="begin"/>
        </w:r>
        <w:r w:rsidR="00E379BD">
          <w:rPr>
            <w:noProof/>
            <w:webHidden/>
          </w:rPr>
          <w:instrText xml:space="preserve"> PAGEREF _Toc83928954 \h </w:instrText>
        </w:r>
        <w:r w:rsidR="00E379BD">
          <w:rPr>
            <w:noProof/>
            <w:webHidden/>
          </w:rPr>
        </w:r>
        <w:r w:rsidR="00E379BD">
          <w:rPr>
            <w:noProof/>
            <w:webHidden/>
          </w:rPr>
          <w:fldChar w:fldCharType="separate"/>
        </w:r>
        <w:r w:rsidR="00A867B4">
          <w:rPr>
            <w:noProof/>
            <w:webHidden/>
          </w:rPr>
          <w:t>201</w:t>
        </w:r>
        <w:r w:rsidR="00E379BD">
          <w:rPr>
            <w:noProof/>
            <w:webHidden/>
          </w:rPr>
          <w:fldChar w:fldCharType="end"/>
        </w:r>
      </w:hyperlink>
    </w:p>
    <w:p w14:paraId="710358DE" w14:textId="041CBE0E"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5" w:history="1">
        <w:r w:rsidR="00E379BD" w:rsidRPr="00E80FCB">
          <w:rPr>
            <w:rStyle w:val="Hyperlink"/>
            <w:noProof/>
          </w:rPr>
          <w:t>Աղյուսակ 18. Հարկային եկամուտների զգայունությունը հիմնական տնտեսական գործոնների նկատմամբ, տոկոս</w:t>
        </w:r>
        <w:r w:rsidR="00E379BD">
          <w:rPr>
            <w:noProof/>
            <w:webHidden/>
          </w:rPr>
          <w:tab/>
        </w:r>
        <w:r w:rsidR="00E379BD">
          <w:rPr>
            <w:noProof/>
            <w:webHidden/>
          </w:rPr>
          <w:fldChar w:fldCharType="begin"/>
        </w:r>
        <w:r w:rsidR="00E379BD">
          <w:rPr>
            <w:noProof/>
            <w:webHidden/>
          </w:rPr>
          <w:instrText xml:space="preserve"> PAGEREF _Toc83928955 \h </w:instrText>
        </w:r>
        <w:r w:rsidR="00E379BD">
          <w:rPr>
            <w:noProof/>
            <w:webHidden/>
          </w:rPr>
        </w:r>
        <w:r w:rsidR="00E379BD">
          <w:rPr>
            <w:noProof/>
            <w:webHidden/>
          </w:rPr>
          <w:fldChar w:fldCharType="separate"/>
        </w:r>
        <w:r w:rsidR="00A867B4">
          <w:rPr>
            <w:noProof/>
            <w:webHidden/>
          </w:rPr>
          <w:t>202</w:t>
        </w:r>
        <w:r w:rsidR="00E379BD">
          <w:rPr>
            <w:noProof/>
            <w:webHidden/>
          </w:rPr>
          <w:fldChar w:fldCharType="end"/>
        </w:r>
      </w:hyperlink>
    </w:p>
    <w:p w14:paraId="28753C1A" w14:textId="6A640034"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6" w:history="1">
        <w:r w:rsidR="00E379BD" w:rsidRPr="00E80FCB">
          <w:rPr>
            <w:rStyle w:val="Hyperlink"/>
            <w:noProof/>
          </w:rPr>
          <w:t>Աղյուսակ 19</w:t>
        </w:r>
        <w:r w:rsidR="00E379BD" w:rsidRPr="00E80FCB">
          <w:rPr>
            <w:rStyle w:val="Hyperlink"/>
            <w:noProof/>
            <w:lang w:val="hy-AM"/>
          </w:rPr>
          <w:t>.</w:t>
        </w:r>
        <w:r w:rsidR="00E379BD" w:rsidRPr="00E80FCB">
          <w:rPr>
            <w:rStyle w:val="Hyperlink"/>
            <w:rFonts w:eastAsia="Calibri"/>
            <w:i/>
            <w:noProof/>
            <w:lang w:val="hy-AM" w:eastAsia="en-US"/>
          </w:rPr>
          <w:t xml:space="preserve"> Հարկային եկամուտների կանխատեսումների հավանականային բաշխումը</w:t>
        </w:r>
        <w:r w:rsidR="00E379BD">
          <w:rPr>
            <w:rStyle w:val="Hyperlink"/>
            <w:rFonts w:eastAsia="Calibri"/>
            <w:i/>
            <w:noProof/>
            <w:lang w:val="en-US" w:eastAsia="en-US"/>
          </w:rPr>
          <w:t>…………</w:t>
        </w:r>
        <w:r w:rsidR="00E379BD">
          <w:rPr>
            <w:noProof/>
            <w:webHidden/>
          </w:rPr>
          <w:tab/>
        </w:r>
        <w:r w:rsidR="00E379BD">
          <w:rPr>
            <w:noProof/>
            <w:webHidden/>
          </w:rPr>
          <w:fldChar w:fldCharType="begin"/>
        </w:r>
        <w:r w:rsidR="00E379BD">
          <w:rPr>
            <w:noProof/>
            <w:webHidden/>
          </w:rPr>
          <w:instrText xml:space="preserve"> PAGEREF _Toc83928956 \h </w:instrText>
        </w:r>
        <w:r w:rsidR="00E379BD">
          <w:rPr>
            <w:noProof/>
            <w:webHidden/>
          </w:rPr>
        </w:r>
        <w:r w:rsidR="00E379BD">
          <w:rPr>
            <w:noProof/>
            <w:webHidden/>
          </w:rPr>
          <w:fldChar w:fldCharType="separate"/>
        </w:r>
        <w:r w:rsidR="00A867B4">
          <w:rPr>
            <w:noProof/>
            <w:webHidden/>
          </w:rPr>
          <w:t>203</w:t>
        </w:r>
        <w:r w:rsidR="00E379BD">
          <w:rPr>
            <w:noProof/>
            <w:webHidden/>
          </w:rPr>
          <w:fldChar w:fldCharType="end"/>
        </w:r>
      </w:hyperlink>
    </w:p>
    <w:p w14:paraId="348F8A3D" w14:textId="04E4E6FF"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7" w:history="1">
        <w:r w:rsidR="00E379BD" w:rsidRPr="00E80FCB">
          <w:rPr>
            <w:rStyle w:val="Hyperlink"/>
            <w:noProof/>
          </w:rPr>
          <w:t>Աղյուսակ 20. ՀՀ պետական բյուջեի հարկային եկամուտների և ծախսերի, ինչպես նաև այլ հոսքերի գծով ռիսկերի ընդհանուր ազդեցությունը. (ֆինանսավորման պահանջ` - պահանջի մեծացում, + պահանջի նվազում), մլրդ ՀՀ դրամ</w:t>
        </w:r>
        <w:r w:rsidR="00E379BD">
          <w:rPr>
            <w:noProof/>
            <w:webHidden/>
          </w:rPr>
          <w:tab/>
        </w:r>
        <w:r w:rsidR="00E379BD">
          <w:rPr>
            <w:noProof/>
            <w:webHidden/>
          </w:rPr>
          <w:fldChar w:fldCharType="begin"/>
        </w:r>
        <w:r w:rsidR="00E379BD">
          <w:rPr>
            <w:noProof/>
            <w:webHidden/>
          </w:rPr>
          <w:instrText xml:space="preserve"> PAGEREF _Toc83928957 \h </w:instrText>
        </w:r>
        <w:r w:rsidR="00E379BD">
          <w:rPr>
            <w:noProof/>
            <w:webHidden/>
          </w:rPr>
        </w:r>
        <w:r w:rsidR="00E379BD">
          <w:rPr>
            <w:noProof/>
            <w:webHidden/>
          </w:rPr>
          <w:fldChar w:fldCharType="separate"/>
        </w:r>
        <w:r w:rsidR="00A867B4">
          <w:rPr>
            <w:noProof/>
            <w:webHidden/>
          </w:rPr>
          <w:t>204</w:t>
        </w:r>
        <w:r w:rsidR="00E379BD">
          <w:rPr>
            <w:noProof/>
            <w:webHidden/>
          </w:rPr>
          <w:fldChar w:fldCharType="end"/>
        </w:r>
      </w:hyperlink>
    </w:p>
    <w:p w14:paraId="01B70302" w14:textId="322794FF" w:rsidR="00E379BD" w:rsidRDefault="00F379C0" w:rsidP="00054D48">
      <w:pPr>
        <w:pStyle w:val="TableofFigures"/>
        <w:tabs>
          <w:tab w:val="left" w:pos="1260"/>
        </w:tabs>
        <w:rPr>
          <w:rFonts w:asciiTheme="minorHAnsi" w:eastAsiaTheme="minorEastAsia" w:hAnsiTheme="minorHAnsi" w:cstheme="minorBidi"/>
          <w:noProof/>
          <w:szCs w:val="22"/>
          <w:lang w:val="en-US" w:eastAsia="en-US"/>
        </w:rPr>
      </w:pPr>
      <w:hyperlink w:anchor="_Toc83928958" w:history="1">
        <w:r w:rsidR="00E379BD" w:rsidRPr="00E80FCB">
          <w:rPr>
            <w:rStyle w:val="Hyperlink"/>
            <w:noProof/>
          </w:rPr>
          <w:t>Աղյուսակ 21</w:t>
        </w:r>
        <w:r w:rsidR="00E379BD" w:rsidRPr="00E80FCB">
          <w:rPr>
            <w:rStyle w:val="Hyperlink"/>
            <w:noProof/>
            <w:lang w:val="hy-AM"/>
          </w:rPr>
          <w:t xml:space="preserve">. </w:t>
        </w:r>
        <w:r w:rsidR="00E379BD" w:rsidRPr="00E80FCB">
          <w:rPr>
            <w:rStyle w:val="Hyperlink"/>
            <w:rFonts w:eastAsia="Calibri"/>
            <w:i/>
            <w:noProof/>
            <w:lang w:val="hy-AM" w:eastAsia="en-US"/>
          </w:rPr>
          <w:t>ՀՀ ՖՆ և այլ կառույցների կողմից ՀՀ տնտեսական աճի կանխատեսումները (%)</w:t>
        </w:r>
        <w:r w:rsidR="00E379BD">
          <w:rPr>
            <w:noProof/>
            <w:webHidden/>
          </w:rPr>
          <w:tab/>
        </w:r>
        <w:r w:rsidR="00E379BD">
          <w:rPr>
            <w:noProof/>
            <w:webHidden/>
          </w:rPr>
          <w:fldChar w:fldCharType="begin"/>
        </w:r>
        <w:r w:rsidR="00E379BD">
          <w:rPr>
            <w:noProof/>
            <w:webHidden/>
          </w:rPr>
          <w:instrText xml:space="preserve"> PAGEREF _Toc83928958 \h </w:instrText>
        </w:r>
        <w:r w:rsidR="00E379BD">
          <w:rPr>
            <w:noProof/>
            <w:webHidden/>
          </w:rPr>
        </w:r>
        <w:r w:rsidR="00E379BD">
          <w:rPr>
            <w:noProof/>
            <w:webHidden/>
          </w:rPr>
          <w:fldChar w:fldCharType="separate"/>
        </w:r>
        <w:r w:rsidR="00A867B4">
          <w:rPr>
            <w:noProof/>
            <w:webHidden/>
          </w:rPr>
          <w:t>206</w:t>
        </w:r>
        <w:r w:rsidR="00E379BD">
          <w:rPr>
            <w:noProof/>
            <w:webHidden/>
          </w:rPr>
          <w:fldChar w:fldCharType="end"/>
        </w:r>
      </w:hyperlink>
    </w:p>
    <w:p w14:paraId="53227164" w14:textId="6080AEC1" w:rsidR="008B76F4" w:rsidRPr="00A83C94" w:rsidRDefault="003C3925" w:rsidP="00054D48">
      <w:pPr>
        <w:tabs>
          <w:tab w:val="left" w:pos="1260"/>
        </w:tabs>
        <w:spacing w:before="0"/>
        <w:ind w:left="1440" w:hanging="1440"/>
        <w:contextualSpacing w:val="0"/>
        <w:rPr>
          <w:rFonts w:eastAsia="Calibri" w:cs="Times Armenian"/>
          <w:b w:val="0"/>
          <w:szCs w:val="22"/>
          <w:lang w:val="hy-AM" w:eastAsia="en-US"/>
        </w:rPr>
      </w:pPr>
      <w:r w:rsidRPr="00A83C94">
        <w:rPr>
          <w:rFonts w:eastAsia="Calibri" w:cs="Times Armenian"/>
          <w:b w:val="0"/>
          <w:szCs w:val="22"/>
          <w:lang w:val="hy-AM" w:eastAsia="en-US"/>
        </w:rPr>
        <w:fldChar w:fldCharType="end"/>
      </w:r>
    </w:p>
    <w:p w14:paraId="6B64DE4B" w14:textId="77777777" w:rsidR="008B76F4" w:rsidRPr="00A83C94" w:rsidRDefault="008B76F4" w:rsidP="00962F00">
      <w:pPr>
        <w:spacing w:before="0"/>
        <w:ind w:firstLine="720"/>
        <w:contextualSpacing w:val="0"/>
        <w:rPr>
          <w:rFonts w:eastAsia="Calibri" w:cs="Times Armenian"/>
          <w:b w:val="0"/>
          <w:szCs w:val="22"/>
          <w:lang w:val="hy-AM" w:eastAsia="en-US"/>
        </w:rPr>
      </w:pPr>
    </w:p>
    <w:p w14:paraId="17B0E2B4" w14:textId="77777777" w:rsidR="008B76F4" w:rsidRPr="00A83C94" w:rsidRDefault="008B76F4" w:rsidP="00962F00">
      <w:pPr>
        <w:spacing w:before="0"/>
        <w:ind w:firstLine="720"/>
        <w:contextualSpacing w:val="0"/>
        <w:rPr>
          <w:rFonts w:eastAsia="Calibri" w:cs="Times Armenian"/>
          <w:b w:val="0"/>
          <w:szCs w:val="22"/>
          <w:lang w:val="hy-AM" w:eastAsia="en-US"/>
        </w:rPr>
      </w:pPr>
    </w:p>
    <w:p w14:paraId="77F5C5D0" w14:textId="77777777" w:rsidR="008B76F4" w:rsidRPr="00A83C94" w:rsidRDefault="008B76F4" w:rsidP="00962F00">
      <w:pPr>
        <w:spacing w:before="0"/>
        <w:ind w:firstLine="720"/>
        <w:contextualSpacing w:val="0"/>
        <w:rPr>
          <w:rFonts w:eastAsia="Calibri" w:cs="Times Armenian"/>
          <w:b w:val="0"/>
          <w:szCs w:val="22"/>
          <w:lang w:val="hy-AM" w:eastAsia="en-US"/>
        </w:rPr>
      </w:pPr>
    </w:p>
    <w:p w14:paraId="2AB2C622" w14:textId="77777777" w:rsidR="008B76F4" w:rsidRPr="00A83C94" w:rsidRDefault="008B76F4" w:rsidP="00962F00">
      <w:pPr>
        <w:spacing w:before="0"/>
        <w:ind w:firstLine="720"/>
        <w:contextualSpacing w:val="0"/>
        <w:rPr>
          <w:rFonts w:eastAsia="Calibri" w:cs="Times Armenian"/>
          <w:b w:val="0"/>
          <w:szCs w:val="22"/>
          <w:lang w:val="hy-AM" w:eastAsia="en-US"/>
        </w:rPr>
      </w:pPr>
    </w:p>
    <w:p w14:paraId="2767CCB6" w14:textId="77777777" w:rsidR="008B76F4" w:rsidRPr="00A83C94" w:rsidRDefault="008B76F4" w:rsidP="00962F00">
      <w:pPr>
        <w:spacing w:before="0"/>
        <w:ind w:firstLine="720"/>
        <w:contextualSpacing w:val="0"/>
        <w:rPr>
          <w:rFonts w:eastAsia="Calibri" w:cs="Times Armenian"/>
          <w:b w:val="0"/>
          <w:szCs w:val="22"/>
          <w:lang w:val="hy-AM" w:eastAsia="en-US"/>
        </w:rPr>
      </w:pPr>
    </w:p>
    <w:p w14:paraId="54252B19" w14:textId="77777777" w:rsidR="008B76F4" w:rsidRPr="00A83C94" w:rsidRDefault="008B76F4" w:rsidP="00962F00">
      <w:pPr>
        <w:spacing w:before="0"/>
        <w:ind w:firstLine="720"/>
        <w:contextualSpacing w:val="0"/>
        <w:rPr>
          <w:rFonts w:eastAsia="Calibri" w:cs="Times Armenian"/>
          <w:b w:val="0"/>
          <w:szCs w:val="22"/>
          <w:lang w:val="hy-AM" w:eastAsia="en-US"/>
        </w:rPr>
      </w:pPr>
    </w:p>
    <w:p w14:paraId="30F334C6" w14:textId="77777777" w:rsidR="008B76F4" w:rsidRPr="00A83C94" w:rsidRDefault="008B76F4" w:rsidP="00962F00">
      <w:pPr>
        <w:spacing w:before="0"/>
        <w:ind w:firstLine="720"/>
        <w:contextualSpacing w:val="0"/>
        <w:rPr>
          <w:rFonts w:eastAsia="Calibri" w:cs="Times Armenian"/>
          <w:b w:val="0"/>
          <w:szCs w:val="22"/>
          <w:lang w:val="hy-AM" w:eastAsia="en-US"/>
        </w:rPr>
      </w:pPr>
    </w:p>
    <w:p w14:paraId="7D3C6FD6" w14:textId="5CD1D4CA" w:rsidR="008B76F4" w:rsidRPr="00A83C94" w:rsidRDefault="008B76F4" w:rsidP="00962F00">
      <w:pPr>
        <w:spacing w:before="0"/>
        <w:contextualSpacing w:val="0"/>
        <w:rPr>
          <w:rFonts w:eastAsia="Calibri" w:cs="Times Armenian"/>
          <w:b w:val="0"/>
          <w:szCs w:val="22"/>
          <w:lang w:val="hy-AM" w:eastAsia="en-US"/>
        </w:rPr>
      </w:pPr>
    </w:p>
    <w:p w14:paraId="78DD24DE" w14:textId="77777777" w:rsidR="0088088B" w:rsidRPr="00A83C94" w:rsidRDefault="0088088B" w:rsidP="00962F00">
      <w:pPr>
        <w:spacing w:before="0"/>
        <w:contextualSpacing w:val="0"/>
        <w:rPr>
          <w:rFonts w:eastAsia="Calibri" w:cs="Times Armenian"/>
          <w:b w:val="0"/>
          <w:szCs w:val="22"/>
          <w:lang w:val="hy-AM" w:eastAsia="en-US"/>
        </w:rPr>
      </w:pPr>
    </w:p>
    <w:p w14:paraId="129B51C4" w14:textId="7769FDE8" w:rsidR="008B76F4" w:rsidRDefault="008B76F4" w:rsidP="00962F00">
      <w:pPr>
        <w:spacing w:before="0"/>
        <w:contextualSpacing w:val="0"/>
        <w:rPr>
          <w:rFonts w:eastAsia="Calibri" w:cs="Times Armenian"/>
          <w:b w:val="0"/>
          <w:szCs w:val="22"/>
          <w:lang w:val="hy-AM" w:eastAsia="en-US"/>
        </w:rPr>
      </w:pPr>
    </w:p>
    <w:p w14:paraId="383E9A9A" w14:textId="6AE38D5F" w:rsidR="00D87728" w:rsidRDefault="00D87728" w:rsidP="00962F00">
      <w:pPr>
        <w:spacing w:before="0"/>
        <w:contextualSpacing w:val="0"/>
        <w:rPr>
          <w:rFonts w:eastAsia="Calibri" w:cs="Times Armenian"/>
          <w:b w:val="0"/>
          <w:szCs w:val="22"/>
          <w:lang w:val="hy-AM" w:eastAsia="en-US"/>
        </w:rPr>
      </w:pPr>
    </w:p>
    <w:p w14:paraId="36B35E56" w14:textId="7DDA199D" w:rsidR="00D87728" w:rsidRDefault="00D87728" w:rsidP="00962F00">
      <w:pPr>
        <w:spacing w:before="0"/>
        <w:contextualSpacing w:val="0"/>
        <w:rPr>
          <w:rFonts w:eastAsia="Calibri" w:cs="Times Armenian"/>
          <w:b w:val="0"/>
          <w:szCs w:val="22"/>
          <w:lang w:val="hy-AM" w:eastAsia="en-US"/>
        </w:rPr>
      </w:pPr>
    </w:p>
    <w:p w14:paraId="33159C77" w14:textId="62A73E61" w:rsidR="00D87728" w:rsidRDefault="00D87728" w:rsidP="00962F00">
      <w:pPr>
        <w:spacing w:before="0"/>
        <w:contextualSpacing w:val="0"/>
        <w:rPr>
          <w:rFonts w:eastAsia="Calibri" w:cs="Times Armenian"/>
          <w:b w:val="0"/>
          <w:szCs w:val="22"/>
          <w:lang w:val="hy-AM" w:eastAsia="en-US"/>
        </w:rPr>
      </w:pPr>
    </w:p>
    <w:p w14:paraId="45110028" w14:textId="77777777" w:rsidR="00D87728" w:rsidRPr="00A83C94" w:rsidRDefault="00D87728" w:rsidP="00962F00">
      <w:pPr>
        <w:spacing w:before="0"/>
        <w:contextualSpacing w:val="0"/>
        <w:rPr>
          <w:rFonts w:eastAsia="Calibri" w:cs="Times Armenian"/>
          <w:b w:val="0"/>
          <w:szCs w:val="22"/>
          <w:lang w:val="hy-AM" w:eastAsia="en-US"/>
        </w:rPr>
      </w:pPr>
    </w:p>
    <w:p w14:paraId="0089C7D4" w14:textId="77777777" w:rsidR="008B76F4" w:rsidRPr="00A83C94" w:rsidRDefault="008B76F4" w:rsidP="00962F00">
      <w:pPr>
        <w:spacing w:before="0"/>
        <w:contextualSpacing w:val="0"/>
        <w:rPr>
          <w:rFonts w:eastAsia="Calibri" w:cs="Times Armenian"/>
          <w:b w:val="0"/>
          <w:szCs w:val="22"/>
          <w:lang w:val="hy-AM" w:eastAsia="en-US"/>
        </w:rPr>
      </w:pPr>
    </w:p>
    <w:p w14:paraId="3C5F61CE" w14:textId="77777777" w:rsidR="000957ED" w:rsidRDefault="000957ED" w:rsidP="00962F00">
      <w:pPr>
        <w:spacing w:before="0"/>
        <w:ind w:firstLine="0"/>
        <w:contextualSpacing w:val="0"/>
        <w:jc w:val="left"/>
        <w:rPr>
          <w:bCs/>
          <w:kern w:val="28"/>
          <w:sz w:val="28"/>
          <w:szCs w:val="28"/>
        </w:rPr>
      </w:pPr>
      <w:bookmarkStart w:id="334" w:name="_Toc499827217"/>
      <w:bookmarkStart w:id="335" w:name="_Toc26174960"/>
      <w:r>
        <w:rPr>
          <w:bCs/>
          <w:kern w:val="28"/>
          <w:sz w:val="28"/>
          <w:szCs w:val="28"/>
        </w:rPr>
        <w:br w:type="page"/>
      </w:r>
    </w:p>
    <w:p w14:paraId="52DECFE3" w14:textId="0C9B4980" w:rsidR="008B76F4" w:rsidRDefault="008B76F4" w:rsidP="00962F00">
      <w:pPr>
        <w:spacing w:before="0"/>
        <w:ind w:firstLine="0"/>
        <w:jc w:val="center"/>
        <w:outlineLvl w:val="0"/>
        <w:rPr>
          <w:bCs/>
          <w:kern w:val="28"/>
          <w:sz w:val="28"/>
          <w:szCs w:val="28"/>
        </w:rPr>
      </w:pPr>
      <w:bookmarkStart w:id="336" w:name="_Toc83996407"/>
      <w:r w:rsidRPr="00A83C94">
        <w:rPr>
          <w:bCs/>
          <w:kern w:val="28"/>
          <w:sz w:val="28"/>
          <w:szCs w:val="28"/>
        </w:rPr>
        <w:t>ԳԾԱՊԱՏԿԵՐՆԵՐ</w:t>
      </w:r>
      <w:bookmarkEnd w:id="334"/>
      <w:bookmarkEnd w:id="335"/>
      <w:bookmarkEnd w:id="336"/>
    </w:p>
    <w:p w14:paraId="1938C622" w14:textId="77777777" w:rsidR="00E64B10" w:rsidRPr="00A83C94" w:rsidRDefault="00E64B10" w:rsidP="00962F00">
      <w:pPr>
        <w:spacing w:before="0"/>
        <w:ind w:firstLine="0"/>
        <w:jc w:val="center"/>
        <w:outlineLvl w:val="0"/>
        <w:rPr>
          <w:bCs/>
          <w:kern w:val="28"/>
          <w:sz w:val="28"/>
          <w:szCs w:val="28"/>
        </w:rPr>
      </w:pPr>
    </w:p>
    <w:p w14:paraId="7BA82E2C" w14:textId="3BA9E356" w:rsidR="00E0510E" w:rsidRDefault="003C3925" w:rsidP="00054D48">
      <w:pPr>
        <w:pStyle w:val="TableofFigures"/>
        <w:tabs>
          <w:tab w:val="clear" w:pos="1843"/>
          <w:tab w:val="left" w:pos="1710"/>
        </w:tabs>
        <w:ind w:left="1710" w:hanging="1710"/>
        <w:rPr>
          <w:rFonts w:asciiTheme="minorHAnsi" w:eastAsiaTheme="minorEastAsia" w:hAnsiTheme="minorHAnsi" w:cstheme="minorBidi"/>
          <w:noProof/>
          <w:szCs w:val="22"/>
          <w:lang w:val="en-US" w:eastAsia="en-US"/>
        </w:rPr>
      </w:pPr>
      <w:r w:rsidRPr="00A83C94">
        <w:rPr>
          <w:rFonts w:eastAsia="Calibri" w:cs="Times Armenian"/>
          <w:szCs w:val="22"/>
          <w:lang w:val="hy-AM" w:eastAsia="en-US"/>
        </w:rPr>
        <w:fldChar w:fldCharType="begin"/>
      </w:r>
      <w:r w:rsidR="00987A1B" w:rsidRPr="00A83C94">
        <w:rPr>
          <w:rFonts w:eastAsia="Calibri" w:cs="Times Armenian"/>
          <w:szCs w:val="22"/>
          <w:lang w:val="hy-AM" w:eastAsia="en-US"/>
        </w:rPr>
        <w:instrText xml:space="preserve"> TOC \h \z \c "Գծապատկեր" </w:instrText>
      </w:r>
      <w:r w:rsidRPr="00A83C94">
        <w:rPr>
          <w:rFonts w:eastAsia="Calibri" w:cs="Times Armenian"/>
          <w:szCs w:val="22"/>
          <w:lang w:val="hy-AM" w:eastAsia="en-US"/>
        </w:rPr>
        <w:fldChar w:fldCharType="separate"/>
      </w:r>
      <w:hyperlink w:anchor="_Toc83929498" w:history="1">
        <w:r w:rsidR="00E0510E" w:rsidRPr="006B7405">
          <w:rPr>
            <w:rStyle w:val="Hyperlink"/>
            <w:noProof/>
          </w:rPr>
          <w:t>Գծապատկեր 1</w:t>
        </w:r>
        <w:r w:rsidR="00E0510E" w:rsidRPr="006B7405">
          <w:rPr>
            <w:rStyle w:val="Hyperlink"/>
            <w:rFonts w:ascii="MS Gothic" w:eastAsia="MS Gothic" w:hAnsi="MS Gothic" w:cs="MS Gothic" w:hint="eastAsia"/>
            <w:noProof/>
            <w:lang w:val="hy-AM"/>
          </w:rPr>
          <w:t>․</w:t>
        </w:r>
        <w:r w:rsidR="00E0510E" w:rsidRPr="006B7405">
          <w:rPr>
            <w:rStyle w:val="Hyperlink"/>
            <w:rFonts w:ascii="Cambria Math" w:hAnsi="Cambria Math"/>
            <w:noProof/>
            <w:lang w:val="hy-AM"/>
          </w:rPr>
          <w:t xml:space="preserve"> </w:t>
        </w:r>
        <w:r w:rsidR="00E0510E" w:rsidRPr="006B7405">
          <w:rPr>
            <w:rStyle w:val="Hyperlink"/>
            <w:i/>
            <w:noProof/>
            <w:lang w:val="hy-AM"/>
          </w:rPr>
          <w:t>ՀՀ 2018-202</w:t>
        </w:r>
        <w:r w:rsidR="00E0510E" w:rsidRPr="006B7405">
          <w:rPr>
            <w:rStyle w:val="Hyperlink"/>
            <w:i/>
            <w:noProof/>
            <w:lang w:val="af-ZA"/>
          </w:rPr>
          <w:t>2</w:t>
        </w:r>
        <w:r w:rsidR="00E0510E" w:rsidRPr="006B7405">
          <w:rPr>
            <w:rStyle w:val="Hyperlink"/>
            <w:i/>
            <w:noProof/>
            <w:lang w:val="hy-AM"/>
          </w:rPr>
          <w:t>թթ հարկային եկամուտները և պետական տուրքերը (մլրդ դրամով) և կշիռը ՀՆԱ-ի նկատմամբ</w:t>
        </w:r>
        <w:r w:rsidR="00E0510E">
          <w:rPr>
            <w:noProof/>
            <w:webHidden/>
          </w:rPr>
          <w:tab/>
        </w:r>
        <w:r w:rsidR="00E0510E">
          <w:rPr>
            <w:noProof/>
            <w:webHidden/>
          </w:rPr>
          <w:fldChar w:fldCharType="begin"/>
        </w:r>
        <w:r w:rsidR="00E0510E">
          <w:rPr>
            <w:noProof/>
            <w:webHidden/>
          </w:rPr>
          <w:instrText xml:space="preserve"> PAGEREF _Toc83929498 \h </w:instrText>
        </w:r>
        <w:r w:rsidR="00E0510E">
          <w:rPr>
            <w:noProof/>
            <w:webHidden/>
          </w:rPr>
        </w:r>
        <w:r w:rsidR="00E0510E">
          <w:rPr>
            <w:noProof/>
            <w:webHidden/>
          </w:rPr>
          <w:fldChar w:fldCharType="separate"/>
        </w:r>
        <w:r w:rsidR="00A867B4">
          <w:rPr>
            <w:noProof/>
            <w:webHidden/>
          </w:rPr>
          <w:t>99</w:t>
        </w:r>
        <w:r w:rsidR="00E0510E">
          <w:rPr>
            <w:noProof/>
            <w:webHidden/>
          </w:rPr>
          <w:fldChar w:fldCharType="end"/>
        </w:r>
      </w:hyperlink>
    </w:p>
    <w:p w14:paraId="7E003BC0" w14:textId="21DCBF53" w:rsidR="00E0510E" w:rsidRDefault="00F379C0" w:rsidP="00054D48">
      <w:pPr>
        <w:pStyle w:val="TableofFigures"/>
        <w:tabs>
          <w:tab w:val="clear" w:pos="1843"/>
          <w:tab w:val="left" w:pos="1710"/>
        </w:tabs>
        <w:ind w:left="1710" w:hanging="1710"/>
        <w:rPr>
          <w:rFonts w:asciiTheme="minorHAnsi" w:eastAsiaTheme="minorEastAsia" w:hAnsiTheme="minorHAnsi" w:cstheme="minorBidi"/>
          <w:noProof/>
          <w:szCs w:val="22"/>
          <w:lang w:val="en-US" w:eastAsia="en-US"/>
        </w:rPr>
      </w:pPr>
      <w:hyperlink w:anchor="_Toc83929499" w:history="1">
        <w:r w:rsidR="00E0510E" w:rsidRPr="006B7405">
          <w:rPr>
            <w:rStyle w:val="Hyperlink"/>
            <w:noProof/>
          </w:rPr>
          <w:t>Գծապատկեր 2</w:t>
        </w:r>
        <w:r w:rsidR="00E0510E" w:rsidRPr="006B7405">
          <w:rPr>
            <w:rStyle w:val="Hyperlink"/>
            <w:rFonts w:ascii="MS Gothic" w:eastAsia="MS Gothic" w:hAnsi="MS Gothic" w:cs="MS Gothic" w:hint="eastAsia"/>
            <w:noProof/>
            <w:lang w:val="hy-AM"/>
          </w:rPr>
          <w:t>․</w:t>
        </w:r>
        <w:r w:rsidR="00E0510E" w:rsidRPr="006B7405">
          <w:rPr>
            <w:rStyle w:val="Hyperlink"/>
            <w:rFonts w:eastAsia="Calibri"/>
            <w:i/>
            <w:iCs/>
            <w:noProof/>
            <w:lang w:val="hy-AM" w:eastAsia="en-US"/>
          </w:rPr>
          <w:t xml:space="preserve"> </w:t>
        </w:r>
        <w:r w:rsidR="00E0510E" w:rsidRPr="006B7405">
          <w:rPr>
            <w:rStyle w:val="Hyperlink"/>
            <w:i/>
            <w:noProof/>
            <w:lang w:val="af-ZA" w:eastAsia="en-US"/>
          </w:rPr>
          <w:t>2018-2022</w:t>
        </w:r>
        <w:r w:rsidR="00E0510E" w:rsidRPr="006B7405">
          <w:rPr>
            <w:rStyle w:val="Hyperlink"/>
            <w:i/>
            <w:noProof/>
            <w:lang w:val="it-IT" w:eastAsia="en-US"/>
          </w:rPr>
          <w:t>թթ</w:t>
        </w:r>
        <w:r w:rsidR="00E0510E" w:rsidRPr="006B7405">
          <w:rPr>
            <w:rStyle w:val="Hyperlink"/>
            <w:rFonts w:ascii="MS Gothic" w:eastAsia="MS Gothic" w:hAnsi="MS Gothic" w:cs="MS Gothic" w:hint="eastAsia"/>
            <w:i/>
            <w:noProof/>
            <w:lang w:val="hy-AM" w:eastAsia="en-US"/>
          </w:rPr>
          <w:t>․</w:t>
        </w:r>
        <w:r w:rsidR="00E0510E" w:rsidRPr="006B7405">
          <w:rPr>
            <w:rStyle w:val="Hyperlink"/>
            <w:i/>
            <w:noProof/>
            <w:lang w:val="af-ZA" w:eastAsia="en-US"/>
          </w:rPr>
          <w:t xml:space="preserve"> </w:t>
        </w:r>
        <w:r w:rsidR="00E0510E" w:rsidRPr="006B7405">
          <w:rPr>
            <w:rStyle w:val="Hyperlink"/>
            <w:rFonts w:cs="Sylfaen"/>
            <w:i/>
            <w:noProof/>
            <w:lang w:val="hy-AM" w:eastAsia="en-US"/>
          </w:rPr>
          <w:t>ընթացիկ</w:t>
        </w:r>
        <w:r w:rsidR="00E0510E" w:rsidRPr="006B7405">
          <w:rPr>
            <w:rStyle w:val="Hyperlink"/>
            <w:i/>
            <w:noProof/>
            <w:lang w:val="af-ZA" w:eastAsia="en-US"/>
          </w:rPr>
          <w:t xml:space="preserve"> </w:t>
        </w:r>
        <w:r w:rsidR="00E0510E" w:rsidRPr="006B7405">
          <w:rPr>
            <w:rStyle w:val="Hyperlink"/>
            <w:rFonts w:cs="Sylfaen"/>
            <w:i/>
            <w:noProof/>
            <w:lang w:val="hy-AM" w:eastAsia="en-US"/>
          </w:rPr>
          <w:t>և</w:t>
        </w:r>
        <w:r w:rsidR="00E0510E" w:rsidRPr="006B7405">
          <w:rPr>
            <w:rStyle w:val="Hyperlink"/>
            <w:i/>
            <w:noProof/>
            <w:lang w:val="af-ZA" w:eastAsia="en-US"/>
          </w:rPr>
          <w:t xml:space="preserve"> </w:t>
        </w:r>
        <w:r w:rsidR="00E0510E" w:rsidRPr="006B7405">
          <w:rPr>
            <w:rStyle w:val="Hyperlink"/>
            <w:rFonts w:cs="Sylfaen"/>
            <w:i/>
            <w:noProof/>
            <w:lang w:val="hy-AM" w:eastAsia="en-US"/>
          </w:rPr>
          <w:t>ոչ</w:t>
        </w:r>
        <w:r w:rsidR="00E0510E" w:rsidRPr="006B7405">
          <w:rPr>
            <w:rStyle w:val="Hyperlink"/>
            <w:rFonts w:cs="Sylfaen"/>
            <w:i/>
            <w:noProof/>
            <w:lang w:val="af-ZA" w:eastAsia="en-US"/>
          </w:rPr>
          <w:t xml:space="preserve"> </w:t>
        </w:r>
        <w:r w:rsidR="00E0510E" w:rsidRPr="006B7405">
          <w:rPr>
            <w:rStyle w:val="Hyperlink"/>
            <w:rFonts w:cs="Sylfaen"/>
            <w:i/>
            <w:noProof/>
            <w:lang w:val="hy-AM" w:eastAsia="en-US"/>
          </w:rPr>
          <w:t>ֆինանսական</w:t>
        </w:r>
        <w:r w:rsidR="00E0510E" w:rsidRPr="006B7405">
          <w:rPr>
            <w:rStyle w:val="Hyperlink"/>
            <w:rFonts w:cs="Sylfaen"/>
            <w:i/>
            <w:noProof/>
            <w:lang w:val="af-ZA" w:eastAsia="en-US"/>
          </w:rPr>
          <w:t xml:space="preserve"> </w:t>
        </w:r>
        <w:r w:rsidR="00E0510E" w:rsidRPr="006B7405">
          <w:rPr>
            <w:rStyle w:val="Hyperlink"/>
            <w:rFonts w:cs="Sylfaen"/>
            <w:i/>
            <w:noProof/>
            <w:lang w:val="hy-AM" w:eastAsia="en-US"/>
          </w:rPr>
          <w:t>ակտիվների</w:t>
        </w:r>
        <w:r w:rsidR="00E0510E" w:rsidRPr="006B7405">
          <w:rPr>
            <w:rStyle w:val="Hyperlink"/>
            <w:rFonts w:cs="Sylfaen"/>
            <w:i/>
            <w:noProof/>
            <w:lang w:val="af-ZA" w:eastAsia="en-US"/>
          </w:rPr>
          <w:t xml:space="preserve"> </w:t>
        </w:r>
        <w:r w:rsidR="00E0510E" w:rsidRPr="006B7405">
          <w:rPr>
            <w:rStyle w:val="Hyperlink"/>
            <w:rFonts w:cs="Sylfaen"/>
            <w:i/>
            <w:noProof/>
            <w:lang w:val="hy-AM" w:eastAsia="en-US"/>
          </w:rPr>
          <w:t>գծով</w:t>
        </w:r>
        <w:r w:rsidR="00E0510E" w:rsidRPr="006B7405">
          <w:rPr>
            <w:rStyle w:val="Hyperlink"/>
            <w:rFonts w:cs="Sylfaen"/>
            <w:i/>
            <w:noProof/>
            <w:lang w:val="af-ZA" w:eastAsia="en-US"/>
          </w:rPr>
          <w:t xml:space="preserve"> </w:t>
        </w:r>
        <w:r w:rsidR="00E0510E" w:rsidRPr="006B7405">
          <w:rPr>
            <w:rStyle w:val="Hyperlink"/>
            <w:rFonts w:cs="Sylfaen"/>
            <w:i/>
            <w:noProof/>
            <w:lang w:val="en-US" w:eastAsia="en-US"/>
          </w:rPr>
          <w:t>գործառնությունների</w:t>
        </w:r>
        <w:r w:rsidR="00E0510E" w:rsidRPr="006B7405">
          <w:rPr>
            <w:rStyle w:val="Hyperlink"/>
            <w:i/>
            <w:noProof/>
            <w:lang w:val="af-ZA" w:eastAsia="en-US"/>
          </w:rPr>
          <w:t xml:space="preserve"> </w:t>
        </w:r>
        <w:r w:rsidR="00E0510E" w:rsidRPr="006B7405">
          <w:rPr>
            <w:rStyle w:val="Hyperlink"/>
            <w:rFonts w:cs="Sylfaen"/>
            <w:i/>
            <w:noProof/>
            <w:lang w:val="hy-AM" w:eastAsia="en-US"/>
          </w:rPr>
          <w:t>փոփոխության</w:t>
        </w:r>
        <w:r w:rsidR="00E0510E" w:rsidRPr="006B7405">
          <w:rPr>
            <w:rStyle w:val="Hyperlink"/>
            <w:i/>
            <w:noProof/>
            <w:lang w:val="af-ZA" w:eastAsia="en-US"/>
          </w:rPr>
          <w:t xml:space="preserve"> </w:t>
        </w:r>
        <w:r w:rsidR="00E0510E" w:rsidRPr="006B7405">
          <w:rPr>
            <w:rStyle w:val="Hyperlink"/>
            <w:rFonts w:cs="Sylfaen"/>
            <w:i/>
            <w:noProof/>
            <w:lang w:val="hy-AM" w:eastAsia="en-US"/>
          </w:rPr>
          <w:t>և</w:t>
        </w:r>
        <w:r w:rsidR="00E0510E" w:rsidRPr="006B7405">
          <w:rPr>
            <w:rStyle w:val="Hyperlink"/>
            <w:i/>
            <w:noProof/>
            <w:lang w:val="af-ZA" w:eastAsia="en-US"/>
          </w:rPr>
          <w:t xml:space="preserve"> </w:t>
        </w:r>
        <w:r w:rsidR="00E0510E" w:rsidRPr="006B7405">
          <w:rPr>
            <w:rStyle w:val="Hyperlink"/>
            <w:rFonts w:cs="Sylfaen"/>
            <w:i/>
            <w:noProof/>
            <w:lang w:val="hy-AM" w:eastAsia="en-US"/>
          </w:rPr>
          <w:t>հարաբերակցության</w:t>
        </w:r>
        <w:r w:rsidR="00E0510E" w:rsidRPr="006B7405">
          <w:rPr>
            <w:rStyle w:val="Hyperlink"/>
            <w:i/>
            <w:noProof/>
            <w:lang w:val="af-ZA" w:eastAsia="en-US"/>
          </w:rPr>
          <w:t xml:space="preserve"> </w:t>
        </w:r>
        <w:r w:rsidR="00E0510E" w:rsidRPr="006B7405">
          <w:rPr>
            <w:rStyle w:val="Hyperlink"/>
            <w:rFonts w:cs="Sylfaen"/>
            <w:i/>
            <w:noProof/>
            <w:lang w:val="hy-AM" w:eastAsia="en-US"/>
          </w:rPr>
          <w:t>միտումները</w:t>
        </w:r>
        <w:r w:rsidR="00E0510E">
          <w:rPr>
            <w:noProof/>
            <w:webHidden/>
          </w:rPr>
          <w:tab/>
        </w:r>
        <w:r w:rsidR="00E0510E">
          <w:rPr>
            <w:noProof/>
            <w:webHidden/>
          </w:rPr>
          <w:fldChar w:fldCharType="begin"/>
        </w:r>
        <w:r w:rsidR="00E0510E">
          <w:rPr>
            <w:noProof/>
            <w:webHidden/>
          </w:rPr>
          <w:instrText xml:space="preserve"> PAGEREF _Toc83929499 \h </w:instrText>
        </w:r>
        <w:r w:rsidR="00E0510E">
          <w:rPr>
            <w:noProof/>
            <w:webHidden/>
          </w:rPr>
        </w:r>
        <w:r w:rsidR="00E0510E">
          <w:rPr>
            <w:noProof/>
            <w:webHidden/>
          </w:rPr>
          <w:fldChar w:fldCharType="separate"/>
        </w:r>
        <w:r w:rsidR="00A867B4">
          <w:rPr>
            <w:noProof/>
            <w:webHidden/>
          </w:rPr>
          <w:t>109</w:t>
        </w:r>
        <w:r w:rsidR="00E0510E">
          <w:rPr>
            <w:noProof/>
            <w:webHidden/>
          </w:rPr>
          <w:fldChar w:fldCharType="end"/>
        </w:r>
      </w:hyperlink>
    </w:p>
    <w:p w14:paraId="6A0138FF" w14:textId="145DB8F9" w:rsidR="00E0510E" w:rsidRDefault="00F379C0" w:rsidP="00054D48">
      <w:pPr>
        <w:pStyle w:val="TableofFigures"/>
        <w:tabs>
          <w:tab w:val="clear" w:pos="1843"/>
          <w:tab w:val="left" w:pos="1710"/>
        </w:tabs>
        <w:ind w:left="1710" w:hanging="1710"/>
        <w:rPr>
          <w:rFonts w:asciiTheme="minorHAnsi" w:eastAsiaTheme="minorEastAsia" w:hAnsiTheme="minorHAnsi" w:cstheme="minorBidi"/>
          <w:noProof/>
          <w:szCs w:val="22"/>
          <w:lang w:val="en-US" w:eastAsia="en-US"/>
        </w:rPr>
      </w:pPr>
      <w:hyperlink w:anchor="_Toc83929500" w:history="1">
        <w:r w:rsidR="00E0510E" w:rsidRPr="006B7405">
          <w:rPr>
            <w:rStyle w:val="Hyperlink"/>
            <w:noProof/>
          </w:rPr>
          <w:t>Գծապատկեր 3</w:t>
        </w:r>
        <w:r w:rsidR="00E0510E" w:rsidRPr="006B7405">
          <w:rPr>
            <w:rStyle w:val="Hyperlink"/>
            <w:rFonts w:ascii="MS Gothic" w:eastAsia="MS Gothic" w:hAnsi="MS Gothic" w:cs="MS Gothic" w:hint="eastAsia"/>
            <w:noProof/>
            <w:lang w:val="hy-AM"/>
          </w:rPr>
          <w:t>․</w:t>
        </w:r>
        <w:r w:rsidR="00E0510E" w:rsidRPr="006B7405">
          <w:rPr>
            <w:rStyle w:val="Hyperlink"/>
            <w:rFonts w:ascii="Cambria Math" w:hAnsi="Cambria Math"/>
            <w:noProof/>
            <w:lang w:val="hy-AM"/>
          </w:rPr>
          <w:t xml:space="preserve"> </w:t>
        </w:r>
        <w:r w:rsidR="00E0510E" w:rsidRPr="006B7405">
          <w:rPr>
            <w:rStyle w:val="Hyperlink"/>
            <w:rFonts w:cs="Sylfaen"/>
            <w:i/>
            <w:noProof/>
            <w:lang w:val="hy-AM" w:eastAsia="en-US"/>
          </w:rPr>
          <w:t>2017-2021թթ</w:t>
        </w:r>
        <w:r w:rsidR="00E0510E" w:rsidRPr="006B7405">
          <w:rPr>
            <w:rStyle w:val="Hyperlink"/>
            <w:rFonts w:ascii="MS Gothic" w:eastAsia="MS Gothic" w:hAnsi="MS Gothic" w:cs="MS Gothic" w:hint="eastAsia"/>
            <w:i/>
            <w:noProof/>
            <w:lang w:val="hy-AM" w:eastAsia="en-US"/>
          </w:rPr>
          <w:t>․</w:t>
        </w:r>
        <w:r w:rsidR="00E0510E" w:rsidRPr="006B7405">
          <w:rPr>
            <w:rStyle w:val="Hyperlink"/>
            <w:rFonts w:ascii="Cambria Math" w:hAnsi="Cambria Math" w:cs="Sylfaen"/>
            <w:i/>
            <w:noProof/>
            <w:lang w:val="hy-AM" w:eastAsia="en-US"/>
          </w:rPr>
          <w:t xml:space="preserve"> </w:t>
        </w:r>
        <w:r w:rsidR="00E0510E" w:rsidRPr="006B7405">
          <w:rPr>
            <w:rStyle w:val="Hyperlink"/>
            <w:rFonts w:cs="Sylfaen"/>
            <w:i/>
            <w:noProof/>
            <w:lang w:val="hy-AM" w:eastAsia="en-US"/>
          </w:rPr>
          <w:t>ընթացիկ ծախսերի ֆինանսավորման ըստ տնտեսագիտական դասակարգման կառուցվածքի ծախսերի հարաբերակցությունը ՀՆԱ-ի նկատմամբ</w:t>
        </w:r>
        <w:r w:rsidR="002E5F91">
          <w:rPr>
            <w:rStyle w:val="Hyperlink"/>
            <w:rFonts w:cs="Sylfaen"/>
            <w:i/>
            <w:noProof/>
            <w:lang w:val="en-US" w:eastAsia="en-US"/>
          </w:rPr>
          <w:t>……….</w:t>
        </w:r>
        <w:r w:rsidR="00E0510E">
          <w:rPr>
            <w:noProof/>
            <w:webHidden/>
          </w:rPr>
          <w:tab/>
        </w:r>
        <w:r w:rsidR="00E0510E">
          <w:rPr>
            <w:noProof/>
            <w:webHidden/>
          </w:rPr>
          <w:fldChar w:fldCharType="begin"/>
        </w:r>
        <w:r w:rsidR="00E0510E">
          <w:rPr>
            <w:noProof/>
            <w:webHidden/>
          </w:rPr>
          <w:instrText xml:space="preserve"> PAGEREF _Toc83929500 \h </w:instrText>
        </w:r>
        <w:r w:rsidR="00E0510E">
          <w:rPr>
            <w:noProof/>
            <w:webHidden/>
          </w:rPr>
        </w:r>
        <w:r w:rsidR="00E0510E">
          <w:rPr>
            <w:noProof/>
            <w:webHidden/>
          </w:rPr>
          <w:fldChar w:fldCharType="separate"/>
        </w:r>
        <w:r w:rsidR="00A867B4">
          <w:rPr>
            <w:noProof/>
            <w:webHidden/>
          </w:rPr>
          <w:t>110</w:t>
        </w:r>
        <w:r w:rsidR="00E0510E">
          <w:rPr>
            <w:noProof/>
            <w:webHidden/>
          </w:rPr>
          <w:fldChar w:fldCharType="end"/>
        </w:r>
      </w:hyperlink>
    </w:p>
    <w:p w14:paraId="4BF47F67" w14:textId="3FFF3ED6" w:rsidR="00E0510E" w:rsidRDefault="00F379C0" w:rsidP="00054D48">
      <w:pPr>
        <w:pStyle w:val="TableofFigures"/>
        <w:tabs>
          <w:tab w:val="clear" w:pos="1843"/>
          <w:tab w:val="left" w:pos="1710"/>
        </w:tabs>
        <w:ind w:left="1710" w:hanging="1710"/>
        <w:rPr>
          <w:rFonts w:asciiTheme="minorHAnsi" w:eastAsiaTheme="minorEastAsia" w:hAnsiTheme="minorHAnsi" w:cstheme="minorBidi"/>
          <w:noProof/>
          <w:szCs w:val="22"/>
          <w:lang w:val="en-US" w:eastAsia="en-US"/>
        </w:rPr>
      </w:pPr>
      <w:hyperlink w:anchor="_Toc83929501" w:history="1">
        <w:r w:rsidR="00E0510E" w:rsidRPr="006B7405">
          <w:rPr>
            <w:rStyle w:val="Hyperlink"/>
            <w:noProof/>
          </w:rPr>
          <w:t>Գծապատկեր 4</w:t>
        </w:r>
        <w:r w:rsidR="00E0510E" w:rsidRPr="006B7405">
          <w:rPr>
            <w:rStyle w:val="Hyperlink"/>
            <w:noProof/>
            <w:lang w:val="hy-AM"/>
          </w:rPr>
          <w:t>.</w:t>
        </w:r>
        <w:r w:rsidR="00E0510E" w:rsidRPr="006B7405">
          <w:rPr>
            <w:rStyle w:val="Hyperlink"/>
            <w:rFonts w:eastAsia="Calibri"/>
            <w:i/>
            <w:iCs/>
            <w:noProof/>
            <w:lang w:val="hy-AM"/>
          </w:rPr>
          <w:t xml:space="preserve"> </w:t>
        </w:r>
        <w:r w:rsidR="00E0510E" w:rsidRPr="006B7405">
          <w:rPr>
            <w:rStyle w:val="Hyperlink"/>
            <w:rFonts w:cs="Sylfaen"/>
            <w:i/>
            <w:noProof/>
            <w:lang w:val="hy-AM"/>
          </w:rPr>
          <w:t>2018-2022 թթ</w:t>
        </w:r>
        <w:r w:rsidR="00E0510E" w:rsidRPr="006B7405">
          <w:rPr>
            <w:rStyle w:val="Hyperlink"/>
            <w:rFonts w:ascii="MS Gothic" w:eastAsia="MS Gothic" w:hAnsi="MS Gothic" w:cs="MS Gothic" w:hint="eastAsia"/>
            <w:i/>
            <w:noProof/>
            <w:lang w:val="hy-AM"/>
          </w:rPr>
          <w:t>․</w:t>
        </w:r>
        <w:r w:rsidR="00E0510E" w:rsidRPr="006B7405">
          <w:rPr>
            <w:rStyle w:val="Hyperlink"/>
            <w:rFonts w:cs="Sylfaen"/>
            <w:i/>
            <w:noProof/>
            <w:lang w:val="hy-AM"/>
          </w:rPr>
          <w:t>ոչ ֆինանսական ակտիվների գծով ծախսերի ֆինանսավորման կառուցվածքը</w:t>
        </w:r>
        <w:r w:rsidR="00E0510E">
          <w:rPr>
            <w:noProof/>
            <w:webHidden/>
          </w:rPr>
          <w:tab/>
        </w:r>
        <w:r w:rsidR="00E0510E">
          <w:rPr>
            <w:noProof/>
            <w:webHidden/>
          </w:rPr>
          <w:fldChar w:fldCharType="begin"/>
        </w:r>
        <w:r w:rsidR="00E0510E">
          <w:rPr>
            <w:noProof/>
            <w:webHidden/>
          </w:rPr>
          <w:instrText xml:space="preserve"> PAGEREF _Toc83929501 \h </w:instrText>
        </w:r>
        <w:r w:rsidR="00E0510E">
          <w:rPr>
            <w:noProof/>
            <w:webHidden/>
          </w:rPr>
        </w:r>
        <w:r w:rsidR="00E0510E">
          <w:rPr>
            <w:noProof/>
            <w:webHidden/>
          </w:rPr>
          <w:fldChar w:fldCharType="separate"/>
        </w:r>
        <w:r w:rsidR="00A867B4">
          <w:rPr>
            <w:noProof/>
            <w:webHidden/>
          </w:rPr>
          <w:t>113</w:t>
        </w:r>
        <w:r w:rsidR="00E0510E">
          <w:rPr>
            <w:noProof/>
            <w:webHidden/>
          </w:rPr>
          <w:fldChar w:fldCharType="end"/>
        </w:r>
      </w:hyperlink>
    </w:p>
    <w:p w14:paraId="7DC87A6A" w14:textId="5D4A3860" w:rsidR="00E0510E" w:rsidRDefault="00F379C0" w:rsidP="00054D48">
      <w:pPr>
        <w:pStyle w:val="TableofFigures"/>
        <w:tabs>
          <w:tab w:val="clear" w:pos="1843"/>
          <w:tab w:val="left" w:pos="1710"/>
        </w:tabs>
        <w:ind w:left="1710" w:hanging="1710"/>
        <w:rPr>
          <w:rFonts w:asciiTheme="minorHAnsi" w:eastAsiaTheme="minorEastAsia" w:hAnsiTheme="minorHAnsi" w:cstheme="minorBidi"/>
          <w:noProof/>
          <w:szCs w:val="22"/>
          <w:lang w:val="en-US" w:eastAsia="en-US"/>
        </w:rPr>
      </w:pPr>
      <w:hyperlink w:anchor="_Toc83929502" w:history="1">
        <w:r w:rsidR="00E0510E" w:rsidRPr="006B7405">
          <w:rPr>
            <w:rStyle w:val="Hyperlink"/>
            <w:noProof/>
          </w:rPr>
          <w:t>Գծապատկեր 5</w:t>
        </w:r>
        <w:r w:rsidR="00E0510E" w:rsidRPr="006B7405">
          <w:rPr>
            <w:rStyle w:val="Hyperlink"/>
            <w:noProof/>
            <w:lang w:val="en-US"/>
          </w:rPr>
          <w:t xml:space="preserve">. </w:t>
        </w:r>
        <w:r w:rsidR="00E0510E" w:rsidRPr="006B7405">
          <w:rPr>
            <w:rStyle w:val="Hyperlink"/>
            <w:i/>
            <w:noProof/>
            <w:lang w:val="hy-AM"/>
          </w:rPr>
          <w:t>2018-2022թթ</w:t>
        </w:r>
        <w:r w:rsidR="00E0510E" w:rsidRPr="006B7405">
          <w:rPr>
            <w:rStyle w:val="Hyperlink"/>
            <w:rFonts w:ascii="MS Gothic" w:eastAsia="MS Gothic" w:hAnsi="MS Gothic" w:cs="MS Gothic" w:hint="eastAsia"/>
            <w:i/>
            <w:noProof/>
            <w:lang w:val="hy-AM"/>
          </w:rPr>
          <w:t>․</w:t>
        </w:r>
        <w:r w:rsidR="00E0510E" w:rsidRPr="006B7405">
          <w:rPr>
            <w:rStyle w:val="Hyperlink"/>
            <w:i/>
            <w:noProof/>
            <w:lang w:val="hy-AM"/>
          </w:rPr>
          <w:t xml:space="preserve"> ծախսերի համեմատականը</w:t>
        </w:r>
        <w:r w:rsidR="00E0510E">
          <w:rPr>
            <w:noProof/>
            <w:webHidden/>
          </w:rPr>
          <w:tab/>
        </w:r>
        <w:r w:rsidR="00E0510E">
          <w:rPr>
            <w:noProof/>
            <w:webHidden/>
          </w:rPr>
          <w:fldChar w:fldCharType="begin"/>
        </w:r>
        <w:r w:rsidR="00E0510E">
          <w:rPr>
            <w:noProof/>
            <w:webHidden/>
          </w:rPr>
          <w:instrText xml:space="preserve"> PAGEREF _Toc83929502 \h </w:instrText>
        </w:r>
        <w:r w:rsidR="00E0510E">
          <w:rPr>
            <w:noProof/>
            <w:webHidden/>
          </w:rPr>
        </w:r>
        <w:r w:rsidR="00E0510E">
          <w:rPr>
            <w:noProof/>
            <w:webHidden/>
          </w:rPr>
          <w:fldChar w:fldCharType="separate"/>
        </w:r>
        <w:r w:rsidR="00A867B4">
          <w:rPr>
            <w:noProof/>
            <w:webHidden/>
          </w:rPr>
          <w:t>115</w:t>
        </w:r>
        <w:r w:rsidR="00E0510E">
          <w:rPr>
            <w:noProof/>
            <w:webHidden/>
          </w:rPr>
          <w:fldChar w:fldCharType="end"/>
        </w:r>
      </w:hyperlink>
    </w:p>
    <w:p w14:paraId="0F0D3936" w14:textId="4E568519" w:rsidR="00E0510E" w:rsidRDefault="00F379C0" w:rsidP="00054D48">
      <w:pPr>
        <w:pStyle w:val="TableofFigures"/>
        <w:tabs>
          <w:tab w:val="clear" w:pos="1843"/>
          <w:tab w:val="left" w:pos="1710"/>
        </w:tabs>
        <w:ind w:left="1710" w:hanging="1710"/>
        <w:rPr>
          <w:rFonts w:asciiTheme="minorHAnsi" w:eastAsiaTheme="minorEastAsia" w:hAnsiTheme="minorHAnsi" w:cstheme="minorBidi"/>
          <w:noProof/>
          <w:szCs w:val="22"/>
          <w:lang w:val="en-US" w:eastAsia="en-US"/>
        </w:rPr>
      </w:pPr>
      <w:hyperlink w:anchor="_Toc83929503" w:history="1">
        <w:r w:rsidR="00E0510E" w:rsidRPr="006B7405">
          <w:rPr>
            <w:rStyle w:val="Hyperlink"/>
            <w:noProof/>
          </w:rPr>
          <w:t>Գծապատկեր 6</w:t>
        </w:r>
        <w:r w:rsidR="00E0510E" w:rsidRPr="006B7405">
          <w:rPr>
            <w:rStyle w:val="Hyperlink"/>
            <w:rFonts w:ascii="MS Gothic" w:eastAsia="MS Gothic" w:hAnsi="MS Gothic" w:cs="MS Gothic" w:hint="eastAsia"/>
            <w:noProof/>
            <w:lang w:val="hy-AM"/>
          </w:rPr>
          <w:t>․</w:t>
        </w:r>
        <w:r w:rsidR="00E0510E" w:rsidRPr="006B7405">
          <w:rPr>
            <w:rStyle w:val="Hyperlink"/>
            <w:noProof/>
            <w:lang w:val="hy-AM"/>
          </w:rPr>
          <w:t xml:space="preserve"> 2018-2022 թթ</w:t>
        </w:r>
        <w:r w:rsidR="00E0510E" w:rsidRPr="006B7405">
          <w:rPr>
            <w:rStyle w:val="Hyperlink"/>
            <w:rFonts w:ascii="MS Gothic" w:eastAsia="MS Gothic" w:hAnsi="MS Gothic" w:cs="MS Gothic" w:hint="eastAsia"/>
            <w:noProof/>
            <w:lang w:val="hy-AM"/>
          </w:rPr>
          <w:t>․</w:t>
        </w:r>
        <w:r w:rsidR="00E0510E" w:rsidRPr="006B7405">
          <w:rPr>
            <w:rStyle w:val="Hyperlink"/>
            <w:noProof/>
            <w:lang w:val="hy-AM"/>
          </w:rPr>
          <w:t xml:space="preserve"> վարկային, դրամաշնորհային միջոցների հաշվին ֆինանսավորումը, կշիռը ՀՆԱ-ում, կշիռը ընդամենը ծախսերում</w:t>
        </w:r>
        <w:r w:rsidR="00E0510E">
          <w:rPr>
            <w:noProof/>
            <w:webHidden/>
          </w:rPr>
          <w:tab/>
        </w:r>
        <w:r w:rsidR="00E0510E">
          <w:rPr>
            <w:noProof/>
            <w:webHidden/>
          </w:rPr>
          <w:fldChar w:fldCharType="begin"/>
        </w:r>
        <w:r w:rsidR="00E0510E">
          <w:rPr>
            <w:noProof/>
            <w:webHidden/>
          </w:rPr>
          <w:instrText xml:space="preserve"> PAGEREF _Toc83929503 \h </w:instrText>
        </w:r>
        <w:r w:rsidR="00E0510E">
          <w:rPr>
            <w:noProof/>
            <w:webHidden/>
          </w:rPr>
        </w:r>
        <w:r w:rsidR="00E0510E">
          <w:rPr>
            <w:noProof/>
            <w:webHidden/>
          </w:rPr>
          <w:fldChar w:fldCharType="separate"/>
        </w:r>
        <w:r w:rsidR="00A867B4">
          <w:rPr>
            <w:noProof/>
            <w:webHidden/>
          </w:rPr>
          <w:t>120</w:t>
        </w:r>
        <w:r w:rsidR="00E0510E">
          <w:rPr>
            <w:noProof/>
            <w:webHidden/>
          </w:rPr>
          <w:fldChar w:fldCharType="end"/>
        </w:r>
      </w:hyperlink>
    </w:p>
    <w:p w14:paraId="3C70EBE6" w14:textId="3C9A046A" w:rsidR="008B76F4" w:rsidRPr="008B76F4" w:rsidRDefault="003C3925" w:rsidP="00054D48">
      <w:pPr>
        <w:tabs>
          <w:tab w:val="left" w:pos="1710"/>
        </w:tabs>
        <w:spacing w:before="0"/>
        <w:ind w:left="1710" w:hanging="1710"/>
        <w:contextualSpacing w:val="0"/>
        <w:rPr>
          <w:rFonts w:eastAsia="Calibri" w:cs="Times Armenian"/>
          <w:b w:val="0"/>
          <w:szCs w:val="22"/>
          <w:lang w:val="hy-AM" w:eastAsia="en-US"/>
        </w:rPr>
      </w:pPr>
      <w:r w:rsidRPr="00A83C94">
        <w:rPr>
          <w:rFonts w:eastAsia="Calibri" w:cs="Times Armenian"/>
          <w:b w:val="0"/>
          <w:szCs w:val="22"/>
          <w:lang w:val="hy-AM" w:eastAsia="en-US"/>
        </w:rPr>
        <w:fldChar w:fldCharType="end"/>
      </w:r>
    </w:p>
    <w:sectPr w:rsidR="008B76F4" w:rsidRPr="008B76F4" w:rsidSect="00B3034A">
      <w:footerReference w:type="default" r:id="rId95"/>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84B27" w14:textId="77777777" w:rsidR="00DB7001" w:rsidRDefault="00DB7001" w:rsidP="00F52B25">
      <w:r>
        <w:separator/>
      </w:r>
    </w:p>
  </w:endnote>
  <w:endnote w:type="continuationSeparator" w:id="0">
    <w:p w14:paraId="40BA7262" w14:textId="77777777" w:rsidR="00DB7001" w:rsidRDefault="00DB7001"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LatArm">
    <w:panose1 w:val="0000000000000000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altName w:val="Arial Unicode MS"/>
    <w:panose1 w:val="020B0604020202020204"/>
    <w:charset w:val="80"/>
    <w:family w:val="swiss"/>
    <w:pitch w:val="variable"/>
    <w:sig w:usb0="F7FFAFFF" w:usb1="E9DFFFFF" w:usb2="0000003F" w:usb3="00000000" w:csb0="003F01F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K Courier">
    <w:charset w:val="00"/>
    <w:family w:val="modern"/>
    <w:pitch w:val="fixed"/>
    <w:sig w:usb0="E0002EFF" w:usb1="C0007843" w:usb2="00000009" w:usb3="00000000" w:csb0="000001FF" w:csb1="00000000"/>
  </w:font>
  <w:font w:name="Browallia New">
    <w:charset w:val="00"/>
    <w:family w:val="swiss"/>
    <w:pitch w:val="variable"/>
    <w:sig w:usb0="81000003" w:usb1="00000000" w:usb2="00000000" w:usb3="00000000" w:csb0="00010001" w:csb1="00000000"/>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altName w:val="Times New Roman"/>
    <w:charset w:val="00"/>
    <w:family w:val="auto"/>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IRTEK Courier">
    <w:charset w:val="00"/>
    <w:family w:val="roman"/>
    <w:pitch w:val="fixed"/>
    <w:sig w:usb0="00000003" w:usb1="00000000" w:usb2="00000000" w:usb3="00000000" w:csb0="00000001" w:csb1="00000000"/>
  </w:font>
  <w:font w:name="GHEAGrapalat">
    <w:altName w:val="MS Mincho"/>
    <w:panose1 w:val="00000000000000000000"/>
    <w:charset w:val="80"/>
    <w:family w:val="auto"/>
    <w:notTrueType/>
    <w:pitch w:val="default"/>
    <w:sig w:usb0="00000001" w:usb1="08070000" w:usb2="00000010" w:usb3="00000000" w:csb0="00020000" w:csb1="00000000"/>
  </w:font>
  <w:font w:name="Arian AMU">
    <w:charset w:val="CC"/>
    <w:family w:val="auto"/>
    <w:pitch w:val="variable"/>
    <w:sig w:usb0="A1002E8F" w:usb1="10000008" w:usb2="00000000" w:usb3="00000000" w:csb0="000101FF" w:csb1="00000000"/>
  </w:font>
  <w:font w:name="Times Unicode">
    <w:panose1 w:val="020206030504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E679" w14:textId="47DAEDE1" w:rsidR="00DB7001" w:rsidRPr="00560CEC" w:rsidRDefault="00DB7001">
    <w:pPr>
      <w:pStyle w:val="Footer"/>
      <w:jc w:val="center"/>
      <w:rPr>
        <w:sz w:val="18"/>
        <w:szCs w:val="18"/>
      </w:rPr>
    </w:pPr>
    <w:r w:rsidRPr="00560CEC">
      <w:rPr>
        <w:sz w:val="18"/>
        <w:szCs w:val="18"/>
      </w:rPr>
      <w:fldChar w:fldCharType="begin"/>
    </w:r>
    <w:r w:rsidRPr="00560CEC">
      <w:rPr>
        <w:sz w:val="18"/>
        <w:szCs w:val="18"/>
      </w:rPr>
      <w:instrText xml:space="preserve"> PAGE   \* MERGEFORMAT </w:instrText>
    </w:r>
    <w:r w:rsidRPr="00560CEC">
      <w:rPr>
        <w:sz w:val="18"/>
        <w:szCs w:val="18"/>
      </w:rPr>
      <w:fldChar w:fldCharType="separate"/>
    </w:r>
    <w:r w:rsidR="00F379C0">
      <w:rPr>
        <w:noProof/>
        <w:sz w:val="18"/>
        <w:szCs w:val="18"/>
      </w:rPr>
      <w:t>110</w:t>
    </w:r>
    <w:r w:rsidRPr="00560CEC">
      <w:rPr>
        <w:noProof/>
        <w:sz w:val="18"/>
        <w:szCs w:val="18"/>
      </w:rPr>
      <w:fldChar w:fldCharType="end"/>
    </w:r>
  </w:p>
  <w:p w14:paraId="61676F7F" w14:textId="77777777" w:rsidR="00DB7001" w:rsidRDefault="00DB70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FBAB0" w14:textId="77777777" w:rsidR="00DB7001" w:rsidRDefault="00DB7001" w:rsidP="00F52B25">
      <w:r>
        <w:separator/>
      </w:r>
    </w:p>
  </w:footnote>
  <w:footnote w:type="continuationSeparator" w:id="0">
    <w:p w14:paraId="418B3335" w14:textId="77777777" w:rsidR="00DB7001" w:rsidRDefault="00DB7001" w:rsidP="00F52B25">
      <w:r>
        <w:continuationSeparator/>
      </w:r>
    </w:p>
  </w:footnote>
  <w:footnote w:id="1">
    <w:p w14:paraId="6B28BD99" w14:textId="77777777" w:rsidR="00DB7001" w:rsidRPr="00500ADC" w:rsidRDefault="00DB7001" w:rsidP="00872014">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14:paraId="14FE7632" w14:textId="77777777" w:rsidR="00DB7001" w:rsidRPr="00285F6F" w:rsidRDefault="00DB7001" w:rsidP="00C34A4E">
      <w:pPr>
        <w:pStyle w:val="FootnoteText"/>
        <w:rPr>
          <w:lang w:val="en-US"/>
        </w:rPr>
      </w:pPr>
      <w:r>
        <w:rPr>
          <w:rStyle w:val="FootnoteReference"/>
        </w:rPr>
        <w:footnoteRef/>
      </w:r>
      <w:r>
        <w:rPr>
          <w:rFonts w:eastAsia="Calibri"/>
          <w:szCs w:val="22"/>
          <w:lang w:val="hy-AM"/>
        </w:rPr>
        <w:t xml:space="preserve"> «</w:t>
      </w:r>
      <w:r w:rsidRPr="001F2937">
        <w:rPr>
          <w:rFonts w:eastAsia="Calibri"/>
          <w:szCs w:val="22"/>
          <w:lang w:val="hy-AM"/>
        </w:rPr>
        <w:t>Բլումբերգ</w:t>
      </w:r>
      <w:r>
        <w:rPr>
          <w:rFonts w:eastAsia="Calibri"/>
          <w:szCs w:val="22"/>
          <w:lang w:val="hy-AM"/>
        </w:rPr>
        <w:t xml:space="preserve">» </w:t>
      </w:r>
      <w:r w:rsidRPr="00586097">
        <w:t>միջազգայ</w:t>
      </w:r>
      <w:r>
        <w:t>ին հեղինակավոր կազմակերպության</w:t>
      </w:r>
      <w:r w:rsidRPr="001F2937">
        <w:rPr>
          <w:rFonts w:eastAsia="Calibri"/>
          <w:szCs w:val="22"/>
          <w:lang w:val="hy-AM"/>
        </w:rPr>
        <w:t xml:space="preserve"> 2021թ. օգոստոս</w:t>
      </w:r>
      <w:r>
        <w:rPr>
          <w:rFonts w:eastAsia="Calibri"/>
          <w:szCs w:val="22"/>
          <w:lang w:val="hy-AM"/>
        </w:rPr>
        <w:t>ի տվյալներ</w:t>
      </w:r>
      <w:r>
        <w:rPr>
          <w:rFonts w:eastAsia="Calibri"/>
          <w:szCs w:val="22"/>
          <w:lang w:val="en-US"/>
        </w:rPr>
        <w:t>:</w:t>
      </w:r>
    </w:p>
  </w:footnote>
  <w:footnote w:id="3">
    <w:p w14:paraId="010906F4" w14:textId="77777777" w:rsidR="00DB7001" w:rsidRPr="000927CC" w:rsidRDefault="00DB7001" w:rsidP="00C34A4E">
      <w:pPr>
        <w:pStyle w:val="FootnoteText"/>
        <w:rPr>
          <w:i/>
          <w:lang w:val="hy-AM"/>
        </w:rPr>
      </w:pPr>
      <w:r>
        <w:rPr>
          <w:rStyle w:val="FootnoteReference"/>
        </w:rPr>
        <w:footnoteRef/>
      </w:r>
      <w:r w:rsidRPr="000927CC">
        <w:rPr>
          <w:lang w:val="hy-AM"/>
        </w:rPr>
        <w:t xml:space="preserve"> </w:t>
      </w:r>
      <w:r w:rsidRPr="00544EFF">
        <w:rPr>
          <w:i/>
          <w:lang w:val="hy-AM"/>
        </w:rPr>
        <w:t>ՀՀ երկրի ռիսկի հավելավճարը՝ կորոնավիրուսի առաջին ալիքի ազդեցության որոշակի կայունացումից հետո, 2020թ</w:t>
      </w:r>
      <w:r w:rsidRPr="00544EFF">
        <w:rPr>
          <w:rFonts w:ascii="Cambria Math" w:hAnsi="Cambria Math" w:cs="Cambria Math"/>
          <w:i/>
          <w:lang w:val="hy-AM"/>
        </w:rPr>
        <w:t>․</w:t>
      </w:r>
      <w:r w:rsidRPr="00544EFF">
        <w:rPr>
          <w:i/>
          <w:lang w:val="hy-AM"/>
        </w:rPr>
        <w:t xml:space="preserve"> սեպտեմբերի 28–ից սկսել է բարձրանալ՝ պայմանավորված Արցախյան պատերազմական գործողություններով, դեկտեմբեր ամսից սկսել է կայունանալ, սակայն ավելի բարձր մակարդակում:</w:t>
      </w:r>
    </w:p>
  </w:footnote>
  <w:footnote w:id="4">
    <w:p w14:paraId="525C6740" w14:textId="77777777" w:rsidR="00DB7001" w:rsidRPr="00F34E8D" w:rsidRDefault="00DB7001" w:rsidP="00C34A4E">
      <w:pPr>
        <w:pStyle w:val="FootnoteText"/>
        <w:rPr>
          <w:i/>
          <w:lang w:val="hy-AM"/>
        </w:rPr>
      </w:pPr>
      <w:r>
        <w:rPr>
          <w:rStyle w:val="FootnoteReference"/>
        </w:rPr>
        <w:footnoteRef/>
      </w:r>
      <w:r w:rsidRPr="00F34E8D">
        <w:rPr>
          <w:lang w:val="hy-AM"/>
        </w:rPr>
        <w:t xml:space="preserve"> </w:t>
      </w:r>
      <w:r w:rsidRPr="00F34E8D">
        <w:rPr>
          <w:i/>
          <w:lang w:val="hy-AM"/>
        </w:rPr>
        <w:t xml:space="preserve">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 </w:t>
      </w:r>
    </w:p>
  </w:footnote>
  <w:footnote w:id="5">
    <w:p w14:paraId="3DF1ED53" w14:textId="77777777" w:rsidR="00DB7001" w:rsidRDefault="00DB7001" w:rsidP="00C34A4E">
      <w:pPr>
        <w:pStyle w:val="FootnoteText"/>
        <w:jc w:val="left"/>
        <w:rPr>
          <w:rFonts w:cstheme="minorBidi"/>
          <w:sz w:val="18"/>
          <w:szCs w:val="18"/>
        </w:rPr>
      </w:pPr>
      <w:r>
        <w:rPr>
          <w:rStyle w:val="FootnoteReference"/>
          <w:sz w:val="18"/>
          <w:szCs w:val="18"/>
        </w:rPr>
        <w:footnoteRef/>
      </w:r>
      <w:r w:rsidRPr="00F34E8D">
        <w:rPr>
          <w:sz w:val="18"/>
          <w:szCs w:val="18"/>
          <w:lang w:val="hy-AM"/>
        </w:rPr>
        <w:t xml:space="preserve"> </w:t>
      </w:r>
      <w:r w:rsidRPr="00F34E8D">
        <w:rPr>
          <w:i/>
          <w:lang w:val="hy-AM"/>
        </w:rPr>
        <w:t>2021թ</w:t>
      </w:r>
      <w:r w:rsidRPr="00F34E8D">
        <w:rPr>
          <w:rFonts w:ascii="Cambria Math" w:hAnsi="Cambria Math" w:cs="Cambria Math"/>
          <w:i/>
          <w:lang w:val="hy-AM"/>
        </w:rPr>
        <w:t>․</w:t>
      </w:r>
      <w:r w:rsidRPr="00F34E8D">
        <w:rPr>
          <w:i/>
          <w:lang w:val="hy-AM"/>
        </w:rPr>
        <w:t xml:space="preserve"> </w:t>
      </w:r>
      <w:r>
        <w:rPr>
          <w:i/>
          <w:lang w:val="hy-AM"/>
        </w:rPr>
        <w:t>հուլիսի</w:t>
      </w:r>
      <w:r w:rsidRPr="00F34E8D">
        <w:rPr>
          <w:i/>
          <w:lang w:val="hy-AM"/>
        </w:rPr>
        <w:t xml:space="preserve"> դրությամբ։ Աղբյուրը՝ </w:t>
      </w:r>
      <w:r w:rsidRPr="00697476">
        <w:rPr>
          <w:i/>
          <w:lang w:val="hy-AM"/>
        </w:rPr>
        <w:t>Fiscal Monitor Database of Country Fiscal Measures in Response to the COVID-19 Pandemic</w:t>
      </w:r>
      <w:r w:rsidRPr="00F34E8D">
        <w:rPr>
          <w:i/>
          <w:lang w:val="hy-AM"/>
        </w:rPr>
        <w:t>.</w:t>
      </w:r>
      <w:r>
        <w:rPr>
          <w:i/>
          <w:lang w:val="hy-AM"/>
        </w:rPr>
        <w:t xml:space="preserve"> </w:t>
      </w:r>
      <w:r w:rsidRPr="00697476">
        <w:rPr>
          <w:rStyle w:val="Hyperlink"/>
        </w:rPr>
        <w:t>https://www.imf.org/en/Topics/imf-and-covid19/Fiscal-Policies-Database-in-Response-to-COVID-19</w:t>
      </w:r>
      <w:r>
        <w:t>:</w:t>
      </w:r>
      <w:r>
        <w:rPr>
          <w:sz w:val="18"/>
          <w:szCs w:val="18"/>
        </w:rPr>
        <w:t xml:space="preserve"> </w:t>
      </w:r>
    </w:p>
  </w:footnote>
  <w:footnote w:id="6">
    <w:p w14:paraId="052A5DC0" w14:textId="77777777" w:rsidR="00DB7001" w:rsidRPr="00631206" w:rsidRDefault="00DB7001" w:rsidP="00C34A4E">
      <w:pPr>
        <w:pStyle w:val="FootnoteText"/>
        <w:rPr>
          <w:i/>
          <w:lang w:val="hy-AM"/>
        </w:rPr>
      </w:pPr>
      <w:r w:rsidRPr="000E6B55">
        <w:rPr>
          <w:rStyle w:val="FootnoteReference"/>
          <w:sz w:val="18"/>
          <w:szCs w:val="18"/>
        </w:rPr>
        <w:footnoteRef/>
      </w:r>
      <w:r w:rsidRPr="006D4E60">
        <w:rPr>
          <w:i/>
          <w:lang w:val="hy-AM"/>
        </w:rPr>
        <w:t>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7">
    <w:p w14:paraId="455B4500" w14:textId="77777777" w:rsidR="00DB7001" w:rsidRPr="001D4244" w:rsidRDefault="00DB7001" w:rsidP="00C34A4E">
      <w:pPr>
        <w:pStyle w:val="FootnoteText"/>
        <w:rPr>
          <w:lang w:val="hy-AM"/>
        </w:rPr>
      </w:pPr>
      <w:r>
        <w:rPr>
          <w:rStyle w:val="FootnoteReference"/>
        </w:rPr>
        <w:footnoteRef/>
      </w:r>
      <w:r w:rsidRPr="007D3636">
        <w:rPr>
          <w:lang w:val="hy-AM"/>
        </w:rPr>
        <w:t xml:space="preserve"> </w:t>
      </w:r>
      <w:r>
        <w:rPr>
          <w:lang w:val="hy-AM"/>
        </w:rPr>
        <w:t>Աղբյուրը՝ ՀՀ ԿԲ, «</w:t>
      </w:r>
      <w:r w:rsidRPr="00C04300">
        <w:rPr>
          <w:rFonts w:cs="Sylfaen"/>
          <w:lang w:val="hy-AM"/>
        </w:rPr>
        <w:t xml:space="preserve">ՀՀ բանկերի միջոցով ֆիզիկական անձանց անունով արտերկրից ստացված </w:t>
      </w:r>
      <w:r>
        <w:rPr>
          <w:rFonts w:cs="Sylfaen"/>
          <w:lang w:val="hy-AM"/>
        </w:rPr>
        <w:t xml:space="preserve">և ՀՀ-ից ֆիզիկական անձանց կողմից արտերկիր իրականացված </w:t>
      </w:r>
      <w:r w:rsidRPr="00C04300">
        <w:rPr>
          <w:rFonts w:cs="Sylfaen"/>
          <w:lang w:val="hy-AM"/>
        </w:rPr>
        <w:t>փոխանցումներ</w:t>
      </w:r>
      <w:r>
        <w:rPr>
          <w:rFonts w:cs="Sylfaen"/>
          <w:lang w:val="hy-AM"/>
        </w:rPr>
        <w:t xml:space="preserve">», զուտ ներհոսք </w:t>
      </w:r>
      <w:r w:rsidRPr="001D4244">
        <w:rPr>
          <w:rFonts w:cs="Sylfaen"/>
          <w:lang w:val="hy-AM"/>
        </w:rPr>
        <w:t>(https://www.cba.am/am/SitePages/statexternalsector.aspx)</w:t>
      </w:r>
      <w:r>
        <w:rPr>
          <w:rFonts w:cs="Sylfaen"/>
          <w:lang w:val="hy-AM"/>
        </w:rPr>
        <w:t>։</w:t>
      </w:r>
    </w:p>
  </w:footnote>
  <w:footnote w:id="8">
    <w:p w14:paraId="5972D7F5" w14:textId="77777777" w:rsidR="00DB7001" w:rsidRPr="009206BE" w:rsidRDefault="00DB7001" w:rsidP="00C34A4E">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w:t>
      </w:r>
      <w:r>
        <w:rPr>
          <w:lang w:val="hy-AM"/>
        </w:rPr>
        <w:t>կ</w:t>
      </w:r>
      <w:r w:rsidRPr="009206BE">
        <w:rPr>
          <w:lang w:val="hy-AM"/>
        </w:rPr>
        <w:t xml:space="preserve">րորդ եռամսյակում ծառայությունների արտահանման </w:t>
      </w:r>
      <w:r>
        <w:rPr>
          <w:lang w:val="hy-AM"/>
        </w:rPr>
        <w:t>աճը</w:t>
      </w:r>
      <w:r w:rsidRPr="009206BE">
        <w:rPr>
          <w:lang w:val="hy-AM"/>
        </w:rPr>
        <w:t xml:space="preserve"> գնահատվում է՝ </w:t>
      </w:r>
      <w:r>
        <w:rPr>
          <w:lang w:val="hy-AM"/>
        </w:rPr>
        <w:t>51</w:t>
      </w:r>
      <w:r w:rsidRPr="009206BE">
        <w:rPr>
          <w:lang w:val="hy-AM"/>
        </w:rPr>
        <w:t>.</w:t>
      </w:r>
      <w:r>
        <w:rPr>
          <w:lang w:val="hy-AM"/>
        </w:rPr>
        <w:t>7</w:t>
      </w:r>
      <w:r w:rsidRPr="009206BE">
        <w:rPr>
          <w:lang w:val="hy-AM"/>
        </w:rPr>
        <w:t>%, իսկ կուտակային</w:t>
      </w:r>
      <w:r>
        <w:rPr>
          <w:lang w:val="hy-AM"/>
        </w:rPr>
        <w:t xml:space="preserve"> կրճատվել է</w:t>
      </w:r>
      <w:r w:rsidRPr="009206BE">
        <w:rPr>
          <w:lang w:val="hy-AM"/>
        </w:rPr>
        <w:t xml:space="preserve"> </w:t>
      </w:r>
      <w:r>
        <w:rPr>
          <w:lang w:val="hy-AM"/>
        </w:rPr>
        <w:t>-14</w:t>
      </w:r>
      <w:r w:rsidRPr="00E61B0F">
        <w:rPr>
          <w:lang w:val="hy-AM"/>
        </w:rPr>
        <w:t>.</w:t>
      </w:r>
      <w:r>
        <w:rPr>
          <w:lang w:val="hy-AM"/>
        </w:rPr>
        <w:t>9</w:t>
      </w:r>
      <w:r w:rsidRPr="009206BE">
        <w:rPr>
          <w:lang w:val="hy-AM"/>
        </w:rPr>
        <w:t xml:space="preserve">%: </w:t>
      </w:r>
    </w:p>
  </w:footnote>
  <w:footnote w:id="9">
    <w:p w14:paraId="25D3AC5F" w14:textId="77777777" w:rsidR="00DB7001" w:rsidRPr="009206BE" w:rsidRDefault="00DB7001" w:rsidP="00C34A4E">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w:t>
      </w:r>
      <w:r>
        <w:rPr>
          <w:lang w:val="hy-AM"/>
        </w:rPr>
        <w:t>կ</w:t>
      </w:r>
      <w:r w:rsidRPr="009206BE">
        <w:rPr>
          <w:lang w:val="hy-AM"/>
        </w:rPr>
        <w:t xml:space="preserve">րորդ եռամսյակում ծառայությունների </w:t>
      </w:r>
      <w:r>
        <w:rPr>
          <w:lang w:val="hy-AM"/>
        </w:rPr>
        <w:t>ներմուծման աճը</w:t>
      </w:r>
      <w:r w:rsidRPr="009206BE">
        <w:rPr>
          <w:lang w:val="hy-AM"/>
        </w:rPr>
        <w:t xml:space="preserve"> գնահատվում է՝ </w:t>
      </w:r>
      <w:r>
        <w:rPr>
          <w:lang w:val="hy-AM"/>
        </w:rPr>
        <w:t>53</w:t>
      </w:r>
      <w:r w:rsidRPr="009206BE">
        <w:rPr>
          <w:lang w:val="hy-AM"/>
        </w:rPr>
        <w:t>.</w:t>
      </w:r>
      <w:r>
        <w:rPr>
          <w:lang w:val="hy-AM"/>
        </w:rPr>
        <w:t>2</w:t>
      </w:r>
      <w:r w:rsidRPr="009206BE">
        <w:rPr>
          <w:lang w:val="hy-AM"/>
        </w:rPr>
        <w:t>%, իսկ կուտակային</w:t>
      </w:r>
      <w:r>
        <w:rPr>
          <w:lang w:val="hy-AM"/>
        </w:rPr>
        <w:t xml:space="preserve"> կրճատվել է</w:t>
      </w:r>
      <w:r w:rsidRPr="009206BE">
        <w:rPr>
          <w:lang w:val="hy-AM"/>
        </w:rPr>
        <w:t xml:space="preserve"> </w:t>
      </w:r>
      <w:r>
        <w:rPr>
          <w:lang w:val="hy-AM"/>
        </w:rPr>
        <w:t>-21</w:t>
      </w:r>
      <w:r w:rsidRPr="00E61B0F">
        <w:rPr>
          <w:lang w:val="hy-AM"/>
        </w:rPr>
        <w:t>.</w:t>
      </w:r>
      <w:r>
        <w:rPr>
          <w:lang w:val="hy-AM"/>
        </w:rPr>
        <w:t>6</w:t>
      </w:r>
      <w:r w:rsidRPr="009206BE">
        <w:rPr>
          <w:lang w:val="hy-AM"/>
        </w:rPr>
        <w:t xml:space="preserve">%: </w:t>
      </w:r>
    </w:p>
  </w:footnote>
  <w:footnote w:id="10">
    <w:p w14:paraId="44886E3C" w14:textId="77777777" w:rsidR="00DB7001" w:rsidRDefault="00DB7001" w:rsidP="00C34A4E">
      <w:pPr>
        <w:pStyle w:val="FootnoteText"/>
        <w:jc w:val="left"/>
        <w:rPr>
          <w:lang w:val="hy-AM"/>
        </w:rPr>
      </w:pPr>
      <w:r>
        <w:rPr>
          <w:rStyle w:val="FootnoteReference"/>
        </w:rPr>
        <w:footnoteRef/>
      </w:r>
      <w:r>
        <w:rPr>
          <w:lang w:val="hy-AM"/>
        </w:rPr>
        <w:t xml:space="preserve"> </w:t>
      </w:r>
      <w:r>
        <w:rPr>
          <w:i/>
          <w:lang w:val="hy-AM"/>
        </w:rPr>
        <w:t xml:space="preserve">Տե՛ս Գնաճի հաշվետվություն, 2021/2, ՀՀ ԿԲ, </w:t>
      </w:r>
      <w:r w:rsidRPr="003C6609">
        <w:rPr>
          <w:lang w:val="hy-AM"/>
        </w:rPr>
        <w:t>https://www.cba.am/Storage/AM/downloads/parberakan/DVQ/Monetary%20overview_II_2021.pdf</w:t>
      </w:r>
    </w:p>
  </w:footnote>
  <w:footnote w:id="11">
    <w:p w14:paraId="40F9D6B4" w14:textId="77777777" w:rsidR="00DB7001" w:rsidRPr="00500ADC" w:rsidRDefault="00DB7001" w:rsidP="00C34A4E">
      <w:pPr>
        <w:pBdr>
          <w:top w:val="nil"/>
          <w:left w:val="nil"/>
          <w:bottom w:val="nil"/>
          <w:right w:val="nil"/>
          <w:between w:val="nil"/>
        </w:pBdr>
        <w:spacing w:line="240" w:lineRule="auto"/>
        <w:ind w:firstLine="0"/>
        <w:rPr>
          <w:rFonts w:eastAsia="Merriweather" w:cs="Merriweather"/>
          <w:color w:val="000000"/>
          <w:sz w:val="16"/>
          <w:szCs w:val="16"/>
          <w:lang w:val="hy-AM"/>
        </w:rPr>
      </w:pPr>
      <w:r w:rsidRPr="00500ADC">
        <w:rPr>
          <w:rStyle w:val="FootnoteReference"/>
          <w:sz w:val="16"/>
          <w:szCs w:val="16"/>
        </w:rPr>
        <w:footnoteRef/>
      </w:r>
      <w:r w:rsidRPr="000F0D27">
        <w:rPr>
          <w:b w:val="0"/>
          <w:i/>
          <w:iCs/>
          <w:sz w:val="16"/>
          <w:szCs w:val="16"/>
          <w:lang w:val="hy-AM" w:eastAsia="en-US"/>
        </w:rPr>
        <w:t>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Առավել մանրամասն տե՛ս ՀՀ կառավարության 2021թ. բյուջետային ուղերձ, Երևան 2020, էջ՝ 84,  ներդիր 2:</w:t>
      </w:r>
    </w:p>
  </w:footnote>
  <w:footnote w:id="12">
    <w:p w14:paraId="4BAE883D" w14:textId="77777777" w:rsidR="00DB7001" w:rsidRPr="00EA45BA" w:rsidRDefault="00DB7001" w:rsidP="00C34A4E">
      <w:pPr>
        <w:pStyle w:val="FootnoteText"/>
        <w:rPr>
          <w:lang w:val="hy-AM"/>
        </w:rPr>
      </w:pPr>
      <w:r w:rsidRPr="00500ADC">
        <w:rPr>
          <w:rStyle w:val="FootnoteReference"/>
        </w:rPr>
        <w:footnoteRef/>
      </w:r>
      <w:r w:rsidRPr="00500ADC">
        <w:rPr>
          <w:lang w:val="hy-AM"/>
        </w:rPr>
        <w:t xml:space="preserve"> </w:t>
      </w:r>
      <w:r w:rsidRPr="00B419A1">
        <w:rPr>
          <w:i/>
          <w:lang w:val="hy-AM"/>
        </w:rPr>
        <w:t>ՀՀ գործընկեր երկրների արտաքին պահանաջարկի ցուցանիշը ՀՀ ՖՆ գնահատականն է, որը հաշվարկվել է որպես Ռուսաստանի, ԱՄՆ-ի, Չինաստանի և Եվրոգոտու տնտեսական աճերի կշռված միջին՝ ՀՀ արտահանման կառուցվածքին համապատասխան:  ՀՀ գործընկեր երկրների տնտեսական աճերի 2021 և 2022 թթ. ԱՄՀ կողմից հրապարակված կանխատեսումները ներկայացված են Աղյուսակ 1.2.-ում</w:t>
      </w:r>
    </w:p>
  </w:footnote>
  <w:footnote w:id="13">
    <w:p w14:paraId="01AD65A1" w14:textId="77777777" w:rsidR="00DB7001" w:rsidRPr="000F0D27" w:rsidRDefault="00DB7001" w:rsidP="00C34A4E">
      <w:pPr>
        <w:spacing w:line="240" w:lineRule="auto"/>
        <w:rPr>
          <w:lang w:val="hy-AM"/>
        </w:rPr>
      </w:pPr>
      <w:r>
        <w:rPr>
          <w:rStyle w:val="FootnoteReference"/>
        </w:rPr>
        <w:footnoteRef/>
      </w:r>
      <w:r w:rsidRPr="000F0D27">
        <w:rPr>
          <w:lang w:val="hy-AM"/>
        </w:rPr>
        <w:t xml:space="preserve"> </w:t>
      </w:r>
      <w:r w:rsidRPr="000F0D27">
        <w:rPr>
          <w:b w:val="0"/>
          <w:i/>
          <w:sz w:val="16"/>
          <w:szCs w:val="16"/>
          <w:lang w:val="hy-AM"/>
        </w:rPr>
        <w:t>UNWTO, 21 հուլիսի 2021թ. (</w:t>
      </w:r>
      <w:hyperlink r:id="rId1" w:history="1">
        <w:r w:rsidRPr="000F0D27">
          <w:rPr>
            <w:rStyle w:val="Hyperlink"/>
            <w:b w:val="0"/>
            <w:i/>
            <w:sz w:val="16"/>
            <w:szCs w:val="16"/>
            <w:lang w:val="hy-AM"/>
          </w:rPr>
          <w:t>https://www.unwto.org/international-travel-largely-on-hold-despite-uptick-in-may</w:t>
        </w:r>
      </w:hyperlink>
      <w:r w:rsidRPr="000F0D27">
        <w:rPr>
          <w:i/>
          <w:sz w:val="16"/>
          <w:szCs w:val="16"/>
          <w:lang w:val="hy-AM"/>
        </w:rPr>
        <w:t>)</w:t>
      </w:r>
    </w:p>
    <w:p w14:paraId="74208051" w14:textId="77777777" w:rsidR="00DB7001" w:rsidRPr="00B60BF9" w:rsidRDefault="00DB7001" w:rsidP="00C34A4E">
      <w:pPr>
        <w:pStyle w:val="FootnoteText"/>
        <w:rPr>
          <w:lang w:val="hy-AM"/>
        </w:rPr>
      </w:pPr>
    </w:p>
  </w:footnote>
  <w:footnote w:id="14">
    <w:p w14:paraId="1DE7916D" w14:textId="77777777" w:rsidR="00DB7001" w:rsidRPr="00E55F13" w:rsidRDefault="00DB7001" w:rsidP="00C34A4E">
      <w:pPr>
        <w:pStyle w:val="FootnoteText"/>
        <w:rPr>
          <w:i/>
          <w:lang w:val="hy-AM"/>
        </w:rPr>
      </w:pPr>
      <w:r w:rsidRPr="00E55F13">
        <w:rPr>
          <w:rStyle w:val="FootnoteReference"/>
        </w:rPr>
        <w:footnoteRef/>
      </w:r>
      <w:r w:rsidRPr="00E55F13">
        <w:rPr>
          <w:lang w:val="hy-AM"/>
        </w:rPr>
        <w:t xml:space="preserve"> </w:t>
      </w:r>
      <w:r w:rsidRPr="00E55F13">
        <w:rPr>
          <w:i/>
          <w:lang w:val="hy-AM"/>
        </w:rPr>
        <w:t xml:space="preserve">Տե՛ս «Տնտեսական արձագանքման ծրագիրը և գործողությունների պլանը հաստատելու մասին» ՀՀ կառավարության 2021թ. փետրվարի 4-ի թիվ </w:t>
      </w:r>
      <w:r w:rsidRPr="00B419A1">
        <w:rPr>
          <w:i/>
          <w:lang w:val="hy-AM"/>
        </w:rPr>
        <w:t>142-Լ որոշում, հավելված 1:</w:t>
      </w:r>
    </w:p>
  </w:footnote>
  <w:footnote w:id="15">
    <w:p w14:paraId="57C2BFAA" w14:textId="77777777" w:rsidR="00DB7001" w:rsidRPr="003A75CD" w:rsidRDefault="00DB7001" w:rsidP="00C34A4E">
      <w:pPr>
        <w:spacing w:line="276" w:lineRule="auto"/>
        <w:rPr>
          <w:i/>
          <w:lang w:val="hy-AM"/>
        </w:rPr>
      </w:pPr>
      <w:r w:rsidRPr="004C2E77">
        <w:rPr>
          <w:sz w:val="16"/>
          <w:szCs w:val="20"/>
          <w:vertAlign w:val="superscript"/>
          <w:lang w:val="hy-AM"/>
        </w:rPr>
        <w:footnoteRef/>
      </w:r>
      <w:r w:rsidRPr="004C2E77">
        <w:rPr>
          <w:sz w:val="16"/>
          <w:szCs w:val="20"/>
          <w:vertAlign w:val="superscript"/>
          <w:lang w:val="hy-AM"/>
        </w:rPr>
        <w:t xml:space="preserve"> </w:t>
      </w:r>
      <w:r w:rsidRPr="007E62BD">
        <w:rPr>
          <w:b w:val="0"/>
          <w:i/>
          <w:sz w:val="18"/>
          <w:szCs w:val="18"/>
          <w:lang w:val="hy-AM"/>
        </w:rPr>
        <w:t>Աղյուսակի 1-ին սյունը իրենից ներկայացնում է տնտեսական աճի հնարավոր միջա</w:t>
      </w:r>
      <w:r w:rsidRPr="007E62BD">
        <w:rPr>
          <w:b w:val="0"/>
          <w:i/>
          <w:sz w:val="18"/>
          <w:szCs w:val="18"/>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83%-ը, այսինքն` հավանականությունը, որ տնտեսական աճը կգտնվի 1%-ից 9%  միջակայքում, կազմում է մոտ 83%:</w:t>
      </w:r>
    </w:p>
  </w:footnote>
  <w:footnote w:id="16">
    <w:p w14:paraId="653FB805" w14:textId="77777777" w:rsidR="00DB7001" w:rsidRDefault="00DB7001" w:rsidP="00C34A4E">
      <w:pPr>
        <w:pStyle w:val="af2"/>
        <w:jc w:val="left"/>
      </w:pPr>
      <w:r>
        <w:rPr>
          <w:rStyle w:val="FootnoteReference"/>
        </w:rPr>
        <w:footnoteRef/>
      </w:r>
      <w:r>
        <w:t xml:space="preserve"> </w:t>
      </w:r>
      <w:r w:rsidRPr="002D1236">
        <w:rPr>
          <w:sz w:val="16"/>
          <w:szCs w:val="16"/>
        </w:rPr>
        <w:t>Առավել մանրամասն ներկայացված է «2.5. Հարկաբյուջետային քաղաքականության համապատասխանությունը հարկաբյուջետային կանոններին» հատվածում</w:t>
      </w:r>
    </w:p>
  </w:footnote>
  <w:footnote w:id="17">
    <w:p w14:paraId="58837ACC" w14:textId="77777777" w:rsidR="00DB7001" w:rsidRPr="00472D7A" w:rsidRDefault="00DB7001" w:rsidP="00C34A4E">
      <w:pPr>
        <w:pStyle w:val="af2"/>
        <w:ind w:firstLine="0"/>
        <w:rPr>
          <w:sz w:val="18"/>
          <w:szCs w:val="18"/>
        </w:rPr>
      </w:pPr>
      <w:r w:rsidRPr="00472D7A">
        <w:rPr>
          <w:rStyle w:val="FootnoteReference"/>
          <w:sz w:val="18"/>
          <w:szCs w:val="18"/>
        </w:rPr>
        <w:footnoteRef/>
      </w:r>
      <w:r w:rsidRPr="00472D7A">
        <w:rPr>
          <w:sz w:val="18"/>
          <w:szCs w:val="18"/>
        </w:rPr>
        <w:t xml:space="preserve"> 2021 թվականի հուլիսի դրությամբ։ Աղբյուրը՝ IMF, Fiscal Monitor Database of Country Fiscal Measures in Response to the COVID-19 Pandemic․</w:t>
      </w:r>
      <w:hyperlink r:id="rId2" w:history="1">
        <w:r w:rsidRPr="00472D7A">
          <w:rPr>
            <w:rStyle w:val="Hyperlink"/>
            <w:sz w:val="18"/>
            <w:szCs w:val="18"/>
          </w:rPr>
          <w:t>https://www.imf.org/en/Topics/imf-and-covid19/Fiscal-Policies-Database-in-Response-to-COVID-19</w:t>
        </w:r>
      </w:hyperlink>
      <w:r w:rsidRPr="00472D7A">
        <w:rPr>
          <w:sz w:val="18"/>
          <w:szCs w:val="18"/>
        </w:rPr>
        <w:t xml:space="preserve">։ </w:t>
      </w:r>
    </w:p>
  </w:footnote>
  <w:footnote w:id="18">
    <w:p w14:paraId="470ABBED" w14:textId="77777777" w:rsidR="00DB7001" w:rsidRPr="00A96E72" w:rsidRDefault="00DB7001" w:rsidP="00C34A4E">
      <w:pPr>
        <w:pStyle w:val="FootnoteText"/>
        <w:rPr>
          <w:lang w:val="hy-AM"/>
        </w:rPr>
      </w:pPr>
      <w:r w:rsidRPr="00807484">
        <w:rPr>
          <w:rStyle w:val="FootnoteReference"/>
          <w:sz w:val="18"/>
          <w:szCs w:val="18"/>
        </w:rPr>
        <w:footnoteRef/>
      </w:r>
      <w:r w:rsidRPr="00A96E72">
        <w:rPr>
          <w:lang w:val="hy-AM"/>
        </w:rPr>
        <w:t xml:space="preserve"> Այս ցուցանիշը իր մեջ ներառում է համավարակի սոցիալ-տնտեսական հետևանքների չեզոքացմանն ուղղված միջոցառումների ամբողջական 150 մլրդ դրամ փաթեթը, քանի որ միջազգային համադրումների համար ԱՄՀ տվյալների բազան վերաբերում է պլանավորված ցուցանիշներին: </w:t>
      </w:r>
    </w:p>
  </w:footnote>
  <w:footnote w:id="19">
    <w:p w14:paraId="01D84872" w14:textId="77777777" w:rsidR="00DB7001" w:rsidRPr="00A96E72" w:rsidRDefault="00DB7001" w:rsidP="00C34A4E">
      <w:pPr>
        <w:pStyle w:val="FootnoteText"/>
        <w:rPr>
          <w:lang w:val="hy-AM"/>
        </w:rPr>
      </w:pPr>
      <w:r w:rsidRPr="0038225D">
        <w:rPr>
          <w:rStyle w:val="FootnoteReference"/>
          <w:sz w:val="18"/>
          <w:szCs w:val="18"/>
        </w:rPr>
        <w:footnoteRef/>
      </w:r>
      <w:r w:rsidRPr="00A96E72">
        <w:rPr>
          <w:lang w:val="hy-AM"/>
        </w:rPr>
        <w:t xml:space="preserve"> Հարկաբյուջետային կանխատեսումների համար հիմք է հանդիսացել 202</w:t>
      </w:r>
      <w:r>
        <w:rPr>
          <w:lang w:val="hy-AM"/>
        </w:rPr>
        <w:t>1</w:t>
      </w:r>
      <w:r w:rsidRPr="00A96E72">
        <w:rPr>
          <w:lang w:val="hy-AM"/>
        </w:rPr>
        <w:t xml:space="preserve">թ.-ի </w:t>
      </w:r>
      <w:r>
        <w:rPr>
          <w:lang w:val="hy-AM"/>
        </w:rPr>
        <w:t>օգոստոսի</w:t>
      </w:r>
      <w:r w:rsidRPr="00A96E72">
        <w:rPr>
          <w:lang w:val="hy-AM"/>
        </w:rPr>
        <w:t xml:space="preserve"> վերջի դրությամբ առկա տեղեկատվությունը՝ համավարակի տարածման արագության, դրա տնտեսական ազդեցությունների, միջազգային կազմակերպությունների կանխատեսումների, ինչպես նաև հարկաբյուջետային քաղաքականության հակաճգնաժամային միջոցառումների վերաբերյալ:</w:t>
      </w:r>
    </w:p>
  </w:footnote>
  <w:footnote w:id="20">
    <w:p w14:paraId="615FEC9E" w14:textId="77777777" w:rsidR="00DB7001" w:rsidRPr="00B7540A" w:rsidRDefault="00DB7001" w:rsidP="00C34A4E">
      <w:pPr>
        <w:pStyle w:val="FootnoteText"/>
        <w:rPr>
          <w:lang w:val="hy-AM"/>
        </w:rPr>
      </w:pPr>
      <w:r w:rsidRPr="00E2325B">
        <w:rPr>
          <w:rStyle w:val="FootnoteReference"/>
        </w:rPr>
        <w:footnoteRef/>
      </w:r>
      <w:r w:rsidRPr="00B7540A">
        <w:rPr>
          <w:lang w:val="hy-AM"/>
        </w:rPr>
        <w:t xml:space="preserve"> 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21">
    <w:p w14:paraId="4B94CA55" w14:textId="77777777" w:rsidR="00DB7001" w:rsidRPr="009B3790" w:rsidRDefault="00DB7001" w:rsidP="00AE2A75">
      <w:pPr>
        <w:pStyle w:val="FootnoteText"/>
        <w:rPr>
          <w:lang w:val="hy-AM"/>
        </w:rPr>
      </w:pPr>
      <w:r>
        <w:rPr>
          <w:rStyle w:val="FootnoteReference"/>
          <w:rFonts w:cs="GHEA Grapalat"/>
        </w:rPr>
        <w:footnoteRef/>
      </w:r>
      <w:r w:rsidRPr="009B3790">
        <w:rPr>
          <w:lang w:val="hy-AM"/>
        </w:rPr>
        <w:t xml:space="preserve"> Այս բաժնում որպես ՀՀ 20</w:t>
      </w:r>
      <w:r>
        <w:rPr>
          <w:lang w:val="ro-RO"/>
        </w:rPr>
        <w:t>21</w:t>
      </w:r>
      <w:r w:rsidRPr="009B3790">
        <w:rPr>
          <w:lang w:val="hy-AM"/>
        </w:rPr>
        <w:t xml:space="preserve"> թվականի պետական բյուջեի պետական տուրքի համար հաստատված ցու</w:t>
      </w:r>
      <w:r w:rsidRPr="009B3790">
        <w:rPr>
          <w:lang w:val="hy-AM"/>
        </w:rPr>
        <w:softHyphen/>
        <w:t>ցա</w:t>
      </w:r>
      <w:r w:rsidRPr="009B3790">
        <w:rPr>
          <w:lang w:val="hy-AM"/>
        </w:rPr>
        <w:softHyphen/>
        <w:t>նիշ</w:t>
      </w:r>
      <w:r w:rsidRPr="009B3790">
        <w:rPr>
          <w:lang w:val="hy-AM"/>
        </w:rPr>
        <w:softHyphen/>
        <w:t>ներ դիտարկվել են ՀՀ կառավարության 2020 թվականի դեկտեմբերի 30-ի N 2215-Ն որոշման N 6 հավելվածով ՀՀ 20</w:t>
      </w:r>
      <w:r>
        <w:rPr>
          <w:lang w:val="ro-RO"/>
        </w:rPr>
        <w:t>21</w:t>
      </w:r>
      <w:r w:rsidRPr="009B3790">
        <w:rPr>
          <w:lang w:val="hy-AM"/>
        </w:rPr>
        <w:t xml:space="preserve"> թվականի պետական բյուջեի պետական տուրքի գծով հաս</w:t>
      </w:r>
      <w:r w:rsidRPr="009B3790">
        <w:rPr>
          <w:lang w:val="hy-AM"/>
        </w:rPr>
        <w:softHyphen/>
        <w:t>տատ</w:t>
      </w:r>
      <w:r w:rsidRPr="009B3790">
        <w:rPr>
          <w:lang w:val="hy-AM"/>
        </w:rPr>
        <w:softHyphen/>
        <w:t>ված ցուցանիշները:</w:t>
      </w:r>
    </w:p>
  </w:footnote>
  <w:footnote w:id="22">
    <w:p w14:paraId="2622F520" w14:textId="77777777" w:rsidR="00DB7001" w:rsidRPr="00574F8B" w:rsidRDefault="00DB7001" w:rsidP="00AE2A75">
      <w:pPr>
        <w:pStyle w:val="FootnoteText"/>
        <w:rPr>
          <w:lang w:val="hy-AM"/>
        </w:rPr>
      </w:pPr>
      <w:r>
        <w:rPr>
          <w:rStyle w:val="FootnoteReference"/>
          <w:rFonts w:cs="GHEA Grapalat"/>
        </w:rPr>
        <w:footnoteRef/>
      </w:r>
      <w:r>
        <w:rPr>
          <w:rStyle w:val="FootnoteReference"/>
          <w:lang w:val="hy-AM"/>
        </w:rPr>
        <w:t xml:space="preserve"> </w:t>
      </w:r>
      <w:r w:rsidRPr="00574F8B">
        <w:rPr>
          <w:lang w:val="hy-AM"/>
        </w:rPr>
        <w:t xml:space="preserve">Առանց ՀՀ 2020 թվականի պետական բյուջեից ծախս-եկամուտ գործառույթի եղանակով </w:t>
      </w:r>
      <w:r w:rsidRPr="00574F8B">
        <w:rPr>
          <w:color w:val="000000" w:themeColor="text1"/>
          <w:lang w:val="hy-AM"/>
        </w:rPr>
        <w:t xml:space="preserve">ստացված </w:t>
      </w:r>
      <w:r w:rsidRPr="00574F8B">
        <w:rPr>
          <w:lang w:val="hy-AM"/>
        </w:rPr>
        <w:t xml:space="preserve">237.6 մլն </w:t>
      </w:r>
      <w:r w:rsidRPr="00574F8B">
        <w:rPr>
          <w:color w:val="000000" w:themeColor="text1"/>
          <w:lang w:val="hy-AM"/>
        </w:rPr>
        <w:t xml:space="preserve">դրամի </w:t>
      </w:r>
      <w:r w:rsidRPr="00574F8B">
        <w:rPr>
          <w:lang w:val="hy-AM"/>
        </w:rPr>
        <w:t>չափով այն եկամուտների, որոնք հաշվառվում են պետական տուրքերի կազմում:</w:t>
      </w:r>
    </w:p>
    <w:p w14:paraId="262282BA" w14:textId="77777777" w:rsidR="00DB7001" w:rsidRPr="00574F8B" w:rsidRDefault="00DB7001" w:rsidP="00AE2A75">
      <w:pPr>
        <w:pStyle w:val="FootnoteText"/>
        <w:rPr>
          <w:lang w:val="hy-AM"/>
        </w:rPr>
      </w:pPr>
      <w:r w:rsidRPr="00574F8B">
        <w:rPr>
          <w:lang w:val="hy-AM"/>
        </w:rPr>
        <w:t xml:space="preserve">   </w:t>
      </w:r>
    </w:p>
  </w:footnote>
  <w:footnote w:id="23">
    <w:p w14:paraId="35100196" w14:textId="77777777" w:rsidR="00DB7001" w:rsidRPr="00980AF9" w:rsidRDefault="00DB7001" w:rsidP="00FC7885">
      <w:pPr>
        <w:pStyle w:val="FootnoteText"/>
        <w:rPr>
          <w:lang w:val="hy-AM"/>
        </w:rPr>
      </w:pPr>
      <w:r>
        <w:rPr>
          <w:rStyle w:val="FootnoteReference"/>
        </w:rPr>
        <w:footnoteRef/>
      </w:r>
      <w:r w:rsidRPr="00574F8B">
        <w:rPr>
          <w:lang w:val="hy-AM"/>
        </w:rPr>
        <w:t xml:space="preserve"> </w:t>
      </w:r>
      <w:r w:rsidRPr="00FF6063">
        <w:rPr>
          <w:lang w:val="hy-AM"/>
        </w:rPr>
        <w:t>Մարդու իրավունքների պաշտպանն ունի բնույթով բացառիկ միջազգային կոնվենցիոն կարգավիճակներ՝ ամրագրված «Մարդու իրավունքների պաշտպանի մասին» սահմանադրական օրենքով: Պաշտպանը հանդիսանում է «Խոշտանգումների և այլ դաժան, անմարդկային կամ արժանապատվությունը նվաստացնող վերաբերմունքի կամ պատժի դեմ» ՄԱԿ-ի՝ 1984 թվականի կոնվենցիայի 2002 թվականի դեկտեմբերի 18-ին ընդունած կամընտիր արձանագրությամբ սահմանված կանխարգելման ազգային մեխանիզմ: «Երեխայի իրավունքների մասին» 1989 թվականի նոյեմբերի 20-ի ՄԱԿ-ի կոնվենցիայով նախատեսված մշտադիտարկում իրականացնող անկախ մարմին: «Հաշմանդամություն ունեցող անձանց իրավունքների մասին» 2006 թվականի դեկտեմբերի 13-ի ՄԱԿ-ի կոնվենցիայով նախատեսված մշտադիտարկում իրականացնող անկախ մարմին:</w:t>
      </w:r>
    </w:p>
  </w:footnote>
  <w:footnote w:id="24">
    <w:p w14:paraId="160BA2D0" w14:textId="77777777" w:rsidR="00DB7001" w:rsidRPr="003310B6" w:rsidRDefault="00DB7001" w:rsidP="003310B6">
      <w:pPr>
        <w:pStyle w:val="FootnoteText"/>
        <w:rPr>
          <w:lang w:val="hy-AM"/>
        </w:rPr>
      </w:pPr>
      <w:r w:rsidRPr="00D44C5F">
        <w:rPr>
          <w:rStyle w:val="FootnoteReference"/>
          <w:sz w:val="18"/>
          <w:szCs w:val="18"/>
        </w:rPr>
        <w:footnoteRef/>
      </w:r>
      <w:r w:rsidRPr="003310B6">
        <w:rPr>
          <w:lang w:val="hy-AM"/>
        </w:rPr>
        <w:t xml:space="preserve"> 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25">
    <w:p w14:paraId="5771B225" w14:textId="77777777" w:rsidR="00DB7001" w:rsidRPr="003310B6" w:rsidRDefault="00DB7001" w:rsidP="003310B6">
      <w:pPr>
        <w:pStyle w:val="FootnoteText"/>
        <w:rPr>
          <w:sz w:val="14"/>
          <w:szCs w:val="14"/>
          <w:lang w:val="hy-AM"/>
        </w:rPr>
      </w:pPr>
      <w:r w:rsidRPr="004509AB">
        <w:rPr>
          <w:rStyle w:val="FootnoteReference"/>
          <w:sz w:val="14"/>
          <w:szCs w:val="14"/>
        </w:rPr>
        <w:footnoteRef/>
      </w:r>
      <w:r w:rsidRPr="003310B6">
        <w:rPr>
          <w:sz w:val="14"/>
          <w:szCs w:val="14"/>
          <w:lang w:val="hy-AM"/>
        </w:rPr>
        <w:t xml:space="preserve"> 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26">
    <w:p w14:paraId="3FCC1234" w14:textId="77777777" w:rsidR="00DB7001" w:rsidRPr="003310B6" w:rsidRDefault="00DB7001" w:rsidP="003310B6">
      <w:pPr>
        <w:pStyle w:val="FootnoteText"/>
        <w:rPr>
          <w:rFonts w:ascii="Arial" w:hAnsi="Arial"/>
          <w:lang w:val="hy-AM"/>
        </w:rPr>
      </w:pPr>
      <w:r w:rsidRPr="000C7710">
        <w:rPr>
          <w:rStyle w:val="FootnoteReference"/>
        </w:rPr>
        <w:footnoteRef/>
      </w:r>
      <w:r w:rsidRPr="003310B6">
        <w:rPr>
          <w:lang w:val="hy-AM"/>
        </w:rPr>
        <w:t xml:space="preserve"> Ցուցանիշը ներառում է պետական գանձապետական պարտատոմսերի հետգնման համար նախատեսված </w:t>
      </w:r>
      <w:r>
        <w:rPr>
          <w:lang w:val="hy-AM"/>
        </w:rPr>
        <w:t>30</w:t>
      </w:r>
      <w:r w:rsidRPr="003310B6">
        <w:rPr>
          <w:lang w:val="hy-AM"/>
        </w:rPr>
        <w:t xml:space="preserve"> մլրդ դրամը: </w:t>
      </w:r>
      <w:r w:rsidRPr="003310B6">
        <w:rPr>
          <w:rFonts w:ascii="Arial" w:hAnsi="Arial"/>
          <w:lang w:val="hy-AM"/>
        </w:rPr>
        <w:t xml:space="preserve"> </w:t>
      </w:r>
    </w:p>
  </w:footnote>
  <w:footnote w:id="27">
    <w:p w14:paraId="715961F2" w14:textId="77777777" w:rsidR="00DB7001" w:rsidRPr="00117D85" w:rsidRDefault="00DB7001" w:rsidP="008624F6">
      <w:pPr>
        <w:pStyle w:val="FootnoteText"/>
        <w:rPr>
          <w:sz w:val="14"/>
          <w:lang w:val="sk-SK"/>
        </w:rPr>
      </w:pPr>
      <w:r w:rsidRPr="00E14DDE">
        <w:rPr>
          <w:rStyle w:val="FootnoteReference"/>
          <w:sz w:val="18"/>
        </w:rPr>
        <w:footnoteRef/>
      </w:r>
      <w:r w:rsidRPr="008624F6">
        <w:rPr>
          <w:lang w:val="hy-AM"/>
        </w:rPr>
        <w:t>Սա</w:t>
      </w:r>
      <w:r w:rsidRPr="004C6A11">
        <w:rPr>
          <w:lang w:val="sk-SK"/>
        </w:rPr>
        <w:t xml:space="preserve"> </w:t>
      </w:r>
      <w:r w:rsidRPr="008624F6">
        <w:rPr>
          <w:lang w:val="hy-AM"/>
        </w:rPr>
        <w:t>որոշակիորեն</w:t>
      </w:r>
      <w:r w:rsidRPr="004C6A11">
        <w:rPr>
          <w:lang w:val="sk-SK"/>
        </w:rPr>
        <w:t xml:space="preserve"> </w:t>
      </w:r>
      <w:r w:rsidRPr="008624F6">
        <w:rPr>
          <w:lang w:val="hy-AM"/>
        </w:rPr>
        <w:t>կապված</w:t>
      </w:r>
      <w:r w:rsidRPr="004C6A11">
        <w:rPr>
          <w:lang w:val="sk-SK"/>
        </w:rPr>
        <w:t xml:space="preserve"> </w:t>
      </w:r>
      <w:r w:rsidRPr="008624F6">
        <w:rPr>
          <w:lang w:val="hy-AM"/>
        </w:rPr>
        <w:t>է</w:t>
      </w:r>
      <w:r w:rsidRPr="004C6A11">
        <w:rPr>
          <w:lang w:val="sk-SK"/>
        </w:rPr>
        <w:t xml:space="preserve"> </w:t>
      </w:r>
      <w:r w:rsidRPr="008624F6">
        <w:rPr>
          <w:lang w:val="hy-AM"/>
        </w:rPr>
        <w:t>նաև</w:t>
      </w:r>
      <w:r w:rsidRPr="004C6A11">
        <w:rPr>
          <w:lang w:val="sk-SK"/>
        </w:rPr>
        <w:t xml:space="preserve"> </w:t>
      </w:r>
      <w:r w:rsidRPr="008624F6">
        <w:rPr>
          <w:lang w:val="hy-AM"/>
        </w:rPr>
        <w:t>մոդելների</w:t>
      </w:r>
      <w:r w:rsidRPr="004C6A11">
        <w:rPr>
          <w:lang w:val="sk-SK"/>
        </w:rPr>
        <w:t xml:space="preserve"> </w:t>
      </w:r>
      <w:r w:rsidRPr="008624F6">
        <w:rPr>
          <w:lang w:val="hy-AM"/>
        </w:rPr>
        <w:t>սպեցիֆիկացիաների</w:t>
      </w:r>
      <w:r w:rsidRPr="004C6A11">
        <w:rPr>
          <w:lang w:val="sk-SK"/>
        </w:rPr>
        <w:t xml:space="preserve"> </w:t>
      </w:r>
      <w:r w:rsidRPr="008624F6">
        <w:rPr>
          <w:lang w:val="hy-AM"/>
        </w:rPr>
        <w:t>հետ</w:t>
      </w:r>
      <w:r w:rsidRPr="004C6A11">
        <w:rPr>
          <w:lang w:val="sk-SK"/>
        </w:rPr>
        <w:t xml:space="preserve">, </w:t>
      </w:r>
      <w:r w:rsidRPr="008624F6">
        <w:rPr>
          <w:lang w:val="hy-AM"/>
        </w:rPr>
        <w:t>քանի</w:t>
      </w:r>
      <w:r w:rsidRPr="004C6A11">
        <w:rPr>
          <w:lang w:val="sk-SK"/>
        </w:rPr>
        <w:t xml:space="preserve"> </w:t>
      </w:r>
      <w:r w:rsidRPr="008624F6">
        <w:rPr>
          <w:lang w:val="hy-AM"/>
        </w:rPr>
        <w:t>որ</w:t>
      </w:r>
      <w:r w:rsidRPr="004C6A11">
        <w:rPr>
          <w:lang w:val="sk-SK"/>
        </w:rPr>
        <w:t xml:space="preserve"> </w:t>
      </w:r>
      <w:r w:rsidRPr="008624F6">
        <w:rPr>
          <w:lang w:val="hy-AM"/>
        </w:rPr>
        <w:t>ժամանակային</w:t>
      </w:r>
      <w:r w:rsidRPr="004C6A11">
        <w:rPr>
          <w:lang w:val="sk-SK"/>
        </w:rPr>
        <w:t xml:space="preserve"> </w:t>
      </w:r>
      <w:r w:rsidRPr="008624F6">
        <w:rPr>
          <w:lang w:val="hy-AM"/>
        </w:rPr>
        <w:t>շարքերի</w:t>
      </w:r>
      <w:r w:rsidRPr="004C6A11">
        <w:rPr>
          <w:lang w:val="sk-SK"/>
        </w:rPr>
        <w:t xml:space="preserve"> </w:t>
      </w:r>
      <w:r w:rsidRPr="008624F6">
        <w:rPr>
          <w:lang w:val="hy-AM"/>
        </w:rPr>
        <w:t>վրա</w:t>
      </w:r>
      <w:r w:rsidRPr="004C6A11">
        <w:rPr>
          <w:lang w:val="sk-SK"/>
        </w:rPr>
        <w:t xml:space="preserve"> </w:t>
      </w:r>
      <w:r w:rsidRPr="008624F6">
        <w:rPr>
          <w:lang w:val="hy-AM"/>
        </w:rPr>
        <w:t>հիմնված</w:t>
      </w:r>
      <w:r w:rsidRPr="004C6A11">
        <w:rPr>
          <w:lang w:val="sk-SK"/>
        </w:rPr>
        <w:t xml:space="preserve"> </w:t>
      </w:r>
      <w:r w:rsidRPr="008624F6">
        <w:rPr>
          <w:lang w:val="hy-AM"/>
        </w:rPr>
        <w:t>մոդելներն</w:t>
      </w:r>
      <w:r w:rsidRPr="004C6A11">
        <w:rPr>
          <w:lang w:val="sk-SK"/>
        </w:rPr>
        <w:t xml:space="preserve"> </w:t>
      </w:r>
      <w:r w:rsidRPr="008624F6">
        <w:rPr>
          <w:lang w:val="hy-AM"/>
        </w:rPr>
        <w:t>իրենց</w:t>
      </w:r>
      <w:r w:rsidRPr="004C6A11">
        <w:rPr>
          <w:lang w:val="sk-SK"/>
        </w:rPr>
        <w:t xml:space="preserve"> </w:t>
      </w:r>
      <w:r w:rsidRPr="008624F6">
        <w:rPr>
          <w:lang w:val="hy-AM"/>
        </w:rPr>
        <w:t>մեջ</w:t>
      </w:r>
      <w:r w:rsidRPr="004C6A11">
        <w:rPr>
          <w:lang w:val="sk-SK"/>
        </w:rPr>
        <w:t xml:space="preserve"> </w:t>
      </w:r>
      <w:r w:rsidRPr="008624F6">
        <w:rPr>
          <w:lang w:val="hy-AM"/>
        </w:rPr>
        <w:t>ներառում</w:t>
      </w:r>
      <w:r w:rsidRPr="004C6A11">
        <w:rPr>
          <w:lang w:val="sk-SK"/>
        </w:rPr>
        <w:t xml:space="preserve"> </w:t>
      </w:r>
      <w:r w:rsidRPr="008624F6">
        <w:rPr>
          <w:lang w:val="hy-AM"/>
        </w:rPr>
        <w:t>են</w:t>
      </w:r>
      <w:r w:rsidRPr="004C6A11">
        <w:rPr>
          <w:lang w:val="sk-SK"/>
        </w:rPr>
        <w:t xml:space="preserve"> </w:t>
      </w:r>
      <w:r w:rsidRPr="008624F6">
        <w:rPr>
          <w:lang w:val="hy-AM"/>
        </w:rPr>
        <w:t>տնտեսության</w:t>
      </w:r>
      <w:r w:rsidRPr="004C6A11">
        <w:rPr>
          <w:lang w:val="sk-SK"/>
        </w:rPr>
        <w:t xml:space="preserve"> </w:t>
      </w:r>
      <w:r w:rsidRPr="008624F6">
        <w:rPr>
          <w:lang w:val="hy-AM"/>
        </w:rPr>
        <w:t>նախորդ</w:t>
      </w:r>
      <w:r w:rsidRPr="004C6A11">
        <w:rPr>
          <w:lang w:val="sk-SK"/>
        </w:rPr>
        <w:t xml:space="preserve"> </w:t>
      </w:r>
      <w:r w:rsidRPr="008624F6">
        <w:rPr>
          <w:lang w:val="hy-AM"/>
        </w:rPr>
        <w:t>ժամանակահատվածի</w:t>
      </w:r>
      <w:r w:rsidRPr="004C6A11">
        <w:rPr>
          <w:lang w:val="sk-SK"/>
        </w:rPr>
        <w:t xml:space="preserve"> </w:t>
      </w:r>
      <w:r w:rsidRPr="008624F6">
        <w:rPr>
          <w:lang w:val="hy-AM"/>
        </w:rPr>
        <w:t>զարգացումների</w:t>
      </w:r>
      <w:r w:rsidRPr="004C6A11">
        <w:rPr>
          <w:lang w:val="sk-SK"/>
        </w:rPr>
        <w:t xml:space="preserve"> </w:t>
      </w:r>
      <w:r w:rsidRPr="008624F6">
        <w:rPr>
          <w:lang w:val="hy-AM"/>
        </w:rPr>
        <w:t>տեղեկատվությունը</w:t>
      </w:r>
      <w:r w:rsidRPr="004C6A11">
        <w:rPr>
          <w:lang w:val="sk-SK"/>
        </w:rPr>
        <w:t xml:space="preserve">, </w:t>
      </w:r>
      <w:r w:rsidRPr="008624F6">
        <w:rPr>
          <w:lang w:val="hy-AM"/>
        </w:rPr>
        <w:t>իսկ</w:t>
      </w:r>
      <w:r w:rsidRPr="004C6A11">
        <w:rPr>
          <w:lang w:val="sk-SK"/>
        </w:rPr>
        <w:t xml:space="preserve"> </w:t>
      </w:r>
      <w:r w:rsidRPr="008624F6">
        <w:rPr>
          <w:lang w:val="hy-AM"/>
        </w:rPr>
        <w:t>կանխատեսվող</w:t>
      </w:r>
      <w:r w:rsidRPr="004C6A11">
        <w:rPr>
          <w:lang w:val="sk-SK"/>
        </w:rPr>
        <w:t xml:space="preserve"> </w:t>
      </w:r>
      <w:r w:rsidRPr="008624F6">
        <w:rPr>
          <w:lang w:val="hy-AM"/>
        </w:rPr>
        <w:t>տարում</w:t>
      </w:r>
      <w:r w:rsidRPr="004C6A11">
        <w:rPr>
          <w:lang w:val="sk-SK"/>
        </w:rPr>
        <w:t xml:space="preserve"> </w:t>
      </w:r>
      <w:r w:rsidRPr="008624F6">
        <w:rPr>
          <w:lang w:val="hy-AM"/>
        </w:rPr>
        <w:t>ի</w:t>
      </w:r>
      <w:r w:rsidRPr="004C6A11">
        <w:rPr>
          <w:lang w:val="sk-SK"/>
        </w:rPr>
        <w:t xml:space="preserve"> </w:t>
      </w:r>
      <w:r w:rsidRPr="008624F6">
        <w:rPr>
          <w:lang w:val="hy-AM"/>
        </w:rPr>
        <w:t>հայտ</w:t>
      </w:r>
      <w:r w:rsidRPr="004C6A11">
        <w:rPr>
          <w:lang w:val="sk-SK"/>
        </w:rPr>
        <w:t xml:space="preserve"> </w:t>
      </w:r>
      <w:r w:rsidRPr="008624F6">
        <w:rPr>
          <w:lang w:val="hy-AM"/>
        </w:rPr>
        <w:t>եկող</w:t>
      </w:r>
      <w:r w:rsidRPr="004C6A11">
        <w:rPr>
          <w:lang w:val="sk-SK"/>
        </w:rPr>
        <w:t xml:space="preserve"> </w:t>
      </w:r>
      <w:r w:rsidRPr="008624F6">
        <w:rPr>
          <w:lang w:val="hy-AM"/>
        </w:rPr>
        <w:t>տնտեսության</w:t>
      </w:r>
      <w:r w:rsidRPr="004C6A11">
        <w:rPr>
          <w:lang w:val="sk-SK"/>
        </w:rPr>
        <w:t xml:space="preserve"> </w:t>
      </w:r>
      <w:r w:rsidRPr="008624F6">
        <w:rPr>
          <w:lang w:val="hy-AM"/>
        </w:rPr>
        <w:t>կառուցվածքային</w:t>
      </w:r>
      <w:r w:rsidRPr="004C6A11">
        <w:rPr>
          <w:lang w:val="sk-SK"/>
        </w:rPr>
        <w:t xml:space="preserve"> </w:t>
      </w:r>
      <w:r w:rsidRPr="008624F6">
        <w:rPr>
          <w:lang w:val="hy-AM"/>
        </w:rPr>
        <w:t>տեղաշարժը</w:t>
      </w:r>
      <w:r w:rsidRPr="004C6A11">
        <w:rPr>
          <w:lang w:val="sk-SK"/>
        </w:rPr>
        <w:t xml:space="preserve"> </w:t>
      </w:r>
      <w:r w:rsidRPr="008624F6">
        <w:rPr>
          <w:lang w:val="hy-AM"/>
        </w:rPr>
        <w:t>միայն</w:t>
      </w:r>
      <w:r w:rsidRPr="004C6A11">
        <w:rPr>
          <w:lang w:val="sk-SK"/>
        </w:rPr>
        <w:t xml:space="preserve"> </w:t>
      </w:r>
      <w:r w:rsidRPr="008624F6">
        <w:rPr>
          <w:lang w:val="hy-AM"/>
        </w:rPr>
        <w:t>կարող</w:t>
      </w:r>
      <w:r w:rsidRPr="004C6A11">
        <w:rPr>
          <w:lang w:val="sk-SK"/>
        </w:rPr>
        <w:t xml:space="preserve"> </w:t>
      </w:r>
      <w:r w:rsidRPr="008624F6">
        <w:rPr>
          <w:lang w:val="hy-AM"/>
        </w:rPr>
        <w:t>է</w:t>
      </w:r>
      <w:r w:rsidRPr="004C6A11">
        <w:rPr>
          <w:lang w:val="sk-SK"/>
        </w:rPr>
        <w:t xml:space="preserve"> </w:t>
      </w:r>
      <w:r w:rsidRPr="008624F6">
        <w:rPr>
          <w:lang w:val="hy-AM"/>
        </w:rPr>
        <w:t>ներառվել</w:t>
      </w:r>
      <w:r w:rsidRPr="004C6A11">
        <w:rPr>
          <w:lang w:val="sk-SK"/>
        </w:rPr>
        <w:t xml:space="preserve"> </w:t>
      </w:r>
      <w:r w:rsidRPr="008624F6">
        <w:rPr>
          <w:lang w:val="hy-AM"/>
        </w:rPr>
        <w:t>հաջորդ</w:t>
      </w:r>
      <w:r w:rsidRPr="004C6A11">
        <w:rPr>
          <w:lang w:val="sk-SK"/>
        </w:rPr>
        <w:t xml:space="preserve"> </w:t>
      </w:r>
      <w:r w:rsidRPr="008624F6">
        <w:rPr>
          <w:lang w:val="hy-AM"/>
        </w:rPr>
        <w:t>տարվա</w:t>
      </w:r>
      <w:r w:rsidRPr="004C6A11">
        <w:rPr>
          <w:lang w:val="sk-SK"/>
        </w:rPr>
        <w:t xml:space="preserve"> </w:t>
      </w:r>
      <w:r w:rsidRPr="008624F6">
        <w:rPr>
          <w:lang w:val="hy-AM"/>
        </w:rPr>
        <w:t>կանխատեսումների</w:t>
      </w:r>
      <w:r w:rsidRPr="004C6A11">
        <w:rPr>
          <w:lang w:val="sk-SK"/>
        </w:rPr>
        <w:t xml:space="preserve"> </w:t>
      </w:r>
      <w:r w:rsidRPr="008624F6">
        <w:rPr>
          <w:lang w:val="hy-AM"/>
        </w:rPr>
        <w:t>մոդելներում</w:t>
      </w:r>
      <w:r w:rsidRPr="004C6A11">
        <w:rPr>
          <w:lang w:val="sk-SK"/>
        </w:rPr>
        <w:t>:</w:t>
      </w:r>
      <w:r w:rsidRPr="00117D85">
        <w:rPr>
          <w:sz w:val="18"/>
          <w:lang w:val="sk-SK"/>
        </w:rPr>
        <w:t xml:space="preserve"> </w:t>
      </w:r>
    </w:p>
  </w:footnote>
  <w:footnote w:id="28">
    <w:p w14:paraId="0D0F7907" w14:textId="77777777" w:rsidR="00DB7001" w:rsidRDefault="00DB7001" w:rsidP="008624F6">
      <w:pPr>
        <w:pStyle w:val="FootnoteText"/>
        <w:rPr>
          <w:lang w:val="ro-RO"/>
        </w:rPr>
      </w:pPr>
      <w:r>
        <w:rPr>
          <w:rStyle w:val="FootnoteReference"/>
          <w:rFonts w:eastAsiaTheme="majorEastAsia"/>
        </w:rPr>
        <w:footnoteRef/>
      </w:r>
      <w:r w:rsidRPr="007D33E8">
        <w:rPr>
          <w:lang w:val="sk-SK"/>
        </w:rPr>
        <w:t xml:space="preserve"> </w:t>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29">
    <w:p w14:paraId="25A2C727" w14:textId="77777777" w:rsidR="00DB7001" w:rsidRDefault="00DB7001" w:rsidP="008624F6">
      <w:pPr>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30">
    <w:p w14:paraId="70BEF330" w14:textId="77777777" w:rsidR="00DB7001" w:rsidRPr="00CA4440" w:rsidRDefault="00DB7001" w:rsidP="008624F6">
      <w:pPr>
        <w:pStyle w:val="FootnoteText"/>
        <w:rPr>
          <w:sz w:val="14"/>
          <w:lang w:val="ro-RO"/>
        </w:rPr>
      </w:pPr>
      <w:r w:rsidRPr="00CA4440">
        <w:rPr>
          <w:rStyle w:val="FootnoteReference"/>
          <w:rFonts w:eastAsiaTheme="majorEastAsia"/>
          <w:sz w:val="18"/>
        </w:rPr>
        <w:footnoteRef/>
      </w:r>
      <w:r w:rsidRPr="00CA4440">
        <w:rPr>
          <w:sz w:val="18"/>
        </w:rPr>
        <w:t>Հավանականային</w:t>
      </w:r>
      <w:r w:rsidRPr="00CA4440">
        <w:rPr>
          <w:sz w:val="18"/>
          <w:lang w:val="ro-RO"/>
        </w:rPr>
        <w:t xml:space="preserve"> </w:t>
      </w:r>
      <w:r w:rsidRPr="00CA4440">
        <w:rPr>
          <w:sz w:val="18"/>
        </w:rPr>
        <w:t>կանխատեսման</w:t>
      </w:r>
      <w:r w:rsidRPr="00CA4440">
        <w:rPr>
          <w:sz w:val="18"/>
          <w:lang w:val="ro-RO"/>
        </w:rPr>
        <w:t xml:space="preserve"> </w:t>
      </w:r>
      <w:r w:rsidRPr="00CA4440">
        <w:rPr>
          <w:sz w:val="18"/>
        </w:rPr>
        <w:t>գրաֆիկի</w:t>
      </w:r>
      <w:r w:rsidRPr="00CA4440">
        <w:rPr>
          <w:sz w:val="18"/>
          <w:lang w:val="ro-RO"/>
        </w:rPr>
        <w:t xml:space="preserve"> </w:t>
      </w:r>
      <w:r w:rsidRPr="00CA4440">
        <w:rPr>
          <w:sz w:val="18"/>
        </w:rPr>
        <w:t>կառուցման</w:t>
      </w:r>
      <w:r w:rsidRPr="00CA4440">
        <w:rPr>
          <w:sz w:val="18"/>
          <w:lang w:val="ro-RO"/>
        </w:rPr>
        <w:t xml:space="preserve"> </w:t>
      </w:r>
      <w:r w:rsidRPr="00CA4440">
        <w:rPr>
          <w:sz w:val="18"/>
        </w:rPr>
        <w:t>ընդհանուր</w:t>
      </w:r>
      <w:r w:rsidRPr="00CA4440">
        <w:rPr>
          <w:sz w:val="18"/>
          <w:lang w:val="ro-RO"/>
        </w:rPr>
        <w:t xml:space="preserve"> </w:t>
      </w:r>
      <w:r w:rsidRPr="00CA4440">
        <w:rPr>
          <w:sz w:val="18"/>
        </w:rPr>
        <w:t>մեթոդաբանությունը</w:t>
      </w:r>
      <w:r w:rsidRPr="00CA4440">
        <w:rPr>
          <w:sz w:val="18"/>
          <w:lang w:val="ro-RO"/>
        </w:rPr>
        <w:t xml:space="preserve"> </w:t>
      </w:r>
      <w:r w:rsidRPr="00CA4440">
        <w:rPr>
          <w:sz w:val="18"/>
        </w:rPr>
        <w:t>ներկայացված</w:t>
      </w:r>
      <w:r w:rsidRPr="00CA4440">
        <w:rPr>
          <w:sz w:val="18"/>
          <w:lang w:val="ro-RO"/>
        </w:rPr>
        <w:t xml:space="preserve"> </w:t>
      </w:r>
      <w:r w:rsidRPr="00CA4440">
        <w:rPr>
          <w:sz w:val="18"/>
        </w:rPr>
        <w:t>է</w:t>
      </w:r>
      <w:r w:rsidRPr="00CA4440">
        <w:rPr>
          <w:sz w:val="18"/>
          <w:lang w:val="ro-RO"/>
        </w:rPr>
        <w:t xml:space="preserve"> </w:t>
      </w:r>
      <w:r w:rsidRPr="00CA4440">
        <w:rPr>
          <w:sz w:val="18"/>
        </w:rPr>
        <w:t>Ներդիր</w:t>
      </w:r>
      <w:r>
        <w:rPr>
          <w:sz w:val="18"/>
          <w:lang w:val="hy-AM"/>
        </w:rPr>
        <w:t>ում</w:t>
      </w:r>
      <w:r w:rsidRPr="00CA4440">
        <w:rPr>
          <w:sz w:val="18"/>
          <w:lang w:val="ro-RO"/>
        </w:rPr>
        <w:t>:</w:t>
      </w:r>
    </w:p>
  </w:footnote>
  <w:footnote w:id="31">
    <w:p w14:paraId="79965B55" w14:textId="77777777" w:rsidR="00DB7001" w:rsidRPr="00010E8E" w:rsidRDefault="00DB7001" w:rsidP="008624F6">
      <w:pPr>
        <w:pStyle w:val="FootnoteText"/>
        <w:rPr>
          <w:lang w:val="ro-RO"/>
        </w:rPr>
      </w:pPr>
      <w:r w:rsidRPr="00010E8E">
        <w:rPr>
          <w:rStyle w:val="FootnoteReference"/>
        </w:rPr>
        <w:footnoteRef/>
      </w:r>
      <w:r>
        <w:rPr>
          <w:lang w:val="ro-RO"/>
        </w:rPr>
        <w:t xml:space="preserve"> </w:t>
      </w:r>
      <w:r w:rsidRPr="00010E8E">
        <w:rPr>
          <w:lang w:val="ro-RO"/>
        </w:rPr>
        <w:t>Ընդհանուր ազդեցության գնահատականը հիմնված է մակրոտնտեսական ռիսկերի առանձին հանդես գալու ենթադրության վրա:</w:t>
      </w:r>
    </w:p>
  </w:footnote>
  <w:footnote w:id="32">
    <w:p w14:paraId="0BCA3161" w14:textId="77777777" w:rsidR="00DB7001" w:rsidRDefault="00DB7001" w:rsidP="00682DEF">
      <w:pPr>
        <w:pStyle w:val="FootnoteText"/>
        <w:rPr>
          <w:lang w:val="hy-AM"/>
        </w:rPr>
      </w:pPr>
      <w:r>
        <w:rPr>
          <w:rStyle w:val="FootnoteReference"/>
        </w:rPr>
        <w:footnoteRef/>
      </w:r>
      <w:r>
        <w:rPr>
          <w:lang w:val="hy-AM"/>
        </w:rPr>
        <w:t xml:space="preserve"> Ընկերությունների ֆինանսական վիճակի վատթարացման հավանականությունը կանխատեսելու համար հաշվարկվել է միջազգայնորեն այդ նպատակով ընդունված Է. Ալթմանի «Z-միավոր» կոչվող հսկիչ ցուցանիշը: Զուգահեռաբար Ընկերությունների ֆինանսական հուսալիության մասին լրացուցիչ տեղեկատվության ստացման, ինչպես նաև «Z-միավոր»-ի ստուգաճշտման համար կիրառվել են լրացուցիչ ֆինանսական գործակիցներ (շահութաբերության, իրացվելիության, վճարունակության հաշվարկման համար), որոնք արտացոլում են կապը Ընկերությունների ֆինանսական հաշվետվությունների տարբեր հոդվածների միջև:</w:t>
      </w:r>
    </w:p>
  </w:footnote>
  <w:footnote w:id="33">
    <w:p w14:paraId="66D51301" w14:textId="77777777" w:rsidR="00DB7001" w:rsidRDefault="00DB7001" w:rsidP="00682DEF">
      <w:pPr>
        <w:shd w:val="clear" w:color="auto" w:fill="FFFFFF"/>
        <w:ind w:right="150"/>
        <w:rPr>
          <w:color w:val="000000"/>
          <w:sz w:val="16"/>
          <w:szCs w:val="16"/>
          <w:lang w:val="hy-AM"/>
        </w:rPr>
      </w:pPr>
      <w:r>
        <w:rPr>
          <w:color w:val="000000"/>
          <w:sz w:val="16"/>
          <w:szCs w:val="16"/>
          <w:vertAlign w:val="superscript"/>
          <w:lang w:val="hy-AM"/>
        </w:rPr>
        <w:t>1 Կիրառվել է Ասիական Զարգացման Բանկի կողմից մշակված մեթոդաբանությունը՝ ինչպես և սույն փաստաթղթում ներկայացվող այլ հաշվարկների դեպքում: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1"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9690A"/>
    <w:multiLevelType w:val="hybridMultilevel"/>
    <w:tmpl w:val="53BE3A02"/>
    <w:lvl w:ilvl="0" w:tplc="04090011">
      <w:start w:val="1"/>
      <w:numFmt w:val="decimal"/>
      <w:lvlText w:val="%1)"/>
      <w:lvlJc w:val="left"/>
      <w:pPr>
        <w:ind w:left="1069" w:hanging="360"/>
      </w:pPr>
      <w:rPr>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BC77A68"/>
    <w:multiLevelType w:val="hybridMultilevel"/>
    <w:tmpl w:val="4426BC50"/>
    <w:lvl w:ilvl="0" w:tplc="A790EA68">
      <w:start w:val="1"/>
      <w:numFmt w:val="decimal"/>
      <w:lvlText w:val="%1."/>
      <w:lvlJc w:val="left"/>
      <w:pPr>
        <w:ind w:left="765" w:hanging="405"/>
      </w:pPr>
      <w:rPr>
        <w:rFonts w:hint="default"/>
        <w:color w:val="6C75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B08AC"/>
    <w:multiLevelType w:val="hybridMultilevel"/>
    <w:tmpl w:val="9E582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10"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E967BB"/>
    <w:multiLevelType w:val="hybridMultilevel"/>
    <w:tmpl w:val="6CA80AE6"/>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12" w15:restartNumberingAfterBreak="0">
    <w:nsid w:val="15187AA5"/>
    <w:multiLevelType w:val="hybridMultilevel"/>
    <w:tmpl w:val="7A7C69D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71CA6"/>
    <w:multiLevelType w:val="hybridMultilevel"/>
    <w:tmpl w:val="884E997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F572A"/>
    <w:multiLevelType w:val="hybridMultilevel"/>
    <w:tmpl w:val="6C4C41B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55021"/>
    <w:multiLevelType w:val="multilevel"/>
    <w:tmpl w:val="20755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9" w15:restartNumberingAfterBreak="0">
    <w:nsid w:val="2442376F"/>
    <w:multiLevelType w:val="hybridMultilevel"/>
    <w:tmpl w:val="BBA4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9E056F"/>
    <w:multiLevelType w:val="hybridMultilevel"/>
    <w:tmpl w:val="E6782794"/>
    <w:lvl w:ilvl="0" w:tplc="4030E7EC">
      <w:numFmt w:val="bullet"/>
      <w:lvlText w:val="-"/>
      <w:lvlJc w:val="left"/>
      <w:pPr>
        <w:ind w:left="1800" w:hanging="360"/>
      </w:pPr>
      <w:rPr>
        <w:rFonts w:ascii="GHEA Grapalat" w:eastAsia="Times New Roman" w:hAnsi="GHEA Grapalat"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917017C"/>
    <w:multiLevelType w:val="hybridMultilevel"/>
    <w:tmpl w:val="6318ECA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31B24"/>
    <w:multiLevelType w:val="hybridMultilevel"/>
    <w:tmpl w:val="F0FCBE86"/>
    <w:lvl w:ilvl="0" w:tplc="933CC878">
      <w:start w:val="2"/>
      <w:numFmt w:val="bullet"/>
      <w:lvlText w:val="-"/>
      <w:lvlJc w:val="left"/>
      <w:pPr>
        <w:tabs>
          <w:tab w:val="num" w:pos="720"/>
        </w:tabs>
        <w:ind w:left="720" w:hanging="360"/>
      </w:pPr>
      <w:rPr>
        <w:rFonts w:ascii="GHEA Grapalat" w:eastAsia="Times New Roman" w:hAnsi="GHEA Grapalat" w:cs="GHEA Grapalat"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2EF10E72"/>
    <w:multiLevelType w:val="multilevel"/>
    <w:tmpl w:val="AF18A748"/>
    <w:lvl w:ilvl="0">
      <w:start w:val="1"/>
      <w:numFmt w:val="bullet"/>
      <w:lvlText w:val=""/>
      <w:lvlJc w:val="left"/>
      <w:pPr>
        <w:tabs>
          <w:tab w:val="num" w:pos="0"/>
        </w:tabs>
        <w:ind w:left="1287" w:hanging="360"/>
      </w:pPr>
      <w:rPr>
        <w:rFonts w:ascii="Symbol" w:hAnsi="Symbol" w:cs="Symbol" w:hint="default"/>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5"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F63321"/>
    <w:multiLevelType w:val="hybridMultilevel"/>
    <w:tmpl w:val="6EC02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461B8D"/>
    <w:multiLevelType w:val="hybridMultilevel"/>
    <w:tmpl w:val="2F7C06BE"/>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4232AC"/>
    <w:multiLevelType w:val="hybridMultilevel"/>
    <w:tmpl w:val="5DEEE422"/>
    <w:lvl w:ilvl="0" w:tplc="8CF404C4">
      <w:start w:val="1"/>
      <w:numFmt w:val="bullet"/>
      <w:lvlText w:val=""/>
      <w:lvlJc w:val="center"/>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0A0543"/>
    <w:multiLevelType w:val="hybridMultilevel"/>
    <w:tmpl w:val="FCB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B817A3"/>
    <w:multiLevelType w:val="hybridMultilevel"/>
    <w:tmpl w:val="DD160F58"/>
    <w:lvl w:ilvl="0" w:tplc="992EE318">
      <w:numFmt w:val="bullet"/>
      <w:lvlText w:val="-"/>
      <w:lvlJc w:val="left"/>
      <w:pPr>
        <w:ind w:left="1287" w:hanging="360"/>
      </w:pPr>
      <w:rPr>
        <w:rFonts w:ascii="GHEA Grapalat" w:eastAsia="Times New Roman" w:hAnsi="GHEA Grapalat"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BF777EE"/>
    <w:multiLevelType w:val="hybridMultilevel"/>
    <w:tmpl w:val="C8804922"/>
    <w:lvl w:ilvl="0" w:tplc="FFE20F6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04267E"/>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957624"/>
    <w:multiLevelType w:val="hybridMultilevel"/>
    <w:tmpl w:val="28022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4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68DF11F3"/>
    <w:multiLevelType w:val="hybridMultilevel"/>
    <w:tmpl w:val="9FE49D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EC513E"/>
    <w:multiLevelType w:val="hybridMultilevel"/>
    <w:tmpl w:val="F3220BE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A93615"/>
    <w:multiLevelType w:val="hybridMultilevel"/>
    <w:tmpl w:val="767E5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005C77"/>
    <w:multiLevelType w:val="hybridMultilevel"/>
    <w:tmpl w:val="03CCEA02"/>
    <w:lvl w:ilvl="0" w:tplc="933CC878">
      <w:start w:val="2"/>
      <w:numFmt w:val="bullet"/>
      <w:lvlText w:val="-"/>
      <w:lvlJc w:val="left"/>
      <w:pPr>
        <w:ind w:left="1287" w:hanging="360"/>
      </w:pPr>
      <w:rPr>
        <w:rFonts w:ascii="GHEA Grapalat" w:eastAsia="Times New Roman" w:hAnsi="GHEA Grapalat" w:cs="GHEA Grapalat"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72865D68"/>
    <w:multiLevelType w:val="hybridMultilevel"/>
    <w:tmpl w:val="61F69DC6"/>
    <w:lvl w:ilvl="0" w:tplc="59E4F234">
      <w:start w:val="2022"/>
      <w:numFmt w:val="bullet"/>
      <w:lvlText w:val="-"/>
      <w:lvlJc w:val="left"/>
      <w:pPr>
        <w:ind w:left="1080" w:hanging="360"/>
      </w:pPr>
      <w:rPr>
        <w:rFonts w:ascii="GHEA Grapalat" w:eastAsia="Calibri" w:hAnsi="GHEA Grapalat"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6A856C3"/>
    <w:multiLevelType w:val="hybridMultilevel"/>
    <w:tmpl w:val="763E8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6F1633"/>
    <w:multiLevelType w:val="hybridMultilevel"/>
    <w:tmpl w:val="D974D19C"/>
    <w:lvl w:ilvl="0" w:tplc="453C851A">
      <w:numFmt w:val="bullet"/>
      <w:lvlText w:val="•"/>
      <w:lvlJc w:val="left"/>
      <w:pPr>
        <w:ind w:left="1069" w:hanging="360"/>
      </w:pPr>
      <w:rPr>
        <w:rFonts w:ascii="GHEA Grapalat" w:eastAsia="Times New Roman" w:hAnsi="GHEA Grapalat"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num>
  <w:num w:numId="3">
    <w:abstractNumId w:val="62"/>
  </w:num>
  <w:num w:numId="4">
    <w:abstractNumId w:val="55"/>
  </w:num>
  <w:num w:numId="5">
    <w:abstractNumId w:val="47"/>
  </w:num>
  <w:num w:numId="6">
    <w:abstractNumId w:val="43"/>
  </w:num>
  <w:num w:numId="7">
    <w:abstractNumId w:val="41"/>
  </w:num>
  <w:num w:numId="8">
    <w:abstractNumId w:val="1"/>
  </w:num>
  <w:num w:numId="9">
    <w:abstractNumId w:val="0"/>
  </w:num>
  <w:num w:numId="10">
    <w:abstractNumId w:val="48"/>
  </w:num>
  <w:num w:numId="11">
    <w:abstractNumId w:val="33"/>
  </w:num>
  <w:num w:numId="12">
    <w:abstractNumId w:val="52"/>
  </w:num>
  <w:num w:numId="13">
    <w:abstractNumId w:val="39"/>
  </w:num>
  <w:num w:numId="14">
    <w:abstractNumId w:val="34"/>
  </w:num>
  <w:num w:numId="15">
    <w:abstractNumId w:val="10"/>
  </w:num>
  <w:num w:numId="16">
    <w:abstractNumId w:val="50"/>
  </w:num>
  <w:num w:numId="17">
    <w:abstractNumId w:val="40"/>
  </w:num>
  <w:num w:numId="18">
    <w:abstractNumId w:val="25"/>
  </w:num>
  <w:num w:numId="19">
    <w:abstractNumId w:val="31"/>
  </w:num>
  <w:num w:numId="20">
    <w:abstractNumId w:val="13"/>
  </w:num>
  <w:num w:numId="21">
    <w:abstractNumId w:val="53"/>
  </w:num>
  <w:num w:numId="22">
    <w:abstractNumId w:val="21"/>
  </w:num>
  <w:num w:numId="23">
    <w:abstractNumId w:val="8"/>
  </w:num>
  <w:num w:numId="24">
    <w:abstractNumId w:val="17"/>
  </w:num>
  <w:num w:numId="25">
    <w:abstractNumId w:val="49"/>
  </w:num>
  <w:num w:numId="26">
    <w:abstractNumId w:val="59"/>
  </w:num>
  <w:num w:numId="27">
    <w:abstractNumId w:val="14"/>
  </w:num>
  <w:num w:numId="28">
    <w:abstractNumId w:val="38"/>
  </w:num>
  <w:num w:numId="29">
    <w:abstractNumId w:val="9"/>
  </w:num>
  <w:num w:numId="30">
    <w:abstractNumId w:val="5"/>
  </w:num>
  <w:num w:numId="31">
    <w:abstractNumId w:val="44"/>
  </w:num>
  <w:num w:numId="32">
    <w:abstractNumId w:val="30"/>
  </w:num>
  <w:num w:numId="33">
    <w:abstractNumId w:val="45"/>
  </w:num>
  <w:num w:numId="34">
    <w:abstractNumId w:val="46"/>
  </w:num>
  <w:num w:numId="35">
    <w:abstractNumId w:val="7"/>
  </w:num>
  <w:num w:numId="36">
    <w:abstractNumId w:val="61"/>
  </w:num>
  <w:num w:numId="37">
    <w:abstractNumId w:val="4"/>
  </w:num>
  <w:num w:numId="38">
    <w:abstractNumId w:val="27"/>
  </w:num>
  <w:num w:numId="39">
    <w:abstractNumId w:val="42"/>
  </w:num>
  <w:num w:numId="40">
    <w:abstractNumId w:val="12"/>
  </w:num>
  <w:num w:numId="41">
    <w:abstractNumId w:val="26"/>
  </w:num>
  <w:num w:numId="42">
    <w:abstractNumId w:val="24"/>
  </w:num>
  <w:num w:numId="43">
    <w:abstractNumId w:val="36"/>
  </w:num>
  <w:num w:numId="44">
    <w:abstractNumId w:val="22"/>
  </w:num>
  <w:num w:numId="45">
    <w:abstractNumId w:val="19"/>
  </w:num>
  <w:num w:numId="46">
    <w:abstractNumId w:val="63"/>
  </w:num>
  <w:num w:numId="47">
    <w:abstractNumId w:val="37"/>
  </w:num>
  <w:num w:numId="48">
    <w:abstractNumId w:val="58"/>
  </w:num>
  <w:num w:numId="49">
    <w:abstractNumId w:val="32"/>
  </w:num>
  <w:num w:numId="50">
    <w:abstractNumId w:val="35"/>
  </w:num>
  <w:num w:numId="51">
    <w:abstractNumId w:val="2"/>
  </w:num>
  <w:num w:numId="52">
    <w:abstractNumId w:val="51"/>
  </w:num>
  <w:num w:numId="53">
    <w:abstractNumId w:val="3"/>
  </w:num>
  <w:num w:numId="54">
    <w:abstractNumId w:val="16"/>
  </w:num>
  <w:num w:numId="55">
    <w:abstractNumId w:val="11"/>
  </w:num>
  <w:num w:numId="56">
    <w:abstractNumId w:val="29"/>
  </w:num>
  <w:num w:numId="57">
    <w:abstractNumId w:val="18"/>
  </w:num>
  <w:num w:numId="58">
    <w:abstractNumId w:val="60"/>
  </w:num>
  <w:num w:numId="59">
    <w:abstractNumId w:val="15"/>
  </w:num>
  <w:num w:numId="60">
    <w:abstractNumId w:val="6"/>
  </w:num>
  <w:num w:numId="61">
    <w:abstractNumId w:val="57"/>
  </w:num>
  <w:num w:numId="62">
    <w:abstractNumId w:val="20"/>
  </w:num>
  <w:num w:numId="63">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ru-RU"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3D9B"/>
    <w:rsid w:val="000045D9"/>
    <w:rsid w:val="00004807"/>
    <w:rsid w:val="000048AC"/>
    <w:rsid w:val="00004A4C"/>
    <w:rsid w:val="00004B36"/>
    <w:rsid w:val="00004B4A"/>
    <w:rsid w:val="000056C3"/>
    <w:rsid w:val="00005BEA"/>
    <w:rsid w:val="00006265"/>
    <w:rsid w:val="000068F4"/>
    <w:rsid w:val="00006BCE"/>
    <w:rsid w:val="00006FF5"/>
    <w:rsid w:val="0000757E"/>
    <w:rsid w:val="000076AD"/>
    <w:rsid w:val="0000784F"/>
    <w:rsid w:val="00007A08"/>
    <w:rsid w:val="00007BB6"/>
    <w:rsid w:val="000102B4"/>
    <w:rsid w:val="00010660"/>
    <w:rsid w:val="000108DE"/>
    <w:rsid w:val="0001133C"/>
    <w:rsid w:val="00011747"/>
    <w:rsid w:val="00011C4D"/>
    <w:rsid w:val="00011E49"/>
    <w:rsid w:val="00012290"/>
    <w:rsid w:val="000123D5"/>
    <w:rsid w:val="0001311A"/>
    <w:rsid w:val="0001324E"/>
    <w:rsid w:val="00013809"/>
    <w:rsid w:val="000139F0"/>
    <w:rsid w:val="00013F46"/>
    <w:rsid w:val="000144D6"/>
    <w:rsid w:val="000147A7"/>
    <w:rsid w:val="000148FC"/>
    <w:rsid w:val="00014A35"/>
    <w:rsid w:val="00014FD2"/>
    <w:rsid w:val="00015B69"/>
    <w:rsid w:val="00015BFA"/>
    <w:rsid w:val="0001623D"/>
    <w:rsid w:val="000163F7"/>
    <w:rsid w:val="000169D1"/>
    <w:rsid w:val="00016AEC"/>
    <w:rsid w:val="000173AD"/>
    <w:rsid w:val="000177C6"/>
    <w:rsid w:val="0002016C"/>
    <w:rsid w:val="00020693"/>
    <w:rsid w:val="00020CD6"/>
    <w:rsid w:val="00020E3C"/>
    <w:rsid w:val="0002109A"/>
    <w:rsid w:val="00021391"/>
    <w:rsid w:val="000213D2"/>
    <w:rsid w:val="0002170C"/>
    <w:rsid w:val="00023171"/>
    <w:rsid w:val="00023246"/>
    <w:rsid w:val="0002358C"/>
    <w:rsid w:val="0002364A"/>
    <w:rsid w:val="00023799"/>
    <w:rsid w:val="000237F2"/>
    <w:rsid w:val="00023911"/>
    <w:rsid w:val="000243EB"/>
    <w:rsid w:val="000243F4"/>
    <w:rsid w:val="00024F24"/>
    <w:rsid w:val="0002572A"/>
    <w:rsid w:val="000257D7"/>
    <w:rsid w:val="00025BE2"/>
    <w:rsid w:val="00025DF2"/>
    <w:rsid w:val="00025E82"/>
    <w:rsid w:val="000266F4"/>
    <w:rsid w:val="00026AFA"/>
    <w:rsid w:val="000271C2"/>
    <w:rsid w:val="00030424"/>
    <w:rsid w:val="00030DB1"/>
    <w:rsid w:val="0003153D"/>
    <w:rsid w:val="00031D3A"/>
    <w:rsid w:val="000321E8"/>
    <w:rsid w:val="000322A5"/>
    <w:rsid w:val="00032581"/>
    <w:rsid w:val="00032B9B"/>
    <w:rsid w:val="00033370"/>
    <w:rsid w:val="00033572"/>
    <w:rsid w:val="00033587"/>
    <w:rsid w:val="00033984"/>
    <w:rsid w:val="00033C8B"/>
    <w:rsid w:val="00033D44"/>
    <w:rsid w:val="0003413E"/>
    <w:rsid w:val="00034178"/>
    <w:rsid w:val="00034648"/>
    <w:rsid w:val="000346B3"/>
    <w:rsid w:val="000347CE"/>
    <w:rsid w:val="000347E3"/>
    <w:rsid w:val="00034A9D"/>
    <w:rsid w:val="0003558C"/>
    <w:rsid w:val="000355C9"/>
    <w:rsid w:val="00035D1C"/>
    <w:rsid w:val="0003612A"/>
    <w:rsid w:val="00036E13"/>
    <w:rsid w:val="00037081"/>
    <w:rsid w:val="000371D5"/>
    <w:rsid w:val="000372BA"/>
    <w:rsid w:val="00037AB5"/>
    <w:rsid w:val="00037AFC"/>
    <w:rsid w:val="00037B1F"/>
    <w:rsid w:val="00037D17"/>
    <w:rsid w:val="00037F8A"/>
    <w:rsid w:val="00040371"/>
    <w:rsid w:val="000410F9"/>
    <w:rsid w:val="000414CA"/>
    <w:rsid w:val="000414CC"/>
    <w:rsid w:val="00042787"/>
    <w:rsid w:val="000427F7"/>
    <w:rsid w:val="00042B2E"/>
    <w:rsid w:val="00042C07"/>
    <w:rsid w:val="00042CD9"/>
    <w:rsid w:val="00043388"/>
    <w:rsid w:val="00043421"/>
    <w:rsid w:val="000434B1"/>
    <w:rsid w:val="00043F36"/>
    <w:rsid w:val="0004480B"/>
    <w:rsid w:val="00045E3A"/>
    <w:rsid w:val="0004603A"/>
    <w:rsid w:val="0004655D"/>
    <w:rsid w:val="000466B1"/>
    <w:rsid w:val="00046959"/>
    <w:rsid w:val="000473D4"/>
    <w:rsid w:val="00047B46"/>
    <w:rsid w:val="00047C7F"/>
    <w:rsid w:val="000500D2"/>
    <w:rsid w:val="000501A7"/>
    <w:rsid w:val="00050EFF"/>
    <w:rsid w:val="000515D9"/>
    <w:rsid w:val="000516CC"/>
    <w:rsid w:val="0005179C"/>
    <w:rsid w:val="00052380"/>
    <w:rsid w:val="0005274F"/>
    <w:rsid w:val="00052F87"/>
    <w:rsid w:val="00053116"/>
    <w:rsid w:val="00053709"/>
    <w:rsid w:val="00053CF6"/>
    <w:rsid w:val="0005404C"/>
    <w:rsid w:val="000540D6"/>
    <w:rsid w:val="0005461A"/>
    <w:rsid w:val="00054D48"/>
    <w:rsid w:val="00055F53"/>
    <w:rsid w:val="00056009"/>
    <w:rsid w:val="00056182"/>
    <w:rsid w:val="0005665D"/>
    <w:rsid w:val="00056866"/>
    <w:rsid w:val="000572A2"/>
    <w:rsid w:val="000573ED"/>
    <w:rsid w:val="00057632"/>
    <w:rsid w:val="000601EE"/>
    <w:rsid w:val="00060470"/>
    <w:rsid w:val="0006050F"/>
    <w:rsid w:val="00061422"/>
    <w:rsid w:val="000616C1"/>
    <w:rsid w:val="0006181E"/>
    <w:rsid w:val="00061877"/>
    <w:rsid w:val="0006190C"/>
    <w:rsid w:val="00061BFA"/>
    <w:rsid w:val="00061E00"/>
    <w:rsid w:val="00061EB6"/>
    <w:rsid w:val="000621D1"/>
    <w:rsid w:val="00063142"/>
    <w:rsid w:val="00063485"/>
    <w:rsid w:val="00063D12"/>
    <w:rsid w:val="00063F7A"/>
    <w:rsid w:val="000648E7"/>
    <w:rsid w:val="000652C0"/>
    <w:rsid w:val="000656F0"/>
    <w:rsid w:val="00065E90"/>
    <w:rsid w:val="00066B40"/>
    <w:rsid w:val="0006727C"/>
    <w:rsid w:val="0006757C"/>
    <w:rsid w:val="000707D9"/>
    <w:rsid w:val="00070CAE"/>
    <w:rsid w:val="00070FC3"/>
    <w:rsid w:val="0007137A"/>
    <w:rsid w:val="0007188C"/>
    <w:rsid w:val="00071A75"/>
    <w:rsid w:val="00071C2A"/>
    <w:rsid w:val="000725F0"/>
    <w:rsid w:val="00072BEF"/>
    <w:rsid w:val="00072C98"/>
    <w:rsid w:val="00073A85"/>
    <w:rsid w:val="00075040"/>
    <w:rsid w:val="000750BE"/>
    <w:rsid w:val="00075431"/>
    <w:rsid w:val="000761B0"/>
    <w:rsid w:val="0007665D"/>
    <w:rsid w:val="0007672E"/>
    <w:rsid w:val="00076CE9"/>
    <w:rsid w:val="00076FEA"/>
    <w:rsid w:val="000771B3"/>
    <w:rsid w:val="000776D9"/>
    <w:rsid w:val="000777B6"/>
    <w:rsid w:val="000777E1"/>
    <w:rsid w:val="00080951"/>
    <w:rsid w:val="000813B9"/>
    <w:rsid w:val="000822AA"/>
    <w:rsid w:val="000825DA"/>
    <w:rsid w:val="000834DF"/>
    <w:rsid w:val="000838D8"/>
    <w:rsid w:val="00083F38"/>
    <w:rsid w:val="00083F9C"/>
    <w:rsid w:val="00084A46"/>
    <w:rsid w:val="00085490"/>
    <w:rsid w:val="00085674"/>
    <w:rsid w:val="00085A0D"/>
    <w:rsid w:val="00085C56"/>
    <w:rsid w:val="00085D43"/>
    <w:rsid w:val="000864E5"/>
    <w:rsid w:val="00086994"/>
    <w:rsid w:val="00086B99"/>
    <w:rsid w:val="00086E52"/>
    <w:rsid w:val="00086F85"/>
    <w:rsid w:val="000873BC"/>
    <w:rsid w:val="00087A4B"/>
    <w:rsid w:val="00087CB3"/>
    <w:rsid w:val="00087E63"/>
    <w:rsid w:val="000901E7"/>
    <w:rsid w:val="000902F4"/>
    <w:rsid w:val="000904DB"/>
    <w:rsid w:val="00090937"/>
    <w:rsid w:val="00090D23"/>
    <w:rsid w:val="00090E74"/>
    <w:rsid w:val="00091448"/>
    <w:rsid w:val="000915B0"/>
    <w:rsid w:val="00091F97"/>
    <w:rsid w:val="00092701"/>
    <w:rsid w:val="000930EC"/>
    <w:rsid w:val="00093193"/>
    <w:rsid w:val="0009342F"/>
    <w:rsid w:val="00093B3A"/>
    <w:rsid w:val="00094160"/>
    <w:rsid w:val="00095686"/>
    <w:rsid w:val="00095699"/>
    <w:rsid w:val="000956EC"/>
    <w:rsid w:val="000957ED"/>
    <w:rsid w:val="00095F7E"/>
    <w:rsid w:val="00096AEA"/>
    <w:rsid w:val="00097DA7"/>
    <w:rsid w:val="000A0FD9"/>
    <w:rsid w:val="000A10A8"/>
    <w:rsid w:val="000A16DA"/>
    <w:rsid w:val="000A1ACB"/>
    <w:rsid w:val="000A1ED4"/>
    <w:rsid w:val="000A24F1"/>
    <w:rsid w:val="000A2F61"/>
    <w:rsid w:val="000A311D"/>
    <w:rsid w:val="000A40F8"/>
    <w:rsid w:val="000A452F"/>
    <w:rsid w:val="000A4CA2"/>
    <w:rsid w:val="000A4ED8"/>
    <w:rsid w:val="000A590C"/>
    <w:rsid w:val="000A5D25"/>
    <w:rsid w:val="000A5F92"/>
    <w:rsid w:val="000A601C"/>
    <w:rsid w:val="000A61AD"/>
    <w:rsid w:val="000A6BA3"/>
    <w:rsid w:val="000A724B"/>
    <w:rsid w:val="000A7435"/>
    <w:rsid w:val="000A7B14"/>
    <w:rsid w:val="000B0278"/>
    <w:rsid w:val="000B0329"/>
    <w:rsid w:val="000B03B5"/>
    <w:rsid w:val="000B0C32"/>
    <w:rsid w:val="000B0FAC"/>
    <w:rsid w:val="000B158C"/>
    <w:rsid w:val="000B15F2"/>
    <w:rsid w:val="000B25DD"/>
    <w:rsid w:val="000B289D"/>
    <w:rsid w:val="000B3179"/>
    <w:rsid w:val="000B32C2"/>
    <w:rsid w:val="000B3300"/>
    <w:rsid w:val="000B3E21"/>
    <w:rsid w:val="000B4927"/>
    <w:rsid w:val="000B4BCE"/>
    <w:rsid w:val="000B509C"/>
    <w:rsid w:val="000B52C3"/>
    <w:rsid w:val="000B58F0"/>
    <w:rsid w:val="000B5CD7"/>
    <w:rsid w:val="000B5DB4"/>
    <w:rsid w:val="000B6107"/>
    <w:rsid w:val="000B63EA"/>
    <w:rsid w:val="000B6441"/>
    <w:rsid w:val="000B65F1"/>
    <w:rsid w:val="000B6D9D"/>
    <w:rsid w:val="000B7FF5"/>
    <w:rsid w:val="000C0823"/>
    <w:rsid w:val="000C192F"/>
    <w:rsid w:val="000C1D88"/>
    <w:rsid w:val="000C2585"/>
    <w:rsid w:val="000C2B0B"/>
    <w:rsid w:val="000C2B15"/>
    <w:rsid w:val="000C2E00"/>
    <w:rsid w:val="000C2FAA"/>
    <w:rsid w:val="000C41A9"/>
    <w:rsid w:val="000C4318"/>
    <w:rsid w:val="000C45CA"/>
    <w:rsid w:val="000C4759"/>
    <w:rsid w:val="000C48F0"/>
    <w:rsid w:val="000C4DD5"/>
    <w:rsid w:val="000C52B6"/>
    <w:rsid w:val="000C59A3"/>
    <w:rsid w:val="000C5B3C"/>
    <w:rsid w:val="000C5EB8"/>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92A"/>
    <w:rsid w:val="000D4B3C"/>
    <w:rsid w:val="000D529E"/>
    <w:rsid w:val="000D57AF"/>
    <w:rsid w:val="000D57C2"/>
    <w:rsid w:val="000D6082"/>
    <w:rsid w:val="000D6631"/>
    <w:rsid w:val="000D6650"/>
    <w:rsid w:val="000D6A06"/>
    <w:rsid w:val="000E01FF"/>
    <w:rsid w:val="000E047D"/>
    <w:rsid w:val="000E11D7"/>
    <w:rsid w:val="000E124F"/>
    <w:rsid w:val="000E1796"/>
    <w:rsid w:val="000E1ACF"/>
    <w:rsid w:val="000E1B09"/>
    <w:rsid w:val="000E266A"/>
    <w:rsid w:val="000E2AFD"/>
    <w:rsid w:val="000E2C2E"/>
    <w:rsid w:val="000E2C52"/>
    <w:rsid w:val="000E2D3F"/>
    <w:rsid w:val="000E304E"/>
    <w:rsid w:val="000E3398"/>
    <w:rsid w:val="000E364E"/>
    <w:rsid w:val="000E42B3"/>
    <w:rsid w:val="000E4FB1"/>
    <w:rsid w:val="000E5840"/>
    <w:rsid w:val="000E5B74"/>
    <w:rsid w:val="000E61BB"/>
    <w:rsid w:val="000E628B"/>
    <w:rsid w:val="000E65CF"/>
    <w:rsid w:val="000E6666"/>
    <w:rsid w:val="000E742F"/>
    <w:rsid w:val="000E74D0"/>
    <w:rsid w:val="000E76D9"/>
    <w:rsid w:val="000E7B84"/>
    <w:rsid w:val="000E7C99"/>
    <w:rsid w:val="000E7C9B"/>
    <w:rsid w:val="000F0E34"/>
    <w:rsid w:val="000F11D1"/>
    <w:rsid w:val="000F1571"/>
    <w:rsid w:val="000F16EF"/>
    <w:rsid w:val="000F170B"/>
    <w:rsid w:val="000F18AB"/>
    <w:rsid w:val="000F1B14"/>
    <w:rsid w:val="000F261B"/>
    <w:rsid w:val="000F279F"/>
    <w:rsid w:val="000F2BE9"/>
    <w:rsid w:val="000F2EC9"/>
    <w:rsid w:val="000F2EF7"/>
    <w:rsid w:val="000F30ED"/>
    <w:rsid w:val="000F35D3"/>
    <w:rsid w:val="000F38D0"/>
    <w:rsid w:val="000F3F9C"/>
    <w:rsid w:val="000F449D"/>
    <w:rsid w:val="000F464F"/>
    <w:rsid w:val="000F4657"/>
    <w:rsid w:val="000F509C"/>
    <w:rsid w:val="000F5235"/>
    <w:rsid w:val="000F54F8"/>
    <w:rsid w:val="000F5883"/>
    <w:rsid w:val="000F5B01"/>
    <w:rsid w:val="000F61C2"/>
    <w:rsid w:val="000F64C4"/>
    <w:rsid w:val="000F6825"/>
    <w:rsid w:val="000F6D3E"/>
    <w:rsid w:val="000F6D9A"/>
    <w:rsid w:val="000F6FF9"/>
    <w:rsid w:val="000F70B6"/>
    <w:rsid w:val="000F719C"/>
    <w:rsid w:val="000F7200"/>
    <w:rsid w:val="000F75FC"/>
    <w:rsid w:val="000F7976"/>
    <w:rsid w:val="000F7DDA"/>
    <w:rsid w:val="00100580"/>
    <w:rsid w:val="001008FA"/>
    <w:rsid w:val="00100A6A"/>
    <w:rsid w:val="00100C82"/>
    <w:rsid w:val="001012CC"/>
    <w:rsid w:val="00101E4C"/>
    <w:rsid w:val="00101E68"/>
    <w:rsid w:val="00102199"/>
    <w:rsid w:val="0010284D"/>
    <w:rsid w:val="00102CDE"/>
    <w:rsid w:val="001030CD"/>
    <w:rsid w:val="00103791"/>
    <w:rsid w:val="00103C56"/>
    <w:rsid w:val="0010468C"/>
    <w:rsid w:val="001048A0"/>
    <w:rsid w:val="00105401"/>
    <w:rsid w:val="00105608"/>
    <w:rsid w:val="0010572B"/>
    <w:rsid w:val="00105BD3"/>
    <w:rsid w:val="00105D71"/>
    <w:rsid w:val="00105E7D"/>
    <w:rsid w:val="0010649A"/>
    <w:rsid w:val="00106992"/>
    <w:rsid w:val="00106B70"/>
    <w:rsid w:val="00106C90"/>
    <w:rsid w:val="00107185"/>
    <w:rsid w:val="001071BD"/>
    <w:rsid w:val="001075C3"/>
    <w:rsid w:val="00107D3A"/>
    <w:rsid w:val="001103B6"/>
    <w:rsid w:val="00110C45"/>
    <w:rsid w:val="00110CA3"/>
    <w:rsid w:val="00111284"/>
    <w:rsid w:val="001112F4"/>
    <w:rsid w:val="00111420"/>
    <w:rsid w:val="00111D6D"/>
    <w:rsid w:val="00111DD9"/>
    <w:rsid w:val="00112578"/>
    <w:rsid w:val="001127C9"/>
    <w:rsid w:val="00112D7E"/>
    <w:rsid w:val="00112FFA"/>
    <w:rsid w:val="00113925"/>
    <w:rsid w:val="00113982"/>
    <w:rsid w:val="0011441B"/>
    <w:rsid w:val="00114D7E"/>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BC8"/>
    <w:rsid w:val="00120F10"/>
    <w:rsid w:val="00121268"/>
    <w:rsid w:val="0012288D"/>
    <w:rsid w:val="001233BD"/>
    <w:rsid w:val="0012366A"/>
    <w:rsid w:val="00123F2C"/>
    <w:rsid w:val="00124431"/>
    <w:rsid w:val="00124894"/>
    <w:rsid w:val="00124D7E"/>
    <w:rsid w:val="00124FAE"/>
    <w:rsid w:val="0012581D"/>
    <w:rsid w:val="001259BD"/>
    <w:rsid w:val="00125DBD"/>
    <w:rsid w:val="00126071"/>
    <w:rsid w:val="0012607D"/>
    <w:rsid w:val="0012680E"/>
    <w:rsid w:val="0012683B"/>
    <w:rsid w:val="00126929"/>
    <w:rsid w:val="00127BFD"/>
    <w:rsid w:val="00130070"/>
    <w:rsid w:val="00130243"/>
    <w:rsid w:val="0013106F"/>
    <w:rsid w:val="001311F4"/>
    <w:rsid w:val="00131BF9"/>
    <w:rsid w:val="00131E98"/>
    <w:rsid w:val="00132111"/>
    <w:rsid w:val="0013281A"/>
    <w:rsid w:val="00132EB6"/>
    <w:rsid w:val="001336A5"/>
    <w:rsid w:val="001336E7"/>
    <w:rsid w:val="00133B15"/>
    <w:rsid w:val="00133E5A"/>
    <w:rsid w:val="00134360"/>
    <w:rsid w:val="001348D3"/>
    <w:rsid w:val="00134A7A"/>
    <w:rsid w:val="00134AC3"/>
    <w:rsid w:val="00135663"/>
    <w:rsid w:val="00135A72"/>
    <w:rsid w:val="00135FF8"/>
    <w:rsid w:val="001367AD"/>
    <w:rsid w:val="00136A0B"/>
    <w:rsid w:val="00136A8C"/>
    <w:rsid w:val="00136E24"/>
    <w:rsid w:val="0013717F"/>
    <w:rsid w:val="001378BB"/>
    <w:rsid w:val="00137B5C"/>
    <w:rsid w:val="00137B74"/>
    <w:rsid w:val="00140251"/>
    <w:rsid w:val="00140A93"/>
    <w:rsid w:val="00141785"/>
    <w:rsid w:val="00141D6E"/>
    <w:rsid w:val="001429A5"/>
    <w:rsid w:val="00142AC3"/>
    <w:rsid w:val="0014388D"/>
    <w:rsid w:val="00143F46"/>
    <w:rsid w:val="0014478B"/>
    <w:rsid w:val="00145A8A"/>
    <w:rsid w:val="00145BAD"/>
    <w:rsid w:val="00145D78"/>
    <w:rsid w:val="00146920"/>
    <w:rsid w:val="00147119"/>
    <w:rsid w:val="001473BB"/>
    <w:rsid w:val="00147C59"/>
    <w:rsid w:val="00150088"/>
    <w:rsid w:val="00150740"/>
    <w:rsid w:val="0015105B"/>
    <w:rsid w:val="00151218"/>
    <w:rsid w:val="001514D2"/>
    <w:rsid w:val="0015274B"/>
    <w:rsid w:val="00152838"/>
    <w:rsid w:val="00152974"/>
    <w:rsid w:val="00152A51"/>
    <w:rsid w:val="00152A78"/>
    <w:rsid w:val="0015327B"/>
    <w:rsid w:val="00153334"/>
    <w:rsid w:val="0015392B"/>
    <w:rsid w:val="00153EE6"/>
    <w:rsid w:val="00154F3D"/>
    <w:rsid w:val="00155004"/>
    <w:rsid w:val="00155302"/>
    <w:rsid w:val="001554FA"/>
    <w:rsid w:val="00155864"/>
    <w:rsid w:val="00155BC3"/>
    <w:rsid w:val="00155C9D"/>
    <w:rsid w:val="00156327"/>
    <w:rsid w:val="00156B66"/>
    <w:rsid w:val="00156C26"/>
    <w:rsid w:val="001604B0"/>
    <w:rsid w:val="00160C41"/>
    <w:rsid w:val="00161D5E"/>
    <w:rsid w:val="00162306"/>
    <w:rsid w:val="0016274B"/>
    <w:rsid w:val="00162A72"/>
    <w:rsid w:val="00162C29"/>
    <w:rsid w:val="00162C8B"/>
    <w:rsid w:val="00162D6A"/>
    <w:rsid w:val="00162F8D"/>
    <w:rsid w:val="00163034"/>
    <w:rsid w:val="00163138"/>
    <w:rsid w:val="0016318A"/>
    <w:rsid w:val="00163CE1"/>
    <w:rsid w:val="00163ECF"/>
    <w:rsid w:val="00163FF4"/>
    <w:rsid w:val="00165198"/>
    <w:rsid w:val="00166272"/>
    <w:rsid w:val="00166379"/>
    <w:rsid w:val="001664B1"/>
    <w:rsid w:val="00167130"/>
    <w:rsid w:val="001672A7"/>
    <w:rsid w:val="00167E80"/>
    <w:rsid w:val="00167FD2"/>
    <w:rsid w:val="00170230"/>
    <w:rsid w:val="00170619"/>
    <w:rsid w:val="001706DF"/>
    <w:rsid w:val="00170ABF"/>
    <w:rsid w:val="001711CF"/>
    <w:rsid w:val="001713E8"/>
    <w:rsid w:val="00171BF7"/>
    <w:rsid w:val="0017201C"/>
    <w:rsid w:val="001721D8"/>
    <w:rsid w:val="00172338"/>
    <w:rsid w:val="001725C5"/>
    <w:rsid w:val="00172871"/>
    <w:rsid w:val="00172E4B"/>
    <w:rsid w:val="001731BB"/>
    <w:rsid w:val="00173D07"/>
    <w:rsid w:val="00173DCF"/>
    <w:rsid w:val="00173EF6"/>
    <w:rsid w:val="001744BF"/>
    <w:rsid w:val="00174812"/>
    <w:rsid w:val="00174970"/>
    <w:rsid w:val="001752CC"/>
    <w:rsid w:val="001752DE"/>
    <w:rsid w:val="00175819"/>
    <w:rsid w:val="00175E2C"/>
    <w:rsid w:val="001764EE"/>
    <w:rsid w:val="00176541"/>
    <w:rsid w:val="0017730C"/>
    <w:rsid w:val="001774AD"/>
    <w:rsid w:val="0017782F"/>
    <w:rsid w:val="00177AC5"/>
    <w:rsid w:val="00177B99"/>
    <w:rsid w:val="00177C2A"/>
    <w:rsid w:val="001800E1"/>
    <w:rsid w:val="001802CC"/>
    <w:rsid w:val="00180703"/>
    <w:rsid w:val="0018094E"/>
    <w:rsid w:val="001820D2"/>
    <w:rsid w:val="001825BF"/>
    <w:rsid w:val="00182F20"/>
    <w:rsid w:val="0018345B"/>
    <w:rsid w:val="00183CF8"/>
    <w:rsid w:val="00184B53"/>
    <w:rsid w:val="00184D37"/>
    <w:rsid w:val="00184D71"/>
    <w:rsid w:val="00184E2A"/>
    <w:rsid w:val="00184E41"/>
    <w:rsid w:val="0018604C"/>
    <w:rsid w:val="001865AB"/>
    <w:rsid w:val="0018689C"/>
    <w:rsid w:val="00186AD7"/>
    <w:rsid w:val="001873ED"/>
    <w:rsid w:val="001878B0"/>
    <w:rsid w:val="00190476"/>
    <w:rsid w:val="00190624"/>
    <w:rsid w:val="00190889"/>
    <w:rsid w:val="001914CE"/>
    <w:rsid w:val="00191748"/>
    <w:rsid w:val="0019238A"/>
    <w:rsid w:val="001923CD"/>
    <w:rsid w:val="001928AC"/>
    <w:rsid w:val="00192C46"/>
    <w:rsid w:val="00193220"/>
    <w:rsid w:val="00193290"/>
    <w:rsid w:val="001939B2"/>
    <w:rsid w:val="00193EFF"/>
    <w:rsid w:val="001945B5"/>
    <w:rsid w:val="001945DE"/>
    <w:rsid w:val="00194984"/>
    <w:rsid w:val="001949DC"/>
    <w:rsid w:val="00194EA6"/>
    <w:rsid w:val="00195BE3"/>
    <w:rsid w:val="00195EE4"/>
    <w:rsid w:val="001960C3"/>
    <w:rsid w:val="001964C0"/>
    <w:rsid w:val="00196F75"/>
    <w:rsid w:val="00197081"/>
    <w:rsid w:val="001971B9"/>
    <w:rsid w:val="0019732E"/>
    <w:rsid w:val="001A0083"/>
    <w:rsid w:val="001A0815"/>
    <w:rsid w:val="001A0BDA"/>
    <w:rsid w:val="001A0BE7"/>
    <w:rsid w:val="001A0C44"/>
    <w:rsid w:val="001A1138"/>
    <w:rsid w:val="001A1210"/>
    <w:rsid w:val="001A1527"/>
    <w:rsid w:val="001A21D2"/>
    <w:rsid w:val="001A22B8"/>
    <w:rsid w:val="001A2353"/>
    <w:rsid w:val="001A2CC1"/>
    <w:rsid w:val="001A34F3"/>
    <w:rsid w:val="001A3676"/>
    <w:rsid w:val="001A3784"/>
    <w:rsid w:val="001A3916"/>
    <w:rsid w:val="001A3C83"/>
    <w:rsid w:val="001A3CF8"/>
    <w:rsid w:val="001A48CC"/>
    <w:rsid w:val="001A4D8E"/>
    <w:rsid w:val="001A4DD3"/>
    <w:rsid w:val="001A5273"/>
    <w:rsid w:val="001A54EF"/>
    <w:rsid w:val="001A577F"/>
    <w:rsid w:val="001A5CD0"/>
    <w:rsid w:val="001A6E7C"/>
    <w:rsid w:val="001A75DA"/>
    <w:rsid w:val="001B011D"/>
    <w:rsid w:val="001B0A03"/>
    <w:rsid w:val="001B0FCA"/>
    <w:rsid w:val="001B1137"/>
    <w:rsid w:val="001B130B"/>
    <w:rsid w:val="001B2074"/>
    <w:rsid w:val="001B22F8"/>
    <w:rsid w:val="001B35E5"/>
    <w:rsid w:val="001B36A8"/>
    <w:rsid w:val="001B3A52"/>
    <w:rsid w:val="001B3CC7"/>
    <w:rsid w:val="001B3E1F"/>
    <w:rsid w:val="001B3E36"/>
    <w:rsid w:val="001B40CA"/>
    <w:rsid w:val="001B41F5"/>
    <w:rsid w:val="001B445D"/>
    <w:rsid w:val="001B485B"/>
    <w:rsid w:val="001B4A6D"/>
    <w:rsid w:val="001B514B"/>
    <w:rsid w:val="001B5347"/>
    <w:rsid w:val="001B68C9"/>
    <w:rsid w:val="001B7564"/>
    <w:rsid w:val="001B78F8"/>
    <w:rsid w:val="001B7B6C"/>
    <w:rsid w:val="001B7BB2"/>
    <w:rsid w:val="001B7E49"/>
    <w:rsid w:val="001C02EC"/>
    <w:rsid w:val="001C0583"/>
    <w:rsid w:val="001C066F"/>
    <w:rsid w:val="001C0A3C"/>
    <w:rsid w:val="001C0C59"/>
    <w:rsid w:val="001C17F0"/>
    <w:rsid w:val="001C1854"/>
    <w:rsid w:val="001C1CD8"/>
    <w:rsid w:val="001C2610"/>
    <w:rsid w:val="001C30A7"/>
    <w:rsid w:val="001C3747"/>
    <w:rsid w:val="001C3E0B"/>
    <w:rsid w:val="001C46DF"/>
    <w:rsid w:val="001C56C9"/>
    <w:rsid w:val="001C643D"/>
    <w:rsid w:val="001C65EE"/>
    <w:rsid w:val="001C66FD"/>
    <w:rsid w:val="001C6822"/>
    <w:rsid w:val="001C6A30"/>
    <w:rsid w:val="001C6A4E"/>
    <w:rsid w:val="001C6FFB"/>
    <w:rsid w:val="001C7A69"/>
    <w:rsid w:val="001C7A9B"/>
    <w:rsid w:val="001C7BEE"/>
    <w:rsid w:val="001C7F64"/>
    <w:rsid w:val="001C7F6A"/>
    <w:rsid w:val="001D0B65"/>
    <w:rsid w:val="001D11EB"/>
    <w:rsid w:val="001D1B6B"/>
    <w:rsid w:val="001D1EC6"/>
    <w:rsid w:val="001D1F2F"/>
    <w:rsid w:val="001D24A1"/>
    <w:rsid w:val="001D24E3"/>
    <w:rsid w:val="001D2554"/>
    <w:rsid w:val="001D26FC"/>
    <w:rsid w:val="001D270B"/>
    <w:rsid w:val="001D299A"/>
    <w:rsid w:val="001D2A28"/>
    <w:rsid w:val="001D2D6A"/>
    <w:rsid w:val="001D3173"/>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2DAC"/>
    <w:rsid w:val="001E2F32"/>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D5A"/>
    <w:rsid w:val="001F02B2"/>
    <w:rsid w:val="001F0332"/>
    <w:rsid w:val="001F0A7F"/>
    <w:rsid w:val="001F12F7"/>
    <w:rsid w:val="001F1356"/>
    <w:rsid w:val="001F198C"/>
    <w:rsid w:val="001F1A6F"/>
    <w:rsid w:val="001F212F"/>
    <w:rsid w:val="001F2781"/>
    <w:rsid w:val="001F2D2D"/>
    <w:rsid w:val="001F32BC"/>
    <w:rsid w:val="001F386C"/>
    <w:rsid w:val="001F40A8"/>
    <w:rsid w:val="001F437C"/>
    <w:rsid w:val="001F4D61"/>
    <w:rsid w:val="001F5277"/>
    <w:rsid w:val="001F5923"/>
    <w:rsid w:val="001F627F"/>
    <w:rsid w:val="001F6AE9"/>
    <w:rsid w:val="001F6B1D"/>
    <w:rsid w:val="001F6C95"/>
    <w:rsid w:val="001F6D9F"/>
    <w:rsid w:val="001F7090"/>
    <w:rsid w:val="001F7173"/>
    <w:rsid w:val="001F771B"/>
    <w:rsid w:val="00200023"/>
    <w:rsid w:val="002007E2"/>
    <w:rsid w:val="0020092B"/>
    <w:rsid w:val="002009B4"/>
    <w:rsid w:val="00200AA8"/>
    <w:rsid w:val="00200D05"/>
    <w:rsid w:val="00200DEF"/>
    <w:rsid w:val="00200E0C"/>
    <w:rsid w:val="00201B66"/>
    <w:rsid w:val="00201F42"/>
    <w:rsid w:val="002020DC"/>
    <w:rsid w:val="002025BB"/>
    <w:rsid w:val="002026A8"/>
    <w:rsid w:val="00203537"/>
    <w:rsid w:val="002038E3"/>
    <w:rsid w:val="002042F1"/>
    <w:rsid w:val="002045FB"/>
    <w:rsid w:val="002048F4"/>
    <w:rsid w:val="002049F3"/>
    <w:rsid w:val="00204C2B"/>
    <w:rsid w:val="00204CF7"/>
    <w:rsid w:val="0020537B"/>
    <w:rsid w:val="002055B2"/>
    <w:rsid w:val="002059ED"/>
    <w:rsid w:val="0020651E"/>
    <w:rsid w:val="00206921"/>
    <w:rsid w:val="0020706B"/>
    <w:rsid w:val="00207220"/>
    <w:rsid w:val="002074FA"/>
    <w:rsid w:val="00207CD2"/>
    <w:rsid w:val="0021005F"/>
    <w:rsid w:val="0021089F"/>
    <w:rsid w:val="00210CBB"/>
    <w:rsid w:val="00210D02"/>
    <w:rsid w:val="00210EBE"/>
    <w:rsid w:val="0021126A"/>
    <w:rsid w:val="00211965"/>
    <w:rsid w:val="00211B71"/>
    <w:rsid w:val="0021231F"/>
    <w:rsid w:val="00212BDE"/>
    <w:rsid w:val="00212C86"/>
    <w:rsid w:val="002137ED"/>
    <w:rsid w:val="00213A81"/>
    <w:rsid w:val="002146B8"/>
    <w:rsid w:val="002156E6"/>
    <w:rsid w:val="00215B44"/>
    <w:rsid w:val="002163FE"/>
    <w:rsid w:val="002169B7"/>
    <w:rsid w:val="00216D23"/>
    <w:rsid w:val="0021758F"/>
    <w:rsid w:val="0021770F"/>
    <w:rsid w:val="00217A73"/>
    <w:rsid w:val="00217BEE"/>
    <w:rsid w:val="002202FE"/>
    <w:rsid w:val="0022080F"/>
    <w:rsid w:val="00221B73"/>
    <w:rsid w:val="0022284E"/>
    <w:rsid w:val="0022365C"/>
    <w:rsid w:val="00223B83"/>
    <w:rsid w:val="0022425C"/>
    <w:rsid w:val="00224384"/>
    <w:rsid w:val="002244D1"/>
    <w:rsid w:val="00224509"/>
    <w:rsid w:val="0022465E"/>
    <w:rsid w:val="00225E3A"/>
    <w:rsid w:val="00226230"/>
    <w:rsid w:val="0022631D"/>
    <w:rsid w:val="00226F26"/>
    <w:rsid w:val="00227F1C"/>
    <w:rsid w:val="002301AE"/>
    <w:rsid w:val="002304F9"/>
    <w:rsid w:val="00230713"/>
    <w:rsid w:val="002307B8"/>
    <w:rsid w:val="00231265"/>
    <w:rsid w:val="0023176E"/>
    <w:rsid w:val="00231A27"/>
    <w:rsid w:val="00232D75"/>
    <w:rsid w:val="00232DA0"/>
    <w:rsid w:val="00232EAF"/>
    <w:rsid w:val="0023356E"/>
    <w:rsid w:val="002338DE"/>
    <w:rsid w:val="0023395F"/>
    <w:rsid w:val="002339ED"/>
    <w:rsid w:val="00233CAE"/>
    <w:rsid w:val="002346EF"/>
    <w:rsid w:val="002347BC"/>
    <w:rsid w:val="002349F5"/>
    <w:rsid w:val="00234C84"/>
    <w:rsid w:val="00234CE7"/>
    <w:rsid w:val="0023511B"/>
    <w:rsid w:val="0023516A"/>
    <w:rsid w:val="002355DE"/>
    <w:rsid w:val="00235A12"/>
    <w:rsid w:val="00236B20"/>
    <w:rsid w:val="00236CD8"/>
    <w:rsid w:val="002374F3"/>
    <w:rsid w:val="00237570"/>
    <w:rsid w:val="002379EF"/>
    <w:rsid w:val="0024006C"/>
    <w:rsid w:val="0024045A"/>
    <w:rsid w:val="00240582"/>
    <w:rsid w:val="002410C7"/>
    <w:rsid w:val="00241306"/>
    <w:rsid w:val="00241D37"/>
    <w:rsid w:val="00241D6C"/>
    <w:rsid w:val="00241D78"/>
    <w:rsid w:val="00242117"/>
    <w:rsid w:val="002439DF"/>
    <w:rsid w:val="00243A0B"/>
    <w:rsid w:val="00243D2C"/>
    <w:rsid w:val="00243DE8"/>
    <w:rsid w:val="00244760"/>
    <w:rsid w:val="0024496F"/>
    <w:rsid w:val="00244B02"/>
    <w:rsid w:val="00244CD1"/>
    <w:rsid w:val="00244EBE"/>
    <w:rsid w:val="00244FB6"/>
    <w:rsid w:val="00245027"/>
    <w:rsid w:val="002456B8"/>
    <w:rsid w:val="002464FE"/>
    <w:rsid w:val="00246EFE"/>
    <w:rsid w:val="00247119"/>
    <w:rsid w:val="002471CB"/>
    <w:rsid w:val="002476A0"/>
    <w:rsid w:val="00247907"/>
    <w:rsid w:val="00247BF5"/>
    <w:rsid w:val="00247CE1"/>
    <w:rsid w:val="00250404"/>
    <w:rsid w:val="002506B6"/>
    <w:rsid w:val="00250E4E"/>
    <w:rsid w:val="00251048"/>
    <w:rsid w:val="002510B9"/>
    <w:rsid w:val="002519E6"/>
    <w:rsid w:val="00252070"/>
    <w:rsid w:val="002525C6"/>
    <w:rsid w:val="0025299D"/>
    <w:rsid w:val="00253FF1"/>
    <w:rsid w:val="00254A25"/>
    <w:rsid w:val="00254F7C"/>
    <w:rsid w:val="00255482"/>
    <w:rsid w:val="00255904"/>
    <w:rsid w:val="00257149"/>
    <w:rsid w:val="002576F3"/>
    <w:rsid w:val="0025796E"/>
    <w:rsid w:val="00257B95"/>
    <w:rsid w:val="002602E3"/>
    <w:rsid w:val="00260C8B"/>
    <w:rsid w:val="00260CB4"/>
    <w:rsid w:val="00260EB6"/>
    <w:rsid w:val="002612A3"/>
    <w:rsid w:val="002620C0"/>
    <w:rsid w:val="00262201"/>
    <w:rsid w:val="0026235D"/>
    <w:rsid w:val="002624FE"/>
    <w:rsid w:val="00262870"/>
    <w:rsid w:val="002629E3"/>
    <w:rsid w:val="00262CA8"/>
    <w:rsid w:val="002634E1"/>
    <w:rsid w:val="0026369B"/>
    <w:rsid w:val="00263AA1"/>
    <w:rsid w:val="00263EE6"/>
    <w:rsid w:val="002641BD"/>
    <w:rsid w:val="0026439D"/>
    <w:rsid w:val="00264B73"/>
    <w:rsid w:val="00264CBE"/>
    <w:rsid w:val="00264F54"/>
    <w:rsid w:val="0026503C"/>
    <w:rsid w:val="00265FDD"/>
    <w:rsid w:val="002669B9"/>
    <w:rsid w:val="00266B3B"/>
    <w:rsid w:val="00266FDF"/>
    <w:rsid w:val="00267029"/>
    <w:rsid w:val="002672FE"/>
    <w:rsid w:val="00267E00"/>
    <w:rsid w:val="002707C1"/>
    <w:rsid w:val="00270883"/>
    <w:rsid w:val="00271180"/>
    <w:rsid w:val="00271612"/>
    <w:rsid w:val="00271763"/>
    <w:rsid w:val="00271978"/>
    <w:rsid w:val="00271C83"/>
    <w:rsid w:val="002724FD"/>
    <w:rsid w:val="002727C9"/>
    <w:rsid w:val="00272F2F"/>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343"/>
    <w:rsid w:val="00280C7D"/>
    <w:rsid w:val="00280E50"/>
    <w:rsid w:val="00281618"/>
    <w:rsid w:val="00281A5D"/>
    <w:rsid w:val="00281C00"/>
    <w:rsid w:val="00281F1C"/>
    <w:rsid w:val="00281F68"/>
    <w:rsid w:val="0028254F"/>
    <w:rsid w:val="00282BB4"/>
    <w:rsid w:val="00282BED"/>
    <w:rsid w:val="00282FE0"/>
    <w:rsid w:val="002833BE"/>
    <w:rsid w:val="00283590"/>
    <w:rsid w:val="00283A77"/>
    <w:rsid w:val="00284395"/>
    <w:rsid w:val="0028499B"/>
    <w:rsid w:val="00284C38"/>
    <w:rsid w:val="0028559A"/>
    <w:rsid w:val="00285C87"/>
    <w:rsid w:val="00285DBC"/>
    <w:rsid w:val="00285DD5"/>
    <w:rsid w:val="00285EB5"/>
    <w:rsid w:val="0028679A"/>
    <w:rsid w:val="00286DD7"/>
    <w:rsid w:val="00290A99"/>
    <w:rsid w:val="00290C75"/>
    <w:rsid w:val="0029179A"/>
    <w:rsid w:val="002918E2"/>
    <w:rsid w:val="00291C2D"/>
    <w:rsid w:val="00291D7C"/>
    <w:rsid w:val="00291F83"/>
    <w:rsid w:val="002924A6"/>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46C"/>
    <w:rsid w:val="002A0608"/>
    <w:rsid w:val="002A0709"/>
    <w:rsid w:val="002A0A12"/>
    <w:rsid w:val="002A0E28"/>
    <w:rsid w:val="002A0F20"/>
    <w:rsid w:val="002A1C7B"/>
    <w:rsid w:val="002A201B"/>
    <w:rsid w:val="002A203C"/>
    <w:rsid w:val="002A233E"/>
    <w:rsid w:val="002A2A62"/>
    <w:rsid w:val="002A2B64"/>
    <w:rsid w:val="002A303B"/>
    <w:rsid w:val="002A38A0"/>
    <w:rsid w:val="002A38EB"/>
    <w:rsid w:val="002A3A23"/>
    <w:rsid w:val="002A3E77"/>
    <w:rsid w:val="002A42C6"/>
    <w:rsid w:val="002A42FD"/>
    <w:rsid w:val="002A4390"/>
    <w:rsid w:val="002A456D"/>
    <w:rsid w:val="002A47A5"/>
    <w:rsid w:val="002A4B5D"/>
    <w:rsid w:val="002A51A9"/>
    <w:rsid w:val="002A545D"/>
    <w:rsid w:val="002A54DA"/>
    <w:rsid w:val="002A5B7D"/>
    <w:rsid w:val="002A5C84"/>
    <w:rsid w:val="002A5E9A"/>
    <w:rsid w:val="002A67A8"/>
    <w:rsid w:val="002A716C"/>
    <w:rsid w:val="002B0592"/>
    <w:rsid w:val="002B0C15"/>
    <w:rsid w:val="002B0EF3"/>
    <w:rsid w:val="002B10FF"/>
    <w:rsid w:val="002B1926"/>
    <w:rsid w:val="002B20F1"/>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61C3"/>
    <w:rsid w:val="002B69CB"/>
    <w:rsid w:val="002B6EAC"/>
    <w:rsid w:val="002B72F9"/>
    <w:rsid w:val="002B76E7"/>
    <w:rsid w:val="002C0A36"/>
    <w:rsid w:val="002C0E1B"/>
    <w:rsid w:val="002C1464"/>
    <w:rsid w:val="002C18AA"/>
    <w:rsid w:val="002C1BFA"/>
    <w:rsid w:val="002C22B2"/>
    <w:rsid w:val="002C26F9"/>
    <w:rsid w:val="002C3EE1"/>
    <w:rsid w:val="002C3FE0"/>
    <w:rsid w:val="002C40EE"/>
    <w:rsid w:val="002C4B85"/>
    <w:rsid w:val="002C4C5E"/>
    <w:rsid w:val="002C51C0"/>
    <w:rsid w:val="002C6C9A"/>
    <w:rsid w:val="002C6E46"/>
    <w:rsid w:val="002C725E"/>
    <w:rsid w:val="002C7ACC"/>
    <w:rsid w:val="002C7C54"/>
    <w:rsid w:val="002C7D52"/>
    <w:rsid w:val="002D0458"/>
    <w:rsid w:val="002D0583"/>
    <w:rsid w:val="002D06BB"/>
    <w:rsid w:val="002D0DA8"/>
    <w:rsid w:val="002D1349"/>
    <w:rsid w:val="002D1A70"/>
    <w:rsid w:val="002D1D77"/>
    <w:rsid w:val="002D2B7C"/>
    <w:rsid w:val="002D2E24"/>
    <w:rsid w:val="002D2E75"/>
    <w:rsid w:val="002D3584"/>
    <w:rsid w:val="002D3E49"/>
    <w:rsid w:val="002D4587"/>
    <w:rsid w:val="002D4E9C"/>
    <w:rsid w:val="002D52AD"/>
    <w:rsid w:val="002D5518"/>
    <w:rsid w:val="002D68A2"/>
    <w:rsid w:val="002D6F9A"/>
    <w:rsid w:val="002D70C9"/>
    <w:rsid w:val="002D7116"/>
    <w:rsid w:val="002D7273"/>
    <w:rsid w:val="002D7AC1"/>
    <w:rsid w:val="002D7FB2"/>
    <w:rsid w:val="002E039C"/>
    <w:rsid w:val="002E0DCB"/>
    <w:rsid w:val="002E17DC"/>
    <w:rsid w:val="002E1E40"/>
    <w:rsid w:val="002E2142"/>
    <w:rsid w:val="002E2273"/>
    <w:rsid w:val="002E280F"/>
    <w:rsid w:val="002E290B"/>
    <w:rsid w:val="002E304A"/>
    <w:rsid w:val="002E31C8"/>
    <w:rsid w:val="002E341E"/>
    <w:rsid w:val="002E4191"/>
    <w:rsid w:val="002E424C"/>
    <w:rsid w:val="002E45DF"/>
    <w:rsid w:val="002E4CFF"/>
    <w:rsid w:val="002E4F68"/>
    <w:rsid w:val="002E585F"/>
    <w:rsid w:val="002E5F08"/>
    <w:rsid w:val="002E5F91"/>
    <w:rsid w:val="002E6064"/>
    <w:rsid w:val="002E614C"/>
    <w:rsid w:val="002E63E2"/>
    <w:rsid w:val="002E6724"/>
    <w:rsid w:val="002E6DBA"/>
    <w:rsid w:val="002E6EC3"/>
    <w:rsid w:val="002E7089"/>
    <w:rsid w:val="002E7284"/>
    <w:rsid w:val="002E780F"/>
    <w:rsid w:val="002E7CC8"/>
    <w:rsid w:val="002E7F7A"/>
    <w:rsid w:val="002F01B8"/>
    <w:rsid w:val="002F02BD"/>
    <w:rsid w:val="002F0339"/>
    <w:rsid w:val="002F08B0"/>
    <w:rsid w:val="002F11FE"/>
    <w:rsid w:val="002F17C7"/>
    <w:rsid w:val="002F193A"/>
    <w:rsid w:val="002F1AF4"/>
    <w:rsid w:val="002F2965"/>
    <w:rsid w:val="002F2D4B"/>
    <w:rsid w:val="002F2ED2"/>
    <w:rsid w:val="002F3176"/>
    <w:rsid w:val="002F35FE"/>
    <w:rsid w:val="002F3AE0"/>
    <w:rsid w:val="002F3EAE"/>
    <w:rsid w:val="002F3F31"/>
    <w:rsid w:val="002F45D3"/>
    <w:rsid w:val="002F485D"/>
    <w:rsid w:val="002F4B29"/>
    <w:rsid w:val="002F4C1A"/>
    <w:rsid w:val="002F5005"/>
    <w:rsid w:val="002F5141"/>
    <w:rsid w:val="002F5A0A"/>
    <w:rsid w:val="002F5E26"/>
    <w:rsid w:val="002F61CD"/>
    <w:rsid w:val="002F64B3"/>
    <w:rsid w:val="002F66EF"/>
    <w:rsid w:val="002F68EE"/>
    <w:rsid w:val="002F6E2E"/>
    <w:rsid w:val="002F6F66"/>
    <w:rsid w:val="002F7255"/>
    <w:rsid w:val="002F744B"/>
    <w:rsid w:val="002F74BB"/>
    <w:rsid w:val="002F78C0"/>
    <w:rsid w:val="003002B1"/>
    <w:rsid w:val="00300CD7"/>
    <w:rsid w:val="00300E0F"/>
    <w:rsid w:val="0030166F"/>
    <w:rsid w:val="00301D49"/>
    <w:rsid w:val="0030213D"/>
    <w:rsid w:val="00302494"/>
    <w:rsid w:val="00303162"/>
    <w:rsid w:val="003038D3"/>
    <w:rsid w:val="00303BB0"/>
    <w:rsid w:val="00303C44"/>
    <w:rsid w:val="0030413B"/>
    <w:rsid w:val="003041A4"/>
    <w:rsid w:val="003043A1"/>
    <w:rsid w:val="0030457C"/>
    <w:rsid w:val="00304C08"/>
    <w:rsid w:val="00305006"/>
    <w:rsid w:val="00305248"/>
    <w:rsid w:val="00305787"/>
    <w:rsid w:val="0030587D"/>
    <w:rsid w:val="00305C19"/>
    <w:rsid w:val="003061D2"/>
    <w:rsid w:val="00307B4B"/>
    <w:rsid w:val="00307EBF"/>
    <w:rsid w:val="0031023D"/>
    <w:rsid w:val="00310354"/>
    <w:rsid w:val="003104AF"/>
    <w:rsid w:val="00310925"/>
    <w:rsid w:val="00310A7E"/>
    <w:rsid w:val="00311476"/>
    <w:rsid w:val="00311C8E"/>
    <w:rsid w:val="00311F2E"/>
    <w:rsid w:val="003122A2"/>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200A0"/>
    <w:rsid w:val="0032024F"/>
    <w:rsid w:val="0032034F"/>
    <w:rsid w:val="003205FD"/>
    <w:rsid w:val="003208FC"/>
    <w:rsid w:val="003209E0"/>
    <w:rsid w:val="00321190"/>
    <w:rsid w:val="00321830"/>
    <w:rsid w:val="00321961"/>
    <w:rsid w:val="00322803"/>
    <w:rsid w:val="003235BC"/>
    <w:rsid w:val="00323B0A"/>
    <w:rsid w:val="00323D40"/>
    <w:rsid w:val="00324357"/>
    <w:rsid w:val="0032485F"/>
    <w:rsid w:val="003249B0"/>
    <w:rsid w:val="00325307"/>
    <w:rsid w:val="00325B4C"/>
    <w:rsid w:val="003278EA"/>
    <w:rsid w:val="00327B25"/>
    <w:rsid w:val="00330669"/>
    <w:rsid w:val="0033079D"/>
    <w:rsid w:val="003309FF"/>
    <w:rsid w:val="003310B6"/>
    <w:rsid w:val="003318D4"/>
    <w:rsid w:val="00331F4F"/>
    <w:rsid w:val="00331FAD"/>
    <w:rsid w:val="0033204F"/>
    <w:rsid w:val="003327BC"/>
    <w:rsid w:val="003328FD"/>
    <w:rsid w:val="00332988"/>
    <w:rsid w:val="0033347E"/>
    <w:rsid w:val="00333A1E"/>
    <w:rsid w:val="00333A3B"/>
    <w:rsid w:val="00333A4A"/>
    <w:rsid w:val="00333B4B"/>
    <w:rsid w:val="003342DF"/>
    <w:rsid w:val="00334BDD"/>
    <w:rsid w:val="00334CC3"/>
    <w:rsid w:val="00335D64"/>
    <w:rsid w:val="00335E0E"/>
    <w:rsid w:val="00335FB8"/>
    <w:rsid w:val="00335FBB"/>
    <w:rsid w:val="00335FEC"/>
    <w:rsid w:val="00336326"/>
    <w:rsid w:val="0033683F"/>
    <w:rsid w:val="00336BCB"/>
    <w:rsid w:val="00336DC9"/>
    <w:rsid w:val="00336FA9"/>
    <w:rsid w:val="00337CA7"/>
    <w:rsid w:val="00337D00"/>
    <w:rsid w:val="00337EE8"/>
    <w:rsid w:val="00340B52"/>
    <w:rsid w:val="00341847"/>
    <w:rsid w:val="00341DA4"/>
    <w:rsid w:val="00342243"/>
    <w:rsid w:val="003428DE"/>
    <w:rsid w:val="0034298C"/>
    <w:rsid w:val="00342E7D"/>
    <w:rsid w:val="00343776"/>
    <w:rsid w:val="00343999"/>
    <w:rsid w:val="00343A16"/>
    <w:rsid w:val="00343ABB"/>
    <w:rsid w:val="003443E1"/>
    <w:rsid w:val="00344506"/>
    <w:rsid w:val="00344A66"/>
    <w:rsid w:val="00344AA3"/>
    <w:rsid w:val="00344F81"/>
    <w:rsid w:val="00345288"/>
    <w:rsid w:val="003454FB"/>
    <w:rsid w:val="00345DBA"/>
    <w:rsid w:val="00346615"/>
    <w:rsid w:val="00347CCA"/>
    <w:rsid w:val="00347E96"/>
    <w:rsid w:val="003507A7"/>
    <w:rsid w:val="00350A76"/>
    <w:rsid w:val="00351448"/>
    <w:rsid w:val="003519C7"/>
    <w:rsid w:val="00351A9F"/>
    <w:rsid w:val="0035264B"/>
    <w:rsid w:val="00352D46"/>
    <w:rsid w:val="00352DBB"/>
    <w:rsid w:val="003538BD"/>
    <w:rsid w:val="00353E92"/>
    <w:rsid w:val="00353F48"/>
    <w:rsid w:val="003540E0"/>
    <w:rsid w:val="003544A2"/>
    <w:rsid w:val="00355573"/>
    <w:rsid w:val="00355AE7"/>
    <w:rsid w:val="00356099"/>
    <w:rsid w:val="00356541"/>
    <w:rsid w:val="0035664C"/>
    <w:rsid w:val="003574DA"/>
    <w:rsid w:val="00357704"/>
    <w:rsid w:val="00357788"/>
    <w:rsid w:val="00357AA7"/>
    <w:rsid w:val="00357AB9"/>
    <w:rsid w:val="003604D4"/>
    <w:rsid w:val="00360620"/>
    <w:rsid w:val="00360809"/>
    <w:rsid w:val="0036082B"/>
    <w:rsid w:val="0036103F"/>
    <w:rsid w:val="00361264"/>
    <w:rsid w:val="00361AEA"/>
    <w:rsid w:val="00361F62"/>
    <w:rsid w:val="00362158"/>
    <w:rsid w:val="00362263"/>
    <w:rsid w:val="00362383"/>
    <w:rsid w:val="00363133"/>
    <w:rsid w:val="0036350D"/>
    <w:rsid w:val="00363586"/>
    <w:rsid w:val="0036381A"/>
    <w:rsid w:val="00363C5C"/>
    <w:rsid w:val="0036434B"/>
    <w:rsid w:val="00364E15"/>
    <w:rsid w:val="00365098"/>
    <w:rsid w:val="00365395"/>
    <w:rsid w:val="003653C2"/>
    <w:rsid w:val="0036582A"/>
    <w:rsid w:val="003659A3"/>
    <w:rsid w:val="00365A88"/>
    <w:rsid w:val="00366262"/>
    <w:rsid w:val="0036683A"/>
    <w:rsid w:val="00366B0D"/>
    <w:rsid w:val="0036732D"/>
    <w:rsid w:val="00367FEB"/>
    <w:rsid w:val="00370552"/>
    <w:rsid w:val="00371270"/>
    <w:rsid w:val="003717D9"/>
    <w:rsid w:val="0037191B"/>
    <w:rsid w:val="00371E8C"/>
    <w:rsid w:val="00371FDB"/>
    <w:rsid w:val="00372280"/>
    <w:rsid w:val="003724EE"/>
    <w:rsid w:val="003725C2"/>
    <w:rsid w:val="00372DA0"/>
    <w:rsid w:val="00372F27"/>
    <w:rsid w:val="00372F5A"/>
    <w:rsid w:val="00373550"/>
    <w:rsid w:val="00373658"/>
    <w:rsid w:val="00373751"/>
    <w:rsid w:val="00373EA1"/>
    <w:rsid w:val="00374210"/>
    <w:rsid w:val="003749CF"/>
    <w:rsid w:val="00374E17"/>
    <w:rsid w:val="00374F50"/>
    <w:rsid w:val="003752EA"/>
    <w:rsid w:val="00375597"/>
    <w:rsid w:val="003756C3"/>
    <w:rsid w:val="003758BB"/>
    <w:rsid w:val="00375A5E"/>
    <w:rsid w:val="00375AF5"/>
    <w:rsid w:val="00376058"/>
    <w:rsid w:val="00376BD1"/>
    <w:rsid w:val="0037727D"/>
    <w:rsid w:val="0038034F"/>
    <w:rsid w:val="003804DB"/>
    <w:rsid w:val="00380B2E"/>
    <w:rsid w:val="00381A98"/>
    <w:rsid w:val="00381AB9"/>
    <w:rsid w:val="00381D19"/>
    <w:rsid w:val="00381DE4"/>
    <w:rsid w:val="00382355"/>
    <w:rsid w:val="003824B8"/>
    <w:rsid w:val="00382D52"/>
    <w:rsid w:val="00382FB8"/>
    <w:rsid w:val="003831A5"/>
    <w:rsid w:val="0038337B"/>
    <w:rsid w:val="00383988"/>
    <w:rsid w:val="003840A2"/>
    <w:rsid w:val="00384CEB"/>
    <w:rsid w:val="00384E5E"/>
    <w:rsid w:val="00384EC5"/>
    <w:rsid w:val="00385583"/>
    <w:rsid w:val="00386697"/>
    <w:rsid w:val="00386C26"/>
    <w:rsid w:val="00386E0F"/>
    <w:rsid w:val="003871F7"/>
    <w:rsid w:val="00387486"/>
    <w:rsid w:val="00387B4C"/>
    <w:rsid w:val="00387D6C"/>
    <w:rsid w:val="00387E06"/>
    <w:rsid w:val="0039003E"/>
    <w:rsid w:val="0039021F"/>
    <w:rsid w:val="00390705"/>
    <w:rsid w:val="00390A1C"/>
    <w:rsid w:val="00390BDA"/>
    <w:rsid w:val="00390E26"/>
    <w:rsid w:val="00390EEC"/>
    <w:rsid w:val="0039140F"/>
    <w:rsid w:val="0039161E"/>
    <w:rsid w:val="003918F4"/>
    <w:rsid w:val="00391ED2"/>
    <w:rsid w:val="00391FEB"/>
    <w:rsid w:val="003922B0"/>
    <w:rsid w:val="0039268F"/>
    <w:rsid w:val="0039361C"/>
    <w:rsid w:val="00393C67"/>
    <w:rsid w:val="0039408F"/>
    <w:rsid w:val="0039418B"/>
    <w:rsid w:val="00394290"/>
    <w:rsid w:val="003947A5"/>
    <w:rsid w:val="00394D57"/>
    <w:rsid w:val="00395C24"/>
    <w:rsid w:val="00395CC5"/>
    <w:rsid w:val="00395EE2"/>
    <w:rsid w:val="00396D6B"/>
    <w:rsid w:val="00396DE3"/>
    <w:rsid w:val="003974ED"/>
    <w:rsid w:val="00397C50"/>
    <w:rsid w:val="00397C8A"/>
    <w:rsid w:val="00397D39"/>
    <w:rsid w:val="003A080A"/>
    <w:rsid w:val="003A199A"/>
    <w:rsid w:val="003A2F0B"/>
    <w:rsid w:val="003A35A4"/>
    <w:rsid w:val="003A35A6"/>
    <w:rsid w:val="003A375C"/>
    <w:rsid w:val="003A3C3D"/>
    <w:rsid w:val="003A427F"/>
    <w:rsid w:val="003A49EB"/>
    <w:rsid w:val="003A4C67"/>
    <w:rsid w:val="003A5721"/>
    <w:rsid w:val="003A596B"/>
    <w:rsid w:val="003A5A6F"/>
    <w:rsid w:val="003A5B54"/>
    <w:rsid w:val="003A5D07"/>
    <w:rsid w:val="003A6841"/>
    <w:rsid w:val="003A6909"/>
    <w:rsid w:val="003A713E"/>
    <w:rsid w:val="003A72B2"/>
    <w:rsid w:val="003B0D1D"/>
    <w:rsid w:val="003B14BD"/>
    <w:rsid w:val="003B16C9"/>
    <w:rsid w:val="003B19DD"/>
    <w:rsid w:val="003B2428"/>
    <w:rsid w:val="003B24C0"/>
    <w:rsid w:val="003B27F0"/>
    <w:rsid w:val="003B2B20"/>
    <w:rsid w:val="003B2C15"/>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D00"/>
    <w:rsid w:val="003B5F66"/>
    <w:rsid w:val="003B6641"/>
    <w:rsid w:val="003B66C2"/>
    <w:rsid w:val="003B69B3"/>
    <w:rsid w:val="003B6B24"/>
    <w:rsid w:val="003B6CFA"/>
    <w:rsid w:val="003B72C4"/>
    <w:rsid w:val="003B7313"/>
    <w:rsid w:val="003C0BC9"/>
    <w:rsid w:val="003C0C22"/>
    <w:rsid w:val="003C0C2C"/>
    <w:rsid w:val="003C0E20"/>
    <w:rsid w:val="003C1268"/>
    <w:rsid w:val="003C189A"/>
    <w:rsid w:val="003C1950"/>
    <w:rsid w:val="003C199E"/>
    <w:rsid w:val="003C1BBA"/>
    <w:rsid w:val="003C1DC3"/>
    <w:rsid w:val="003C1E75"/>
    <w:rsid w:val="003C278D"/>
    <w:rsid w:val="003C3333"/>
    <w:rsid w:val="003C370E"/>
    <w:rsid w:val="003C38A3"/>
    <w:rsid w:val="003C3925"/>
    <w:rsid w:val="003C3DBF"/>
    <w:rsid w:val="003C46BB"/>
    <w:rsid w:val="003C4847"/>
    <w:rsid w:val="003C4AD3"/>
    <w:rsid w:val="003C4BB9"/>
    <w:rsid w:val="003C4C31"/>
    <w:rsid w:val="003C4DE1"/>
    <w:rsid w:val="003C60C0"/>
    <w:rsid w:val="003C631A"/>
    <w:rsid w:val="003C6949"/>
    <w:rsid w:val="003C6A92"/>
    <w:rsid w:val="003C6D47"/>
    <w:rsid w:val="003C6DD6"/>
    <w:rsid w:val="003C7317"/>
    <w:rsid w:val="003C7A10"/>
    <w:rsid w:val="003C7FCA"/>
    <w:rsid w:val="003D0018"/>
    <w:rsid w:val="003D0097"/>
    <w:rsid w:val="003D00DF"/>
    <w:rsid w:val="003D0C28"/>
    <w:rsid w:val="003D0DE4"/>
    <w:rsid w:val="003D1705"/>
    <w:rsid w:val="003D1DCA"/>
    <w:rsid w:val="003D21E2"/>
    <w:rsid w:val="003D2564"/>
    <w:rsid w:val="003D2A00"/>
    <w:rsid w:val="003D2AA0"/>
    <w:rsid w:val="003D2CDF"/>
    <w:rsid w:val="003D30F9"/>
    <w:rsid w:val="003D3195"/>
    <w:rsid w:val="003D3317"/>
    <w:rsid w:val="003D3B96"/>
    <w:rsid w:val="003D3C19"/>
    <w:rsid w:val="003D3C8B"/>
    <w:rsid w:val="003D422A"/>
    <w:rsid w:val="003D4B03"/>
    <w:rsid w:val="003D53C4"/>
    <w:rsid w:val="003D54C3"/>
    <w:rsid w:val="003D5661"/>
    <w:rsid w:val="003D5936"/>
    <w:rsid w:val="003D5B03"/>
    <w:rsid w:val="003D5D4C"/>
    <w:rsid w:val="003D6EC7"/>
    <w:rsid w:val="003D719D"/>
    <w:rsid w:val="003D771F"/>
    <w:rsid w:val="003D7EBA"/>
    <w:rsid w:val="003E00FA"/>
    <w:rsid w:val="003E0895"/>
    <w:rsid w:val="003E0C40"/>
    <w:rsid w:val="003E0F13"/>
    <w:rsid w:val="003E10B9"/>
    <w:rsid w:val="003E22A2"/>
    <w:rsid w:val="003E2AAB"/>
    <w:rsid w:val="003E2BC2"/>
    <w:rsid w:val="003E32B2"/>
    <w:rsid w:val="003E36D0"/>
    <w:rsid w:val="003E3953"/>
    <w:rsid w:val="003E44D0"/>
    <w:rsid w:val="003E47F8"/>
    <w:rsid w:val="003E5798"/>
    <w:rsid w:val="003E5909"/>
    <w:rsid w:val="003E613E"/>
    <w:rsid w:val="003E64F3"/>
    <w:rsid w:val="003E6818"/>
    <w:rsid w:val="003E71C9"/>
    <w:rsid w:val="003E7504"/>
    <w:rsid w:val="003E7664"/>
    <w:rsid w:val="003E7979"/>
    <w:rsid w:val="003E7A03"/>
    <w:rsid w:val="003E7D1A"/>
    <w:rsid w:val="003E7D5A"/>
    <w:rsid w:val="003E7FA5"/>
    <w:rsid w:val="003F0255"/>
    <w:rsid w:val="003F04B8"/>
    <w:rsid w:val="003F0BCE"/>
    <w:rsid w:val="003F0D60"/>
    <w:rsid w:val="003F1E13"/>
    <w:rsid w:val="003F1E88"/>
    <w:rsid w:val="003F23A3"/>
    <w:rsid w:val="003F31B5"/>
    <w:rsid w:val="003F379E"/>
    <w:rsid w:val="003F382C"/>
    <w:rsid w:val="003F3E0E"/>
    <w:rsid w:val="003F3FBB"/>
    <w:rsid w:val="003F410A"/>
    <w:rsid w:val="003F4F19"/>
    <w:rsid w:val="003F52FE"/>
    <w:rsid w:val="003F5960"/>
    <w:rsid w:val="003F626A"/>
    <w:rsid w:val="003F68A9"/>
    <w:rsid w:val="003F6933"/>
    <w:rsid w:val="003F6F3A"/>
    <w:rsid w:val="003F74AC"/>
    <w:rsid w:val="003F7A75"/>
    <w:rsid w:val="003F7B9B"/>
    <w:rsid w:val="003F7DDA"/>
    <w:rsid w:val="0040039A"/>
    <w:rsid w:val="004006BC"/>
    <w:rsid w:val="00400A08"/>
    <w:rsid w:val="00401468"/>
    <w:rsid w:val="0040162F"/>
    <w:rsid w:val="00401833"/>
    <w:rsid w:val="0040195E"/>
    <w:rsid w:val="00401A7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4"/>
    <w:rsid w:val="004052C6"/>
    <w:rsid w:val="0040599D"/>
    <w:rsid w:val="004059F9"/>
    <w:rsid w:val="00405AAE"/>
    <w:rsid w:val="004061ED"/>
    <w:rsid w:val="00406820"/>
    <w:rsid w:val="00407119"/>
    <w:rsid w:val="00407D31"/>
    <w:rsid w:val="00410240"/>
    <w:rsid w:val="0041048F"/>
    <w:rsid w:val="00410C78"/>
    <w:rsid w:val="00411131"/>
    <w:rsid w:val="004114AA"/>
    <w:rsid w:val="004118EA"/>
    <w:rsid w:val="00411C8F"/>
    <w:rsid w:val="00411FA9"/>
    <w:rsid w:val="004120FA"/>
    <w:rsid w:val="00412142"/>
    <w:rsid w:val="0041224E"/>
    <w:rsid w:val="0041269A"/>
    <w:rsid w:val="00412D40"/>
    <w:rsid w:val="00412DCC"/>
    <w:rsid w:val="004134C9"/>
    <w:rsid w:val="004136C8"/>
    <w:rsid w:val="004138DA"/>
    <w:rsid w:val="00413BA6"/>
    <w:rsid w:val="00413BC4"/>
    <w:rsid w:val="00413FFC"/>
    <w:rsid w:val="00414B25"/>
    <w:rsid w:val="00414E79"/>
    <w:rsid w:val="004157D2"/>
    <w:rsid w:val="0041592B"/>
    <w:rsid w:val="004161F0"/>
    <w:rsid w:val="004163F2"/>
    <w:rsid w:val="004167BE"/>
    <w:rsid w:val="00417679"/>
    <w:rsid w:val="00417890"/>
    <w:rsid w:val="00417903"/>
    <w:rsid w:val="00417A01"/>
    <w:rsid w:val="00417C2C"/>
    <w:rsid w:val="00417EA9"/>
    <w:rsid w:val="00420245"/>
    <w:rsid w:val="0042040A"/>
    <w:rsid w:val="0042053E"/>
    <w:rsid w:val="00421163"/>
    <w:rsid w:val="004211E6"/>
    <w:rsid w:val="00421C4F"/>
    <w:rsid w:val="00421E69"/>
    <w:rsid w:val="00422097"/>
    <w:rsid w:val="00422191"/>
    <w:rsid w:val="00422677"/>
    <w:rsid w:val="00422E02"/>
    <w:rsid w:val="00423D07"/>
    <w:rsid w:val="00423DAC"/>
    <w:rsid w:val="00424A4B"/>
    <w:rsid w:val="004258E1"/>
    <w:rsid w:val="00425E64"/>
    <w:rsid w:val="00425ED8"/>
    <w:rsid w:val="00426B9F"/>
    <w:rsid w:val="00426ECB"/>
    <w:rsid w:val="004275DF"/>
    <w:rsid w:val="00427D1F"/>
    <w:rsid w:val="004306DE"/>
    <w:rsid w:val="00430B82"/>
    <w:rsid w:val="00430D4B"/>
    <w:rsid w:val="00430DF7"/>
    <w:rsid w:val="004314FC"/>
    <w:rsid w:val="00431A86"/>
    <w:rsid w:val="00431B29"/>
    <w:rsid w:val="00431C18"/>
    <w:rsid w:val="00431E7A"/>
    <w:rsid w:val="00432192"/>
    <w:rsid w:val="0043233E"/>
    <w:rsid w:val="00432515"/>
    <w:rsid w:val="004326A1"/>
    <w:rsid w:val="00432865"/>
    <w:rsid w:val="00432AD3"/>
    <w:rsid w:val="00432B9D"/>
    <w:rsid w:val="004336E5"/>
    <w:rsid w:val="00433FD0"/>
    <w:rsid w:val="004340D4"/>
    <w:rsid w:val="00434536"/>
    <w:rsid w:val="00434F34"/>
    <w:rsid w:val="0043500B"/>
    <w:rsid w:val="004355C7"/>
    <w:rsid w:val="004358D9"/>
    <w:rsid w:val="00435EEF"/>
    <w:rsid w:val="00435F53"/>
    <w:rsid w:val="00436047"/>
    <w:rsid w:val="004362B6"/>
    <w:rsid w:val="0043632A"/>
    <w:rsid w:val="004363A2"/>
    <w:rsid w:val="0043661E"/>
    <w:rsid w:val="00436635"/>
    <w:rsid w:val="00436CA8"/>
    <w:rsid w:val="00436F1F"/>
    <w:rsid w:val="004376A1"/>
    <w:rsid w:val="004376BE"/>
    <w:rsid w:val="0043793A"/>
    <w:rsid w:val="004379DB"/>
    <w:rsid w:val="00437B66"/>
    <w:rsid w:val="00437B7A"/>
    <w:rsid w:val="00440511"/>
    <w:rsid w:val="0044060F"/>
    <w:rsid w:val="004408AD"/>
    <w:rsid w:val="00440944"/>
    <w:rsid w:val="0044097E"/>
    <w:rsid w:val="0044180B"/>
    <w:rsid w:val="0044183D"/>
    <w:rsid w:val="004418F2"/>
    <w:rsid w:val="004418F7"/>
    <w:rsid w:val="00441D5C"/>
    <w:rsid w:val="00441E62"/>
    <w:rsid w:val="004420EA"/>
    <w:rsid w:val="004422A9"/>
    <w:rsid w:val="0044269C"/>
    <w:rsid w:val="00442735"/>
    <w:rsid w:val="004429E8"/>
    <w:rsid w:val="00442B9E"/>
    <w:rsid w:val="00442C1C"/>
    <w:rsid w:val="00442DED"/>
    <w:rsid w:val="00443014"/>
    <w:rsid w:val="00443450"/>
    <w:rsid w:val="004436C9"/>
    <w:rsid w:val="0044376F"/>
    <w:rsid w:val="0044396A"/>
    <w:rsid w:val="0044444B"/>
    <w:rsid w:val="004444B3"/>
    <w:rsid w:val="00444576"/>
    <w:rsid w:val="0044463F"/>
    <w:rsid w:val="004448D2"/>
    <w:rsid w:val="00445B94"/>
    <w:rsid w:val="00445C1F"/>
    <w:rsid w:val="00445CAD"/>
    <w:rsid w:val="00445E66"/>
    <w:rsid w:val="00445EFC"/>
    <w:rsid w:val="00446509"/>
    <w:rsid w:val="0044789A"/>
    <w:rsid w:val="00447FE3"/>
    <w:rsid w:val="004505D0"/>
    <w:rsid w:val="0045069B"/>
    <w:rsid w:val="004507E8"/>
    <w:rsid w:val="00450A2B"/>
    <w:rsid w:val="00451422"/>
    <w:rsid w:val="00451EAC"/>
    <w:rsid w:val="004528E6"/>
    <w:rsid w:val="00452B68"/>
    <w:rsid w:val="00452F95"/>
    <w:rsid w:val="0045330D"/>
    <w:rsid w:val="004534BE"/>
    <w:rsid w:val="0045383B"/>
    <w:rsid w:val="00453A6A"/>
    <w:rsid w:val="00453AB0"/>
    <w:rsid w:val="00453C96"/>
    <w:rsid w:val="00453D56"/>
    <w:rsid w:val="00453EB9"/>
    <w:rsid w:val="00454241"/>
    <w:rsid w:val="004549D0"/>
    <w:rsid w:val="004550D6"/>
    <w:rsid w:val="00455842"/>
    <w:rsid w:val="00455A19"/>
    <w:rsid w:val="00456A5C"/>
    <w:rsid w:val="00457531"/>
    <w:rsid w:val="00457711"/>
    <w:rsid w:val="004579A5"/>
    <w:rsid w:val="00457A58"/>
    <w:rsid w:val="0046026B"/>
    <w:rsid w:val="0046026E"/>
    <w:rsid w:val="004606BD"/>
    <w:rsid w:val="00460ADC"/>
    <w:rsid w:val="00460D7A"/>
    <w:rsid w:val="00460E4A"/>
    <w:rsid w:val="00461345"/>
    <w:rsid w:val="00461390"/>
    <w:rsid w:val="004614A8"/>
    <w:rsid w:val="004617A0"/>
    <w:rsid w:val="00461A55"/>
    <w:rsid w:val="004621C9"/>
    <w:rsid w:val="00462B40"/>
    <w:rsid w:val="00462FA0"/>
    <w:rsid w:val="004630AC"/>
    <w:rsid w:val="004637DE"/>
    <w:rsid w:val="004638ED"/>
    <w:rsid w:val="00463BE2"/>
    <w:rsid w:val="00463C97"/>
    <w:rsid w:val="004640FF"/>
    <w:rsid w:val="00464172"/>
    <w:rsid w:val="00464390"/>
    <w:rsid w:val="004647A2"/>
    <w:rsid w:val="00464B7E"/>
    <w:rsid w:val="004653BD"/>
    <w:rsid w:val="00465430"/>
    <w:rsid w:val="00465A67"/>
    <w:rsid w:val="00465ED9"/>
    <w:rsid w:val="00466DB3"/>
    <w:rsid w:val="00467026"/>
    <w:rsid w:val="00467762"/>
    <w:rsid w:val="00467D1C"/>
    <w:rsid w:val="00467ECF"/>
    <w:rsid w:val="004700B1"/>
    <w:rsid w:val="004707F0"/>
    <w:rsid w:val="00470CBC"/>
    <w:rsid w:val="00470EE5"/>
    <w:rsid w:val="0047142C"/>
    <w:rsid w:val="0047188F"/>
    <w:rsid w:val="00471BB8"/>
    <w:rsid w:val="00471FD6"/>
    <w:rsid w:val="00472162"/>
    <w:rsid w:val="0047224A"/>
    <w:rsid w:val="004722D9"/>
    <w:rsid w:val="00472C29"/>
    <w:rsid w:val="00472C7F"/>
    <w:rsid w:val="00473302"/>
    <w:rsid w:val="00473393"/>
    <w:rsid w:val="004735F4"/>
    <w:rsid w:val="004739F9"/>
    <w:rsid w:val="004742FE"/>
    <w:rsid w:val="00474D12"/>
    <w:rsid w:val="00474E61"/>
    <w:rsid w:val="004755C9"/>
    <w:rsid w:val="004755D4"/>
    <w:rsid w:val="00475958"/>
    <w:rsid w:val="004764C5"/>
    <w:rsid w:val="00476E7B"/>
    <w:rsid w:val="0047727E"/>
    <w:rsid w:val="004774CD"/>
    <w:rsid w:val="00477888"/>
    <w:rsid w:val="004779EC"/>
    <w:rsid w:val="00477AFD"/>
    <w:rsid w:val="004801A7"/>
    <w:rsid w:val="00480290"/>
    <w:rsid w:val="00480417"/>
    <w:rsid w:val="00480B2A"/>
    <w:rsid w:val="00481211"/>
    <w:rsid w:val="00481A34"/>
    <w:rsid w:val="00482141"/>
    <w:rsid w:val="004825C0"/>
    <w:rsid w:val="0048299A"/>
    <w:rsid w:val="004832ED"/>
    <w:rsid w:val="0048330F"/>
    <w:rsid w:val="0048339B"/>
    <w:rsid w:val="00483DD1"/>
    <w:rsid w:val="00484748"/>
    <w:rsid w:val="00484846"/>
    <w:rsid w:val="00485995"/>
    <w:rsid w:val="00485C0B"/>
    <w:rsid w:val="00486393"/>
    <w:rsid w:val="0048676D"/>
    <w:rsid w:val="00486E49"/>
    <w:rsid w:val="0048751D"/>
    <w:rsid w:val="00487E7A"/>
    <w:rsid w:val="00490032"/>
    <w:rsid w:val="004900E7"/>
    <w:rsid w:val="00490754"/>
    <w:rsid w:val="0049081D"/>
    <w:rsid w:val="00490CE1"/>
    <w:rsid w:val="0049126B"/>
    <w:rsid w:val="004919AD"/>
    <w:rsid w:val="004919DD"/>
    <w:rsid w:val="00491D48"/>
    <w:rsid w:val="004920AC"/>
    <w:rsid w:val="004921F4"/>
    <w:rsid w:val="0049233C"/>
    <w:rsid w:val="004926B4"/>
    <w:rsid w:val="00492A92"/>
    <w:rsid w:val="00492F8A"/>
    <w:rsid w:val="004933C8"/>
    <w:rsid w:val="00493A6C"/>
    <w:rsid w:val="00493A7B"/>
    <w:rsid w:val="00493AC0"/>
    <w:rsid w:val="00493B7E"/>
    <w:rsid w:val="00493D53"/>
    <w:rsid w:val="004943BE"/>
    <w:rsid w:val="00494A58"/>
    <w:rsid w:val="00494AAB"/>
    <w:rsid w:val="00494D7F"/>
    <w:rsid w:val="004968C6"/>
    <w:rsid w:val="004970E3"/>
    <w:rsid w:val="00497681"/>
    <w:rsid w:val="0049797D"/>
    <w:rsid w:val="00497A64"/>
    <w:rsid w:val="00497FD4"/>
    <w:rsid w:val="004A00B9"/>
    <w:rsid w:val="004A0258"/>
    <w:rsid w:val="004A08DF"/>
    <w:rsid w:val="004A0939"/>
    <w:rsid w:val="004A1484"/>
    <w:rsid w:val="004A2024"/>
    <w:rsid w:val="004A2026"/>
    <w:rsid w:val="004A214D"/>
    <w:rsid w:val="004A2450"/>
    <w:rsid w:val="004A2783"/>
    <w:rsid w:val="004A28DC"/>
    <w:rsid w:val="004A2DBF"/>
    <w:rsid w:val="004A2EA6"/>
    <w:rsid w:val="004A33C7"/>
    <w:rsid w:val="004A3509"/>
    <w:rsid w:val="004A359D"/>
    <w:rsid w:val="004A39B9"/>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E71"/>
    <w:rsid w:val="004B0F76"/>
    <w:rsid w:val="004B16C6"/>
    <w:rsid w:val="004B1B68"/>
    <w:rsid w:val="004B237E"/>
    <w:rsid w:val="004B2417"/>
    <w:rsid w:val="004B27EB"/>
    <w:rsid w:val="004B2A3A"/>
    <w:rsid w:val="004B32D6"/>
    <w:rsid w:val="004B345B"/>
    <w:rsid w:val="004B3A6E"/>
    <w:rsid w:val="004B432B"/>
    <w:rsid w:val="004B44E2"/>
    <w:rsid w:val="004B4F9E"/>
    <w:rsid w:val="004B5546"/>
    <w:rsid w:val="004B579A"/>
    <w:rsid w:val="004B5FEE"/>
    <w:rsid w:val="004B63C9"/>
    <w:rsid w:val="004B65F1"/>
    <w:rsid w:val="004B6791"/>
    <w:rsid w:val="004B67EC"/>
    <w:rsid w:val="004B6C25"/>
    <w:rsid w:val="004B6E1A"/>
    <w:rsid w:val="004B7738"/>
    <w:rsid w:val="004B78C8"/>
    <w:rsid w:val="004B7A45"/>
    <w:rsid w:val="004B7DE5"/>
    <w:rsid w:val="004C00D9"/>
    <w:rsid w:val="004C09EF"/>
    <w:rsid w:val="004C1034"/>
    <w:rsid w:val="004C1094"/>
    <w:rsid w:val="004C1114"/>
    <w:rsid w:val="004C12B2"/>
    <w:rsid w:val="004C1A06"/>
    <w:rsid w:val="004C23B0"/>
    <w:rsid w:val="004C2438"/>
    <w:rsid w:val="004C2863"/>
    <w:rsid w:val="004C30A5"/>
    <w:rsid w:val="004C3338"/>
    <w:rsid w:val="004C3558"/>
    <w:rsid w:val="004C36E3"/>
    <w:rsid w:val="004C403A"/>
    <w:rsid w:val="004C4043"/>
    <w:rsid w:val="004C4095"/>
    <w:rsid w:val="004C5196"/>
    <w:rsid w:val="004C534C"/>
    <w:rsid w:val="004C5626"/>
    <w:rsid w:val="004C5659"/>
    <w:rsid w:val="004C58DB"/>
    <w:rsid w:val="004C5996"/>
    <w:rsid w:val="004C5B06"/>
    <w:rsid w:val="004C5E8C"/>
    <w:rsid w:val="004C6710"/>
    <w:rsid w:val="004C69BB"/>
    <w:rsid w:val="004C6A24"/>
    <w:rsid w:val="004C6CA4"/>
    <w:rsid w:val="004C7911"/>
    <w:rsid w:val="004C7C45"/>
    <w:rsid w:val="004D0346"/>
    <w:rsid w:val="004D035B"/>
    <w:rsid w:val="004D052A"/>
    <w:rsid w:val="004D0D36"/>
    <w:rsid w:val="004D2181"/>
    <w:rsid w:val="004D241C"/>
    <w:rsid w:val="004D2841"/>
    <w:rsid w:val="004D2CB0"/>
    <w:rsid w:val="004D3861"/>
    <w:rsid w:val="004D3D48"/>
    <w:rsid w:val="004D3FAC"/>
    <w:rsid w:val="004D4019"/>
    <w:rsid w:val="004D4146"/>
    <w:rsid w:val="004D41E3"/>
    <w:rsid w:val="004D443B"/>
    <w:rsid w:val="004D44EA"/>
    <w:rsid w:val="004D4627"/>
    <w:rsid w:val="004D49AF"/>
    <w:rsid w:val="004D4C68"/>
    <w:rsid w:val="004D4E66"/>
    <w:rsid w:val="004D4EC5"/>
    <w:rsid w:val="004D4EF8"/>
    <w:rsid w:val="004D4FD3"/>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4E65"/>
    <w:rsid w:val="004E6953"/>
    <w:rsid w:val="004E69F8"/>
    <w:rsid w:val="004E7012"/>
    <w:rsid w:val="004E7591"/>
    <w:rsid w:val="004E7662"/>
    <w:rsid w:val="004E77CB"/>
    <w:rsid w:val="004E7950"/>
    <w:rsid w:val="004E7C08"/>
    <w:rsid w:val="004E7CE1"/>
    <w:rsid w:val="004F016A"/>
    <w:rsid w:val="004F0188"/>
    <w:rsid w:val="004F0254"/>
    <w:rsid w:val="004F0434"/>
    <w:rsid w:val="004F05A4"/>
    <w:rsid w:val="004F0682"/>
    <w:rsid w:val="004F0CE9"/>
    <w:rsid w:val="004F0D32"/>
    <w:rsid w:val="004F0DBC"/>
    <w:rsid w:val="004F1565"/>
    <w:rsid w:val="004F2BC1"/>
    <w:rsid w:val="004F2C5D"/>
    <w:rsid w:val="004F3439"/>
    <w:rsid w:val="004F498C"/>
    <w:rsid w:val="004F4AF7"/>
    <w:rsid w:val="004F610E"/>
    <w:rsid w:val="004F6948"/>
    <w:rsid w:val="004F6CFF"/>
    <w:rsid w:val="004F7C4B"/>
    <w:rsid w:val="004F7D69"/>
    <w:rsid w:val="004F7EC2"/>
    <w:rsid w:val="00500235"/>
    <w:rsid w:val="005003F8"/>
    <w:rsid w:val="0050059A"/>
    <w:rsid w:val="00501304"/>
    <w:rsid w:val="00501610"/>
    <w:rsid w:val="005019E8"/>
    <w:rsid w:val="00501DD2"/>
    <w:rsid w:val="005021E9"/>
    <w:rsid w:val="0050235D"/>
    <w:rsid w:val="005023A7"/>
    <w:rsid w:val="005023FB"/>
    <w:rsid w:val="00502473"/>
    <w:rsid w:val="0050291B"/>
    <w:rsid w:val="00502A79"/>
    <w:rsid w:val="00502F47"/>
    <w:rsid w:val="005037D0"/>
    <w:rsid w:val="00503918"/>
    <w:rsid w:val="00503A4A"/>
    <w:rsid w:val="00504637"/>
    <w:rsid w:val="0050471B"/>
    <w:rsid w:val="00504ACD"/>
    <w:rsid w:val="00504B62"/>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1F60"/>
    <w:rsid w:val="00512631"/>
    <w:rsid w:val="00512AC7"/>
    <w:rsid w:val="00512C5A"/>
    <w:rsid w:val="00512ED2"/>
    <w:rsid w:val="00513314"/>
    <w:rsid w:val="00513DF0"/>
    <w:rsid w:val="00513F63"/>
    <w:rsid w:val="00514349"/>
    <w:rsid w:val="0051438E"/>
    <w:rsid w:val="00514700"/>
    <w:rsid w:val="00514786"/>
    <w:rsid w:val="005147F8"/>
    <w:rsid w:val="0051486C"/>
    <w:rsid w:val="00514E94"/>
    <w:rsid w:val="005150E5"/>
    <w:rsid w:val="0051518B"/>
    <w:rsid w:val="005153B6"/>
    <w:rsid w:val="005157E1"/>
    <w:rsid w:val="00515D44"/>
    <w:rsid w:val="00515EFD"/>
    <w:rsid w:val="00516973"/>
    <w:rsid w:val="005172E3"/>
    <w:rsid w:val="00517C75"/>
    <w:rsid w:val="00517DAC"/>
    <w:rsid w:val="00517E1B"/>
    <w:rsid w:val="005206A7"/>
    <w:rsid w:val="005208E3"/>
    <w:rsid w:val="005219A5"/>
    <w:rsid w:val="0052254A"/>
    <w:rsid w:val="0052294F"/>
    <w:rsid w:val="0052299C"/>
    <w:rsid w:val="005232B8"/>
    <w:rsid w:val="00523612"/>
    <w:rsid w:val="005243F7"/>
    <w:rsid w:val="00525032"/>
    <w:rsid w:val="00525709"/>
    <w:rsid w:val="0052588F"/>
    <w:rsid w:val="00525CE5"/>
    <w:rsid w:val="005262A8"/>
    <w:rsid w:val="00526375"/>
    <w:rsid w:val="00526461"/>
    <w:rsid w:val="00526612"/>
    <w:rsid w:val="0052698F"/>
    <w:rsid w:val="00526A4E"/>
    <w:rsid w:val="00526C0D"/>
    <w:rsid w:val="00526FB3"/>
    <w:rsid w:val="0052721C"/>
    <w:rsid w:val="005276F4"/>
    <w:rsid w:val="00527726"/>
    <w:rsid w:val="00530721"/>
    <w:rsid w:val="005309C4"/>
    <w:rsid w:val="00530C8D"/>
    <w:rsid w:val="0053124E"/>
    <w:rsid w:val="0053165C"/>
    <w:rsid w:val="00531762"/>
    <w:rsid w:val="00531D4A"/>
    <w:rsid w:val="00531F0B"/>
    <w:rsid w:val="00532FED"/>
    <w:rsid w:val="00533654"/>
    <w:rsid w:val="00533B40"/>
    <w:rsid w:val="00533EF2"/>
    <w:rsid w:val="0053431A"/>
    <w:rsid w:val="00534A50"/>
    <w:rsid w:val="00534DB3"/>
    <w:rsid w:val="00535686"/>
    <w:rsid w:val="00535EF3"/>
    <w:rsid w:val="0053628D"/>
    <w:rsid w:val="00536510"/>
    <w:rsid w:val="00537842"/>
    <w:rsid w:val="00537A1A"/>
    <w:rsid w:val="00537A9E"/>
    <w:rsid w:val="00540156"/>
    <w:rsid w:val="005402C0"/>
    <w:rsid w:val="00540D28"/>
    <w:rsid w:val="00540DAA"/>
    <w:rsid w:val="00540EFE"/>
    <w:rsid w:val="005423C6"/>
    <w:rsid w:val="005427C8"/>
    <w:rsid w:val="00542A77"/>
    <w:rsid w:val="00542A9F"/>
    <w:rsid w:val="00543451"/>
    <w:rsid w:val="0054382C"/>
    <w:rsid w:val="005441B4"/>
    <w:rsid w:val="00545BB0"/>
    <w:rsid w:val="0054671F"/>
    <w:rsid w:val="00546D02"/>
    <w:rsid w:val="00547180"/>
    <w:rsid w:val="00547295"/>
    <w:rsid w:val="005472AB"/>
    <w:rsid w:val="005474E7"/>
    <w:rsid w:val="00547542"/>
    <w:rsid w:val="005476C4"/>
    <w:rsid w:val="00547D41"/>
    <w:rsid w:val="0055078E"/>
    <w:rsid w:val="00550AE7"/>
    <w:rsid w:val="00550F48"/>
    <w:rsid w:val="005514DD"/>
    <w:rsid w:val="00551865"/>
    <w:rsid w:val="00551BF5"/>
    <w:rsid w:val="00552024"/>
    <w:rsid w:val="005525A4"/>
    <w:rsid w:val="00552631"/>
    <w:rsid w:val="00553C7A"/>
    <w:rsid w:val="0055409D"/>
    <w:rsid w:val="00554212"/>
    <w:rsid w:val="0055441B"/>
    <w:rsid w:val="00554A21"/>
    <w:rsid w:val="00554B46"/>
    <w:rsid w:val="00554FBE"/>
    <w:rsid w:val="00555EC9"/>
    <w:rsid w:val="0055617A"/>
    <w:rsid w:val="00556C90"/>
    <w:rsid w:val="00556D8C"/>
    <w:rsid w:val="005572BF"/>
    <w:rsid w:val="00557891"/>
    <w:rsid w:val="005578F9"/>
    <w:rsid w:val="00557C19"/>
    <w:rsid w:val="00560279"/>
    <w:rsid w:val="00560A31"/>
    <w:rsid w:val="00560CEC"/>
    <w:rsid w:val="005612F5"/>
    <w:rsid w:val="00561DBE"/>
    <w:rsid w:val="00562DD8"/>
    <w:rsid w:val="00562EE7"/>
    <w:rsid w:val="00562F9D"/>
    <w:rsid w:val="00563470"/>
    <w:rsid w:val="0056361F"/>
    <w:rsid w:val="005639DF"/>
    <w:rsid w:val="00563B19"/>
    <w:rsid w:val="00563D38"/>
    <w:rsid w:val="00563D76"/>
    <w:rsid w:val="005641FB"/>
    <w:rsid w:val="0056518E"/>
    <w:rsid w:val="00565264"/>
    <w:rsid w:val="00565647"/>
    <w:rsid w:val="00565DF7"/>
    <w:rsid w:val="005661AC"/>
    <w:rsid w:val="00566252"/>
    <w:rsid w:val="00566315"/>
    <w:rsid w:val="00566BBB"/>
    <w:rsid w:val="00566D75"/>
    <w:rsid w:val="00567581"/>
    <w:rsid w:val="00567617"/>
    <w:rsid w:val="00567A7B"/>
    <w:rsid w:val="00567B89"/>
    <w:rsid w:val="00570247"/>
    <w:rsid w:val="00570952"/>
    <w:rsid w:val="00570A47"/>
    <w:rsid w:val="00570FD1"/>
    <w:rsid w:val="005712C6"/>
    <w:rsid w:val="005715B3"/>
    <w:rsid w:val="0057173F"/>
    <w:rsid w:val="00571CB5"/>
    <w:rsid w:val="00572622"/>
    <w:rsid w:val="005727DD"/>
    <w:rsid w:val="00572B79"/>
    <w:rsid w:val="005733B2"/>
    <w:rsid w:val="0057451B"/>
    <w:rsid w:val="00574924"/>
    <w:rsid w:val="00574DD5"/>
    <w:rsid w:val="00574F8B"/>
    <w:rsid w:val="00575273"/>
    <w:rsid w:val="00575405"/>
    <w:rsid w:val="00575E30"/>
    <w:rsid w:val="00575E9E"/>
    <w:rsid w:val="005769C1"/>
    <w:rsid w:val="00576F04"/>
    <w:rsid w:val="0057746C"/>
    <w:rsid w:val="00577484"/>
    <w:rsid w:val="00577AF6"/>
    <w:rsid w:val="00577C5A"/>
    <w:rsid w:val="00577CFA"/>
    <w:rsid w:val="00580974"/>
    <w:rsid w:val="00580ECC"/>
    <w:rsid w:val="00581BBE"/>
    <w:rsid w:val="00581F74"/>
    <w:rsid w:val="005822F4"/>
    <w:rsid w:val="00582ADE"/>
    <w:rsid w:val="00582DEF"/>
    <w:rsid w:val="0058318B"/>
    <w:rsid w:val="0058335B"/>
    <w:rsid w:val="005837A4"/>
    <w:rsid w:val="00583904"/>
    <w:rsid w:val="00583948"/>
    <w:rsid w:val="00583C6E"/>
    <w:rsid w:val="00583D27"/>
    <w:rsid w:val="00583D65"/>
    <w:rsid w:val="005841BD"/>
    <w:rsid w:val="0058422F"/>
    <w:rsid w:val="0058479D"/>
    <w:rsid w:val="00584A0F"/>
    <w:rsid w:val="005850C1"/>
    <w:rsid w:val="00585947"/>
    <w:rsid w:val="00585D59"/>
    <w:rsid w:val="00585EAA"/>
    <w:rsid w:val="00590241"/>
    <w:rsid w:val="00590AC8"/>
    <w:rsid w:val="0059116C"/>
    <w:rsid w:val="005911B8"/>
    <w:rsid w:val="00591D72"/>
    <w:rsid w:val="00593E06"/>
    <w:rsid w:val="005957A4"/>
    <w:rsid w:val="00596E66"/>
    <w:rsid w:val="0059701B"/>
    <w:rsid w:val="005970A6"/>
    <w:rsid w:val="00597F50"/>
    <w:rsid w:val="005A07E3"/>
    <w:rsid w:val="005A09C3"/>
    <w:rsid w:val="005A0F58"/>
    <w:rsid w:val="005A15E2"/>
    <w:rsid w:val="005A16FC"/>
    <w:rsid w:val="005A1EBC"/>
    <w:rsid w:val="005A209E"/>
    <w:rsid w:val="005A2924"/>
    <w:rsid w:val="005A3169"/>
    <w:rsid w:val="005A319E"/>
    <w:rsid w:val="005A3A83"/>
    <w:rsid w:val="005A3F0B"/>
    <w:rsid w:val="005A3F8B"/>
    <w:rsid w:val="005A528C"/>
    <w:rsid w:val="005A53D2"/>
    <w:rsid w:val="005A5832"/>
    <w:rsid w:val="005A59D0"/>
    <w:rsid w:val="005A5B77"/>
    <w:rsid w:val="005A5C22"/>
    <w:rsid w:val="005A5FF0"/>
    <w:rsid w:val="005A63D5"/>
    <w:rsid w:val="005A696B"/>
    <w:rsid w:val="005A6CD4"/>
    <w:rsid w:val="005A6EB5"/>
    <w:rsid w:val="005A7525"/>
    <w:rsid w:val="005A7A0B"/>
    <w:rsid w:val="005A7A6B"/>
    <w:rsid w:val="005A7E7A"/>
    <w:rsid w:val="005B0795"/>
    <w:rsid w:val="005B1143"/>
    <w:rsid w:val="005B2800"/>
    <w:rsid w:val="005B28C4"/>
    <w:rsid w:val="005B2DF9"/>
    <w:rsid w:val="005B3419"/>
    <w:rsid w:val="005B3497"/>
    <w:rsid w:val="005B3526"/>
    <w:rsid w:val="005B3D57"/>
    <w:rsid w:val="005B41B3"/>
    <w:rsid w:val="005B4A2A"/>
    <w:rsid w:val="005B4DA3"/>
    <w:rsid w:val="005B556E"/>
    <w:rsid w:val="005B5803"/>
    <w:rsid w:val="005B5891"/>
    <w:rsid w:val="005B58DF"/>
    <w:rsid w:val="005B6323"/>
    <w:rsid w:val="005B63D0"/>
    <w:rsid w:val="005B656E"/>
    <w:rsid w:val="005B7050"/>
    <w:rsid w:val="005B73F7"/>
    <w:rsid w:val="005B7858"/>
    <w:rsid w:val="005B7C71"/>
    <w:rsid w:val="005B7D8E"/>
    <w:rsid w:val="005C0624"/>
    <w:rsid w:val="005C06FA"/>
    <w:rsid w:val="005C0D9A"/>
    <w:rsid w:val="005C173E"/>
    <w:rsid w:val="005C1B9C"/>
    <w:rsid w:val="005C2181"/>
    <w:rsid w:val="005C29C5"/>
    <w:rsid w:val="005C35A0"/>
    <w:rsid w:val="005C35AB"/>
    <w:rsid w:val="005C3F9E"/>
    <w:rsid w:val="005C4A7F"/>
    <w:rsid w:val="005C4EBE"/>
    <w:rsid w:val="005C506A"/>
    <w:rsid w:val="005C5099"/>
    <w:rsid w:val="005C50BE"/>
    <w:rsid w:val="005C5161"/>
    <w:rsid w:val="005C54B9"/>
    <w:rsid w:val="005C5576"/>
    <w:rsid w:val="005C559F"/>
    <w:rsid w:val="005C5A01"/>
    <w:rsid w:val="005C5EB6"/>
    <w:rsid w:val="005C5FAF"/>
    <w:rsid w:val="005C6069"/>
    <w:rsid w:val="005C624A"/>
    <w:rsid w:val="005C6E1E"/>
    <w:rsid w:val="005C6E75"/>
    <w:rsid w:val="005C724A"/>
    <w:rsid w:val="005C783F"/>
    <w:rsid w:val="005C7E87"/>
    <w:rsid w:val="005D0528"/>
    <w:rsid w:val="005D0750"/>
    <w:rsid w:val="005D09ED"/>
    <w:rsid w:val="005D0B42"/>
    <w:rsid w:val="005D14BE"/>
    <w:rsid w:val="005D1508"/>
    <w:rsid w:val="005D164E"/>
    <w:rsid w:val="005D17B1"/>
    <w:rsid w:val="005D1B61"/>
    <w:rsid w:val="005D1E5A"/>
    <w:rsid w:val="005D2424"/>
    <w:rsid w:val="005D2546"/>
    <w:rsid w:val="005D2928"/>
    <w:rsid w:val="005D2C25"/>
    <w:rsid w:val="005D2C99"/>
    <w:rsid w:val="005D311D"/>
    <w:rsid w:val="005D36B1"/>
    <w:rsid w:val="005D36B9"/>
    <w:rsid w:val="005D3AF5"/>
    <w:rsid w:val="005D3EF4"/>
    <w:rsid w:val="005D422E"/>
    <w:rsid w:val="005D4CA2"/>
    <w:rsid w:val="005D58AC"/>
    <w:rsid w:val="005D65E4"/>
    <w:rsid w:val="005D6B52"/>
    <w:rsid w:val="005D70C0"/>
    <w:rsid w:val="005D7740"/>
    <w:rsid w:val="005D7844"/>
    <w:rsid w:val="005D7939"/>
    <w:rsid w:val="005E02D0"/>
    <w:rsid w:val="005E051D"/>
    <w:rsid w:val="005E0D97"/>
    <w:rsid w:val="005E0F9E"/>
    <w:rsid w:val="005E2632"/>
    <w:rsid w:val="005E2A8C"/>
    <w:rsid w:val="005E2CC5"/>
    <w:rsid w:val="005E3065"/>
    <w:rsid w:val="005E322A"/>
    <w:rsid w:val="005E37D6"/>
    <w:rsid w:val="005E4042"/>
    <w:rsid w:val="005E40B4"/>
    <w:rsid w:val="005E4527"/>
    <w:rsid w:val="005E4659"/>
    <w:rsid w:val="005E5AD4"/>
    <w:rsid w:val="005E5E48"/>
    <w:rsid w:val="005E735C"/>
    <w:rsid w:val="005E79EF"/>
    <w:rsid w:val="005F01C0"/>
    <w:rsid w:val="005F03EE"/>
    <w:rsid w:val="005F0686"/>
    <w:rsid w:val="005F093D"/>
    <w:rsid w:val="005F097F"/>
    <w:rsid w:val="005F0E55"/>
    <w:rsid w:val="005F13DB"/>
    <w:rsid w:val="005F226A"/>
    <w:rsid w:val="005F26E8"/>
    <w:rsid w:val="005F279D"/>
    <w:rsid w:val="005F3915"/>
    <w:rsid w:val="005F3DAE"/>
    <w:rsid w:val="005F3F20"/>
    <w:rsid w:val="005F3FEB"/>
    <w:rsid w:val="005F40EF"/>
    <w:rsid w:val="005F4601"/>
    <w:rsid w:val="005F464E"/>
    <w:rsid w:val="005F48F3"/>
    <w:rsid w:val="005F4AA6"/>
    <w:rsid w:val="005F4B76"/>
    <w:rsid w:val="005F514B"/>
    <w:rsid w:val="005F516C"/>
    <w:rsid w:val="005F5C4A"/>
    <w:rsid w:val="005F6468"/>
    <w:rsid w:val="005F65A4"/>
    <w:rsid w:val="005F65BC"/>
    <w:rsid w:val="005F6C4D"/>
    <w:rsid w:val="005F77C2"/>
    <w:rsid w:val="00600646"/>
    <w:rsid w:val="00600728"/>
    <w:rsid w:val="0060079E"/>
    <w:rsid w:val="00600A34"/>
    <w:rsid w:val="00600AEB"/>
    <w:rsid w:val="00601307"/>
    <w:rsid w:val="0060175E"/>
    <w:rsid w:val="006019EF"/>
    <w:rsid w:val="00601F0F"/>
    <w:rsid w:val="00602D31"/>
    <w:rsid w:val="00602E9B"/>
    <w:rsid w:val="00603257"/>
    <w:rsid w:val="00603B06"/>
    <w:rsid w:val="00604538"/>
    <w:rsid w:val="0060458C"/>
    <w:rsid w:val="0060525A"/>
    <w:rsid w:val="0060619A"/>
    <w:rsid w:val="00606720"/>
    <w:rsid w:val="00606DEB"/>
    <w:rsid w:val="006070D6"/>
    <w:rsid w:val="0060746B"/>
    <w:rsid w:val="006103C2"/>
    <w:rsid w:val="006109AA"/>
    <w:rsid w:val="00610A16"/>
    <w:rsid w:val="00610DAE"/>
    <w:rsid w:val="00610E1E"/>
    <w:rsid w:val="0061113D"/>
    <w:rsid w:val="006114B9"/>
    <w:rsid w:val="00612742"/>
    <w:rsid w:val="0061328B"/>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BA8"/>
    <w:rsid w:val="00621CB4"/>
    <w:rsid w:val="00621E3F"/>
    <w:rsid w:val="006230E3"/>
    <w:rsid w:val="0062380E"/>
    <w:rsid w:val="006238DA"/>
    <w:rsid w:val="00623AA7"/>
    <w:rsid w:val="006243DC"/>
    <w:rsid w:val="00624FB7"/>
    <w:rsid w:val="00625095"/>
    <w:rsid w:val="0062522F"/>
    <w:rsid w:val="006254F3"/>
    <w:rsid w:val="00625C09"/>
    <w:rsid w:val="00626976"/>
    <w:rsid w:val="00626D9F"/>
    <w:rsid w:val="0062762A"/>
    <w:rsid w:val="0062793A"/>
    <w:rsid w:val="00627ADA"/>
    <w:rsid w:val="00627DFA"/>
    <w:rsid w:val="00627E79"/>
    <w:rsid w:val="00630DB3"/>
    <w:rsid w:val="00631A2B"/>
    <w:rsid w:val="00632A05"/>
    <w:rsid w:val="00632A9E"/>
    <w:rsid w:val="00632E76"/>
    <w:rsid w:val="00633169"/>
    <w:rsid w:val="0063330E"/>
    <w:rsid w:val="0063338D"/>
    <w:rsid w:val="00633C6E"/>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0ECA"/>
    <w:rsid w:val="006422D2"/>
    <w:rsid w:val="006427FF"/>
    <w:rsid w:val="0064311C"/>
    <w:rsid w:val="00643149"/>
    <w:rsid w:val="006431AC"/>
    <w:rsid w:val="00643778"/>
    <w:rsid w:val="00643CCF"/>
    <w:rsid w:val="00643CD4"/>
    <w:rsid w:val="006440B1"/>
    <w:rsid w:val="0064418F"/>
    <w:rsid w:val="00644B7D"/>
    <w:rsid w:val="006450C3"/>
    <w:rsid w:val="0064516E"/>
    <w:rsid w:val="00645243"/>
    <w:rsid w:val="006452D8"/>
    <w:rsid w:val="0064555C"/>
    <w:rsid w:val="00645D90"/>
    <w:rsid w:val="006460D8"/>
    <w:rsid w:val="00646472"/>
    <w:rsid w:val="0064687E"/>
    <w:rsid w:val="00646BCB"/>
    <w:rsid w:val="00646C65"/>
    <w:rsid w:val="006471C9"/>
    <w:rsid w:val="006475E9"/>
    <w:rsid w:val="00647B32"/>
    <w:rsid w:val="00647B60"/>
    <w:rsid w:val="00650B4A"/>
    <w:rsid w:val="0065176A"/>
    <w:rsid w:val="006521F0"/>
    <w:rsid w:val="00652479"/>
    <w:rsid w:val="00652AF4"/>
    <w:rsid w:val="006533BE"/>
    <w:rsid w:val="0065352B"/>
    <w:rsid w:val="00653872"/>
    <w:rsid w:val="00653FAC"/>
    <w:rsid w:val="0065459A"/>
    <w:rsid w:val="0065527C"/>
    <w:rsid w:val="00655948"/>
    <w:rsid w:val="00655AFE"/>
    <w:rsid w:val="00655DC5"/>
    <w:rsid w:val="00656094"/>
    <w:rsid w:val="006571C2"/>
    <w:rsid w:val="00657D18"/>
    <w:rsid w:val="00657DAE"/>
    <w:rsid w:val="00657E14"/>
    <w:rsid w:val="00657F47"/>
    <w:rsid w:val="00660048"/>
    <w:rsid w:val="00660B21"/>
    <w:rsid w:val="00660EEA"/>
    <w:rsid w:val="006616DF"/>
    <w:rsid w:val="00661ADA"/>
    <w:rsid w:val="00661B82"/>
    <w:rsid w:val="00661F3D"/>
    <w:rsid w:val="00661FE1"/>
    <w:rsid w:val="006622A5"/>
    <w:rsid w:val="0066271B"/>
    <w:rsid w:val="00662F78"/>
    <w:rsid w:val="00663041"/>
    <w:rsid w:val="006633B4"/>
    <w:rsid w:val="006637B8"/>
    <w:rsid w:val="006637BA"/>
    <w:rsid w:val="006637C2"/>
    <w:rsid w:val="006639F8"/>
    <w:rsid w:val="00663FA5"/>
    <w:rsid w:val="00664516"/>
    <w:rsid w:val="00664744"/>
    <w:rsid w:val="00665103"/>
    <w:rsid w:val="0066532D"/>
    <w:rsid w:val="0066585C"/>
    <w:rsid w:val="0066632F"/>
    <w:rsid w:val="006665E1"/>
    <w:rsid w:val="00666765"/>
    <w:rsid w:val="006667C0"/>
    <w:rsid w:val="00667224"/>
    <w:rsid w:val="0066725E"/>
    <w:rsid w:val="0066731A"/>
    <w:rsid w:val="00667613"/>
    <w:rsid w:val="006679A6"/>
    <w:rsid w:val="00670662"/>
    <w:rsid w:val="00670812"/>
    <w:rsid w:val="00670B50"/>
    <w:rsid w:val="00670D18"/>
    <w:rsid w:val="00671681"/>
    <w:rsid w:val="00671693"/>
    <w:rsid w:val="00671925"/>
    <w:rsid w:val="00671949"/>
    <w:rsid w:val="00671DB7"/>
    <w:rsid w:val="006722CE"/>
    <w:rsid w:val="00672326"/>
    <w:rsid w:val="00672606"/>
    <w:rsid w:val="00672C77"/>
    <w:rsid w:val="00672F2F"/>
    <w:rsid w:val="006732C8"/>
    <w:rsid w:val="006735B4"/>
    <w:rsid w:val="00673CBF"/>
    <w:rsid w:val="00673E75"/>
    <w:rsid w:val="00674003"/>
    <w:rsid w:val="00674269"/>
    <w:rsid w:val="0067501D"/>
    <w:rsid w:val="006756A5"/>
    <w:rsid w:val="00675BCC"/>
    <w:rsid w:val="00675E5A"/>
    <w:rsid w:val="00675F16"/>
    <w:rsid w:val="00676164"/>
    <w:rsid w:val="006767A0"/>
    <w:rsid w:val="006767AE"/>
    <w:rsid w:val="006769EE"/>
    <w:rsid w:val="00676B39"/>
    <w:rsid w:val="006778BE"/>
    <w:rsid w:val="00677C2F"/>
    <w:rsid w:val="00680BA5"/>
    <w:rsid w:val="00680C30"/>
    <w:rsid w:val="00680C86"/>
    <w:rsid w:val="0068125A"/>
    <w:rsid w:val="00681773"/>
    <w:rsid w:val="00681A26"/>
    <w:rsid w:val="00681B4C"/>
    <w:rsid w:val="00681D39"/>
    <w:rsid w:val="00681E45"/>
    <w:rsid w:val="00681E80"/>
    <w:rsid w:val="00682053"/>
    <w:rsid w:val="00682085"/>
    <w:rsid w:val="00682233"/>
    <w:rsid w:val="006825E7"/>
    <w:rsid w:val="00682849"/>
    <w:rsid w:val="00682BCC"/>
    <w:rsid w:val="00682DEF"/>
    <w:rsid w:val="006832A7"/>
    <w:rsid w:val="0068341F"/>
    <w:rsid w:val="00683BE0"/>
    <w:rsid w:val="00683DA8"/>
    <w:rsid w:val="00683DF5"/>
    <w:rsid w:val="00683FD6"/>
    <w:rsid w:val="00685627"/>
    <w:rsid w:val="00685A84"/>
    <w:rsid w:val="00685EA8"/>
    <w:rsid w:val="0068712A"/>
    <w:rsid w:val="0068712E"/>
    <w:rsid w:val="006879AA"/>
    <w:rsid w:val="00687A30"/>
    <w:rsid w:val="00687A9B"/>
    <w:rsid w:val="00690E64"/>
    <w:rsid w:val="006915EE"/>
    <w:rsid w:val="0069161A"/>
    <w:rsid w:val="00691AFE"/>
    <w:rsid w:val="00692D2D"/>
    <w:rsid w:val="00693262"/>
    <w:rsid w:val="0069396C"/>
    <w:rsid w:val="00693B3B"/>
    <w:rsid w:val="00693BFC"/>
    <w:rsid w:val="00693C8C"/>
    <w:rsid w:val="00694073"/>
    <w:rsid w:val="00694574"/>
    <w:rsid w:val="0069533F"/>
    <w:rsid w:val="00695720"/>
    <w:rsid w:val="006957C0"/>
    <w:rsid w:val="00695F48"/>
    <w:rsid w:val="00696158"/>
    <w:rsid w:val="00696AF0"/>
    <w:rsid w:val="006972F0"/>
    <w:rsid w:val="00697391"/>
    <w:rsid w:val="0069756F"/>
    <w:rsid w:val="00697BF5"/>
    <w:rsid w:val="006A0096"/>
    <w:rsid w:val="006A066A"/>
    <w:rsid w:val="006A0680"/>
    <w:rsid w:val="006A07AF"/>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5267"/>
    <w:rsid w:val="006A5790"/>
    <w:rsid w:val="006A5D34"/>
    <w:rsid w:val="006A5DB5"/>
    <w:rsid w:val="006A5E3E"/>
    <w:rsid w:val="006A635C"/>
    <w:rsid w:val="006A63D8"/>
    <w:rsid w:val="006A6553"/>
    <w:rsid w:val="006A6668"/>
    <w:rsid w:val="006A6D57"/>
    <w:rsid w:val="006A6EEA"/>
    <w:rsid w:val="006A6F7F"/>
    <w:rsid w:val="006A7542"/>
    <w:rsid w:val="006A7AFC"/>
    <w:rsid w:val="006B010C"/>
    <w:rsid w:val="006B05A7"/>
    <w:rsid w:val="006B0ABA"/>
    <w:rsid w:val="006B0FA8"/>
    <w:rsid w:val="006B1281"/>
    <w:rsid w:val="006B1401"/>
    <w:rsid w:val="006B144A"/>
    <w:rsid w:val="006B167B"/>
    <w:rsid w:val="006B1688"/>
    <w:rsid w:val="006B1A70"/>
    <w:rsid w:val="006B1A86"/>
    <w:rsid w:val="006B28BF"/>
    <w:rsid w:val="006B28FB"/>
    <w:rsid w:val="006B2B74"/>
    <w:rsid w:val="006B3118"/>
    <w:rsid w:val="006B3A3F"/>
    <w:rsid w:val="006B44AD"/>
    <w:rsid w:val="006B4D30"/>
    <w:rsid w:val="006B52F0"/>
    <w:rsid w:val="006B55A7"/>
    <w:rsid w:val="006B58E0"/>
    <w:rsid w:val="006B599B"/>
    <w:rsid w:val="006B5C04"/>
    <w:rsid w:val="006B63E2"/>
    <w:rsid w:val="006B753A"/>
    <w:rsid w:val="006C03C2"/>
    <w:rsid w:val="006C0999"/>
    <w:rsid w:val="006C11AC"/>
    <w:rsid w:val="006C1529"/>
    <w:rsid w:val="006C160C"/>
    <w:rsid w:val="006C1623"/>
    <w:rsid w:val="006C2DA2"/>
    <w:rsid w:val="006C2E87"/>
    <w:rsid w:val="006C35C0"/>
    <w:rsid w:val="006C3768"/>
    <w:rsid w:val="006C390E"/>
    <w:rsid w:val="006C4079"/>
    <w:rsid w:val="006C479D"/>
    <w:rsid w:val="006C57FE"/>
    <w:rsid w:val="006C58E9"/>
    <w:rsid w:val="006C599D"/>
    <w:rsid w:val="006C5FEF"/>
    <w:rsid w:val="006C6231"/>
    <w:rsid w:val="006C6E30"/>
    <w:rsid w:val="006C72C7"/>
    <w:rsid w:val="006C7627"/>
    <w:rsid w:val="006C76BB"/>
    <w:rsid w:val="006C7760"/>
    <w:rsid w:val="006C7C18"/>
    <w:rsid w:val="006C7F21"/>
    <w:rsid w:val="006D0522"/>
    <w:rsid w:val="006D05C4"/>
    <w:rsid w:val="006D0AD8"/>
    <w:rsid w:val="006D0B83"/>
    <w:rsid w:val="006D1361"/>
    <w:rsid w:val="006D19B4"/>
    <w:rsid w:val="006D1B1C"/>
    <w:rsid w:val="006D21E4"/>
    <w:rsid w:val="006D24C5"/>
    <w:rsid w:val="006D29A2"/>
    <w:rsid w:val="006D2B5B"/>
    <w:rsid w:val="006D2BCF"/>
    <w:rsid w:val="006D389E"/>
    <w:rsid w:val="006D3A10"/>
    <w:rsid w:val="006D3F3C"/>
    <w:rsid w:val="006D4037"/>
    <w:rsid w:val="006D48F8"/>
    <w:rsid w:val="006D4B9A"/>
    <w:rsid w:val="006D4E4D"/>
    <w:rsid w:val="006D52BA"/>
    <w:rsid w:val="006D5842"/>
    <w:rsid w:val="006D5D0F"/>
    <w:rsid w:val="006D5E06"/>
    <w:rsid w:val="006D6610"/>
    <w:rsid w:val="006D67FA"/>
    <w:rsid w:val="006D6F04"/>
    <w:rsid w:val="006D7230"/>
    <w:rsid w:val="006D7583"/>
    <w:rsid w:val="006D76DC"/>
    <w:rsid w:val="006E0113"/>
    <w:rsid w:val="006E01A4"/>
    <w:rsid w:val="006E038E"/>
    <w:rsid w:val="006E0AE4"/>
    <w:rsid w:val="006E0B4E"/>
    <w:rsid w:val="006E12CF"/>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4577"/>
    <w:rsid w:val="006E5492"/>
    <w:rsid w:val="006E5509"/>
    <w:rsid w:val="006E613A"/>
    <w:rsid w:val="006E6208"/>
    <w:rsid w:val="006E6C03"/>
    <w:rsid w:val="006E7CE6"/>
    <w:rsid w:val="006E7E1F"/>
    <w:rsid w:val="006F02BB"/>
    <w:rsid w:val="006F06C4"/>
    <w:rsid w:val="006F08BF"/>
    <w:rsid w:val="006F0ABF"/>
    <w:rsid w:val="006F1495"/>
    <w:rsid w:val="006F16AF"/>
    <w:rsid w:val="006F28BB"/>
    <w:rsid w:val="006F3019"/>
    <w:rsid w:val="006F329C"/>
    <w:rsid w:val="006F3A8B"/>
    <w:rsid w:val="006F3E3D"/>
    <w:rsid w:val="006F406E"/>
    <w:rsid w:val="006F4095"/>
    <w:rsid w:val="006F4500"/>
    <w:rsid w:val="006F4644"/>
    <w:rsid w:val="006F4DC8"/>
    <w:rsid w:val="006F504A"/>
    <w:rsid w:val="006F5687"/>
    <w:rsid w:val="006F5F49"/>
    <w:rsid w:val="006F629C"/>
    <w:rsid w:val="006F6704"/>
    <w:rsid w:val="006F6AE3"/>
    <w:rsid w:val="006F6C6C"/>
    <w:rsid w:val="006F7165"/>
    <w:rsid w:val="006F7634"/>
    <w:rsid w:val="006F7653"/>
    <w:rsid w:val="006F7CDD"/>
    <w:rsid w:val="007000F7"/>
    <w:rsid w:val="007003E4"/>
    <w:rsid w:val="00700614"/>
    <w:rsid w:val="00701411"/>
    <w:rsid w:val="007023E1"/>
    <w:rsid w:val="0070408C"/>
    <w:rsid w:val="007042D1"/>
    <w:rsid w:val="00704A5E"/>
    <w:rsid w:val="00704B94"/>
    <w:rsid w:val="00705192"/>
    <w:rsid w:val="007051E9"/>
    <w:rsid w:val="00705506"/>
    <w:rsid w:val="007076C6"/>
    <w:rsid w:val="007101A4"/>
    <w:rsid w:val="007104A2"/>
    <w:rsid w:val="0071069C"/>
    <w:rsid w:val="00711282"/>
    <w:rsid w:val="00711840"/>
    <w:rsid w:val="0071195B"/>
    <w:rsid w:val="00711A5C"/>
    <w:rsid w:val="00711B3B"/>
    <w:rsid w:val="00711EF0"/>
    <w:rsid w:val="00711F60"/>
    <w:rsid w:val="00712B79"/>
    <w:rsid w:val="007134FA"/>
    <w:rsid w:val="0071360F"/>
    <w:rsid w:val="00713FF9"/>
    <w:rsid w:val="00714067"/>
    <w:rsid w:val="0071407D"/>
    <w:rsid w:val="00714AA9"/>
    <w:rsid w:val="00714D52"/>
    <w:rsid w:val="00714E72"/>
    <w:rsid w:val="007154E7"/>
    <w:rsid w:val="007159FC"/>
    <w:rsid w:val="00715A2F"/>
    <w:rsid w:val="00715B3E"/>
    <w:rsid w:val="00715E66"/>
    <w:rsid w:val="0071677B"/>
    <w:rsid w:val="00717387"/>
    <w:rsid w:val="00717AB0"/>
    <w:rsid w:val="00717AB2"/>
    <w:rsid w:val="00717B43"/>
    <w:rsid w:val="00717D05"/>
    <w:rsid w:val="00717DE8"/>
    <w:rsid w:val="00717EA1"/>
    <w:rsid w:val="00717EAC"/>
    <w:rsid w:val="007204A7"/>
    <w:rsid w:val="00720A58"/>
    <w:rsid w:val="00720A86"/>
    <w:rsid w:val="00720C36"/>
    <w:rsid w:val="00720E2C"/>
    <w:rsid w:val="0072114D"/>
    <w:rsid w:val="00721910"/>
    <w:rsid w:val="00722FC7"/>
    <w:rsid w:val="00723124"/>
    <w:rsid w:val="0072364C"/>
    <w:rsid w:val="007236E8"/>
    <w:rsid w:val="00724307"/>
    <w:rsid w:val="0072438B"/>
    <w:rsid w:val="00724408"/>
    <w:rsid w:val="007249E2"/>
    <w:rsid w:val="00724AD2"/>
    <w:rsid w:val="00724BBF"/>
    <w:rsid w:val="00726037"/>
    <w:rsid w:val="0072688D"/>
    <w:rsid w:val="00726895"/>
    <w:rsid w:val="00726D53"/>
    <w:rsid w:val="0072775A"/>
    <w:rsid w:val="00727810"/>
    <w:rsid w:val="00727A31"/>
    <w:rsid w:val="0073080F"/>
    <w:rsid w:val="00730B04"/>
    <w:rsid w:val="00730C5A"/>
    <w:rsid w:val="00730CB7"/>
    <w:rsid w:val="00730CE1"/>
    <w:rsid w:val="007315A1"/>
    <w:rsid w:val="00731F45"/>
    <w:rsid w:val="00732003"/>
    <w:rsid w:val="0073204E"/>
    <w:rsid w:val="007325C7"/>
    <w:rsid w:val="00733211"/>
    <w:rsid w:val="00733935"/>
    <w:rsid w:val="00734224"/>
    <w:rsid w:val="00734596"/>
    <w:rsid w:val="00735055"/>
    <w:rsid w:val="0073509B"/>
    <w:rsid w:val="0073597E"/>
    <w:rsid w:val="00735DDA"/>
    <w:rsid w:val="00736D0A"/>
    <w:rsid w:val="00737172"/>
    <w:rsid w:val="007373BD"/>
    <w:rsid w:val="0073783B"/>
    <w:rsid w:val="00737A9E"/>
    <w:rsid w:val="00740685"/>
    <w:rsid w:val="00740706"/>
    <w:rsid w:val="00740A59"/>
    <w:rsid w:val="00740BCB"/>
    <w:rsid w:val="00740D0C"/>
    <w:rsid w:val="00740FEF"/>
    <w:rsid w:val="00741123"/>
    <w:rsid w:val="00741A86"/>
    <w:rsid w:val="00742042"/>
    <w:rsid w:val="00742100"/>
    <w:rsid w:val="007425B1"/>
    <w:rsid w:val="0074278E"/>
    <w:rsid w:val="00742B40"/>
    <w:rsid w:val="00742C07"/>
    <w:rsid w:val="00742D90"/>
    <w:rsid w:val="00743527"/>
    <w:rsid w:val="007440BE"/>
    <w:rsid w:val="007449E1"/>
    <w:rsid w:val="00744D45"/>
    <w:rsid w:val="00745222"/>
    <w:rsid w:val="007452F8"/>
    <w:rsid w:val="007454C4"/>
    <w:rsid w:val="00746597"/>
    <w:rsid w:val="007468DB"/>
    <w:rsid w:val="00746E07"/>
    <w:rsid w:val="00746F98"/>
    <w:rsid w:val="00746F9F"/>
    <w:rsid w:val="007476C5"/>
    <w:rsid w:val="00747958"/>
    <w:rsid w:val="0075062E"/>
    <w:rsid w:val="0075101B"/>
    <w:rsid w:val="0075145A"/>
    <w:rsid w:val="00751A80"/>
    <w:rsid w:val="00751A8B"/>
    <w:rsid w:val="0075265B"/>
    <w:rsid w:val="00752669"/>
    <w:rsid w:val="00753144"/>
    <w:rsid w:val="00753A7F"/>
    <w:rsid w:val="00753AE0"/>
    <w:rsid w:val="007545A4"/>
    <w:rsid w:val="007546B8"/>
    <w:rsid w:val="00755057"/>
    <w:rsid w:val="0075599B"/>
    <w:rsid w:val="00756120"/>
    <w:rsid w:val="00756D8F"/>
    <w:rsid w:val="00756E46"/>
    <w:rsid w:val="007570A8"/>
    <w:rsid w:val="007574F9"/>
    <w:rsid w:val="00757FBA"/>
    <w:rsid w:val="00760526"/>
    <w:rsid w:val="0076089F"/>
    <w:rsid w:val="007620DE"/>
    <w:rsid w:val="0076257B"/>
    <w:rsid w:val="0076264F"/>
    <w:rsid w:val="00762EFA"/>
    <w:rsid w:val="0076388B"/>
    <w:rsid w:val="00763AAA"/>
    <w:rsid w:val="00763B5F"/>
    <w:rsid w:val="00763F6C"/>
    <w:rsid w:val="00763FD0"/>
    <w:rsid w:val="0076429C"/>
    <w:rsid w:val="00764DB5"/>
    <w:rsid w:val="007656C9"/>
    <w:rsid w:val="007656F6"/>
    <w:rsid w:val="0076574E"/>
    <w:rsid w:val="007657DA"/>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0AA"/>
    <w:rsid w:val="0077327B"/>
    <w:rsid w:val="0077345C"/>
    <w:rsid w:val="0077355D"/>
    <w:rsid w:val="00773D5E"/>
    <w:rsid w:val="00773EF8"/>
    <w:rsid w:val="00773F1D"/>
    <w:rsid w:val="00774781"/>
    <w:rsid w:val="007749D1"/>
    <w:rsid w:val="00775330"/>
    <w:rsid w:val="007753E1"/>
    <w:rsid w:val="007762E3"/>
    <w:rsid w:val="007762E5"/>
    <w:rsid w:val="00776560"/>
    <w:rsid w:val="0077672E"/>
    <w:rsid w:val="0077683C"/>
    <w:rsid w:val="00776CD8"/>
    <w:rsid w:val="00776CF0"/>
    <w:rsid w:val="00776D17"/>
    <w:rsid w:val="00777061"/>
    <w:rsid w:val="00777AB7"/>
    <w:rsid w:val="00780369"/>
    <w:rsid w:val="007805F6"/>
    <w:rsid w:val="0078078C"/>
    <w:rsid w:val="0078139C"/>
    <w:rsid w:val="007814FE"/>
    <w:rsid w:val="0078263C"/>
    <w:rsid w:val="00783594"/>
    <w:rsid w:val="007836B0"/>
    <w:rsid w:val="00783E29"/>
    <w:rsid w:val="00783F5A"/>
    <w:rsid w:val="00784802"/>
    <w:rsid w:val="0078530B"/>
    <w:rsid w:val="00785394"/>
    <w:rsid w:val="00785686"/>
    <w:rsid w:val="00785828"/>
    <w:rsid w:val="00785ABE"/>
    <w:rsid w:val="00785C42"/>
    <w:rsid w:val="00785E93"/>
    <w:rsid w:val="00786462"/>
    <w:rsid w:val="0078695B"/>
    <w:rsid w:val="0078718A"/>
    <w:rsid w:val="00787739"/>
    <w:rsid w:val="00787BD8"/>
    <w:rsid w:val="0079061F"/>
    <w:rsid w:val="00790F21"/>
    <w:rsid w:val="00790F49"/>
    <w:rsid w:val="00790FBA"/>
    <w:rsid w:val="0079172E"/>
    <w:rsid w:val="00791D3F"/>
    <w:rsid w:val="00791E4C"/>
    <w:rsid w:val="00792095"/>
    <w:rsid w:val="007921A2"/>
    <w:rsid w:val="00792590"/>
    <w:rsid w:val="00792EB5"/>
    <w:rsid w:val="00793099"/>
    <w:rsid w:val="007938F6"/>
    <w:rsid w:val="00793F7A"/>
    <w:rsid w:val="0079404B"/>
    <w:rsid w:val="007943E3"/>
    <w:rsid w:val="00794AC2"/>
    <w:rsid w:val="00794C65"/>
    <w:rsid w:val="00795525"/>
    <w:rsid w:val="00795714"/>
    <w:rsid w:val="00795737"/>
    <w:rsid w:val="00795AC1"/>
    <w:rsid w:val="00796B16"/>
    <w:rsid w:val="007973F8"/>
    <w:rsid w:val="007A0019"/>
    <w:rsid w:val="007A07A1"/>
    <w:rsid w:val="007A0DCD"/>
    <w:rsid w:val="007A1459"/>
    <w:rsid w:val="007A1E81"/>
    <w:rsid w:val="007A2206"/>
    <w:rsid w:val="007A2576"/>
    <w:rsid w:val="007A3170"/>
    <w:rsid w:val="007A3991"/>
    <w:rsid w:val="007A3B72"/>
    <w:rsid w:val="007A4136"/>
    <w:rsid w:val="007A41DF"/>
    <w:rsid w:val="007A4281"/>
    <w:rsid w:val="007A46BD"/>
    <w:rsid w:val="007A4E24"/>
    <w:rsid w:val="007A4EC3"/>
    <w:rsid w:val="007A5371"/>
    <w:rsid w:val="007A5392"/>
    <w:rsid w:val="007A5C0C"/>
    <w:rsid w:val="007A5F0F"/>
    <w:rsid w:val="007A6021"/>
    <w:rsid w:val="007A64FD"/>
    <w:rsid w:val="007A6688"/>
    <w:rsid w:val="007A68B6"/>
    <w:rsid w:val="007A6CCF"/>
    <w:rsid w:val="007A6D55"/>
    <w:rsid w:val="007A7599"/>
    <w:rsid w:val="007A7E47"/>
    <w:rsid w:val="007B0182"/>
    <w:rsid w:val="007B0235"/>
    <w:rsid w:val="007B0B14"/>
    <w:rsid w:val="007B120D"/>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6C9A"/>
    <w:rsid w:val="007B70A7"/>
    <w:rsid w:val="007B7942"/>
    <w:rsid w:val="007B7C28"/>
    <w:rsid w:val="007B7C71"/>
    <w:rsid w:val="007C0022"/>
    <w:rsid w:val="007C01B0"/>
    <w:rsid w:val="007C02ED"/>
    <w:rsid w:val="007C063B"/>
    <w:rsid w:val="007C08AC"/>
    <w:rsid w:val="007C097D"/>
    <w:rsid w:val="007C0C35"/>
    <w:rsid w:val="007C1037"/>
    <w:rsid w:val="007C14F4"/>
    <w:rsid w:val="007C1530"/>
    <w:rsid w:val="007C1B96"/>
    <w:rsid w:val="007C2376"/>
    <w:rsid w:val="007C29D3"/>
    <w:rsid w:val="007C2D2A"/>
    <w:rsid w:val="007C3743"/>
    <w:rsid w:val="007C3751"/>
    <w:rsid w:val="007C3A9C"/>
    <w:rsid w:val="007C42A9"/>
    <w:rsid w:val="007C4574"/>
    <w:rsid w:val="007C48F6"/>
    <w:rsid w:val="007C4D41"/>
    <w:rsid w:val="007C4E2F"/>
    <w:rsid w:val="007C51C0"/>
    <w:rsid w:val="007C52D9"/>
    <w:rsid w:val="007C53D8"/>
    <w:rsid w:val="007C58A5"/>
    <w:rsid w:val="007C5BDD"/>
    <w:rsid w:val="007C5F65"/>
    <w:rsid w:val="007C60A9"/>
    <w:rsid w:val="007C6268"/>
    <w:rsid w:val="007C650D"/>
    <w:rsid w:val="007C65A5"/>
    <w:rsid w:val="007C6A2A"/>
    <w:rsid w:val="007C6CB5"/>
    <w:rsid w:val="007C6E53"/>
    <w:rsid w:val="007C70C7"/>
    <w:rsid w:val="007C7D19"/>
    <w:rsid w:val="007C7EB2"/>
    <w:rsid w:val="007C7FD0"/>
    <w:rsid w:val="007D0F12"/>
    <w:rsid w:val="007D11AF"/>
    <w:rsid w:val="007D1591"/>
    <w:rsid w:val="007D163B"/>
    <w:rsid w:val="007D16E6"/>
    <w:rsid w:val="007D1801"/>
    <w:rsid w:val="007D1B9F"/>
    <w:rsid w:val="007D1ED6"/>
    <w:rsid w:val="007D2196"/>
    <w:rsid w:val="007D2ACE"/>
    <w:rsid w:val="007D2D79"/>
    <w:rsid w:val="007D3C0A"/>
    <w:rsid w:val="007D49B4"/>
    <w:rsid w:val="007D511F"/>
    <w:rsid w:val="007D54AB"/>
    <w:rsid w:val="007D596C"/>
    <w:rsid w:val="007D5EAE"/>
    <w:rsid w:val="007D6BB5"/>
    <w:rsid w:val="007D7248"/>
    <w:rsid w:val="007D7298"/>
    <w:rsid w:val="007D7966"/>
    <w:rsid w:val="007E0441"/>
    <w:rsid w:val="007E047B"/>
    <w:rsid w:val="007E0866"/>
    <w:rsid w:val="007E0A41"/>
    <w:rsid w:val="007E1361"/>
    <w:rsid w:val="007E1821"/>
    <w:rsid w:val="007E18DB"/>
    <w:rsid w:val="007E1AA5"/>
    <w:rsid w:val="007E1DA8"/>
    <w:rsid w:val="007E258D"/>
    <w:rsid w:val="007E26CB"/>
    <w:rsid w:val="007E2B43"/>
    <w:rsid w:val="007E34AD"/>
    <w:rsid w:val="007E3549"/>
    <w:rsid w:val="007E3C6E"/>
    <w:rsid w:val="007E3E4E"/>
    <w:rsid w:val="007E430F"/>
    <w:rsid w:val="007E4719"/>
    <w:rsid w:val="007E474B"/>
    <w:rsid w:val="007E4800"/>
    <w:rsid w:val="007E4A53"/>
    <w:rsid w:val="007E4C6D"/>
    <w:rsid w:val="007E4E83"/>
    <w:rsid w:val="007E51A4"/>
    <w:rsid w:val="007E6284"/>
    <w:rsid w:val="007E680E"/>
    <w:rsid w:val="007E6D3A"/>
    <w:rsid w:val="007E6DD0"/>
    <w:rsid w:val="007E742D"/>
    <w:rsid w:val="007E790B"/>
    <w:rsid w:val="007E7951"/>
    <w:rsid w:val="007F0683"/>
    <w:rsid w:val="007F13D5"/>
    <w:rsid w:val="007F1942"/>
    <w:rsid w:val="007F1A4A"/>
    <w:rsid w:val="007F1AEE"/>
    <w:rsid w:val="007F21D5"/>
    <w:rsid w:val="007F2ED2"/>
    <w:rsid w:val="007F31AF"/>
    <w:rsid w:val="007F4243"/>
    <w:rsid w:val="007F43DB"/>
    <w:rsid w:val="007F48F3"/>
    <w:rsid w:val="007F4DBC"/>
    <w:rsid w:val="007F5120"/>
    <w:rsid w:val="007F51C7"/>
    <w:rsid w:val="007F564E"/>
    <w:rsid w:val="007F6227"/>
    <w:rsid w:val="007F6A4C"/>
    <w:rsid w:val="007F6B6E"/>
    <w:rsid w:val="007F776B"/>
    <w:rsid w:val="007F7CEB"/>
    <w:rsid w:val="0080082C"/>
    <w:rsid w:val="00800940"/>
    <w:rsid w:val="00800C86"/>
    <w:rsid w:val="0080106A"/>
    <w:rsid w:val="00801AC1"/>
    <w:rsid w:val="00801F9D"/>
    <w:rsid w:val="00802285"/>
    <w:rsid w:val="008024DE"/>
    <w:rsid w:val="00802B1C"/>
    <w:rsid w:val="00802FB1"/>
    <w:rsid w:val="008035AD"/>
    <w:rsid w:val="00803E36"/>
    <w:rsid w:val="00804794"/>
    <w:rsid w:val="0080498D"/>
    <w:rsid w:val="00804B35"/>
    <w:rsid w:val="00804BEB"/>
    <w:rsid w:val="0080500E"/>
    <w:rsid w:val="00805E5C"/>
    <w:rsid w:val="00805FF2"/>
    <w:rsid w:val="0080619A"/>
    <w:rsid w:val="008071C6"/>
    <w:rsid w:val="00807C06"/>
    <w:rsid w:val="00807C5C"/>
    <w:rsid w:val="0081028B"/>
    <w:rsid w:val="008109F9"/>
    <w:rsid w:val="0081133C"/>
    <w:rsid w:val="0081142F"/>
    <w:rsid w:val="008114DD"/>
    <w:rsid w:val="00811B8D"/>
    <w:rsid w:val="00812173"/>
    <w:rsid w:val="008121B5"/>
    <w:rsid w:val="0081237B"/>
    <w:rsid w:val="008127CF"/>
    <w:rsid w:val="008127F0"/>
    <w:rsid w:val="00812809"/>
    <w:rsid w:val="0081296F"/>
    <w:rsid w:val="00813328"/>
    <w:rsid w:val="00813A99"/>
    <w:rsid w:val="00813C80"/>
    <w:rsid w:val="00813F88"/>
    <w:rsid w:val="00813FE7"/>
    <w:rsid w:val="00814564"/>
    <w:rsid w:val="008146A8"/>
    <w:rsid w:val="00814C55"/>
    <w:rsid w:val="00814DC3"/>
    <w:rsid w:val="008150A1"/>
    <w:rsid w:val="008153EA"/>
    <w:rsid w:val="008156B6"/>
    <w:rsid w:val="00815858"/>
    <w:rsid w:val="00816DAF"/>
    <w:rsid w:val="00817472"/>
    <w:rsid w:val="00817CE6"/>
    <w:rsid w:val="008203EE"/>
    <w:rsid w:val="00820FBE"/>
    <w:rsid w:val="00821455"/>
    <w:rsid w:val="00821BC6"/>
    <w:rsid w:val="00822075"/>
    <w:rsid w:val="0082274E"/>
    <w:rsid w:val="00823002"/>
    <w:rsid w:val="008239DE"/>
    <w:rsid w:val="00823AD6"/>
    <w:rsid w:val="00823D17"/>
    <w:rsid w:val="00823DD2"/>
    <w:rsid w:val="00824525"/>
    <w:rsid w:val="008248A6"/>
    <w:rsid w:val="00824A8D"/>
    <w:rsid w:val="00824F16"/>
    <w:rsid w:val="008256F5"/>
    <w:rsid w:val="008258C8"/>
    <w:rsid w:val="00826134"/>
    <w:rsid w:val="00826563"/>
    <w:rsid w:val="00826A39"/>
    <w:rsid w:val="00826CF4"/>
    <w:rsid w:val="00827355"/>
    <w:rsid w:val="0082786F"/>
    <w:rsid w:val="00827BF2"/>
    <w:rsid w:val="008300B3"/>
    <w:rsid w:val="00830614"/>
    <w:rsid w:val="00830814"/>
    <w:rsid w:val="00830AF7"/>
    <w:rsid w:val="0083141D"/>
    <w:rsid w:val="008322BF"/>
    <w:rsid w:val="00832373"/>
    <w:rsid w:val="00832409"/>
    <w:rsid w:val="00832856"/>
    <w:rsid w:val="00832A79"/>
    <w:rsid w:val="00832F28"/>
    <w:rsid w:val="0083330F"/>
    <w:rsid w:val="008335F7"/>
    <w:rsid w:val="00833919"/>
    <w:rsid w:val="00833A5A"/>
    <w:rsid w:val="00833B06"/>
    <w:rsid w:val="00833D74"/>
    <w:rsid w:val="008341AC"/>
    <w:rsid w:val="00834823"/>
    <w:rsid w:val="00834C4A"/>
    <w:rsid w:val="00835200"/>
    <w:rsid w:val="00835569"/>
    <w:rsid w:val="00835653"/>
    <w:rsid w:val="00835F50"/>
    <w:rsid w:val="00836530"/>
    <w:rsid w:val="00836619"/>
    <w:rsid w:val="008368EB"/>
    <w:rsid w:val="00836A58"/>
    <w:rsid w:val="00836B0B"/>
    <w:rsid w:val="00836C0B"/>
    <w:rsid w:val="00837650"/>
    <w:rsid w:val="008378CA"/>
    <w:rsid w:val="0084046F"/>
    <w:rsid w:val="00840543"/>
    <w:rsid w:val="008408B0"/>
    <w:rsid w:val="00840AE8"/>
    <w:rsid w:val="00840BB3"/>
    <w:rsid w:val="00840BEC"/>
    <w:rsid w:val="008411F9"/>
    <w:rsid w:val="008414EE"/>
    <w:rsid w:val="008417C0"/>
    <w:rsid w:val="008418CD"/>
    <w:rsid w:val="00841A02"/>
    <w:rsid w:val="00841CB0"/>
    <w:rsid w:val="008423A3"/>
    <w:rsid w:val="00842511"/>
    <w:rsid w:val="00842607"/>
    <w:rsid w:val="00842772"/>
    <w:rsid w:val="00842A26"/>
    <w:rsid w:val="00842D01"/>
    <w:rsid w:val="00842DD9"/>
    <w:rsid w:val="0084358D"/>
    <w:rsid w:val="00843ADF"/>
    <w:rsid w:val="00843EB9"/>
    <w:rsid w:val="00844D80"/>
    <w:rsid w:val="0084568C"/>
    <w:rsid w:val="00845960"/>
    <w:rsid w:val="00845A09"/>
    <w:rsid w:val="00845FD8"/>
    <w:rsid w:val="0084619E"/>
    <w:rsid w:val="0084681D"/>
    <w:rsid w:val="00846A30"/>
    <w:rsid w:val="00847165"/>
    <w:rsid w:val="0084731A"/>
    <w:rsid w:val="0084738C"/>
    <w:rsid w:val="00847AC9"/>
    <w:rsid w:val="00847BA2"/>
    <w:rsid w:val="00847CDC"/>
    <w:rsid w:val="00847E66"/>
    <w:rsid w:val="00847EE3"/>
    <w:rsid w:val="008512B6"/>
    <w:rsid w:val="008527E7"/>
    <w:rsid w:val="008535A3"/>
    <w:rsid w:val="008537AB"/>
    <w:rsid w:val="00853C56"/>
    <w:rsid w:val="0085469B"/>
    <w:rsid w:val="00854DDE"/>
    <w:rsid w:val="00855195"/>
    <w:rsid w:val="00855247"/>
    <w:rsid w:val="0085621A"/>
    <w:rsid w:val="008563A7"/>
    <w:rsid w:val="008564FF"/>
    <w:rsid w:val="008565BD"/>
    <w:rsid w:val="00856CC6"/>
    <w:rsid w:val="00857ED6"/>
    <w:rsid w:val="008604C4"/>
    <w:rsid w:val="008608D1"/>
    <w:rsid w:val="00860C3D"/>
    <w:rsid w:val="00860FEA"/>
    <w:rsid w:val="008619A2"/>
    <w:rsid w:val="008619B9"/>
    <w:rsid w:val="00861C57"/>
    <w:rsid w:val="00861CA3"/>
    <w:rsid w:val="008624F6"/>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6F8F"/>
    <w:rsid w:val="008672B7"/>
    <w:rsid w:val="00870AA1"/>
    <w:rsid w:val="00871FE2"/>
    <w:rsid w:val="00872014"/>
    <w:rsid w:val="0087270A"/>
    <w:rsid w:val="0087273A"/>
    <w:rsid w:val="00873CC8"/>
    <w:rsid w:val="00873DB2"/>
    <w:rsid w:val="00875831"/>
    <w:rsid w:val="0087609C"/>
    <w:rsid w:val="008760D2"/>
    <w:rsid w:val="00876979"/>
    <w:rsid w:val="008778FC"/>
    <w:rsid w:val="00880392"/>
    <w:rsid w:val="0088088B"/>
    <w:rsid w:val="00880EC4"/>
    <w:rsid w:val="00881527"/>
    <w:rsid w:val="00881647"/>
    <w:rsid w:val="00881C5B"/>
    <w:rsid w:val="0088232E"/>
    <w:rsid w:val="00882881"/>
    <w:rsid w:val="00882A67"/>
    <w:rsid w:val="00883A33"/>
    <w:rsid w:val="00883CD9"/>
    <w:rsid w:val="00883E93"/>
    <w:rsid w:val="00884385"/>
    <w:rsid w:val="0088445B"/>
    <w:rsid w:val="00884B98"/>
    <w:rsid w:val="00884D97"/>
    <w:rsid w:val="00885240"/>
    <w:rsid w:val="00885973"/>
    <w:rsid w:val="00885B84"/>
    <w:rsid w:val="00886106"/>
    <w:rsid w:val="008873EE"/>
    <w:rsid w:val="00887C7A"/>
    <w:rsid w:val="00887FCA"/>
    <w:rsid w:val="00890221"/>
    <w:rsid w:val="00890388"/>
    <w:rsid w:val="00890730"/>
    <w:rsid w:val="00891392"/>
    <w:rsid w:val="008915C6"/>
    <w:rsid w:val="00891833"/>
    <w:rsid w:val="00891B2F"/>
    <w:rsid w:val="008922B1"/>
    <w:rsid w:val="0089267E"/>
    <w:rsid w:val="00892AE2"/>
    <w:rsid w:val="00892B40"/>
    <w:rsid w:val="0089348C"/>
    <w:rsid w:val="0089475A"/>
    <w:rsid w:val="00894AB7"/>
    <w:rsid w:val="00894B93"/>
    <w:rsid w:val="00894C62"/>
    <w:rsid w:val="00894D5F"/>
    <w:rsid w:val="008950EE"/>
    <w:rsid w:val="0089541F"/>
    <w:rsid w:val="0089578D"/>
    <w:rsid w:val="008959B9"/>
    <w:rsid w:val="00895B5E"/>
    <w:rsid w:val="008964EE"/>
    <w:rsid w:val="0089656A"/>
    <w:rsid w:val="00896B5B"/>
    <w:rsid w:val="0089754F"/>
    <w:rsid w:val="008A0341"/>
    <w:rsid w:val="008A06B1"/>
    <w:rsid w:val="008A07C4"/>
    <w:rsid w:val="008A0E09"/>
    <w:rsid w:val="008A1339"/>
    <w:rsid w:val="008A1520"/>
    <w:rsid w:val="008A211B"/>
    <w:rsid w:val="008A21AF"/>
    <w:rsid w:val="008A23F0"/>
    <w:rsid w:val="008A2988"/>
    <w:rsid w:val="008A2AE7"/>
    <w:rsid w:val="008A2E2C"/>
    <w:rsid w:val="008A2FF2"/>
    <w:rsid w:val="008A37BD"/>
    <w:rsid w:val="008A3E66"/>
    <w:rsid w:val="008A40E7"/>
    <w:rsid w:val="008A4438"/>
    <w:rsid w:val="008A462F"/>
    <w:rsid w:val="008A5267"/>
    <w:rsid w:val="008A5268"/>
    <w:rsid w:val="008A5A95"/>
    <w:rsid w:val="008A5B38"/>
    <w:rsid w:val="008A6057"/>
    <w:rsid w:val="008A7228"/>
    <w:rsid w:val="008A7549"/>
    <w:rsid w:val="008A7648"/>
    <w:rsid w:val="008A76EA"/>
    <w:rsid w:val="008A77D6"/>
    <w:rsid w:val="008A7B29"/>
    <w:rsid w:val="008A7CBB"/>
    <w:rsid w:val="008A7D45"/>
    <w:rsid w:val="008B0A2F"/>
    <w:rsid w:val="008B1219"/>
    <w:rsid w:val="008B127E"/>
    <w:rsid w:val="008B1D49"/>
    <w:rsid w:val="008B2130"/>
    <w:rsid w:val="008B2220"/>
    <w:rsid w:val="008B2C7A"/>
    <w:rsid w:val="008B3208"/>
    <w:rsid w:val="008B4293"/>
    <w:rsid w:val="008B4A69"/>
    <w:rsid w:val="008B4CA4"/>
    <w:rsid w:val="008B4CD5"/>
    <w:rsid w:val="008B5551"/>
    <w:rsid w:val="008B5603"/>
    <w:rsid w:val="008B5706"/>
    <w:rsid w:val="008B5BD5"/>
    <w:rsid w:val="008B5F4E"/>
    <w:rsid w:val="008B602D"/>
    <w:rsid w:val="008B6825"/>
    <w:rsid w:val="008B6852"/>
    <w:rsid w:val="008B6B3C"/>
    <w:rsid w:val="008B6F4F"/>
    <w:rsid w:val="008B70C2"/>
    <w:rsid w:val="008B71CE"/>
    <w:rsid w:val="008B76F4"/>
    <w:rsid w:val="008B7909"/>
    <w:rsid w:val="008B7F6E"/>
    <w:rsid w:val="008C00B8"/>
    <w:rsid w:val="008C06A1"/>
    <w:rsid w:val="008C0AE3"/>
    <w:rsid w:val="008C148A"/>
    <w:rsid w:val="008C1789"/>
    <w:rsid w:val="008C1AFB"/>
    <w:rsid w:val="008C1D97"/>
    <w:rsid w:val="008C22B4"/>
    <w:rsid w:val="008C2B58"/>
    <w:rsid w:val="008C2BAD"/>
    <w:rsid w:val="008C2F84"/>
    <w:rsid w:val="008C313A"/>
    <w:rsid w:val="008C31B9"/>
    <w:rsid w:val="008C350B"/>
    <w:rsid w:val="008C485C"/>
    <w:rsid w:val="008C49D6"/>
    <w:rsid w:val="008C4BE7"/>
    <w:rsid w:val="008C62F3"/>
    <w:rsid w:val="008C66B0"/>
    <w:rsid w:val="008C694F"/>
    <w:rsid w:val="008C6A4B"/>
    <w:rsid w:val="008C6BC8"/>
    <w:rsid w:val="008C6BF5"/>
    <w:rsid w:val="008C6CFD"/>
    <w:rsid w:val="008C79A3"/>
    <w:rsid w:val="008C7AFD"/>
    <w:rsid w:val="008C7C10"/>
    <w:rsid w:val="008C7D55"/>
    <w:rsid w:val="008C7F97"/>
    <w:rsid w:val="008D0165"/>
    <w:rsid w:val="008D0686"/>
    <w:rsid w:val="008D1671"/>
    <w:rsid w:val="008D1B11"/>
    <w:rsid w:val="008D1CCC"/>
    <w:rsid w:val="008D1DDF"/>
    <w:rsid w:val="008D246B"/>
    <w:rsid w:val="008D2DDA"/>
    <w:rsid w:val="008D2E8B"/>
    <w:rsid w:val="008D3366"/>
    <w:rsid w:val="008D3FA9"/>
    <w:rsid w:val="008D419D"/>
    <w:rsid w:val="008D4430"/>
    <w:rsid w:val="008D4850"/>
    <w:rsid w:val="008D56AD"/>
    <w:rsid w:val="008D5F16"/>
    <w:rsid w:val="008D6780"/>
    <w:rsid w:val="008D6AED"/>
    <w:rsid w:val="008D7739"/>
    <w:rsid w:val="008D7790"/>
    <w:rsid w:val="008D782E"/>
    <w:rsid w:val="008D79DD"/>
    <w:rsid w:val="008E01B6"/>
    <w:rsid w:val="008E0BCD"/>
    <w:rsid w:val="008E0C5F"/>
    <w:rsid w:val="008E1700"/>
    <w:rsid w:val="008E19C3"/>
    <w:rsid w:val="008E1DB9"/>
    <w:rsid w:val="008E2381"/>
    <w:rsid w:val="008E24C4"/>
    <w:rsid w:val="008E2536"/>
    <w:rsid w:val="008E2B44"/>
    <w:rsid w:val="008E2D57"/>
    <w:rsid w:val="008E2D96"/>
    <w:rsid w:val="008E349A"/>
    <w:rsid w:val="008E3994"/>
    <w:rsid w:val="008E3CEB"/>
    <w:rsid w:val="008E3DEF"/>
    <w:rsid w:val="008E459B"/>
    <w:rsid w:val="008E483E"/>
    <w:rsid w:val="008E4885"/>
    <w:rsid w:val="008E50BF"/>
    <w:rsid w:val="008E54BF"/>
    <w:rsid w:val="008E5BC4"/>
    <w:rsid w:val="008E6F4A"/>
    <w:rsid w:val="008F0208"/>
    <w:rsid w:val="008F0D40"/>
    <w:rsid w:val="008F0EEF"/>
    <w:rsid w:val="008F0FCF"/>
    <w:rsid w:val="008F105D"/>
    <w:rsid w:val="008F17CE"/>
    <w:rsid w:val="008F1944"/>
    <w:rsid w:val="008F1B14"/>
    <w:rsid w:val="008F33A3"/>
    <w:rsid w:val="008F33D0"/>
    <w:rsid w:val="008F37A1"/>
    <w:rsid w:val="008F38A2"/>
    <w:rsid w:val="008F3987"/>
    <w:rsid w:val="008F3AE2"/>
    <w:rsid w:val="008F3B9C"/>
    <w:rsid w:val="008F3BCA"/>
    <w:rsid w:val="008F4181"/>
    <w:rsid w:val="008F46D3"/>
    <w:rsid w:val="008F4A8F"/>
    <w:rsid w:val="008F4B75"/>
    <w:rsid w:val="008F4E0A"/>
    <w:rsid w:val="008F5072"/>
    <w:rsid w:val="008F52AF"/>
    <w:rsid w:val="008F5335"/>
    <w:rsid w:val="008F5D62"/>
    <w:rsid w:val="008F6527"/>
    <w:rsid w:val="008F68E4"/>
    <w:rsid w:val="008F68FC"/>
    <w:rsid w:val="008F6C12"/>
    <w:rsid w:val="008F6D96"/>
    <w:rsid w:val="008F6E78"/>
    <w:rsid w:val="008F7233"/>
    <w:rsid w:val="008F72B5"/>
    <w:rsid w:val="008F7A9E"/>
    <w:rsid w:val="008F7B23"/>
    <w:rsid w:val="008F7BD5"/>
    <w:rsid w:val="008F7CD1"/>
    <w:rsid w:val="008F7DB9"/>
    <w:rsid w:val="00900636"/>
    <w:rsid w:val="00900998"/>
    <w:rsid w:val="00900D17"/>
    <w:rsid w:val="00900D6B"/>
    <w:rsid w:val="009011D1"/>
    <w:rsid w:val="009012A6"/>
    <w:rsid w:val="00902204"/>
    <w:rsid w:val="009026F3"/>
    <w:rsid w:val="0090295F"/>
    <w:rsid w:val="00902FAF"/>
    <w:rsid w:val="00903212"/>
    <w:rsid w:val="009032E3"/>
    <w:rsid w:val="009034A9"/>
    <w:rsid w:val="00903723"/>
    <w:rsid w:val="00904689"/>
    <w:rsid w:val="009046D9"/>
    <w:rsid w:val="00905EF6"/>
    <w:rsid w:val="0090601A"/>
    <w:rsid w:val="00906151"/>
    <w:rsid w:val="0090618E"/>
    <w:rsid w:val="009061B5"/>
    <w:rsid w:val="00906743"/>
    <w:rsid w:val="00906B22"/>
    <w:rsid w:val="00906EEE"/>
    <w:rsid w:val="00906FFE"/>
    <w:rsid w:val="009070BD"/>
    <w:rsid w:val="00907111"/>
    <w:rsid w:val="00907596"/>
    <w:rsid w:val="009075D3"/>
    <w:rsid w:val="00907E98"/>
    <w:rsid w:val="0091099D"/>
    <w:rsid w:val="00910AA5"/>
    <w:rsid w:val="00910FF6"/>
    <w:rsid w:val="0091173A"/>
    <w:rsid w:val="00911AE3"/>
    <w:rsid w:val="00911CC2"/>
    <w:rsid w:val="00912182"/>
    <w:rsid w:val="0091227A"/>
    <w:rsid w:val="009122D6"/>
    <w:rsid w:val="00913571"/>
    <w:rsid w:val="00913660"/>
    <w:rsid w:val="00914620"/>
    <w:rsid w:val="00915151"/>
    <w:rsid w:val="0091541C"/>
    <w:rsid w:val="009156EA"/>
    <w:rsid w:val="00915AF0"/>
    <w:rsid w:val="00915E88"/>
    <w:rsid w:val="00916037"/>
    <w:rsid w:val="009169E7"/>
    <w:rsid w:val="009170A9"/>
    <w:rsid w:val="0091725B"/>
    <w:rsid w:val="0091765A"/>
    <w:rsid w:val="00917B21"/>
    <w:rsid w:val="00917E2B"/>
    <w:rsid w:val="009206BE"/>
    <w:rsid w:val="00920DE9"/>
    <w:rsid w:val="00921443"/>
    <w:rsid w:val="009214FB"/>
    <w:rsid w:val="009215EC"/>
    <w:rsid w:val="0092168E"/>
    <w:rsid w:val="00921CC1"/>
    <w:rsid w:val="00921F05"/>
    <w:rsid w:val="00922479"/>
    <w:rsid w:val="009224A8"/>
    <w:rsid w:val="00922CF5"/>
    <w:rsid w:val="00923016"/>
    <w:rsid w:val="00923073"/>
    <w:rsid w:val="00923096"/>
    <w:rsid w:val="0092339A"/>
    <w:rsid w:val="0092342F"/>
    <w:rsid w:val="00923481"/>
    <w:rsid w:val="00923D07"/>
    <w:rsid w:val="00923F9C"/>
    <w:rsid w:val="00924E27"/>
    <w:rsid w:val="0092509F"/>
    <w:rsid w:val="009251DF"/>
    <w:rsid w:val="009252F3"/>
    <w:rsid w:val="009255DF"/>
    <w:rsid w:val="00925642"/>
    <w:rsid w:val="00925694"/>
    <w:rsid w:val="00925FDB"/>
    <w:rsid w:val="0092655B"/>
    <w:rsid w:val="009272E0"/>
    <w:rsid w:val="0092745C"/>
    <w:rsid w:val="009302D8"/>
    <w:rsid w:val="00930860"/>
    <w:rsid w:val="00930BB2"/>
    <w:rsid w:val="00930DDE"/>
    <w:rsid w:val="0093148B"/>
    <w:rsid w:val="00931D14"/>
    <w:rsid w:val="00932158"/>
    <w:rsid w:val="00932A00"/>
    <w:rsid w:val="00932F48"/>
    <w:rsid w:val="00933049"/>
    <w:rsid w:val="00933091"/>
    <w:rsid w:val="00933216"/>
    <w:rsid w:val="009332DE"/>
    <w:rsid w:val="0093331A"/>
    <w:rsid w:val="009333E9"/>
    <w:rsid w:val="00933B4A"/>
    <w:rsid w:val="00933B51"/>
    <w:rsid w:val="00933E8C"/>
    <w:rsid w:val="00934125"/>
    <w:rsid w:val="00934442"/>
    <w:rsid w:val="00934695"/>
    <w:rsid w:val="009347BF"/>
    <w:rsid w:val="00934880"/>
    <w:rsid w:val="00934CDC"/>
    <w:rsid w:val="00934F82"/>
    <w:rsid w:val="0093559E"/>
    <w:rsid w:val="00935D35"/>
    <w:rsid w:val="009360C4"/>
    <w:rsid w:val="0093631F"/>
    <w:rsid w:val="0093658F"/>
    <w:rsid w:val="0093728A"/>
    <w:rsid w:val="009375FB"/>
    <w:rsid w:val="00937C75"/>
    <w:rsid w:val="00940241"/>
    <w:rsid w:val="0094025C"/>
    <w:rsid w:val="00940526"/>
    <w:rsid w:val="00940CDE"/>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AAA"/>
    <w:rsid w:val="0094620E"/>
    <w:rsid w:val="00946942"/>
    <w:rsid w:val="00946CF6"/>
    <w:rsid w:val="00947025"/>
    <w:rsid w:val="0094725D"/>
    <w:rsid w:val="009473A9"/>
    <w:rsid w:val="00947406"/>
    <w:rsid w:val="009475C0"/>
    <w:rsid w:val="00947974"/>
    <w:rsid w:val="00947EF1"/>
    <w:rsid w:val="009501AD"/>
    <w:rsid w:val="009506DE"/>
    <w:rsid w:val="009509D2"/>
    <w:rsid w:val="00950E9A"/>
    <w:rsid w:val="009512F7"/>
    <w:rsid w:val="00951376"/>
    <w:rsid w:val="00951EB3"/>
    <w:rsid w:val="00951F44"/>
    <w:rsid w:val="00952539"/>
    <w:rsid w:val="009526B6"/>
    <w:rsid w:val="00952A01"/>
    <w:rsid w:val="00952B32"/>
    <w:rsid w:val="00953496"/>
    <w:rsid w:val="00954656"/>
    <w:rsid w:val="009548A4"/>
    <w:rsid w:val="00954983"/>
    <w:rsid w:val="00954B84"/>
    <w:rsid w:val="00954DA7"/>
    <w:rsid w:val="0095510F"/>
    <w:rsid w:val="00955483"/>
    <w:rsid w:val="0095550E"/>
    <w:rsid w:val="00955562"/>
    <w:rsid w:val="009559BF"/>
    <w:rsid w:val="00955B7C"/>
    <w:rsid w:val="00955F9E"/>
    <w:rsid w:val="009560E4"/>
    <w:rsid w:val="00956324"/>
    <w:rsid w:val="00957BB3"/>
    <w:rsid w:val="00957FD7"/>
    <w:rsid w:val="009601A4"/>
    <w:rsid w:val="00960451"/>
    <w:rsid w:val="00960B32"/>
    <w:rsid w:val="00961127"/>
    <w:rsid w:val="00961150"/>
    <w:rsid w:val="0096122A"/>
    <w:rsid w:val="0096133D"/>
    <w:rsid w:val="00961398"/>
    <w:rsid w:val="00961432"/>
    <w:rsid w:val="00961602"/>
    <w:rsid w:val="009617FB"/>
    <w:rsid w:val="00961B35"/>
    <w:rsid w:val="00961CAE"/>
    <w:rsid w:val="00962EEE"/>
    <w:rsid w:val="00962F00"/>
    <w:rsid w:val="00963088"/>
    <w:rsid w:val="00963592"/>
    <w:rsid w:val="00963E9E"/>
    <w:rsid w:val="00963EB8"/>
    <w:rsid w:val="0096443A"/>
    <w:rsid w:val="00964659"/>
    <w:rsid w:val="00964C55"/>
    <w:rsid w:val="009652C7"/>
    <w:rsid w:val="009654D4"/>
    <w:rsid w:val="00965856"/>
    <w:rsid w:val="00965CDC"/>
    <w:rsid w:val="0096686F"/>
    <w:rsid w:val="00966F0A"/>
    <w:rsid w:val="009672D0"/>
    <w:rsid w:val="00967355"/>
    <w:rsid w:val="00967A21"/>
    <w:rsid w:val="00967C37"/>
    <w:rsid w:val="00967C99"/>
    <w:rsid w:val="00967D81"/>
    <w:rsid w:val="00967F2D"/>
    <w:rsid w:val="009700A0"/>
    <w:rsid w:val="009700FB"/>
    <w:rsid w:val="009703E6"/>
    <w:rsid w:val="00970D80"/>
    <w:rsid w:val="00970DA1"/>
    <w:rsid w:val="009712D0"/>
    <w:rsid w:val="00971726"/>
    <w:rsid w:val="00971861"/>
    <w:rsid w:val="0097199E"/>
    <w:rsid w:val="00971A2C"/>
    <w:rsid w:val="00971EB0"/>
    <w:rsid w:val="00971EBA"/>
    <w:rsid w:val="00971F88"/>
    <w:rsid w:val="0097236C"/>
    <w:rsid w:val="009723D3"/>
    <w:rsid w:val="0097270C"/>
    <w:rsid w:val="00972B5E"/>
    <w:rsid w:val="009732A0"/>
    <w:rsid w:val="00973455"/>
    <w:rsid w:val="00974663"/>
    <w:rsid w:val="00975273"/>
    <w:rsid w:val="00975502"/>
    <w:rsid w:val="00975ABC"/>
    <w:rsid w:val="00975BC0"/>
    <w:rsid w:val="0097606C"/>
    <w:rsid w:val="0097666A"/>
    <w:rsid w:val="00976687"/>
    <w:rsid w:val="00976DEF"/>
    <w:rsid w:val="0097780A"/>
    <w:rsid w:val="00977AD2"/>
    <w:rsid w:val="009801F0"/>
    <w:rsid w:val="0098023C"/>
    <w:rsid w:val="00980A02"/>
    <w:rsid w:val="00980A17"/>
    <w:rsid w:val="00980AC8"/>
    <w:rsid w:val="00980E93"/>
    <w:rsid w:val="009810B1"/>
    <w:rsid w:val="00981662"/>
    <w:rsid w:val="00981D12"/>
    <w:rsid w:val="0098295D"/>
    <w:rsid w:val="0098296D"/>
    <w:rsid w:val="00982E78"/>
    <w:rsid w:val="009838A3"/>
    <w:rsid w:val="009841E9"/>
    <w:rsid w:val="00984426"/>
    <w:rsid w:val="009847B2"/>
    <w:rsid w:val="00985221"/>
    <w:rsid w:val="00985CDD"/>
    <w:rsid w:val="00985CEF"/>
    <w:rsid w:val="009861FD"/>
    <w:rsid w:val="0098688A"/>
    <w:rsid w:val="00986C9A"/>
    <w:rsid w:val="00986CAA"/>
    <w:rsid w:val="00986ECB"/>
    <w:rsid w:val="00987A1B"/>
    <w:rsid w:val="00987AF5"/>
    <w:rsid w:val="00987E02"/>
    <w:rsid w:val="009904FB"/>
    <w:rsid w:val="00991055"/>
    <w:rsid w:val="0099111E"/>
    <w:rsid w:val="00992669"/>
    <w:rsid w:val="0099275E"/>
    <w:rsid w:val="009928D2"/>
    <w:rsid w:val="00992BDA"/>
    <w:rsid w:val="009934A5"/>
    <w:rsid w:val="00993526"/>
    <w:rsid w:val="00993753"/>
    <w:rsid w:val="009937EF"/>
    <w:rsid w:val="00993A22"/>
    <w:rsid w:val="00993AED"/>
    <w:rsid w:val="00993CB9"/>
    <w:rsid w:val="00994399"/>
    <w:rsid w:val="009953B3"/>
    <w:rsid w:val="0099569A"/>
    <w:rsid w:val="009958F0"/>
    <w:rsid w:val="00995CDC"/>
    <w:rsid w:val="00995F9F"/>
    <w:rsid w:val="009962DD"/>
    <w:rsid w:val="009966B8"/>
    <w:rsid w:val="00996A49"/>
    <w:rsid w:val="00997154"/>
    <w:rsid w:val="009971D9"/>
    <w:rsid w:val="009975BE"/>
    <w:rsid w:val="009A0189"/>
    <w:rsid w:val="009A0832"/>
    <w:rsid w:val="009A0A80"/>
    <w:rsid w:val="009A0F65"/>
    <w:rsid w:val="009A1774"/>
    <w:rsid w:val="009A1A32"/>
    <w:rsid w:val="009A1A86"/>
    <w:rsid w:val="009A27A2"/>
    <w:rsid w:val="009A2A0D"/>
    <w:rsid w:val="009A37DB"/>
    <w:rsid w:val="009A3A8C"/>
    <w:rsid w:val="009A3C6A"/>
    <w:rsid w:val="009A405F"/>
    <w:rsid w:val="009A4518"/>
    <w:rsid w:val="009A456B"/>
    <w:rsid w:val="009A4756"/>
    <w:rsid w:val="009A490B"/>
    <w:rsid w:val="009A4D05"/>
    <w:rsid w:val="009A5165"/>
    <w:rsid w:val="009A5777"/>
    <w:rsid w:val="009A59AC"/>
    <w:rsid w:val="009A5E17"/>
    <w:rsid w:val="009A68FD"/>
    <w:rsid w:val="009A6929"/>
    <w:rsid w:val="009A6B43"/>
    <w:rsid w:val="009A6B45"/>
    <w:rsid w:val="009A72E4"/>
    <w:rsid w:val="009A7677"/>
    <w:rsid w:val="009A779D"/>
    <w:rsid w:val="009A7816"/>
    <w:rsid w:val="009A7B1E"/>
    <w:rsid w:val="009B02D8"/>
    <w:rsid w:val="009B128F"/>
    <w:rsid w:val="009B13A8"/>
    <w:rsid w:val="009B1523"/>
    <w:rsid w:val="009B1EA8"/>
    <w:rsid w:val="009B23B6"/>
    <w:rsid w:val="009B2791"/>
    <w:rsid w:val="009B29EC"/>
    <w:rsid w:val="009B2A8A"/>
    <w:rsid w:val="009B2F15"/>
    <w:rsid w:val="009B3505"/>
    <w:rsid w:val="009B35E6"/>
    <w:rsid w:val="009B363A"/>
    <w:rsid w:val="009B3790"/>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028"/>
    <w:rsid w:val="009C08BE"/>
    <w:rsid w:val="009C0AA0"/>
    <w:rsid w:val="009C12ED"/>
    <w:rsid w:val="009C1495"/>
    <w:rsid w:val="009C1900"/>
    <w:rsid w:val="009C1B75"/>
    <w:rsid w:val="009C1BFA"/>
    <w:rsid w:val="009C1C1A"/>
    <w:rsid w:val="009C1D34"/>
    <w:rsid w:val="009C2097"/>
    <w:rsid w:val="009C218A"/>
    <w:rsid w:val="009C24E6"/>
    <w:rsid w:val="009C2FC3"/>
    <w:rsid w:val="009C3259"/>
    <w:rsid w:val="009C3EA0"/>
    <w:rsid w:val="009C3EC4"/>
    <w:rsid w:val="009C4310"/>
    <w:rsid w:val="009C4480"/>
    <w:rsid w:val="009C45C0"/>
    <w:rsid w:val="009C46EE"/>
    <w:rsid w:val="009C47B0"/>
    <w:rsid w:val="009C497D"/>
    <w:rsid w:val="009C4CF3"/>
    <w:rsid w:val="009C4D45"/>
    <w:rsid w:val="009C520F"/>
    <w:rsid w:val="009C5D2A"/>
    <w:rsid w:val="009C5F26"/>
    <w:rsid w:val="009C60C8"/>
    <w:rsid w:val="009C6D3D"/>
    <w:rsid w:val="009C7050"/>
    <w:rsid w:val="009C7076"/>
    <w:rsid w:val="009C72D3"/>
    <w:rsid w:val="009D0058"/>
    <w:rsid w:val="009D00D1"/>
    <w:rsid w:val="009D0AB0"/>
    <w:rsid w:val="009D0B24"/>
    <w:rsid w:val="009D0DA8"/>
    <w:rsid w:val="009D0EF5"/>
    <w:rsid w:val="009D1463"/>
    <w:rsid w:val="009D14B7"/>
    <w:rsid w:val="009D263C"/>
    <w:rsid w:val="009D2753"/>
    <w:rsid w:val="009D2872"/>
    <w:rsid w:val="009D2BE9"/>
    <w:rsid w:val="009D2C0A"/>
    <w:rsid w:val="009D2D2E"/>
    <w:rsid w:val="009D400F"/>
    <w:rsid w:val="009D4092"/>
    <w:rsid w:val="009D4204"/>
    <w:rsid w:val="009D4487"/>
    <w:rsid w:val="009D4595"/>
    <w:rsid w:val="009D46AA"/>
    <w:rsid w:val="009D490E"/>
    <w:rsid w:val="009D4C7A"/>
    <w:rsid w:val="009D4D88"/>
    <w:rsid w:val="009D50C6"/>
    <w:rsid w:val="009D5247"/>
    <w:rsid w:val="009D573D"/>
    <w:rsid w:val="009D587C"/>
    <w:rsid w:val="009D5C88"/>
    <w:rsid w:val="009D60F8"/>
    <w:rsid w:val="009D61DE"/>
    <w:rsid w:val="009D62C0"/>
    <w:rsid w:val="009D6A9A"/>
    <w:rsid w:val="009D7203"/>
    <w:rsid w:val="009D72B4"/>
    <w:rsid w:val="009D74C7"/>
    <w:rsid w:val="009E015A"/>
    <w:rsid w:val="009E0655"/>
    <w:rsid w:val="009E0DDC"/>
    <w:rsid w:val="009E1D8D"/>
    <w:rsid w:val="009E20B5"/>
    <w:rsid w:val="009E2C78"/>
    <w:rsid w:val="009E2D24"/>
    <w:rsid w:val="009E3156"/>
    <w:rsid w:val="009E31C5"/>
    <w:rsid w:val="009E3E27"/>
    <w:rsid w:val="009E3F29"/>
    <w:rsid w:val="009E433C"/>
    <w:rsid w:val="009E4C0F"/>
    <w:rsid w:val="009E59AA"/>
    <w:rsid w:val="009E5E16"/>
    <w:rsid w:val="009E6BBC"/>
    <w:rsid w:val="009E6DF4"/>
    <w:rsid w:val="009E6FC2"/>
    <w:rsid w:val="009E706B"/>
    <w:rsid w:val="009E760B"/>
    <w:rsid w:val="009E77EC"/>
    <w:rsid w:val="009E7EB9"/>
    <w:rsid w:val="009F028C"/>
    <w:rsid w:val="009F04C0"/>
    <w:rsid w:val="009F0A25"/>
    <w:rsid w:val="009F0B00"/>
    <w:rsid w:val="009F1047"/>
    <w:rsid w:val="009F1241"/>
    <w:rsid w:val="009F264D"/>
    <w:rsid w:val="009F2792"/>
    <w:rsid w:val="009F2C44"/>
    <w:rsid w:val="009F3152"/>
    <w:rsid w:val="009F346F"/>
    <w:rsid w:val="009F3C47"/>
    <w:rsid w:val="009F3C84"/>
    <w:rsid w:val="009F3F57"/>
    <w:rsid w:val="009F402A"/>
    <w:rsid w:val="009F4121"/>
    <w:rsid w:val="009F4194"/>
    <w:rsid w:val="009F44CC"/>
    <w:rsid w:val="009F4A0C"/>
    <w:rsid w:val="009F5579"/>
    <w:rsid w:val="009F5BDC"/>
    <w:rsid w:val="009F5F37"/>
    <w:rsid w:val="009F6ED5"/>
    <w:rsid w:val="009F7662"/>
    <w:rsid w:val="00A00023"/>
    <w:rsid w:val="00A00029"/>
    <w:rsid w:val="00A004F9"/>
    <w:rsid w:val="00A009B6"/>
    <w:rsid w:val="00A00B8B"/>
    <w:rsid w:val="00A00D66"/>
    <w:rsid w:val="00A01170"/>
    <w:rsid w:val="00A012AA"/>
    <w:rsid w:val="00A01559"/>
    <w:rsid w:val="00A01ED8"/>
    <w:rsid w:val="00A02036"/>
    <w:rsid w:val="00A02F03"/>
    <w:rsid w:val="00A031CA"/>
    <w:rsid w:val="00A036E1"/>
    <w:rsid w:val="00A038BB"/>
    <w:rsid w:val="00A03DB5"/>
    <w:rsid w:val="00A03FB4"/>
    <w:rsid w:val="00A0445F"/>
    <w:rsid w:val="00A04517"/>
    <w:rsid w:val="00A049A1"/>
    <w:rsid w:val="00A04A43"/>
    <w:rsid w:val="00A0504E"/>
    <w:rsid w:val="00A0529B"/>
    <w:rsid w:val="00A055A8"/>
    <w:rsid w:val="00A066BB"/>
    <w:rsid w:val="00A068AA"/>
    <w:rsid w:val="00A069CC"/>
    <w:rsid w:val="00A069E1"/>
    <w:rsid w:val="00A06AA9"/>
    <w:rsid w:val="00A06DB4"/>
    <w:rsid w:val="00A06DD6"/>
    <w:rsid w:val="00A07444"/>
    <w:rsid w:val="00A075FC"/>
    <w:rsid w:val="00A07DE4"/>
    <w:rsid w:val="00A10BCD"/>
    <w:rsid w:val="00A1115D"/>
    <w:rsid w:val="00A1134E"/>
    <w:rsid w:val="00A1190C"/>
    <w:rsid w:val="00A11D7D"/>
    <w:rsid w:val="00A11E36"/>
    <w:rsid w:val="00A127E4"/>
    <w:rsid w:val="00A13018"/>
    <w:rsid w:val="00A13033"/>
    <w:rsid w:val="00A138C7"/>
    <w:rsid w:val="00A13BC6"/>
    <w:rsid w:val="00A13CE6"/>
    <w:rsid w:val="00A14621"/>
    <w:rsid w:val="00A146C4"/>
    <w:rsid w:val="00A14B5B"/>
    <w:rsid w:val="00A15448"/>
    <w:rsid w:val="00A162FE"/>
    <w:rsid w:val="00A16426"/>
    <w:rsid w:val="00A16623"/>
    <w:rsid w:val="00A175B5"/>
    <w:rsid w:val="00A17671"/>
    <w:rsid w:val="00A17D19"/>
    <w:rsid w:val="00A204F1"/>
    <w:rsid w:val="00A20CD8"/>
    <w:rsid w:val="00A21045"/>
    <w:rsid w:val="00A2113F"/>
    <w:rsid w:val="00A21A24"/>
    <w:rsid w:val="00A21ED7"/>
    <w:rsid w:val="00A22793"/>
    <w:rsid w:val="00A229F1"/>
    <w:rsid w:val="00A22D05"/>
    <w:rsid w:val="00A23DD4"/>
    <w:rsid w:val="00A242F7"/>
    <w:rsid w:val="00A2436E"/>
    <w:rsid w:val="00A24573"/>
    <w:rsid w:val="00A245DC"/>
    <w:rsid w:val="00A2480A"/>
    <w:rsid w:val="00A2491B"/>
    <w:rsid w:val="00A2499C"/>
    <w:rsid w:val="00A2507B"/>
    <w:rsid w:val="00A25FD1"/>
    <w:rsid w:val="00A261F1"/>
    <w:rsid w:val="00A263C8"/>
    <w:rsid w:val="00A2658D"/>
    <w:rsid w:val="00A267C2"/>
    <w:rsid w:val="00A26A26"/>
    <w:rsid w:val="00A2725E"/>
    <w:rsid w:val="00A272A4"/>
    <w:rsid w:val="00A2746C"/>
    <w:rsid w:val="00A274C6"/>
    <w:rsid w:val="00A27C01"/>
    <w:rsid w:val="00A30679"/>
    <w:rsid w:val="00A30B27"/>
    <w:rsid w:val="00A30D6C"/>
    <w:rsid w:val="00A30EDC"/>
    <w:rsid w:val="00A317DB"/>
    <w:rsid w:val="00A32610"/>
    <w:rsid w:val="00A32B20"/>
    <w:rsid w:val="00A33004"/>
    <w:rsid w:val="00A3309A"/>
    <w:rsid w:val="00A33969"/>
    <w:rsid w:val="00A33BAF"/>
    <w:rsid w:val="00A33DAF"/>
    <w:rsid w:val="00A34375"/>
    <w:rsid w:val="00A344BF"/>
    <w:rsid w:val="00A3496E"/>
    <w:rsid w:val="00A35286"/>
    <w:rsid w:val="00A35740"/>
    <w:rsid w:val="00A3581B"/>
    <w:rsid w:val="00A35C30"/>
    <w:rsid w:val="00A36274"/>
    <w:rsid w:val="00A3690C"/>
    <w:rsid w:val="00A3708B"/>
    <w:rsid w:val="00A377A2"/>
    <w:rsid w:val="00A37D08"/>
    <w:rsid w:val="00A37F7C"/>
    <w:rsid w:val="00A40708"/>
    <w:rsid w:val="00A40AFF"/>
    <w:rsid w:val="00A40BC3"/>
    <w:rsid w:val="00A41621"/>
    <w:rsid w:val="00A419BF"/>
    <w:rsid w:val="00A41A2D"/>
    <w:rsid w:val="00A41A44"/>
    <w:rsid w:val="00A41AB4"/>
    <w:rsid w:val="00A41C76"/>
    <w:rsid w:val="00A42330"/>
    <w:rsid w:val="00A42590"/>
    <w:rsid w:val="00A4292A"/>
    <w:rsid w:val="00A42B5E"/>
    <w:rsid w:val="00A42D8A"/>
    <w:rsid w:val="00A42F71"/>
    <w:rsid w:val="00A43509"/>
    <w:rsid w:val="00A444A6"/>
    <w:rsid w:val="00A44806"/>
    <w:rsid w:val="00A449F1"/>
    <w:rsid w:val="00A44D18"/>
    <w:rsid w:val="00A44DC8"/>
    <w:rsid w:val="00A45317"/>
    <w:rsid w:val="00A45BD7"/>
    <w:rsid w:val="00A45C1C"/>
    <w:rsid w:val="00A4600C"/>
    <w:rsid w:val="00A46702"/>
    <w:rsid w:val="00A46817"/>
    <w:rsid w:val="00A46ADD"/>
    <w:rsid w:val="00A46D13"/>
    <w:rsid w:val="00A472C9"/>
    <w:rsid w:val="00A503EB"/>
    <w:rsid w:val="00A50534"/>
    <w:rsid w:val="00A50CA2"/>
    <w:rsid w:val="00A50F0A"/>
    <w:rsid w:val="00A51152"/>
    <w:rsid w:val="00A513F9"/>
    <w:rsid w:val="00A51476"/>
    <w:rsid w:val="00A5199F"/>
    <w:rsid w:val="00A51A2F"/>
    <w:rsid w:val="00A525A6"/>
    <w:rsid w:val="00A5266F"/>
    <w:rsid w:val="00A528A6"/>
    <w:rsid w:val="00A52E20"/>
    <w:rsid w:val="00A52FCB"/>
    <w:rsid w:val="00A53A91"/>
    <w:rsid w:val="00A54189"/>
    <w:rsid w:val="00A54798"/>
    <w:rsid w:val="00A54D5D"/>
    <w:rsid w:val="00A54DCE"/>
    <w:rsid w:val="00A5526B"/>
    <w:rsid w:val="00A5536B"/>
    <w:rsid w:val="00A5558B"/>
    <w:rsid w:val="00A5580E"/>
    <w:rsid w:val="00A55890"/>
    <w:rsid w:val="00A56052"/>
    <w:rsid w:val="00A56250"/>
    <w:rsid w:val="00A5654A"/>
    <w:rsid w:val="00A56937"/>
    <w:rsid w:val="00A5739F"/>
    <w:rsid w:val="00A57893"/>
    <w:rsid w:val="00A60B0A"/>
    <w:rsid w:val="00A6149F"/>
    <w:rsid w:val="00A63006"/>
    <w:rsid w:val="00A63177"/>
    <w:rsid w:val="00A632EB"/>
    <w:rsid w:val="00A639E8"/>
    <w:rsid w:val="00A639F0"/>
    <w:rsid w:val="00A641F2"/>
    <w:rsid w:val="00A647AD"/>
    <w:rsid w:val="00A64F33"/>
    <w:rsid w:val="00A65186"/>
    <w:rsid w:val="00A655E1"/>
    <w:rsid w:val="00A656C7"/>
    <w:rsid w:val="00A656D1"/>
    <w:rsid w:val="00A6581D"/>
    <w:rsid w:val="00A65A36"/>
    <w:rsid w:val="00A65BC2"/>
    <w:rsid w:val="00A6600A"/>
    <w:rsid w:val="00A662AD"/>
    <w:rsid w:val="00A6641C"/>
    <w:rsid w:val="00A666B1"/>
    <w:rsid w:val="00A66926"/>
    <w:rsid w:val="00A66BA2"/>
    <w:rsid w:val="00A66DFC"/>
    <w:rsid w:val="00A67293"/>
    <w:rsid w:val="00A673AC"/>
    <w:rsid w:val="00A6761D"/>
    <w:rsid w:val="00A67B58"/>
    <w:rsid w:val="00A71C23"/>
    <w:rsid w:val="00A727C8"/>
    <w:rsid w:val="00A73EDC"/>
    <w:rsid w:val="00A74227"/>
    <w:rsid w:val="00A747D5"/>
    <w:rsid w:val="00A74AE1"/>
    <w:rsid w:val="00A74CAA"/>
    <w:rsid w:val="00A752A7"/>
    <w:rsid w:val="00A75370"/>
    <w:rsid w:val="00A764E5"/>
    <w:rsid w:val="00A76A17"/>
    <w:rsid w:val="00A76D56"/>
    <w:rsid w:val="00A77529"/>
    <w:rsid w:val="00A81025"/>
    <w:rsid w:val="00A816D0"/>
    <w:rsid w:val="00A819EA"/>
    <w:rsid w:val="00A81D68"/>
    <w:rsid w:val="00A82659"/>
    <w:rsid w:val="00A826BC"/>
    <w:rsid w:val="00A82A6A"/>
    <w:rsid w:val="00A82AC5"/>
    <w:rsid w:val="00A82E09"/>
    <w:rsid w:val="00A82F7A"/>
    <w:rsid w:val="00A8339A"/>
    <w:rsid w:val="00A83410"/>
    <w:rsid w:val="00A836A5"/>
    <w:rsid w:val="00A836D7"/>
    <w:rsid w:val="00A83B03"/>
    <w:rsid w:val="00A83B3B"/>
    <w:rsid w:val="00A83C94"/>
    <w:rsid w:val="00A84783"/>
    <w:rsid w:val="00A84A8B"/>
    <w:rsid w:val="00A852DA"/>
    <w:rsid w:val="00A856B5"/>
    <w:rsid w:val="00A857D3"/>
    <w:rsid w:val="00A85BA2"/>
    <w:rsid w:val="00A85D35"/>
    <w:rsid w:val="00A862E8"/>
    <w:rsid w:val="00A867B4"/>
    <w:rsid w:val="00A867D3"/>
    <w:rsid w:val="00A86A42"/>
    <w:rsid w:val="00A87076"/>
    <w:rsid w:val="00A87251"/>
    <w:rsid w:val="00A87D76"/>
    <w:rsid w:val="00A87DEE"/>
    <w:rsid w:val="00A90732"/>
    <w:rsid w:val="00A90844"/>
    <w:rsid w:val="00A908F8"/>
    <w:rsid w:val="00A908F9"/>
    <w:rsid w:val="00A9118C"/>
    <w:rsid w:val="00A913A2"/>
    <w:rsid w:val="00A913AB"/>
    <w:rsid w:val="00A9164D"/>
    <w:rsid w:val="00A91AAF"/>
    <w:rsid w:val="00A92244"/>
    <w:rsid w:val="00A922CA"/>
    <w:rsid w:val="00A922D3"/>
    <w:rsid w:val="00A92DF0"/>
    <w:rsid w:val="00A93483"/>
    <w:rsid w:val="00A93735"/>
    <w:rsid w:val="00A93A45"/>
    <w:rsid w:val="00A93A6C"/>
    <w:rsid w:val="00A94210"/>
    <w:rsid w:val="00A94AEF"/>
    <w:rsid w:val="00A94EB1"/>
    <w:rsid w:val="00A95C6F"/>
    <w:rsid w:val="00A95E22"/>
    <w:rsid w:val="00A963B7"/>
    <w:rsid w:val="00A96785"/>
    <w:rsid w:val="00A967A9"/>
    <w:rsid w:val="00A96A2C"/>
    <w:rsid w:val="00A976F3"/>
    <w:rsid w:val="00A97763"/>
    <w:rsid w:val="00A97E8D"/>
    <w:rsid w:val="00AA0599"/>
    <w:rsid w:val="00AA077D"/>
    <w:rsid w:val="00AA07E2"/>
    <w:rsid w:val="00AA090E"/>
    <w:rsid w:val="00AA0B44"/>
    <w:rsid w:val="00AA1061"/>
    <w:rsid w:val="00AA1753"/>
    <w:rsid w:val="00AA1993"/>
    <w:rsid w:val="00AA2052"/>
    <w:rsid w:val="00AA23AA"/>
    <w:rsid w:val="00AA2588"/>
    <w:rsid w:val="00AA26A7"/>
    <w:rsid w:val="00AA2ADD"/>
    <w:rsid w:val="00AA2B00"/>
    <w:rsid w:val="00AA2B34"/>
    <w:rsid w:val="00AA2BAF"/>
    <w:rsid w:val="00AA2E57"/>
    <w:rsid w:val="00AA38ED"/>
    <w:rsid w:val="00AA419A"/>
    <w:rsid w:val="00AA433A"/>
    <w:rsid w:val="00AA4507"/>
    <w:rsid w:val="00AA4872"/>
    <w:rsid w:val="00AA6019"/>
    <w:rsid w:val="00AA625A"/>
    <w:rsid w:val="00AA68C2"/>
    <w:rsid w:val="00AA6E3F"/>
    <w:rsid w:val="00AA77C8"/>
    <w:rsid w:val="00AA785B"/>
    <w:rsid w:val="00AB033E"/>
    <w:rsid w:val="00AB1172"/>
    <w:rsid w:val="00AB1891"/>
    <w:rsid w:val="00AB23B9"/>
    <w:rsid w:val="00AB2466"/>
    <w:rsid w:val="00AB2A1C"/>
    <w:rsid w:val="00AB3122"/>
    <w:rsid w:val="00AB361E"/>
    <w:rsid w:val="00AB372F"/>
    <w:rsid w:val="00AB3B01"/>
    <w:rsid w:val="00AB3EFB"/>
    <w:rsid w:val="00AB4436"/>
    <w:rsid w:val="00AB47BC"/>
    <w:rsid w:val="00AB4CC1"/>
    <w:rsid w:val="00AB56B7"/>
    <w:rsid w:val="00AB5979"/>
    <w:rsid w:val="00AB5E25"/>
    <w:rsid w:val="00AB5FC2"/>
    <w:rsid w:val="00AB630D"/>
    <w:rsid w:val="00AB6C54"/>
    <w:rsid w:val="00AB6F54"/>
    <w:rsid w:val="00AB7355"/>
    <w:rsid w:val="00AB745D"/>
    <w:rsid w:val="00AB7ADF"/>
    <w:rsid w:val="00AB7F8E"/>
    <w:rsid w:val="00AC03F8"/>
    <w:rsid w:val="00AC0979"/>
    <w:rsid w:val="00AC1088"/>
    <w:rsid w:val="00AC141F"/>
    <w:rsid w:val="00AC1662"/>
    <w:rsid w:val="00AC17A6"/>
    <w:rsid w:val="00AC1BE7"/>
    <w:rsid w:val="00AC27DD"/>
    <w:rsid w:val="00AC3502"/>
    <w:rsid w:val="00AC3643"/>
    <w:rsid w:val="00AC3945"/>
    <w:rsid w:val="00AC39ED"/>
    <w:rsid w:val="00AC3BAD"/>
    <w:rsid w:val="00AC3DC2"/>
    <w:rsid w:val="00AC3DD1"/>
    <w:rsid w:val="00AC43F6"/>
    <w:rsid w:val="00AC4592"/>
    <w:rsid w:val="00AC52D5"/>
    <w:rsid w:val="00AC655E"/>
    <w:rsid w:val="00AC6B2F"/>
    <w:rsid w:val="00AC709D"/>
    <w:rsid w:val="00AC711F"/>
    <w:rsid w:val="00AC72B1"/>
    <w:rsid w:val="00AD03E5"/>
    <w:rsid w:val="00AD12D7"/>
    <w:rsid w:val="00AD172E"/>
    <w:rsid w:val="00AD174B"/>
    <w:rsid w:val="00AD1B1A"/>
    <w:rsid w:val="00AD22F7"/>
    <w:rsid w:val="00AD262A"/>
    <w:rsid w:val="00AD27CB"/>
    <w:rsid w:val="00AD2E53"/>
    <w:rsid w:val="00AD3826"/>
    <w:rsid w:val="00AD3A99"/>
    <w:rsid w:val="00AD432B"/>
    <w:rsid w:val="00AD50B5"/>
    <w:rsid w:val="00AD54BA"/>
    <w:rsid w:val="00AD5C12"/>
    <w:rsid w:val="00AD5F3C"/>
    <w:rsid w:val="00AD643E"/>
    <w:rsid w:val="00AD653F"/>
    <w:rsid w:val="00AD6AD0"/>
    <w:rsid w:val="00AD6B28"/>
    <w:rsid w:val="00AD6B9C"/>
    <w:rsid w:val="00AD6C5F"/>
    <w:rsid w:val="00AD7078"/>
    <w:rsid w:val="00AD76C0"/>
    <w:rsid w:val="00AE066D"/>
    <w:rsid w:val="00AE088E"/>
    <w:rsid w:val="00AE0E3F"/>
    <w:rsid w:val="00AE0E75"/>
    <w:rsid w:val="00AE0F80"/>
    <w:rsid w:val="00AE0F94"/>
    <w:rsid w:val="00AE1193"/>
    <w:rsid w:val="00AE1295"/>
    <w:rsid w:val="00AE1F37"/>
    <w:rsid w:val="00AE2194"/>
    <w:rsid w:val="00AE232F"/>
    <w:rsid w:val="00AE267F"/>
    <w:rsid w:val="00AE2A75"/>
    <w:rsid w:val="00AE2CFA"/>
    <w:rsid w:val="00AE328D"/>
    <w:rsid w:val="00AE32B2"/>
    <w:rsid w:val="00AE371A"/>
    <w:rsid w:val="00AE3DCB"/>
    <w:rsid w:val="00AE460D"/>
    <w:rsid w:val="00AE497C"/>
    <w:rsid w:val="00AE541A"/>
    <w:rsid w:val="00AE5CC7"/>
    <w:rsid w:val="00AE5E7A"/>
    <w:rsid w:val="00AE6718"/>
    <w:rsid w:val="00AE6930"/>
    <w:rsid w:val="00AE6A84"/>
    <w:rsid w:val="00AE6DE4"/>
    <w:rsid w:val="00AE7CFE"/>
    <w:rsid w:val="00AF017D"/>
    <w:rsid w:val="00AF0AB5"/>
    <w:rsid w:val="00AF0CBF"/>
    <w:rsid w:val="00AF11C9"/>
    <w:rsid w:val="00AF1ACE"/>
    <w:rsid w:val="00AF1F75"/>
    <w:rsid w:val="00AF2421"/>
    <w:rsid w:val="00AF2436"/>
    <w:rsid w:val="00AF2446"/>
    <w:rsid w:val="00AF2807"/>
    <w:rsid w:val="00AF2A37"/>
    <w:rsid w:val="00AF2ED1"/>
    <w:rsid w:val="00AF3659"/>
    <w:rsid w:val="00AF3DE8"/>
    <w:rsid w:val="00AF457A"/>
    <w:rsid w:val="00AF4847"/>
    <w:rsid w:val="00AF53E8"/>
    <w:rsid w:val="00AF5815"/>
    <w:rsid w:val="00AF5BBA"/>
    <w:rsid w:val="00AF5C5A"/>
    <w:rsid w:val="00AF6C04"/>
    <w:rsid w:val="00AF6C8F"/>
    <w:rsid w:val="00AF6E26"/>
    <w:rsid w:val="00AF6FF3"/>
    <w:rsid w:val="00AF7161"/>
    <w:rsid w:val="00AF7413"/>
    <w:rsid w:val="00AF74D3"/>
    <w:rsid w:val="00AF7855"/>
    <w:rsid w:val="00AF7BBF"/>
    <w:rsid w:val="00AF7D1F"/>
    <w:rsid w:val="00B0034E"/>
    <w:rsid w:val="00B00C58"/>
    <w:rsid w:val="00B00CFF"/>
    <w:rsid w:val="00B00D53"/>
    <w:rsid w:val="00B011F6"/>
    <w:rsid w:val="00B01999"/>
    <w:rsid w:val="00B01F87"/>
    <w:rsid w:val="00B02883"/>
    <w:rsid w:val="00B028FD"/>
    <w:rsid w:val="00B02F74"/>
    <w:rsid w:val="00B030DE"/>
    <w:rsid w:val="00B03419"/>
    <w:rsid w:val="00B0356C"/>
    <w:rsid w:val="00B03A6A"/>
    <w:rsid w:val="00B04425"/>
    <w:rsid w:val="00B04CD3"/>
    <w:rsid w:val="00B05181"/>
    <w:rsid w:val="00B051FD"/>
    <w:rsid w:val="00B053CE"/>
    <w:rsid w:val="00B058EA"/>
    <w:rsid w:val="00B05BC3"/>
    <w:rsid w:val="00B0631A"/>
    <w:rsid w:val="00B06BF8"/>
    <w:rsid w:val="00B06CE7"/>
    <w:rsid w:val="00B075C4"/>
    <w:rsid w:val="00B07A6F"/>
    <w:rsid w:val="00B10B41"/>
    <w:rsid w:val="00B10C7C"/>
    <w:rsid w:val="00B1109A"/>
    <w:rsid w:val="00B111A8"/>
    <w:rsid w:val="00B114A1"/>
    <w:rsid w:val="00B11621"/>
    <w:rsid w:val="00B11A4F"/>
    <w:rsid w:val="00B12CF6"/>
    <w:rsid w:val="00B12D62"/>
    <w:rsid w:val="00B138C5"/>
    <w:rsid w:val="00B13F83"/>
    <w:rsid w:val="00B13FAA"/>
    <w:rsid w:val="00B14935"/>
    <w:rsid w:val="00B1531E"/>
    <w:rsid w:val="00B16699"/>
    <w:rsid w:val="00B166D8"/>
    <w:rsid w:val="00B16AD2"/>
    <w:rsid w:val="00B16D6E"/>
    <w:rsid w:val="00B172BB"/>
    <w:rsid w:val="00B17571"/>
    <w:rsid w:val="00B175D8"/>
    <w:rsid w:val="00B177D1"/>
    <w:rsid w:val="00B17E7A"/>
    <w:rsid w:val="00B2026F"/>
    <w:rsid w:val="00B206AB"/>
    <w:rsid w:val="00B20840"/>
    <w:rsid w:val="00B215A4"/>
    <w:rsid w:val="00B21A6B"/>
    <w:rsid w:val="00B21D6A"/>
    <w:rsid w:val="00B22754"/>
    <w:rsid w:val="00B22816"/>
    <w:rsid w:val="00B229A6"/>
    <w:rsid w:val="00B22B64"/>
    <w:rsid w:val="00B22BAC"/>
    <w:rsid w:val="00B22BD3"/>
    <w:rsid w:val="00B22FB9"/>
    <w:rsid w:val="00B2368C"/>
    <w:rsid w:val="00B23DB6"/>
    <w:rsid w:val="00B240CB"/>
    <w:rsid w:val="00B246D1"/>
    <w:rsid w:val="00B24C87"/>
    <w:rsid w:val="00B25205"/>
    <w:rsid w:val="00B25604"/>
    <w:rsid w:val="00B25652"/>
    <w:rsid w:val="00B26764"/>
    <w:rsid w:val="00B2694F"/>
    <w:rsid w:val="00B26CC4"/>
    <w:rsid w:val="00B27712"/>
    <w:rsid w:val="00B3034A"/>
    <w:rsid w:val="00B30580"/>
    <w:rsid w:val="00B30581"/>
    <w:rsid w:val="00B30C66"/>
    <w:rsid w:val="00B31101"/>
    <w:rsid w:val="00B31142"/>
    <w:rsid w:val="00B3251E"/>
    <w:rsid w:val="00B32789"/>
    <w:rsid w:val="00B330BE"/>
    <w:rsid w:val="00B33238"/>
    <w:rsid w:val="00B348F0"/>
    <w:rsid w:val="00B35127"/>
    <w:rsid w:val="00B35E53"/>
    <w:rsid w:val="00B35E57"/>
    <w:rsid w:val="00B35F62"/>
    <w:rsid w:val="00B368CE"/>
    <w:rsid w:val="00B36947"/>
    <w:rsid w:val="00B36A46"/>
    <w:rsid w:val="00B3738B"/>
    <w:rsid w:val="00B375B8"/>
    <w:rsid w:val="00B37C20"/>
    <w:rsid w:val="00B37FA5"/>
    <w:rsid w:val="00B37FAD"/>
    <w:rsid w:val="00B40225"/>
    <w:rsid w:val="00B405D2"/>
    <w:rsid w:val="00B4067E"/>
    <w:rsid w:val="00B4141B"/>
    <w:rsid w:val="00B41BB3"/>
    <w:rsid w:val="00B41E45"/>
    <w:rsid w:val="00B41E67"/>
    <w:rsid w:val="00B42DEE"/>
    <w:rsid w:val="00B43084"/>
    <w:rsid w:val="00B447CC"/>
    <w:rsid w:val="00B44ABE"/>
    <w:rsid w:val="00B44E2C"/>
    <w:rsid w:val="00B44F76"/>
    <w:rsid w:val="00B45765"/>
    <w:rsid w:val="00B45B70"/>
    <w:rsid w:val="00B45C05"/>
    <w:rsid w:val="00B45C5B"/>
    <w:rsid w:val="00B462C1"/>
    <w:rsid w:val="00B4692E"/>
    <w:rsid w:val="00B46AEC"/>
    <w:rsid w:val="00B46BF0"/>
    <w:rsid w:val="00B47495"/>
    <w:rsid w:val="00B479F3"/>
    <w:rsid w:val="00B501B6"/>
    <w:rsid w:val="00B50D92"/>
    <w:rsid w:val="00B50EC7"/>
    <w:rsid w:val="00B50F0D"/>
    <w:rsid w:val="00B52188"/>
    <w:rsid w:val="00B5229C"/>
    <w:rsid w:val="00B52402"/>
    <w:rsid w:val="00B5255A"/>
    <w:rsid w:val="00B52802"/>
    <w:rsid w:val="00B53048"/>
    <w:rsid w:val="00B534E5"/>
    <w:rsid w:val="00B5372F"/>
    <w:rsid w:val="00B53B08"/>
    <w:rsid w:val="00B53F63"/>
    <w:rsid w:val="00B53F71"/>
    <w:rsid w:val="00B541B4"/>
    <w:rsid w:val="00B54356"/>
    <w:rsid w:val="00B546A3"/>
    <w:rsid w:val="00B54E6D"/>
    <w:rsid w:val="00B54EE1"/>
    <w:rsid w:val="00B551F8"/>
    <w:rsid w:val="00B556EC"/>
    <w:rsid w:val="00B56A7D"/>
    <w:rsid w:val="00B56BEC"/>
    <w:rsid w:val="00B56E55"/>
    <w:rsid w:val="00B57243"/>
    <w:rsid w:val="00B5740E"/>
    <w:rsid w:val="00B57889"/>
    <w:rsid w:val="00B57FF3"/>
    <w:rsid w:val="00B6007E"/>
    <w:rsid w:val="00B60358"/>
    <w:rsid w:val="00B6056F"/>
    <w:rsid w:val="00B60669"/>
    <w:rsid w:val="00B60F35"/>
    <w:rsid w:val="00B61260"/>
    <w:rsid w:val="00B614CE"/>
    <w:rsid w:val="00B615C7"/>
    <w:rsid w:val="00B61A4D"/>
    <w:rsid w:val="00B61D7D"/>
    <w:rsid w:val="00B61F40"/>
    <w:rsid w:val="00B61F90"/>
    <w:rsid w:val="00B62797"/>
    <w:rsid w:val="00B62AB0"/>
    <w:rsid w:val="00B62E01"/>
    <w:rsid w:val="00B63629"/>
    <w:rsid w:val="00B63B9D"/>
    <w:rsid w:val="00B63F78"/>
    <w:rsid w:val="00B63FFD"/>
    <w:rsid w:val="00B6431A"/>
    <w:rsid w:val="00B646D6"/>
    <w:rsid w:val="00B64746"/>
    <w:rsid w:val="00B648C2"/>
    <w:rsid w:val="00B6634F"/>
    <w:rsid w:val="00B66381"/>
    <w:rsid w:val="00B669C7"/>
    <w:rsid w:val="00B6734D"/>
    <w:rsid w:val="00B67569"/>
    <w:rsid w:val="00B70184"/>
    <w:rsid w:val="00B70211"/>
    <w:rsid w:val="00B718AF"/>
    <w:rsid w:val="00B71C6F"/>
    <w:rsid w:val="00B71EAD"/>
    <w:rsid w:val="00B7271E"/>
    <w:rsid w:val="00B72F53"/>
    <w:rsid w:val="00B73769"/>
    <w:rsid w:val="00B7447E"/>
    <w:rsid w:val="00B74E8C"/>
    <w:rsid w:val="00B75018"/>
    <w:rsid w:val="00B752BE"/>
    <w:rsid w:val="00B7536A"/>
    <w:rsid w:val="00B75622"/>
    <w:rsid w:val="00B75A37"/>
    <w:rsid w:val="00B75DBA"/>
    <w:rsid w:val="00B7601B"/>
    <w:rsid w:val="00B7698A"/>
    <w:rsid w:val="00B76F30"/>
    <w:rsid w:val="00B7715F"/>
    <w:rsid w:val="00B771AD"/>
    <w:rsid w:val="00B778E9"/>
    <w:rsid w:val="00B77E0B"/>
    <w:rsid w:val="00B77F2D"/>
    <w:rsid w:val="00B80152"/>
    <w:rsid w:val="00B801F2"/>
    <w:rsid w:val="00B8062C"/>
    <w:rsid w:val="00B814B9"/>
    <w:rsid w:val="00B81AF6"/>
    <w:rsid w:val="00B81D11"/>
    <w:rsid w:val="00B81D44"/>
    <w:rsid w:val="00B81E6B"/>
    <w:rsid w:val="00B82023"/>
    <w:rsid w:val="00B82791"/>
    <w:rsid w:val="00B8279F"/>
    <w:rsid w:val="00B8295E"/>
    <w:rsid w:val="00B829DD"/>
    <w:rsid w:val="00B829EB"/>
    <w:rsid w:val="00B82B0C"/>
    <w:rsid w:val="00B82D71"/>
    <w:rsid w:val="00B82D7F"/>
    <w:rsid w:val="00B8385D"/>
    <w:rsid w:val="00B84182"/>
    <w:rsid w:val="00B842DB"/>
    <w:rsid w:val="00B84434"/>
    <w:rsid w:val="00B84A5C"/>
    <w:rsid w:val="00B84B4D"/>
    <w:rsid w:val="00B84BAA"/>
    <w:rsid w:val="00B84C50"/>
    <w:rsid w:val="00B85005"/>
    <w:rsid w:val="00B857F9"/>
    <w:rsid w:val="00B85980"/>
    <w:rsid w:val="00B85B7E"/>
    <w:rsid w:val="00B85CCC"/>
    <w:rsid w:val="00B85E0F"/>
    <w:rsid w:val="00B86237"/>
    <w:rsid w:val="00B86644"/>
    <w:rsid w:val="00B86962"/>
    <w:rsid w:val="00B86D4C"/>
    <w:rsid w:val="00B86D85"/>
    <w:rsid w:val="00B86DEA"/>
    <w:rsid w:val="00B877F7"/>
    <w:rsid w:val="00B8792F"/>
    <w:rsid w:val="00B87C85"/>
    <w:rsid w:val="00B87D67"/>
    <w:rsid w:val="00B87E40"/>
    <w:rsid w:val="00B902B2"/>
    <w:rsid w:val="00B91157"/>
    <w:rsid w:val="00B91451"/>
    <w:rsid w:val="00B91846"/>
    <w:rsid w:val="00B92394"/>
    <w:rsid w:val="00B929E8"/>
    <w:rsid w:val="00B92F8C"/>
    <w:rsid w:val="00B93384"/>
    <w:rsid w:val="00B93AC5"/>
    <w:rsid w:val="00B93BD3"/>
    <w:rsid w:val="00B93D88"/>
    <w:rsid w:val="00B94180"/>
    <w:rsid w:val="00B94FC5"/>
    <w:rsid w:val="00B95116"/>
    <w:rsid w:val="00B95315"/>
    <w:rsid w:val="00B9545F"/>
    <w:rsid w:val="00B95A4A"/>
    <w:rsid w:val="00B95B44"/>
    <w:rsid w:val="00B95EB3"/>
    <w:rsid w:val="00B961B2"/>
    <w:rsid w:val="00B96607"/>
    <w:rsid w:val="00B9661D"/>
    <w:rsid w:val="00B96733"/>
    <w:rsid w:val="00B96812"/>
    <w:rsid w:val="00B96E49"/>
    <w:rsid w:val="00B971C5"/>
    <w:rsid w:val="00B972DD"/>
    <w:rsid w:val="00B9798D"/>
    <w:rsid w:val="00B979C4"/>
    <w:rsid w:val="00B97A1F"/>
    <w:rsid w:val="00B97DE5"/>
    <w:rsid w:val="00BA09C3"/>
    <w:rsid w:val="00BA0D4D"/>
    <w:rsid w:val="00BA0EF3"/>
    <w:rsid w:val="00BA1041"/>
    <w:rsid w:val="00BA14F7"/>
    <w:rsid w:val="00BA2072"/>
    <w:rsid w:val="00BA21E8"/>
    <w:rsid w:val="00BA2216"/>
    <w:rsid w:val="00BA25B9"/>
    <w:rsid w:val="00BA2D53"/>
    <w:rsid w:val="00BA2E96"/>
    <w:rsid w:val="00BA3327"/>
    <w:rsid w:val="00BA3B05"/>
    <w:rsid w:val="00BA4DD0"/>
    <w:rsid w:val="00BA572A"/>
    <w:rsid w:val="00BA5913"/>
    <w:rsid w:val="00BA5EC2"/>
    <w:rsid w:val="00BA62FE"/>
    <w:rsid w:val="00BA638A"/>
    <w:rsid w:val="00BA6B08"/>
    <w:rsid w:val="00BA6EF9"/>
    <w:rsid w:val="00BB06C4"/>
    <w:rsid w:val="00BB0C8F"/>
    <w:rsid w:val="00BB132E"/>
    <w:rsid w:val="00BB1F69"/>
    <w:rsid w:val="00BB24BE"/>
    <w:rsid w:val="00BB24FB"/>
    <w:rsid w:val="00BB2677"/>
    <w:rsid w:val="00BB2D69"/>
    <w:rsid w:val="00BB3044"/>
    <w:rsid w:val="00BB3288"/>
    <w:rsid w:val="00BB3382"/>
    <w:rsid w:val="00BB3729"/>
    <w:rsid w:val="00BB416E"/>
    <w:rsid w:val="00BB4651"/>
    <w:rsid w:val="00BB46B9"/>
    <w:rsid w:val="00BB489E"/>
    <w:rsid w:val="00BB5156"/>
    <w:rsid w:val="00BB575F"/>
    <w:rsid w:val="00BB57CD"/>
    <w:rsid w:val="00BB6667"/>
    <w:rsid w:val="00BB6A69"/>
    <w:rsid w:val="00BB6CFB"/>
    <w:rsid w:val="00BB7550"/>
    <w:rsid w:val="00BB766B"/>
    <w:rsid w:val="00BC021E"/>
    <w:rsid w:val="00BC089B"/>
    <w:rsid w:val="00BC0A80"/>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70"/>
    <w:rsid w:val="00BC5FA6"/>
    <w:rsid w:val="00BC6063"/>
    <w:rsid w:val="00BC6297"/>
    <w:rsid w:val="00BC63C0"/>
    <w:rsid w:val="00BC6520"/>
    <w:rsid w:val="00BC722E"/>
    <w:rsid w:val="00BC72CB"/>
    <w:rsid w:val="00BC770C"/>
    <w:rsid w:val="00BC7F00"/>
    <w:rsid w:val="00BD00A9"/>
    <w:rsid w:val="00BD032A"/>
    <w:rsid w:val="00BD043A"/>
    <w:rsid w:val="00BD0AA6"/>
    <w:rsid w:val="00BD0C63"/>
    <w:rsid w:val="00BD11E2"/>
    <w:rsid w:val="00BD127E"/>
    <w:rsid w:val="00BD14F5"/>
    <w:rsid w:val="00BD1E44"/>
    <w:rsid w:val="00BD2453"/>
    <w:rsid w:val="00BD3813"/>
    <w:rsid w:val="00BD3D19"/>
    <w:rsid w:val="00BD3F6A"/>
    <w:rsid w:val="00BD41F9"/>
    <w:rsid w:val="00BD4619"/>
    <w:rsid w:val="00BD4698"/>
    <w:rsid w:val="00BD4E26"/>
    <w:rsid w:val="00BD4F98"/>
    <w:rsid w:val="00BD55F7"/>
    <w:rsid w:val="00BD68B1"/>
    <w:rsid w:val="00BD6999"/>
    <w:rsid w:val="00BD69B1"/>
    <w:rsid w:val="00BD6F7E"/>
    <w:rsid w:val="00BD781E"/>
    <w:rsid w:val="00BD7AA2"/>
    <w:rsid w:val="00BE0873"/>
    <w:rsid w:val="00BE0F97"/>
    <w:rsid w:val="00BE0FAD"/>
    <w:rsid w:val="00BE142B"/>
    <w:rsid w:val="00BE150C"/>
    <w:rsid w:val="00BE18E5"/>
    <w:rsid w:val="00BE1CF6"/>
    <w:rsid w:val="00BE2941"/>
    <w:rsid w:val="00BE297E"/>
    <w:rsid w:val="00BE2A84"/>
    <w:rsid w:val="00BE34C6"/>
    <w:rsid w:val="00BE35F8"/>
    <w:rsid w:val="00BE3819"/>
    <w:rsid w:val="00BE3AAF"/>
    <w:rsid w:val="00BE3F05"/>
    <w:rsid w:val="00BE41B4"/>
    <w:rsid w:val="00BE45D6"/>
    <w:rsid w:val="00BE54B7"/>
    <w:rsid w:val="00BE58AD"/>
    <w:rsid w:val="00BE6664"/>
    <w:rsid w:val="00BE6C44"/>
    <w:rsid w:val="00BE6EE2"/>
    <w:rsid w:val="00BE708B"/>
    <w:rsid w:val="00BE7F7D"/>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CE6"/>
    <w:rsid w:val="00BF5D96"/>
    <w:rsid w:val="00BF5F2D"/>
    <w:rsid w:val="00BF5F43"/>
    <w:rsid w:val="00BF65D2"/>
    <w:rsid w:val="00BF6715"/>
    <w:rsid w:val="00BF6802"/>
    <w:rsid w:val="00BF6994"/>
    <w:rsid w:val="00BF769B"/>
    <w:rsid w:val="00BF7827"/>
    <w:rsid w:val="00BF7BB5"/>
    <w:rsid w:val="00BF7C8D"/>
    <w:rsid w:val="00BF7CB6"/>
    <w:rsid w:val="00BF7D25"/>
    <w:rsid w:val="00C00653"/>
    <w:rsid w:val="00C00E3D"/>
    <w:rsid w:val="00C01447"/>
    <w:rsid w:val="00C014EA"/>
    <w:rsid w:val="00C0169F"/>
    <w:rsid w:val="00C01E75"/>
    <w:rsid w:val="00C023A8"/>
    <w:rsid w:val="00C02919"/>
    <w:rsid w:val="00C02E28"/>
    <w:rsid w:val="00C02F60"/>
    <w:rsid w:val="00C0312F"/>
    <w:rsid w:val="00C03648"/>
    <w:rsid w:val="00C03734"/>
    <w:rsid w:val="00C04498"/>
    <w:rsid w:val="00C04607"/>
    <w:rsid w:val="00C04708"/>
    <w:rsid w:val="00C04F42"/>
    <w:rsid w:val="00C05295"/>
    <w:rsid w:val="00C05929"/>
    <w:rsid w:val="00C0596F"/>
    <w:rsid w:val="00C05C20"/>
    <w:rsid w:val="00C05F96"/>
    <w:rsid w:val="00C06A64"/>
    <w:rsid w:val="00C06FFE"/>
    <w:rsid w:val="00C071F6"/>
    <w:rsid w:val="00C079F2"/>
    <w:rsid w:val="00C07AEA"/>
    <w:rsid w:val="00C07F76"/>
    <w:rsid w:val="00C10199"/>
    <w:rsid w:val="00C10590"/>
    <w:rsid w:val="00C107FA"/>
    <w:rsid w:val="00C1090D"/>
    <w:rsid w:val="00C10939"/>
    <w:rsid w:val="00C10AA6"/>
    <w:rsid w:val="00C10BC6"/>
    <w:rsid w:val="00C11061"/>
    <w:rsid w:val="00C112A0"/>
    <w:rsid w:val="00C11424"/>
    <w:rsid w:val="00C11790"/>
    <w:rsid w:val="00C11EC3"/>
    <w:rsid w:val="00C120C5"/>
    <w:rsid w:val="00C1223D"/>
    <w:rsid w:val="00C122D3"/>
    <w:rsid w:val="00C12ABF"/>
    <w:rsid w:val="00C12CB6"/>
    <w:rsid w:val="00C12D58"/>
    <w:rsid w:val="00C134D4"/>
    <w:rsid w:val="00C13762"/>
    <w:rsid w:val="00C1389D"/>
    <w:rsid w:val="00C138A8"/>
    <w:rsid w:val="00C13B9A"/>
    <w:rsid w:val="00C1414E"/>
    <w:rsid w:val="00C14EAF"/>
    <w:rsid w:val="00C15221"/>
    <w:rsid w:val="00C1562E"/>
    <w:rsid w:val="00C157EE"/>
    <w:rsid w:val="00C163DB"/>
    <w:rsid w:val="00C1673D"/>
    <w:rsid w:val="00C1684C"/>
    <w:rsid w:val="00C17325"/>
    <w:rsid w:val="00C1734D"/>
    <w:rsid w:val="00C175A0"/>
    <w:rsid w:val="00C17D83"/>
    <w:rsid w:val="00C205DB"/>
    <w:rsid w:val="00C20A3E"/>
    <w:rsid w:val="00C20D3F"/>
    <w:rsid w:val="00C20FA5"/>
    <w:rsid w:val="00C213D3"/>
    <w:rsid w:val="00C2158E"/>
    <w:rsid w:val="00C2182C"/>
    <w:rsid w:val="00C21EA5"/>
    <w:rsid w:val="00C21ECF"/>
    <w:rsid w:val="00C22455"/>
    <w:rsid w:val="00C2298D"/>
    <w:rsid w:val="00C22A7D"/>
    <w:rsid w:val="00C22F49"/>
    <w:rsid w:val="00C23030"/>
    <w:rsid w:val="00C232FB"/>
    <w:rsid w:val="00C23561"/>
    <w:rsid w:val="00C2378D"/>
    <w:rsid w:val="00C23B19"/>
    <w:rsid w:val="00C23CB4"/>
    <w:rsid w:val="00C23FF4"/>
    <w:rsid w:val="00C24549"/>
    <w:rsid w:val="00C24628"/>
    <w:rsid w:val="00C24BA2"/>
    <w:rsid w:val="00C253FE"/>
    <w:rsid w:val="00C25448"/>
    <w:rsid w:val="00C25576"/>
    <w:rsid w:val="00C25807"/>
    <w:rsid w:val="00C25808"/>
    <w:rsid w:val="00C25C42"/>
    <w:rsid w:val="00C25FC9"/>
    <w:rsid w:val="00C2622D"/>
    <w:rsid w:val="00C26541"/>
    <w:rsid w:val="00C2670C"/>
    <w:rsid w:val="00C26C03"/>
    <w:rsid w:val="00C2714B"/>
    <w:rsid w:val="00C27459"/>
    <w:rsid w:val="00C2752D"/>
    <w:rsid w:val="00C27FC1"/>
    <w:rsid w:val="00C300DF"/>
    <w:rsid w:val="00C301C8"/>
    <w:rsid w:val="00C30340"/>
    <w:rsid w:val="00C30D1E"/>
    <w:rsid w:val="00C31589"/>
    <w:rsid w:val="00C3178A"/>
    <w:rsid w:val="00C317A5"/>
    <w:rsid w:val="00C31D3A"/>
    <w:rsid w:val="00C325CE"/>
    <w:rsid w:val="00C32759"/>
    <w:rsid w:val="00C328F0"/>
    <w:rsid w:val="00C32C28"/>
    <w:rsid w:val="00C32D2F"/>
    <w:rsid w:val="00C333D1"/>
    <w:rsid w:val="00C3343D"/>
    <w:rsid w:val="00C3358E"/>
    <w:rsid w:val="00C3365C"/>
    <w:rsid w:val="00C34503"/>
    <w:rsid w:val="00C346AA"/>
    <w:rsid w:val="00C3480F"/>
    <w:rsid w:val="00C34895"/>
    <w:rsid w:val="00C34A4E"/>
    <w:rsid w:val="00C34A99"/>
    <w:rsid w:val="00C34EE6"/>
    <w:rsid w:val="00C36196"/>
    <w:rsid w:val="00C36B49"/>
    <w:rsid w:val="00C36F1B"/>
    <w:rsid w:val="00C3777C"/>
    <w:rsid w:val="00C377C1"/>
    <w:rsid w:val="00C40201"/>
    <w:rsid w:val="00C406F1"/>
    <w:rsid w:val="00C4096A"/>
    <w:rsid w:val="00C409D6"/>
    <w:rsid w:val="00C40BD1"/>
    <w:rsid w:val="00C40E0F"/>
    <w:rsid w:val="00C40E19"/>
    <w:rsid w:val="00C40F0D"/>
    <w:rsid w:val="00C4102F"/>
    <w:rsid w:val="00C41D0C"/>
    <w:rsid w:val="00C41EFA"/>
    <w:rsid w:val="00C428BA"/>
    <w:rsid w:val="00C42D34"/>
    <w:rsid w:val="00C43537"/>
    <w:rsid w:val="00C4409E"/>
    <w:rsid w:val="00C445F9"/>
    <w:rsid w:val="00C4471B"/>
    <w:rsid w:val="00C44B16"/>
    <w:rsid w:val="00C4529E"/>
    <w:rsid w:val="00C4552E"/>
    <w:rsid w:val="00C45753"/>
    <w:rsid w:val="00C457B5"/>
    <w:rsid w:val="00C4641F"/>
    <w:rsid w:val="00C46AFA"/>
    <w:rsid w:val="00C476FB"/>
    <w:rsid w:val="00C50305"/>
    <w:rsid w:val="00C503D3"/>
    <w:rsid w:val="00C5058D"/>
    <w:rsid w:val="00C50779"/>
    <w:rsid w:val="00C50DE0"/>
    <w:rsid w:val="00C51185"/>
    <w:rsid w:val="00C51D87"/>
    <w:rsid w:val="00C51F43"/>
    <w:rsid w:val="00C51FCC"/>
    <w:rsid w:val="00C5237D"/>
    <w:rsid w:val="00C52445"/>
    <w:rsid w:val="00C5252C"/>
    <w:rsid w:val="00C526FE"/>
    <w:rsid w:val="00C52D6C"/>
    <w:rsid w:val="00C52E31"/>
    <w:rsid w:val="00C53A7A"/>
    <w:rsid w:val="00C53E84"/>
    <w:rsid w:val="00C53FEE"/>
    <w:rsid w:val="00C54ADF"/>
    <w:rsid w:val="00C54EB2"/>
    <w:rsid w:val="00C55640"/>
    <w:rsid w:val="00C55818"/>
    <w:rsid w:val="00C55EAC"/>
    <w:rsid w:val="00C56BA5"/>
    <w:rsid w:val="00C56F47"/>
    <w:rsid w:val="00C57359"/>
    <w:rsid w:val="00C57C1C"/>
    <w:rsid w:val="00C57CAF"/>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A9B"/>
    <w:rsid w:val="00C63B4F"/>
    <w:rsid w:val="00C63DB1"/>
    <w:rsid w:val="00C6417C"/>
    <w:rsid w:val="00C64493"/>
    <w:rsid w:val="00C6546A"/>
    <w:rsid w:val="00C65563"/>
    <w:rsid w:val="00C65795"/>
    <w:rsid w:val="00C65A09"/>
    <w:rsid w:val="00C65DC2"/>
    <w:rsid w:val="00C661DB"/>
    <w:rsid w:val="00C662D0"/>
    <w:rsid w:val="00C670C6"/>
    <w:rsid w:val="00C67C18"/>
    <w:rsid w:val="00C67F1C"/>
    <w:rsid w:val="00C70EE4"/>
    <w:rsid w:val="00C711DB"/>
    <w:rsid w:val="00C71352"/>
    <w:rsid w:val="00C71640"/>
    <w:rsid w:val="00C719CB"/>
    <w:rsid w:val="00C71AE2"/>
    <w:rsid w:val="00C71DB9"/>
    <w:rsid w:val="00C72F2F"/>
    <w:rsid w:val="00C7312D"/>
    <w:rsid w:val="00C735CA"/>
    <w:rsid w:val="00C73E2F"/>
    <w:rsid w:val="00C74B45"/>
    <w:rsid w:val="00C74D8B"/>
    <w:rsid w:val="00C74DE0"/>
    <w:rsid w:val="00C75108"/>
    <w:rsid w:val="00C7531B"/>
    <w:rsid w:val="00C75370"/>
    <w:rsid w:val="00C7540A"/>
    <w:rsid w:val="00C76420"/>
    <w:rsid w:val="00C7671B"/>
    <w:rsid w:val="00C767CE"/>
    <w:rsid w:val="00C76814"/>
    <w:rsid w:val="00C769AF"/>
    <w:rsid w:val="00C76AEB"/>
    <w:rsid w:val="00C76BF0"/>
    <w:rsid w:val="00C76D91"/>
    <w:rsid w:val="00C7711A"/>
    <w:rsid w:val="00C77580"/>
    <w:rsid w:val="00C80233"/>
    <w:rsid w:val="00C8038C"/>
    <w:rsid w:val="00C8088D"/>
    <w:rsid w:val="00C81089"/>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01"/>
    <w:rsid w:val="00C871DD"/>
    <w:rsid w:val="00C87BE8"/>
    <w:rsid w:val="00C87CB2"/>
    <w:rsid w:val="00C87DB9"/>
    <w:rsid w:val="00C906F6"/>
    <w:rsid w:val="00C90E2E"/>
    <w:rsid w:val="00C910F1"/>
    <w:rsid w:val="00C92220"/>
    <w:rsid w:val="00C92F7D"/>
    <w:rsid w:val="00C93040"/>
    <w:rsid w:val="00C932FB"/>
    <w:rsid w:val="00C93BE4"/>
    <w:rsid w:val="00C93E79"/>
    <w:rsid w:val="00C93FF2"/>
    <w:rsid w:val="00C9440D"/>
    <w:rsid w:val="00C947B2"/>
    <w:rsid w:val="00C95245"/>
    <w:rsid w:val="00C954F8"/>
    <w:rsid w:val="00C95916"/>
    <w:rsid w:val="00C9600C"/>
    <w:rsid w:val="00C96057"/>
    <w:rsid w:val="00C9631A"/>
    <w:rsid w:val="00C96B9E"/>
    <w:rsid w:val="00C9743C"/>
    <w:rsid w:val="00C976DC"/>
    <w:rsid w:val="00C97DA9"/>
    <w:rsid w:val="00CA0781"/>
    <w:rsid w:val="00CA07B7"/>
    <w:rsid w:val="00CA0B43"/>
    <w:rsid w:val="00CA0C81"/>
    <w:rsid w:val="00CA0FE9"/>
    <w:rsid w:val="00CA1032"/>
    <w:rsid w:val="00CA1790"/>
    <w:rsid w:val="00CA1FB8"/>
    <w:rsid w:val="00CA207C"/>
    <w:rsid w:val="00CA2133"/>
    <w:rsid w:val="00CA215C"/>
    <w:rsid w:val="00CA21F0"/>
    <w:rsid w:val="00CA24DF"/>
    <w:rsid w:val="00CA2643"/>
    <w:rsid w:val="00CA368D"/>
    <w:rsid w:val="00CA3B63"/>
    <w:rsid w:val="00CA3CD0"/>
    <w:rsid w:val="00CA42A2"/>
    <w:rsid w:val="00CA4424"/>
    <w:rsid w:val="00CA4646"/>
    <w:rsid w:val="00CA4697"/>
    <w:rsid w:val="00CA4BC1"/>
    <w:rsid w:val="00CA5ADB"/>
    <w:rsid w:val="00CA5CAB"/>
    <w:rsid w:val="00CA606A"/>
    <w:rsid w:val="00CA663D"/>
    <w:rsid w:val="00CA7851"/>
    <w:rsid w:val="00CA7901"/>
    <w:rsid w:val="00CA7A6D"/>
    <w:rsid w:val="00CB03E0"/>
    <w:rsid w:val="00CB05DA"/>
    <w:rsid w:val="00CB0797"/>
    <w:rsid w:val="00CB09BF"/>
    <w:rsid w:val="00CB0D6C"/>
    <w:rsid w:val="00CB1C52"/>
    <w:rsid w:val="00CB203F"/>
    <w:rsid w:val="00CB221C"/>
    <w:rsid w:val="00CB261E"/>
    <w:rsid w:val="00CB2A62"/>
    <w:rsid w:val="00CB3DB9"/>
    <w:rsid w:val="00CB4288"/>
    <w:rsid w:val="00CB42AE"/>
    <w:rsid w:val="00CB432B"/>
    <w:rsid w:val="00CB47D8"/>
    <w:rsid w:val="00CB60CF"/>
    <w:rsid w:val="00CB6471"/>
    <w:rsid w:val="00CB64F0"/>
    <w:rsid w:val="00CB6CBD"/>
    <w:rsid w:val="00CB73F3"/>
    <w:rsid w:val="00CB7485"/>
    <w:rsid w:val="00CB76EC"/>
    <w:rsid w:val="00CB7EE3"/>
    <w:rsid w:val="00CB7F06"/>
    <w:rsid w:val="00CB7F37"/>
    <w:rsid w:val="00CC061F"/>
    <w:rsid w:val="00CC0825"/>
    <w:rsid w:val="00CC12BE"/>
    <w:rsid w:val="00CC140D"/>
    <w:rsid w:val="00CC15D2"/>
    <w:rsid w:val="00CC1C8D"/>
    <w:rsid w:val="00CC1D7B"/>
    <w:rsid w:val="00CC1EF6"/>
    <w:rsid w:val="00CC2205"/>
    <w:rsid w:val="00CC22F7"/>
    <w:rsid w:val="00CC2C3D"/>
    <w:rsid w:val="00CC34DB"/>
    <w:rsid w:val="00CC3F0E"/>
    <w:rsid w:val="00CC3F93"/>
    <w:rsid w:val="00CC4B4F"/>
    <w:rsid w:val="00CC5045"/>
    <w:rsid w:val="00CC526B"/>
    <w:rsid w:val="00CC5373"/>
    <w:rsid w:val="00CC67CE"/>
    <w:rsid w:val="00CC69DA"/>
    <w:rsid w:val="00CC6F9F"/>
    <w:rsid w:val="00CC749F"/>
    <w:rsid w:val="00CC7EDC"/>
    <w:rsid w:val="00CC7FEE"/>
    <w:rsid w:val="00CD029E"/>
    <w:rsid w:val="00CD0624"/>
    <w:rsid w:val="00CD073B"/>
    <w:rsid w:val="00CD08C0"/>
    <w:rsid w:val="00CD098E"/>
    <w:rsid w:val="00CD0A92"/>
    <w:rsid w:val="00CD0E1B"/>
    <w:rsid w:val="00CD0F32"/>
    <w:rsid w:val="00CD10C2"/>
    <w:rsid w:val="00CD1403"/>
    <w:rsid w:val="00CD1469"/>
    <w:rsid w:val="00CD1847"/>
    <w:rsid w:val="00CD1BA0"/>
    <w:rsid w:val="00CD2425"/>
    <w:rsid w:val="00CD2463"/>
    <w:rsid w:val="00CD2C79"/>
    <w:rsid w:val="00CD3E9D"/>
    <w:rsid w:val="00CD4256"/>
    <w:rsid w:val="00CD4A51"/>
    <w:rsid w:val="00CD4F7C"/>
    <w:rsid w:val="00CD51B8"/>
    <w:rsid w:val="00CD52D4"/>
    <w:rsid w:val="00CD5BFB"/>
    <w:rsid w:val="00CD6921"/>
    <w:rsid w:val="00CD6C5F"/>
    <w:rsid w:val="00CD7119"/>
    <w:rsid w:val="00CD7463"/>
    <w:rsid w:val="00CD76A7"/>
    <w:rsid w:val="00CD7817"/>
    <w:rsid w:val="00CD789D"/>
    <w:rsid w:val="00CD7D53"/>
    <w:rsid w:val="00CD7DE8"/>
    <w:rsid w:val="00CE07D2"/>
    <w:rsid w:val="00CE0B5D"/>
    <w:rsid w:val="00CE0B78"/>
    <w:rsid w:val="00CE0C54"/>
    <w:rsid w:val="00CE0E00"/>
    <w:rsid w:val="00CE1547"/>
    <w:rsid w:val="00CE1696"/>
    <w:rsid w:val="00CE1B59"/>
    <w:rsid w:val="00CE1BF0"/>
    <w:rsid w:val="00CE213C"/>
    <w:rsid w:val="00CE2C5A"/>
    <w:rsid w:val="00CE2CA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2A5"/>
    <w:rsid w:val="00CE73EB"/>
    <w:rsid w:val="00CE75C8"/>
    <w:rsid w:val="00CE7C12"/>
    <w:rsid w:val="00CF00A7"/>
    <w:rsid w:val="00CF00F7"/>
    <w:rsid w:val="00CF03C3"/>
    <w:rsid w:val="00CF0AE7"/>
    <w:rsid w:val="00CF0AE9"/>
    <w:rsid w:val="00CF0CF1"/>
    <w:rsid w:val="00CF0E00"/>
    <w:rsid w:val="00CF14E4"/>
    <w:rsid w:val="00CF16FA"/>
    <w:rsid w:val="00CF1934"/>
    <w:rsid w:val="00CF2524"/>
    <w:rsid w:val="00CF2B2C"/>
    <w:rsid w:val="00CF2FF1"/>
    <w:rsid w:val="00CF33DE"/>
    <w:rsid w:val="00CF3B3B"/>
    <w:rsid w:val="00CF3C7B"/>
    <w:rsid w:val="00CF3C99"/>
    <w:rsid w:val="00CF428A"/>
    <w:rsid w:val="00CF4F6C"/>
    <w:rsid w:val="00CF5C91"/>
    <w:rsid w:val="00CF5CF2"/>
    <w:rsid w:val="00CF61FB"/>
    <w:rsid w:val="00CF6299"/>
    <w:rsid w:val="00CF6FF9"/>
    <w:rsid w:val="00CF70D8"/>
    <w:rsid w:val="00CF740B"/>
    <w:rsid w:val="00CF7470"/>
    <w:rsid w:val="00CF7820"/>
    <w:rsid w:val="00CF7AB4"/>
    <w:rsid w:val="00CF7FC4"/>
    <w:rsid w:val="00D0021B"/>
    <w:rsid w:val="00D004B1"/>
    <w:rsid w:val="00D008DD"/>
    <w:rsid w:val="00D011E8"/>
    <w:rsid w:val="00D01228"/>
    <w:rsid w:val="00D0142B"/>
    <w:rsid w:val="00D02335"/>
    <w:rsid w:val="00D0243C"/>
    <w:rsid w:val="00D02A2D"/>
    <w:rsid w:val="00D02C3E"/>
    <w:rsid w:val="00D02D71"/>
    <w:rsid w:val="00D032F5"/>
    <w:rsid w:val="00D038BD"/>
    <w:rsid w:val="00D03B29"/>
    <w:rsid w:val="00D03C63"/>
    <w:rsid w:val="00D041AA"/>
    <w:rsid w:val="00D04636"/>
    <w:rsid w:val="00D04A24"/>
    <w:rsid w:val="00D04AFF"/>
    <w:rsid w:val="00D04F3F"/>
    <w:rsid w:val="00D05162"/>
    <w:rsid w:val="00D05401"/>
    <w:rsid w:val="00D0543E"/>
    <w:rsid w:val="00D05D53"/>
    <w:rsid w:val="00D064E2"/>
    <w:rsid w:val="00D0654E"/>
    <w:rsid w:val="00D06AD5"/>
    <w:rsid w:val="00D07E61"/>
    <w:rsid w:val="00D1025D"/>
    <w:rsid w:val="00D108E5"/>
    <w:rsid w:val="00D1132E"/>
    <w:rsid w:val="00D119B9"/>
    <w:rsid w:val="00D11CCF"/>
    <w:rsid w:val="00D11E79"/>
    <w:rsid w:val="00D1245D"/>
    <w:rsid w:val="00D1298F"/>
    <w:rsid w:val="00D132CA"/>
    <w:rsid w:val="00D13F38"/>
    <w:rsid w:val="00D140A4"/>
    <w:rsid w:val="00D15094"/>
    <w:rsid w:val="00D15759"/>
    <w:rsid w:val="00D158C9"/>
    <w:rsid w:val="00D15930"/>
    <w:rsid w:val="00D15A25"/>
    <w:rsid w:val="00D15B16"/>
    <w:rsid w:val="00D15E0D"/>
    <w:rsid w:val="00D16050"/>
    <w:rsid w:val="00D1643E"/>
    <w:rsid w:val="00D16564"/>
    <w:rsid w:val="00D16945"/>
    <w:rsid w:val="00D16DC2"/>
    <w:rsid w:val="00D16EC7"/>
    <w:rsid w:val="00D172CB"/>
    <w:rsid w:val="00D17ACE"/>
    <w:rsid w:val="00D17B85"/>
    <w:rsid w:val="00D17CF5"/>
    <w:rsid w:val="00D2074D"/>
    <w:rsid w:val="00D21544"/>
    <w:rsid w:val="00D219C7"/>
    <w:rsid w:val="00D21BE3"/>
    <w:rsid w:val="00D21FF1"/>
    <w:rsid w:val="00D2267B"/>
    <w:rsid w:val="00D226D1"/>
    <w:rsid w:val="00D22749"/>
    <w:rsid w:val="00D227C6"/>
    <w:rsid w:val="00D22F1F"/>
    <w:rsid w:val="00D23031"/>
    <w:rsid w:val="00D233C3"/>
    <w:rsid w:val="00D237C1"/>
    <w:rsid w:val="00D2426A"/>
    <w:rsid w:val="00D250A6"/>
    <w:rsid w:val="00D2512D"/>
    <w:rsid w:val="00D252CA"/>
    <w:rsid w:val="00D25594"/>
    <w:rsid w:val="00D258B3"/>
    <w:rsid w:val="00D25BFD"/>
    <w:rsid w:val="00D25E73"/>
    <w:rsid w:val="00D25FE8"/>
    <w:rsid w:val="00D269EA"/>
    <w:rsid w:val="00D26B13"/>
    <w:rsid w:val="00D272B6"/>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62DA"/>
    <w:rsid w:val="00D367E0"/>
    <w:rsid w:val="00D36F4D"/>
    <w:rsid w:val="00D3744B"/>
    <w:rsid w:val="00D37562"/>
    <w:rsid w:val="00D379EC"/>
    <w:rsid w:val="00D37BA0"/>
    <w:rsid w:val="00D4076C"/>
    <w:rsid w:val="00D4089E"/>
    <w:rsid w:val="00D40B93"/>
    <w:rsid w:val="00D40DB0"/>
    <w:rsid w:val="00D4109F"/>
    <w:rsid w:val="00D41C5E"/>
    <w:rsid w:val="00D42444"/>
    <w:rsid w:val="00D426D3"/>
    <w:rsid w:val="00D428F7"/>
    <w:rsid w:val="00D42BD9"/>
    <w:rsid w:val="00D4327D"/>
    <w:rsid w:val="00D43712"/>
    <w:rsid w:val="00D43892"/>
    <w:rsid w:val="00D43F6D"/>
    <w:rsid w:val="00D45DAB"/>
    <w:rsid w:val="00D45F3E"/>
    <w:rsid w:val="00D4645A"/>
    <w:rsid w:val="00D46462"/>
    <w:rsid w:val="00D46A87"/>
    <w:rsid w:val="00D46B1D"/>
    <w:rsid w:val="00D46ECE"/>
    <w:rsid w:val="00D471FC"/>
    <w:rsid w:val="00D47749"/>
    <w:rsid w:val="00D47B8E"/>
    <w:rsid w:val="00D47BDF"/>
    <w:rsid w:val="00D50C31"/>
    <w:rsid w:val="00D50DF4"/>
    <w:rsid w:val="00D51409"/>
    <w:rsid w:val="00D51A8D"/>
    <w:rsid w:val="00D522D2"/>
    <w:rsid w:val="00D526E7"/>
    <w:rsid w:val="00D5321C"/>
    <w:rsid w:val="00D53723"/>
    <w:rsid w:val="00D5376C"/>
    <w:rsid w:val="00D5389B"/>
    <w:rsid w:val="00D53C4F"/>
    <w:rsid w:val="00D5487B"/>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329B"/>
    <w:rsid w:val="00D637F3"/>
    <w:rsid w:val="00D6388A"/>
    <w:rsid w:val="00D647CE"/>
    <w:rsid w:val="00D649A0"/>
    <w:rsid w:val="00D64A06"/>
    <w:rsid w:val="00D64F14"/>
    <w:rsid w:val="00D657F1"/>
    <w:rsid w:val="00D659E0"/>
    <w:rsid w:val="00D66158"/>
    <w:rsid w:val="00D661E6"/>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D11"/>
    <w:rsid w:val="00D72022"/>
    <w:rsid w:val="00D7233A"/>
    <w:rsid w:val="00D72773"/>
    <w:rsid w:val="00D73ABB"/>
    <w:rsid w:val="00D73D18"/>
    <w:rsid w:val="00D73D77"/>
    <w:rsid w:val="00D73D7C"/>
    <w:rsid w:val="00D73DA9"/>
    <w:rsid w:val="00D73E43"/>
    <w:rsid w:val="00D73EDF"/>
    <w:rsid w:val="00D745F9"/>
    <w:rsid w:val="00D747F3"/>
    <w:rsid w:val="00D7483E"/>
    <w:rsid w:val="00D74DC6"/>
    <w:rsid w:val="00D7562B"/>
    <w:rsid w:val="00D75BB5"/>
    <w:rsid w:val="00D75E51"/>
    <w:rsid w:val="00D75F4D"/>
    <w:rsid w:val="00D760D7"/>
    <w:rsid w:val="00D761E5"/>
    <w:rsid w:val="00D7695B"/>
    <w:rsid w:val="00D76A63"/>
    <w:rsid w:val="00D76B30"/>
    <w:rsid w:val="00D76F61"/>
    <w:rsid w:val="00D771EC"/>
    <w:rsid w:val="00D772B6"/>
    <w:rsid w:val="00D7760C"/>
    <w:rsid w:val="00D776CA"/>
    <w:rsid w:val="00D77BD1"/>
    <w:rsid w:val="00D80105"/>
    <w:rsid w:val="00D8071F"/>
    <w:rsid w:val="00D80E66"/>
    <w:rsid w:val="00D8100D"/>
    <w:rsid w:val="00D81589"/>
    <w:rsid w:val="00D815F5"/>
    <w:rsid w:val="00D8183F"/>
    <w:rsid w:val="00D81DDF"/>
    <w:rsid w:val="00D826A4"/>
    <w:rsid w:val="00D828A9"/>
    <w:rsid w:val="00D83985"/>
    <w:rsid w:val="00D83CD7"/>
    <w:rsid w:val="00D84388"/>
    <w:rsid w:val="00D845CE"/>
    <w:rsid w:val="00D8461C"/>
    <w:rsid w:val="00D8483F"/>
    <w:rsid w:val="00D853D8"/>
    <w:rsid w:val="00D8565F"/>
    <w:rsid w:val="00D859F3"/>
    <w:rsid w:val="00D85BAA"/>
    <w:rsid w:val="00D85CA2"/>
    <w:rsid w:val="00D85CB6"/>
    <w:rsid w:val="00D86383"/>
    <w:rsid w:val="00D86F66"/>
    <w:rsid w:val="00D8708A"/>
    <w:rsid w:val="00D871C5"/>
    <w:rsid w:val="00D8769F"/>
    <w:rsid w:val="00D87728"/>
    <w:rsid w:val="00D87DE9"/>
    <w:rsid w:val="00D90464"/>
    <w:rsid w:val="00D907FB"/>
    <w:rsid w:val="00D90B11"/>
    <w:rsid w:val="00D90C9B"/>
    <w:rsid w:val="00D90CCA"/>
    <w:rsid w:val="00D9163C"/>
    <w:rsid w:val="00D91C62"/>
    <w:rsid w:val="00D92956"/>
    <w:rsid w:val="00D92F49"/>
    <w:rsid w:val="00D92F88"/>
    <w:rsid w:val="00D93400"/>
    <w:rsid w:val="00D93B54"/>
    <w:rsid w:val="00D94602"/>
    <w:rsid w:val="00D9486A"/>
    <w:rsid w:val="00D949CF"/>
    <w:rsid w:val="00D94D7A"/>
    <w:rsid w:val="00D95356"/>
    <w:rsid w:val="00D95366"/>
    <w:rsid w:val="00D956B2"/>
    <w:rsid w:val="00D957A0"/>
    <w:rsid w:val="00D95950"/>
    <w:rsid w:val="00D968B4"/>
    <w:rsid w:val="00D96CBB"/>
    <w:rsid w:val="00D96E41"/>
    <w:rsid w:val="00D97435"/>
    <w:rsid w:val="00D9795A"/>
    <w:rsid w:val="00D97ADC"/>
    <w:rsid w:val="00DA0335"/>
    <w:rsid w:val="00DA0A65"/>
    <w:rsid w:val="00DA1B75"/>
    <w:rsid w:val="00DA1BC6"/>
    <w:rsid w:val="00DA250D"/>
    <w:rsid w:val="00DA2AA1"/>
    <w:rsid w:val="00DA32AE"/>
    <w:rsid w:val="00DA34B4"/>
    <w:rsid w:val="00DA3913"/>
    <w:rsid w:val="00DA39DA"/>
    <w:rsid w:val="00DA3EA0"/>
    <w:rsid w:val="00DA52F2"/>
    <w:rsid w:val="00DA54A9"/>
    <w:rsid w:val="00DA587A"/>
    <w:rsid w:val="00DA58DE"/>
    <w:rsid w:val="00DA5DA5"/>
    <w:rsid w:val="00DA6EA2"/>
    <w:rsid w:val="00DA6FAF"/>
    <w:rsid w:val="00DA70E5"/>
    <w:rsid w:val="00DA7209"/>
    <w:rsid w:val="00DA73ED"/>
    <w:rsid w:val="00DA7C3D"/>
    <w:rsid w:val="00DB0E6A"/>
    <w:rsid w:val="00DB0E70"/>
    <w:rsid w:val="00DB0F78"/>
    <w:rsid w:val="00DB1083"/>
    <w:rsid w:val="00DB1411"/>
    <w:rsid w:val="00DB179A"/>
    <w:rsid w:val="00DB1BD4"/>
    <w:rsid w:val="00DB1D9B"/>
    <w:rsid w:val="00DB1FB2"/>
    <w:rsid w:val="00DB22CD"/>
    <w:rsid w:val="00DB27B0"/>
    <w:rsid w:val="00DB2904"/>
    <w:rsid w:val="00DB2D33"/>
    <w:rsid w:val="00DB2F94"/>
    <w:rsid w:val="00DB301C"/>
    <w:rsid w:val="00DB34BD"/>
    <w:rsid w:val="00DB483F"/>
    <w:rsid w:val="00DB4AEC"/>
    <w:rsid w:val="00DB4EA0"/>
    <w:rsid w:val="00DB53F0"/>
    <w:rsid w:val="00DB5B38"/>
    <w:rsid w:val="00DB5CDE"/>
    <w:rsid w:val="00DB606B"/>
    <w:rsid w:val="00DB618F"/>
    <w:rsid w:val="00DB6921"/>
    <w:rsid w:val="00DB69EB"/>
    <w:rsid w:val="00DB6A4E"/>
    <w:rsid w:val="00DB6BBD"/>
    <w:rsid w:val="00DB7001"/>
    <w:rsid w:val="00DB7543"/>
    <w:rsid w:val="00DB7621"/>
    <w:rsid w:val="00DB78B1"/>
    <w:rsid w:val="00DB7ADF"/>
    <w:rsid w:val="00DB7C3D"/>
    <w:rsid w:val="00DC05AA"/>
    <w:rsid w:val="00DC062F"/>
    <w:rsid w:val="00DC150F"/>
    <w:rsid w:val="00DC159C"/>
    <w:rsid w:val="00DC15AC"/>
    <w:rsid w:val="00DC2137"/>
    <w:rsid w:val="00DC2823"/>
    <w:rsid w:val="00DC2A8C"/>
    <w:rsid w:val="00DC2BE5"/>
    <w:rsid w:val="00DC2F62"/>
    <w:rsid w:val="00DC30C1"/>
    <w:rsid w:val="00DC312E"/>
    <w:rsid w:val="00DC3494"/>
    <w:rsid w:val="00DC35CC"/>
    <w:rsid w:val="00DC3B87"/>
    <w:rsid w:val="00DC3F44"/>
    <w:rsid w:val="00DC5579"/>
    <w:rsid w:val="00DC5ADD"/>
    <w:rsid w:val="00DC6C4E"/>
    <w:rsid w:val="00DC7365"/>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67"/>
    <w:rsid w:val="00DD33AF"/>
    <w:rsid w:val="00DD33B1"/>
    <w:rsid w:val="00DD3732"/>
    <w:rsid w:val="00DD421A"/>
    <w:rsid w:val="00DD427F"/>
    <w:rsid w:val="00DD43BD"/>
    <w:rsid w:val="00DD49E2"/>
    <w:rsid w:val="00DD49EF"/>
    <w:rsid w:val="00DD4A52"/>
    <w:rsid w:val="00DD4D30"/>
    <w:rsid w:val="00DD50C9"/>
    <w:rsid w:val="00DD51A8"/>
    <w:rsid w:val="00DD5781"/>
    <w:rsid w:val="00DD5CB1"/>
    <w:rsid w:val="00DD60A4"/>
    <w:rsid w:val="00DD63F2"/>
    <w:rsid w:val="00DD64A9"/>
    <w:rsid w:val="00DD6D02"/>
    <w:rsid w:val="00DD6D76"/>
    <w:rsid w:val="00DD7298"/>
    <w:rsid w:val="00DD7761"/>
    <w:rsid w:val="00DD780F"/>
    <w:rsid w:val="00DD7A0F"/>
    <w:rsid w:val="00DD7F34"/>
    <w:rsid w:val="00DE0457"/>
    <w:rsid w:val="00DE0633"/>
    <w:rsid w:val="00DE0A91"/>
    <w:rsid w:val="00DE0B5F"/>
    <w:rsid w:val="00DE0C5A"/>
    <w:rsid w:val="00DE1536"/>
    <w:rsid w:val="00DE1BBC"/>
    <w:rsid w:val="00DE1C3C"/>
    <w:rsid w:val="00DE1D01"/>
    <w:rsid w:val="00DE1D37"/>
    <w:rsid w:val="00DE2344"/>
    <w:rsid w:val="00DE2392"/>
    <w:rsid w:val="00DE2933"/>
    <w:rsid w:val="00DE2A11"/>
    <w:rsid w:val="00DE2FEC"/>
    <w:rsid w:val="00DE36EF"/>
    <w:rsid w:val="00DE3730"/>
    <w:rsid w:val="00DE3A5E"/>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F032F"/>
    <w:rsid w:val="00DF0A41"/>
    <w:rsid w:val="00DF106F"/>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0EC"/>
    <w:rsid w:val="00E0072F"/>
    <w:rsid w:val="00E00C35"/>
    <w:rsid w:val="00E00E21"/>
    <w:rsid w:val="00E01097"/>
    <w:rsid w:val="00E011D0"/>
    <w:rsid w:val="00E01353"/>
    <w:rsid w:val="00E01C6E"/>
    <w:rsid w:val="00E01E87"/>
    <w:rsid w:val="00E01F99"/>
    <w:rsid w:val="00E02121"/>
    <w:rsid w:val="00E0291A"/>
    <w:rsid w:val="00E02B52"/>
    <w:rsid w:val="00E03A4F"/>
    <w:rsid w:val="00E03DDF"/>
    <w:rsid w:val="00E042BA"/>
    <w:rsid w:val="00E0510E"/>
    <w:rsid w:val="00E05DD8"/>
    <w:rsid w:val="00E061C6"/>
    <w:rsid w:val="00E06AA5"/>
    <w:rsid w:val="00E06DF8"/>
    <w:rsid w:val="00E07312"/>
    <w:rsid w:val="00E075D1"/>
    <w:rsid w:val="00E1079A"/>
    <w:rsid w:val="00E10ADC"/>
    <w:rsid w:val="00E10C87"/>
    <w:rsid w:val="00E10F5E"/>
    <w:rsid w:val="00E1124E"/>
    <w:rsid w:val="00E11584"/>
    <w:rsid w:val="00E120DE"/>
    <w:rsid w:val="00E13682"/>
    <w:rsid w:val="00E14614"/>
    <w:rsid w:val="00E14C87"/>
    <w:rsid w:val="00E14D70"/>
    <w:rsid w:val="00E14DDE"/>
    <w:rsid w:val="00E14FEC"/>
    <w:rsid w:val="00E15797"/>
    <w:rsid w:val="00E160D6"/>
    <w:rsid w:val="00E16807"/>
    <w:rsid w:val="00E16A4E"/>
    <w:rsid w:val="00E2034D"/>
    <w:rsid w:val="00E206A5"/>
    <w:rsid w:val="00E20F5B"/>
    <w:rsid w:val="00E2113A"/>
    <w:rsid w:val="00E21340"/>
    <w:rsid w:val="00E2180C"/>
    <w:rsid w:val="00E235F7"/>
    <w:rsid w:val="00E238AD"/>
    <w:rsid w:val="00E240C2"/>
    <w:rsid w:val="00E245E1"/>
    <w:rsid w:val="00E25101"/>
    <w:rsid w:val="00E25402"/>
    <w:rsid w:val="00E254BF"/>
    <w:rsid w:val="00E25591"/>
    <w:rsid w:val="00E25F6E"/>
    <w:rsid w:val="00E25F94"/>
    <w:rsid w:val="00E26C4F"/>
    <w:rsid w:val="00E26FF5"/>
    <w:rsid w:val="00E27341"/>
    <w:rsid w:val="00E273FA"/>
    <w:rsid w:val="00E27941"/>
    <w:rsid w:val="00E27F1D"/>
    <w:rsid w:val="00E30157"/>
    <w:rsid w:val="00E307A1"/>
    <w:rsid w:val="00E307F1"/>
    <w:rsid w:val="00E310AD"/>
    <w:rsid w:val="00E314D1"/>
    <w:rsid w:val="00E3192C"/>
    <w:rsid w:val="00E31ACC"/>
    <w:rsid w:val="00E31E26"/>
    <w:rsid w:val="00E321ED"/>
    <w:rsid w:val="00E327C2"/>
    <w:rsid w:val="00E3291F"/>
    <w:rsid w:val="00E32950"/>
    <w:rsid w:val="00E3399D"/>
    <w:rsid w:val="00E34C7D"/>
    <w:rsid w:val="00E34E04"/>
    <w:rsid w:val="00E35474"/>
    <w:rsid w:val="00E3576C"/>
    <w:rsid w:val="00E35BBF"/>
    <w:rsid w:val="00E36BD9"/>
    <w:rsid w:val="00E36C17"/>
    <w:rsid w:val="00E37014"/>
    <w:rsid w:val="00E379BD"/>
    <w:rsid w:val="00E37D33"/>
    <w:rsid w:val="00E4055F"/>
    <w:rsid w:val="00E40977"/>
    <w:rsid w:val="00E409E2"/>
    <w:rsid w:val="00E4110B"/>
    <w:rsid w:val="00E41629"/>
    <w:rsid w:val="00E42994"/>
    <w:rsid w:val="00E42A17"/>
    <w:rsid w:val="00E43196"/>
    <w:rsid w:val="00E437E5"/>
    <w:rsid w:val="00E44544"/>
    <w:rsid w:val="00E445D5"/>
    <w:rsid w:val="00E454E9"/>
    <w:rsid w:val="00E45A95"/>
    <w:rsid w:val="00E45B1F"/>
    <w:rsid w:val="00E46BF2"/>
    <w:rsid w:val="00E47000"/>
    <w:rsid w:val="00E471B5"/>
    <w:rsid w:val="00E472EB"/>
    <w:rsid w:val="00E47B23"/>
    <w:rsid w:val="00E47B31"/>
    <w:rsid w:val="00E47BAC"/>
    <w:rsid w:val="00E50595"/>
    <w:rsid w:val="00E506DB"/>
    <w:rsid w:val="00E50C6D"/>
    <w:rsid w:val="00E513E7"/>
    <w:rsid w:val="00E525DE"/>
    <w:rsid w:val="00E52D4A"/>
    <w:rsid w:val="00E530DF"/>
    <w:rsid w:val="00E5336E"/>
    <w:rsid w:val="00E5396F"/>
    <w:rsid w:val="00E53F9E"/>
    <w:rsid w:val="00E543BC"/>
    <w:rsid w:val="00E54662"/>
    <w:rsid w:val="00E54EFC"/>
    <w:rsid w:val="00E54F60"/>
    <w:rsid w:val="00E552B2"/>
    <w:rsid w:val="00E5596C"/>
    <w:rsid w:val="00E564FD"/>
    <w:rsid w:val="00E565EC"/>
    <w:rsid w:val="00E56D57"/>
    <w:rsid w:val="00E56FFF"/>
    <w:rsid w:val="00E5792E"/>
    <w:rsid w:val="00E57A36"/>
    <w:rsid w:val="00E600B2"/>
    <w:rsid w:val="00E60486"/>
    <w:rsid w:val="00E6095D"/>
    <w:rsid w:val="00E60BDE"/>
    <w:rsid w:val="00E6116F"/>
    <w:rsid w:val="00E61789"/>
    <w:rsid w:val="00E61905"/>
    <w:rsid w:val="00E61D02"/>
    <w:rsid w:val="00E62150"/>
    <w:rsid w:val="00E622DF"/>
    <w:rsid w:val="00E624F5"/>
    <w:rsid w:val="00E626E8"/>
    <w:rsid w:val="00E62A8D"/>
    <w:rsid w:val="00E631EE"/>
    <w:rsid w:val="00E63472"/>
    <w:rsid w:val="00E63988"/>
    <w:rsid w:val="00E63D97"/>
    <w:rsid w:val="00E63FF8"/>
    <w:rsid w:val="00E64051"/>
    <w:rsid w:val="00E64B10"/>
    <w:rsid w:val="00E64DF5"/>
    <w:rsid w:val="00E651EB"/>
    <w:rsid w:val="00E65AB8"/>
    <w:rsid w:val="00E65BE6"/>
    <w:rsid w:val="00E65CFF"/>
    <w:rsid w:val="00E660A7"/>
    <w:rsid w:val="00E6614B"/>
    <w:rsid w:val="00E66675"/>
    <w:rsid w:val="00E6684B"/>
    <w:rsid w:val="00E66928"/>
    <w:rsid w:val="00E66B09"/>
    <w:rsid w:val="00E6724B"/>
    <w:rsid w:val="00E67CF0"/>
    <w:rsid w:val="00E70622"/>
    <w:rsid w:val="00E70A1C"/>
    <w:rsid w:val="00E70DCC"/>
    <w:rsid w:val="00E70F6D"/>
    <w:rsid w:val="00E70FE7"/>
    <w:rsid w:val="00E71684"/>
    <w:rsid w:val="00E7182F"/>
    <w:rsid w:val="00E71BB4"/>
    <w:rsid w:val="00E7255D"/>
    <w:rsid w:val="00E72F72"/>
    <w:rsid w:val="00E73B48"/>
    <w:rsid w:val="00E74295"/>
    <w:rsid w:val="00E743AB"/>
    <w:rsid w:val="00E743C8"/>
    <w:rsid w:val="00E74881"/>
    <w:rsid w:val="00E75290"/>
    <w:rsid w:val="00E759BC"/>
    <w:rsid w:val="00E75A18"/>
    <w:rsid w:val="00E75DF3"/>
    <w:rsid w:val="00E76050"/>
    <w:rsid w:val="00E76156"/>
    <w:rsid w:val="00E769C1"/>
    <w:rsid w:val="00E77160"/>
    <w:rsid w:val="00E772CA"/>
    <w:rsid w:val="00E775F5"/>
    <w:rsid w:val="00E77B34"/>
    <w:rsid w:val="00E77BC0"/>
    <w:rsid w:val="00E77F99"/>
    <w:rsid w:val="00E80261"/>
    <w:rsid w:val="00E80B31"/>
    <w:rsid w:val="00E8115B"/>
    <w:rsid w:val="00E8167C"/>
    <w:rsid w:val="00E81AEF"/>
    <w:rsid w:val="00E81B58"/>
    <w:rsid w:val="00E8282C"/>
    <w:rsid w:val="00E83359"/>
    <w:rsid w:val="00E839A5"/>
    <w:rsid w:val="00E83AA9"/>
    <w:rsid w:val="00E83FD8"/>
    <w:rsid w:val="00E845B3"/>
    <w:rsid w:val="00E84D99"/>
    <w:rsid w:val="00E84EFF"/>
    <w:rsid w:val="00E85441"/>
    <w:rsid w:val="00E85612"/>
    <w:rsid w:val="00E85963"/>
    <w:rsid w:val="00E85F5D"/>
    <w:rsid w:val="00E863AF"/>
    <w:rsid w:val="00E86707"/>
    <w:rsid w:val="00E867F5"/>
    <w:rsid w:val="00E87F7B"/>
    <w:rsid w:val="00E901B6"/>
    <w:rsid w:val="00E903B3"/>
    <w:rsid w:val="00E904D1"/>
    <w:rsid w:val="00E90956"/>
    <w:rsid w:val="00E90AF0"/>
    <w:rsid w:val="00E90E02"/>
    <w:rsid w:val="00E913F4"/>
    <w:rsid w:val="00E91AA3"/>
    <w:rsid w:val="00E91E42"/>
    <w:rsid w:val="00E91EC5"/>
    <w:rsid w:val="00E92054"/>
    <w:rsid w:val="00E92097"/>
    <w:rsid w:val="00E92111"/>
    <w:rsid w:val="00E92AB2"/>
    <w:rsid w:val="00E9387F"/>
    <w:rsid w:val="00E93945"/>
    <w:rsid w:val="00E939F5"/>
    <w:rsid w:val="00E93CC4"/>
    <w:rsid w:val="00E93F75"/>
    <w:rsid w:val="00E94049"/>
    <w:rsid w:val="00E944CA"/>
    <w:rsid w:val="00E9530A"/>
    <w:rsid w:val="00E95F6F"/>
    <w:rsid w:val="00E961F1"/>
    <w:rsid w:val="00E972C7"/>
    <w:rsid w:val="00E97875"/>
    <w:rsid w:val="00E979BF"/>
    <w:rsid w:val="00E97D88"/>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25C"/>
    <w:rsid w:val="00EA53A3"/>
    <w:rsid w:val="00EA5563"/>
    <w:rsid w:val="00EA62BB"/>
    <w:rsid w:val="00EA7341"/>
    <w:rsid w:val="00EA7842"/>
    <w:rsid w:val="00EA7A71"/>
    <w:rsid w:val="00EA7CC1"/>
    <w:rsid w:val="00EB0A85"/>
    <w:rsid w:val="00EB0CC9"/>
    <w:rsid w:val="00EB1039"/>
    <w:rsid w:val="00EB1666"/>
    <w:rsid w:val="00EB1788"/>
    <w:rsid w:val="00EB1870"/>
    <w:rsid w:val="00EB1BA5"/>
    <w:rsid w:val="00EB1CA9"/>
    <w:rsid w:val="00EB3520"/>
    <w:rsid w:val="00EB3F91"/>
    <w:rsid w:val="00EB4352"/>
    <w:rsid w:val="00EB54E0"/>
    <w:rsid w:val="00EB5829"/>
    <w:rsid w:val="00EB6B08"/>
    <w:rsid w:val="00EB6D14"/>
    <w:rsid w:val="00EB6F6B"/>
    <w:rsid w:val="00EB73A3"/>
    <w:rsid w:val="00EB7423"/>
    <w:rsid w:val="00EB76F5"/>
    <w:rsid w:val="00EB774C"/>
    <w:rsid w:val="00EC020A"/>
    <w:rsid w:val="00EC0544"/>
    <w:rsid w:val="00EC0816"/>
    <w:rsid w:val="00EC094B"/>
    <w:rsid w:val="00EC0CD0"/>
    <w:rsid w:val="00EC0EB7"/>
    <w:rsid w:val="00EC1A4F"/>
    <w:rsid w:val="00EC2554"/>
    <w:rsid w:val="00EC2929"/>
    <w:rsid w:val="00EC2ACF"/>
    <w:rsid w:val="00EC2E68"/>
    <w:rsid w:val="00EC2FC2"/>
    <w:rsid w:val="00EC39B8"/>
    <w:rsid w:val="00EC4086"/>
    <w:rsid w:val="00EC56BC"/>
    <w:rsid w:val="00EC5D61"/>
    <w:rsid w:val="00EC5FB6"/>
    <w:rsid w:val="00EC60AF"/>
    <w:rsid w:val="00EC626F"/>
    <w:rsid w:val="00EC64EA"/>
    <w:rsid w:val="00EC6AD0"/>
    <w:rsid w:val="00EC6C1C"/>
    <w:rsid w:val="00EC6DBF"/>
    <w:rsid w:val="00EC6F75"/>
    <w:rsid w:val="00EC73EF"/>
    <w:rsid w:val="00EC74F9"/>
    <w:rsid w:val="00EC7900"/>
    <w:rsid w:val="00EC7F41"/>
    <w:rsid w:val="00ED0FEB"/>
    <w:rsid w:val="00ED1024"/>
    <w:rsid w:val="00ED2028"/>
    <w:rsid w:val="00ED2AFB"/>
    <w:rsid w:val="00ED2E47"/>
    <w:rsid w:val="00ED2E81"/>
    <w:rsid w:val="00ED2E9F"/>
    <w:rsid w:val="00ED3452"/>
    <w:rsid w:val="00ED395B"/>
    <w:rsid w:val="00ED3A60"/>
    <w:rsid w:val="00ED4175"/>
    <w:rsid w:val="00ED4252"/>
    <w:rsid w:val="00ED43E5"/>
    <w:rsid w:val="00ED454F"/>
    <w:rsid w:val="00ED4822"/>
    <w:rsid w:val="00ED4923"/>
    <w:rsid w:val="00ED51D4"/>
    <w:rsid w:val="00ED537F"/>
    <w:rsid w:val="00ED53A1"/>
    <w:rsid w:val="00ED56A7"/>
    <w:rsid w:val="00ED6AD3"/>
    <w:rsid w:val="00ED6B3C"/>
    <w:rsid w:val="00ED6C3A"/>
    <w:rsid w:val="00ED6E3D"/>
    <w:rsid w:val="00ED6F98"/>
    <w:rsid w:val="00ED785B"/>
    <w:rsid w:val="00ED7D7F"/>
    <w:rsid w:val="00EE081C"/>
    <w:rsid w:val="00EE0BEF"/>
    <w:rsid w:val="00EE1295"/>
    <w:rsid w:val="00EE1807"/>
    <w:rsid w:val="00EE26A0"/>
    <w:rsid w:val="00EE2921"/>
    <w:rsid w:val="00EE2F49"/>
    <w:rsid w:val="00EE2FA9"/>
    <w:rsid w:val="00EE303C"/>
    <w:rsid w:val="00EE30D1"/>
    <w:rsid w:val="00EE3294"/>
    <w:rsid w:val="00EE3383"/>
    <w:rsid w:val="00EE3876"/>
    <w:rsid w:val="00EE3B08"/>
    <w:rsid w:val="00EE408E"/>
    <w:rsid w:val="00EE4129"/>
    <w:rsid w:val="00EE442C"/>
    <w:rsid w:val="00EE46DD"/>
    <w:rsid w:val="00EE4903"/>
    <w:rsid w:val="00EE636E"/>
    <w:rsid w:val="00EE648C"/>
    <w:rsid w:val="00EE669F"/>
    <w:rsid w:val="00EE7134"/>
    <w:rsid w:val="00EE73C5"/>
    <w:rsid w:val="00EE7603"/>
    <w:rsid w:val="00EE766D"/>
    <w:rsid w:val="00EE7687"/>
    <w:rsid w:val="00EE78B4"/>
    <w:rsid w:val="00EF00D4"/>
    <w:rsid w:val="00EF0B64"/>
    <w:rsid w:val="00EF1123"/>
    <w:rsid w:val="00EF192D"/>
    <w:rsid w:val="00EF2EC9"/>
    <w:rsid w:val="00EF3B8C"/>
    <w:rsid w:val="00EF40DC"/>
    <w:rsid w:val="00EF41E1"/>
    <w:rsid w:val="00EF4699"/>
    <w:rsid w:val="00EF5009"/>
    <w:rsid w:val="00EF51A2"/>
    <w:rsid w:val="00EF58CF"/>
    <w:rsid w:val="00EF5C2F"/>
    <w:rsid w:val="00EF6421"/>
    <w:rsid w:val="00EF6605"/>
    <w:rsid w:val="00EF6C9F"/>
    <w:rsid w:val="00EF6F81"/>
    <w:rsid w:val="00EF7344"/>
    <w:rsid w:val="00EF7966"/>
    <w:rsid w:val="00EF7D24"/>
    <w:rsid w:val="00F001C2"/>
    <w:rsid w:val="00F002CC"/>
    <w:rsid w:val="00F00826"/>
    <w:rsid w:val="00F00EC4"/>
    <w:rsid w:val="00F00FFC"/>
    <w:rsid w:val="00F018CD"/>
    <w:rsid w:val="00F0259A"/>
    <w:rsid w:val="00F02A08"/>
    <w:rsid w:val="00F02FC6"/>
    <w:rsid w:val="00F031E8"/>
    <w:rsid w:val="00F03455"/>
    <w:rsid w:val="00F036B1"/>
    <w:rsid w:val="00F04010"/>
    <w:rsid w:val="00F04217"/>
    <w:rsid w:val="00F04289"/>
    <w:rsid w:val="00F051B6"/>
    <w:rsid w:val="00F05292"/>
    <w:rsid w:val="00F054E5"/>
    <w:rsid w:val="00F054ED"/>
    <w:rsid w:val="00F05CA0"/>
    <w:rsid w:val="00F0615A"/>
    <w:rsid w:val="00F06232"/>
    <w:rsid w:val="00F06371"/>
    <w:rsid w:val="00F06C8E"/>
    <w:rsid w:val="00F06F73"/>
    <w:rsid w:val="00F0734C"/>
    <w:rsid w:val="00F076C1"/>
    <w:rsid w:val="00F07C7C"/>
    <w:rsid w:val="00F07FFE"/>
    <w:rsid w:val="00F108C0"/>
    <w:rsid w:val="00F10DD2"/>
    <w:rsid w:val="00F1114D"/>
    <w:rsid w:val="00F1150E"/>
    <w:rsid w:val="00F11607"/>
    <w:rsid w:val="00F11C0E"/>
    <w:rsid w:val="00F12538"/>
    <w:rsid w:val="00F12641"/>
    <w:rsid w:val="00F13D69"/>
    <w:rsid w:val="00F14033"/>
    <w:rsid w:val="00F1409B"/>
    <w:rsid w:val="00F14116"/>
    <w:rsid w:val="00F147BF"/>
    <w:rsid w:val="00F14A8D"/>
    <w:rsid w:val="00F14F5A"/>
    <w:rsid w:val="00F151E5"/>
    <w:rsid w:val="00F15320"/>
    <w:rsid w:val="00F15439"/>
    <w:rsid w:val="00F1591D"/>
    <w:rsid w:val="00F15ECB"/>
    <w:rsid w:val="00F16145"/>
    <w:rsid w:val="00F1634E"/>
    <w:rsid w:val="00F16411"/>
    <w:rsid w:val="00F164FC"/>
    <w:rsid w:val="00F168AB"/>
    <w:rsid w:val="00F16A7E"/>
    <w:rsid w:val="00F16EC7"/>
    <w:rsid w:val="00F176D2"/>
    <w:rsid w:val="00F17A4A"/>
    <w:rsid w:val="00F17FF8"/>
    <w:rsid w:val="00F2007B"/>
    <w:rsid w:val="00F205EF"/>
    <w:rsid w:val="00F207BD"/>
    <w:rsid w:val="00F212AC"/>
    <w:rsid w:val="00F215DD"/>
    <w:rsid w:val="00F21EC6"/>
    <w:rsid w:val="00F21F45"/>
    <w:rsid w:val="00F229D3"/>
    <w:rsid w:val="00F22FA5"/>
    <w:rsid w:val="00F2379C"/>
    <w:rsid w:val="00F23ED6"/>
    <w:rsid w:val="00F24A4D"/>
    <w:rsid w:val="00F24E32"/>
    <w:rsid w:val="00F25F35"/>
    <w:rsid w:val="00F263BD"/>
    <w:rsid w:val="00F265D4"/>
    <w:rsid w:val="00F26F1D"/>
    <w:rsid w:val="00F271AF"/>
    <w:rsid w:val="00F2753A"/>
    <w:rsid w:val="00F2760B"/>
    <w:rsid w:val="00F304D5"/>
    <w:rsid w:val="00F31BCB"/>
    <w:rsid w:val="00F31E19"/>
    <w:rsid w:val="00F32067"/>
    <w:rsid w:val="00F321C5"/>
    <w:rsid w:val="00F32C46"/>
    <w:rsid w:val="00F33C36"/>
    <w:rsid w:val="00F342C1"/>
    <w:rsid w:val="00F34B05"/>
    <w:rsid w:val="00F34FEA"/>
    <w:rsid w:val="00F3543F"/>
    <w:rsid w:val="00F355DD"/>
    <w:rsid w:val="00F360B8"/>
    <w:rsid w:val="00F360D2"/>
    <w:rsid w:val="00F363B7"/>
    <w:rsid w:val="00F36708"/>
    <w:rsid w:val="00F3694E"/>
    <w:rsid w:val="00F36E04"/>
    <w:rsid w:val="00F37694"/>
    <w:rsid w:val="00F379C0"/>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702"/>
    <w:rsid w:val="00F43C84"/>
    <w:rsid w:val="00F4482A"/>
    <w:rsid w:val="00F451E7"/>
    <w:rsid w:val="00F454F7"/>
    <w:rsid w:val="00F45BC8"/>
    <w:rsid w:val="00F46255"/>
    <w:rsid w:val="00F46258"/>
    <w:rsid w:val="00F463D7"/>
    <w:rsid w:val="00F46522"/>
    <w:rsid w:val="00F47346"/>
    <w:rsid w:val="00F473DA"/>
    <w:rsid w:val="00F478CB"/>
    <w:rsid w:val="00F50727"/>
    <w:rsid w:val="00F5074B"/>
    <w:rsid w:val="00F509BE"/>
    <w:rsid w:val="00F50FC2"/>
    <w:rsid w:val="00F515CB"/>
    <w:rsid w:val="00F523A4"/>
    <w:rsid w:val="00F52486"/>
    <w:rsid w:val="00F524A7"/>
    <w:rsid w:val="00F52733"/>
    <w:rsid w:val="00F52946"/>
    <w:rsid w:val="00F52A7C"/>
    <w:rsid w:val="00F52B25"/>
    <w:rsid w:val="00F544CA"/>
    <w:rsid w:val="00F54877"/>
    <w:rsid w:val="00F5497B"/>
    <w:rsid w:val="00F54B49"/>
    <w:rsid w:val="00F54D26"/>
    <w:rsid w:val="00F54D73"/>
    <w:rsid w:val="00F55323"/>
    <w:rsid w:val="00F55661"/>
    <w:rsid w:val="00F56787"/>
    <w:rsid w:val="00F56A92"/>
    <w:rsid w:val="00F56CD4"/>
    <w:rsid w:val="00F61980"/>
    <w:rsid w:val="00F623E0"/>
    <w:rsid w:val="00F62592"/>
    <w:rsid w:val="00F62E01"/>
    <w:rsid w:val="00F62E1C"/>
    <w:rsid w:val="00F6368E"/>
    <w:rsid w:val="00F6389B"/>
    <w:rsid w:val="00F638C7"/>
    <w:rsid w:val="00F639F2"/>
    <w:rsid w:val="00F64EFE"/>
    <w:rsid w:val="00F656B2"/>
    <w:rsid w:val="00F65CE9"/>
    <w:rsid w:val="00F65DA6"/>
    <w:rsid w:val="00F65F0C"/>
    <w:rsid w:val="00F65FA4"/>
    <w:rsid w:val="00F6645C"/>
    <w:rsid w:val="00F66461"/>
    <w:rsid w:val="00F66726"/>
    <w:rsid w:val="00F676B9"/>
    <w:rsid w:val="00F67D03"/>
    <w:rsid w:val="00F707F8"/>
    <w:rsid w:val="00F714FF"/>
    <w:rsid w:val="00F737AF"/>
    <w:rsid w:val="00F744E0"/>
    <w:rsid w:val="00F74596"/>
    <w:rsid w:val="00F745A9"/>
    <w:rsid w:val="00F74819"/>
    <w:rsid w:val="00F74847"/>
    <w:rsid w:val="00F74CAE"/>
    <w:rsid w:val="00F74EFB"/>
    <w:rsid w:val="00F758E0"/>
    <w:rsid w:val="00F768BF"/>
    <w:rsid w:val="00F76DF0"/>
    <w:rsid w:val="00F76E85"/>
    <w:rsid w:val="00F772D4"/>
    <w:rsid w:val="00F77CCE"/>
    <w:rsid w:val="00F80642"/>
    <w:rsid w:val="00F80C86"/>
    <w:rsid w:val="00F80F93"/>
    <w:rsid w:val="00F81082"/>
    <w:rsid w:val="00F8113B"/>
    <w:rsid w:val="00F81171"/>
    <w:rsid w:val="00F816D9"/>
    <w:rsid w:val="00F817E3"/>
    <w:rsid w:val="00F81ACA"/>
    <w:rsid w:val="00F81BB2"/>
    <w:rsid w:val="00F81F14"/>
    <w:rsid w:val="00F82562"/>
    <w:rsid w:val="00F82D0E"/>
    <w:rsid w:val="00F82D13"/>
    <w:rsid w:val="00F82D5B"/>
    <w:rsid w:val="00F834A1"/>
    <w:rsid w:val="00F838DA"/>
    <w:rsid w:val="00F8511F"/>
    <w:rsid w:val="00F85228"/>
    <w:rsid w:val="00F85A7D"/>
    <w:rsid w:val="00F85FF9"/>
    <w:rsid w:val="00F86366"/>
    <w:rsid w:val="00F8646B"/>
    <w:rsid w:val="00F86670"/>
    <w:rsid w:val="00F8675E"/>
    <w:rsid w:val="00F869E4"/>
    <w:rsid w:val="00F870DB"/>
    <w:rsid w:val="00F874E9"/>
    <w:rsid w:val="00F87650"/>
    <w:rsid w:val="00F9035D"/>
    <w:rsid w:val="00F90B3C"/>
    <w:rsid w:val="00F90BF0"/>
    <w:rsid w:val="00F90F85"/>
    <w:rsid w:val="00F90F94"/>
    <w:rsid w:val="00F912C0"/>
    <w:rsid w:val="00F91617"/>
    <w:rsid w:val="00F916B7"/>
    <w:rsid w:val="00F919C4"/>
    <w:rsid w:val="00F91E5E"/>
    <w:rsid w:val="00F921FF"/>
    <w:rsid w:val="00F92715"/>
    <w:rsid w:val="00F92D91"/>
    <w:rsid w:val="00F92DB6"/>
    <w:rsid w:val="00F930B4"/>
    <w:rsid w:val="00F936A8"/>
    <w:rsid w:val="00F939DE"/>
    <w:rsid w:val="00F9486A"/>
    <w:rsid w:val="00F949B9"/>
    <w:rsid w:val="00F94A9F"/>
    <w:rsid w:val="00F94B65"/>
    <w:rsid w:val="00F94DAE"/>
    <w:rsid w:val="00F94EE9"/>
    <w:rsid w:val="00F95010"/>
    <w:rsid w:val="00F95CAD"/>
    <w:rsid w:val="00F97581"/>
    <w:rsid w:val="00F9797A"/>
    <w:rsid w:val="00F97F39"/>
    <w:rsid w:val="00FA02DB"/>
    <w:rsid w:val="00FA099C"/>
    <w:rsid w:val="00FA0A6D"/>
    <w:rsid w:val="00FA0C2D"/>
    <w:rsid w:val="00FA0FC3"/>
    <w:rsid w:val="00FA10B9"/>
    <w:rsid w:val="00FA123B"/>
    <w:rsid w:val="00FA1720"/>
    <w:rsid w:val="00FA1ECA"/>
    <w:rsid w:val="00FA2199"/>
    <w:rsid w:val="00FA3134"/>
    <w:rsid w:val="00FA339D"/>
    <w:rsid w:val="00FA358A"/>
    <w:rsid w:val="00FA4271"/>
    <w:rsid w:val="00FA456F"/>
    <w:rsid w:val="00FA482C"/>
    <w:rsid w:val="00FA4983"/>
    <w:rsid w:val="00FA55C6"/>
    <w:rsid w:val="00FA5E2C"/>
    <w:rsid w:val="00FA620D"/>
    <w:rsid w:val="00FA639D"/>
    <w:rsid w:val="00FA67A9"/>
    <w:rsid w:val="00FA68AD"/>
    <w:rsid w:val="00FA69D0"/>
    <w:rsid w:val="00FA7BEF"/>
    <w:rsid w:val="00FB0142"/>
    <w:rsid w:val="00FB0289"/>
    <w:rsid w:val="00FB04F3"/>
    <w:rsid w:val="00FB0970"/>
    <w:rsid w:val="00FB0A7D"/>
    <w:rsid w:val="00FB1AF9"/>
    <w:rsid w:val="00FB2A7F"/>
    <w:rsid w:val="00FB2D62"/>
    <w:rsid w:val="00FB304E"/>
    <w:rsid w:val="00FB319A"/>
    <w:rsid w:val="00FB391A"/>
    <w:rsid w:val="00FB3CBB"/>
    <w:rsid w:val="00FB4119"/>
    <w:rsid w:val="00FB44C8"/>
    <w:rsid w:val="00FB4520"/>
    <w:rsid w:val="00FB4640"/>
    <w:rsid w:val="00FB4B92"/>
    <w:rsid w:val="00FB4F68"/>
    <w:rsid w:val="00FB509F"/>
    <w:rsid w:val="00FB5620"/>
    <w:rsid w:val="00FB569E"/>
    <w:rsid w:val="00FB5F97"/>
    <w:rsid w:val="00FB619C"/>
    <w:rsid w:val="00FB6959"/>
    <w:rsid w:val="00FB6995"/>
    <w:rsid w:val="00FB709C"/>
    <w:rsid w:val="00FB7788"/>
    <w:rsid w:val="00FC00CC"/>
    <w:rsid w:val="00FC04D4"/>
    <w:rsid w:val="00FC0616"/>
    <w:rsid w:val="00FC0B20"/>
    <w:rsid w:val="00FC0EA0"/>
    <w:rsid w:val="00FC1634"/>
    <w:rsid w:val="00FC21E0"/>
    <w:rsid w:val="00FC2BAB"/>
    <w:rsid w:val="00FC312A"/>
    <w:rsid w:val="00FC3C19"/>
    <w:rsid w:val="00FC4161"/>
    <w:rsid w:val="00FC44D9"/>
    <w:rsid w:val="00FC4A1E"/>
    <w:rsid w:val="00FC4B76"/>
    <w:rsid w:val="00FC524D"/>
    <w:rsid w:val="00FC544C"/>
    <w:rsid w:val="00FC5A66"/>
    <w:rsid w:val="00FC5AB8"/>
    <w:rsid w:val="00FC5B0B"/>
    <w:rsid w:val="00FC5C0F"/>
    <w:rsid w:val="00FC5C2F"/>
    <w:rsid w:val="00FC5F45"/>
    <w:rsid w:val="00FC6062"/>
    <w:rsid w:val="00FC6393"/>
    <w:rsid w:val="00FC690A"/>
    <w:rsid w:val="00FC6A35"/>
    <w:rsid w:val="00FC6B8A"/>
    <w:rsid w:val="00FC7625"/>
    <w:rsid w:val="00FC7784"/>
    <w:rsid w:val="00FC7885"/>
    <w:rsid w:val="00FC7CDF"/>
    <w:rsid w:val="00FC7DB9"/>
    <w:rsid w:val="00FD0BFD"/>
    <w:rsid w:val="00FD0D4E"/>
    <w:rsid w:val="00FD1676"/>
    <w:rsid w:val="00FD1924"/>
    <w:rsid w:val="00FD204E"/>
    <w:rsid w:val="00FD37C1"/>
    <w:rsid w:val="00FD3D3F"/>
    <w:rsid w:val="00FD4074"/>
    <w:rsid w:val="00FD45BD"/>
    <w:rsid w:val="00FD4B0D"/>
    <w:rsid w:val="00FD4C04"/>
    <w:rsid w:val="00FD4C22"/>
    <w:rsid w:val="00FD4DC3"/>
    <w:rsid w:val="00FD5274"/>
    <w:rsid w:val="00FD537E"/>
    <w:rsid w:val="00FD53A2"/>
    <w:rsid w:val="00FD642D"/>
    <w:rsid w:val="00FD675E"/>
    <w:rsid w:val="00FD6B10"/>
    <w:rsid w:val="00FD6FAB"/>
    <w:rsid w:val="00FD74CB"/>
    <w:rsid w:val="00FD7C98"/>
    <w:rsid w:val="00FD7CC7"/>
    <w:rsid w:val="00FD7D5C"/>
    <w:rsid w:val="00FE03F9"/>
    <w:rsid w:val="00FE0781"/>
    <w:rsid w:val="00FE1932"/>
    <w:rsid w:val="00FE19BB"/>
    <w:rsid w:val="00FE1C1B"/>
    <w:rsid w:val="00FE221D"/>
    <w:rsid w:val="00FE22E0"/>
    <w:rsid w:val="00FE23A8"/>
    <w:rsid w:val="00FE2543"/>
    <w:rsid w:val="00FE2EED"/>
    <w:rsid w:val="00FE2F2E"/>
    <w:rsid w:val="00FE3109"/>
    <w:rsid w:val="00FE3339"/>
    <w:rsid w:val="00FE3C31"/>
    <w:rsid w:val="00FE3E01"/>
    <w:rsid w:val="00FE490C"/>
    <w:rsid w:val="00FE492D"/>
    <w:rsid w:val="00FE4981"/>
    <w:rsid w:val="00FE4ABA"/>
    <w:rsid w:val="00FE5341"/>
    <w:rsid w:val="00FE564D"/>
    <w:rsid w:val="00FE56ED"/>
    <w:rsid w:val="00FE5814"/>
    <w:rsid w:val="00FE5A2F"/>
    <w:rsid w:val="00FE5BF1"/>
    <w:rsid w:val="00FE5C86"/>
    <w:rsid w:val="00FE5D67"/>
    <w:rsid w:val="00FE601A"/>
    <w:rsid w:val="00FE6075"/>
    <w:rsid w:val="00FE6291"/>
    <w:rsid w:val="00FE6588"/>
    <w:rsid w:val="00FE6CD1"/>
    <w:rsid w:val="00FE7271"/>
    <w:rsid w:val="00FE7AB0"/>
    <w:rsid w:val="00FE7AE9"/>
    <w:rsid w:val="00FE7BC6"/>
    <w:rsid w:val="00FE7CD2"/>
    <w:rsid w:val="00FF0091"/>
    <w:rsid w:val="00FF0425"/>
    <w:rsid w:val="00FF05AE"/>
    <w:rsid w:val="00FF0CB6"/>
    <w:rsid w:val="00FF0DEF"/>
    <w:rsid w:val="00FF12A1"/>
    <w:rsid w:val="00FF1741"/>
    <w:rsid w:val="00FF2032"/>
    <w:rsid w:val="00FF291F"/>
    <w:rsid w:val="00FF2AB3"/>
    <w:rsid w:val="00FF2BFC"/>
    <w:rsid w:val="00FF2CB0"/>
    <w:rsid w:val="00FF3059"/>
    <w:rsid w:val="00FF3247"/>
    <w:rsid w:val="00FF327E"/>
    <w:rsid w:val="00FF362A"/>
    <w:rsid w:val="00FF37C1"/>
    <w:rsid w:val="00FF46E8"/>
    <w:rsid w:val="00FF48EA"/>
    <w:rsid w:val="00FF4CE5"/>
    <w:rsid w:val="00FF4EAE"/>
    <w:rsid w:val="00FF5630"/>
    <w:rsid w:val="00FF56EA"/>
    <w:rsid w:val="00FF5A0E"/>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2922C96"/>
  <w15:docId w15:val="{6853DF06-5EAB-4B57-8460-D0E7ED9F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A30EDC"/>
    <w:pPr>
      <w:keepNext/>
      <w:tabs>
        <w:tab w:val="left" w:pos="567"/>
      </w:tabs>
      <w:spacing w:before="0" w:line="276" w:lineRule="auto"/>
      <w:ind w:firstLine="426"/>
      <w:jc w:val="center"/>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2F7255"/>
    <w:pPr>
      <w:keepNext/>
      <w:spacing w:before="0" w:line="276" w:lineRule="auto"/>
      <w:jc w:val="center"/>
      <w:outlineLvl w:val="1"/>
    </w:pPr>
    <w:rPr>
      <w:rFonts w:eastAsia="Calibri" w:cs="Times LatArm"/>
      <w:sz w:val="24"/>
      <w:lang w:val="hy-AM" w:eastAsia="en-US"/>
    </w:rPr>
  </w:style>
  <w:style w:type="paragraph" w:styleId="Heading3">
    <w:name w:val="heading 3"/>
    <w:aliases w:val="Centered,(text),(Sub-Chapter),Heading 3 Char Char Char Char Char Char"/>
    <w:basedOn w:val="Normal"/>
    <w:next w:val="Normal"/>
    <w:link w:val="Heading3Char"/>
    <w:autoRedefine/>
    <w:qFormat/>
    <w:rsid w:val="002F7255"/>
    <w:pPr>
      <w:keepNext/>
      <w:tabs>
        <w:tab w:val="left" w:pos="709"/>
      </w:tabs>
      <w:spacing w:before="0"/>
      <w:ind w:firstLine="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uiPriority w:val="99"/>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A5558B"/>
    <w:pPr>
      <w:spacing w:before="0" w:line="276" w:lineRule="auto"/>
      <w:ind w:firstLine="720"/>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uiPriority w:val="99"/>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uiPriority w:val="34"/>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qFormat/>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6"/>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7"/>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uiPriority w:val="99"/>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uiPriority w:val="99"/>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uiPriority w:val="99"/>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FD4074"/>
    <w:pPr>
      <w:widowControl w:val="0"/>
      <w:spacing w:before="0" w:line="276" w:lineRule="auto"/>
      <w:ind w:firstLine="72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A30EDC"/>
    <w:rPr>
      <w:rFonts w:ascii="GHEA Grapalat" w:hAnsi="GHEA Grapalat"/>
      <w:b/>
      <w:sz w:val="28"/>
      <w:lang w:eastAsia="ru-RU"/>
    </w:rPr>
  </w:style>
  <w:style w:type="character" w:customStyle="1" w:styleId="Heading2Char">
    <w:name w:val="Heading 2 Char"/>
    <w:aliases w:val="(Chapter) Char,Paranum Char,Body Char"/>
    <w:link w:val="Heading2"/>
    <w:uiPriority w:val="9"/>
    <w:rsid w:val="002F7255"/>
    <w:rPr>
      <w:rFonts w:ascii="GHEA Grapalat" w:eastAsia="Calibri"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rsid w:val="002F7255"/>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A5558B"/>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uiPriority w:val="99"/>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054D48"/>
    <w:pPr>
      <w:tabs>
        <w:tab w:val="left" w:pos="1843"/>
        <w:tab w:val="right" w:leader="dot" w:pos="9923"/>
      </w:tabs>
      <w:spacing w:before="0"/>
      <w:ind w:left="1440" w:hanging="144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uiPriority w:val="99"/>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qFormat/>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uiPriority w:val="99"/>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link w:val="50"/>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uiPriority w:val="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uiPriority w:val="99"/>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uiPriority w:val="99"/>
    <w:rsid w:val="001725C5"/>
    <w:rPr>
      <w:b/>
      <w:sz w:val="32"/>
      <w:lang w:val="en-GB" w:eastAsia="en-US" w:bidi="ar-SA"/>
    </w:rPr>
  </w:style>
  <w:style w:type="character" w:customStyle="1" w:styleId="CharChar140">
    <w:name w:val="Char Char14"/>
    <w:uiPriority w:val="99"/>
    <w:rsid w:val="001725C5"/>
    <w:rPr>
      <w:sz w:val="22"/>
      <w:lang w:val="en-GB" w:eastAsia="en-US" w:bidi="ar-SA"/>
    </w:rPr>
  </w:style>
  <w:style w:type="character" w:customStyle="1" w:styleId="CharChar150">
    <w:name w:val="Char Char15"/>
    <w:uiPriority w:val="99"/>
    <w:rsid w:val="001725C5"/>
    <w:rPr>
      <w:sz w:val="36"/>
      <w:lang w:val="en-GB" w:eastAsia="en-US" w:bidi="ar-SA"/>
    </w:rPr>
  </w:style>
  <w:style w:type="character" w:customStyle="1" w:styleId="CharChar130">
    <w:name w:val="Char Char13"/>
    <w:uiPriority w:val="99"/>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uiPriority w:val="99"/>
    <w:rsid w:val="001725C5"/>
    <w:rPr>
      <w:rFonts w:ascii="Times Armenian" w:hAnsi="Times Armenian"/>
      <w:color w:val="993300"/>
      <w:sz w:val="22"/>
      <w:szCs w:val="24"/>
      <w:lang w:val="hy-AM" w:eastAsia="en-US" w:bidi="ar-SA"/>
    </w:rPr>
  </w:style>
  <w:style w:type="character" w:customStyle="1" w:styleId="CharChar90">
    <w:name w:val="Char Char9"/>
    <w:uiPriority w:val="9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29"/>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Основной текст5"/>
    <w:basedOn w:val="Normal"/>
    <w:link w:val="ac"/>
    <w:rsid w:val="00CF740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paragraph" w:customStyle="1" w:styleId="Charc">
    <w:name w:val="Char"/>
    <w:basedOn w:val="Normal"/>
    <w:locked/>
    <w:rsid w:val="00840AE8"/>
    <w:pPr>
      <w:spacing w:before="0" w:after="160" w:line="240" w:lineRule="auto"/>
      <w:ind w:firstLine="0"/>
      <w:contextualSpacing w:val="0"/>
      <w:jc w:val="left"/>
    </w:pPr>
    <w:rPr>
      <w:rFonts w:ascii="Verdana" w:eastAsia="Batang" w:hAnsi="Verdana" w:cs="Verdana"/>
      <w:b w:val="0"/>
      <w:sz w:val="24"/>
      <w:lang w:val="en-GB"/>
    </w:rPr>
  </w:style>
  <w:style w:type="paragraph" w:customStyle="1" w:styleId="61">
    <w:name w:val="Основной текст6"/>
    <w:basedOn w:val="Normal"/>
    <w:rsid w:val="00453D56"/>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1">
    <w:name w:val="Grid Table 4 - Accent 51"/>
    <w:basedOn w:val="TableNormal"/>
    <w:uiPriority w:val="49"/>
    <w:rsid w:val="00453D5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0">
    <w:name w:val="Աղյուսակներ"/>
    <w:basedOn w:val="Normal"/>
    <w:qFormat/>
    <w:rsid w:val="008624F6"/>
    <w:pPr>
      <w:spacing w:before="60" w:after="40"/>
      <w:contextualSpacing w:val="0"/>
    </w:pPr>
    <w:rPr>
      <w:rFonts w:eastAsia="Calibri" w:cs="Sylfaen"/>
      <w:bCs/>
      <w:i/>
      <w:szCs w:val="22"/>
      <w:lang w:val="hy-AM" w:eastAsia="en-US"/>
    </w:rPr>
  </w:style>
  <w:style w:type="numbering" w:customStyle="1" w:styleId="NoList11111111111">
    <w:name w:val="No List11111111111"/>
    <w:next w:val="NoList"/>
    <w:semiHidden/>
    <w:rsid w:val="009B3790"/>
  </w:style>
  <w:style w:type="character" w:customStyle="1" w:styleId="Chard">
    <w:name w:val="Գծապատկեր Char"/>
    <w:link w:val="af1"/>
    <w:locked/>
    <w:rsid w:val="009B3790"/>
    <w:rPr>
      <w:rFonts w:ascii="GHEA Grapalat" w:eastAsia="GHEA Grapalat" w:hAnsi="GHEA Grapalat" w:cs="GHEA Grapalat"/>
      <w:noProof/>
    </w:rPr>
  </w:style>
  <w:style w:type="paragraph" w:customStyle="1" w:styleId="af1">
    <w:name w:val="Գծապատկեր"/>
    <w:basedOn w:val="Normal"/>
    <w:link w:val="Chard"/>
    <w:autoRedefine/>
    <w:qFormat/>
    <w:rsid w:val="009B3790"/>
    <w:pPr>
      <w:keepNext/>
      <w:keepLines/>
      <w:tabs>
        <w:tab w:val="left" w:pos="2160"/>
        <w:tab w:val="left" w:pos="2552"/>
      </w:tabs>
      <w:autoSpaceDE w:val="0"/>
      <w:autoSpaceDN w:val="0"/>
      <w:adjustRightInd w:val="0"/>
      <w:spacing w:before="0" w:line="240" w:lineRule="auto"/>
      <w:ind w:left="360" w:firstLine="0"/>
      <w:contextualSpacing w:val="0"/>
      <w:jc w:val="center"/>
    </w:pPr>
    <w:rPr>
      <w:rFonts w:eastAsia="GHEA Grapalat" w:cs="GHEA Grapalat"/>
      <w:b w:val="0"/>
      <w:noProof/>
      <w:sz w:val="20"/>
      <w:szCs w:val="20"/>
      <w:lang w:val="en-US" w:eastAsia="en-US"/>
    </w:rPr>
  </w:style>
  <w:style w:type="paragraph" w:customStyle="1" w:styleId="af2">
    <w:name w:val="Հղումներ"/>
    <w:basedOn w:val="Normal"/>
    <w:qFormat/>
    <w:rsid w:val="009B3790"/>
    <w:pPr>
      <w:spacing w:before="60" w:after="40" w:line="240" w:lineRule="auto"/>
      <w:contextualSpacing w:val="0"/>
    </w:pPr>
    <w:rPr>
      <w:b w:val="0"/>
      <w:sz w:val="20"/>
      <w:szCs w:val="20"/>
      <w:lang w:val="hy-AM" w:eastAsia="en-US"/>
    </w:rPr>
  </w:style>
  <w:style w:type="paragraph" w:customStyle="1" w:styleId="af3">
    <w:name w:val="Գծապատկերներ"/>
    <w:basedOn w:val="Normal"/>
    <w:qFormat/>
    <w:rsid w:val="009B3790"/>
    <w:pPr>
      <w:keepNext/>
      <w:keepLines/>
      <w:spacing w:before="60" w:after="40" w:line="240" w:lineRule="auto"/>
      <w:ind w:firstLine="0"/>
      <w:contextualSpacing w:val="0"/>
      <w:jc w:val="left"/>
    </w:pPr>
    <w:rPr>
      <w:rFonts w:eastAsiaTheme="majorEastAsia"/>
      <w:i/>
      <w:szCs w:val="22"/>
      <w:lang w:val="hy-AM" w:eastAsia="en-US"/>
    </w:rPr>
  </w:style>
  <w:style w:type="numbering" w:customStyle="1" w:styleId="NoList67">
    <w:name w:val="No List67"/>
    <w:next w:val="NoList"/>
    <w:uiPriority w:val="99"/>
    <w:semiHidden/>
    <w:unhideWhenUsed/>
    <w:rsid w:val="008F7DB9"/>
  </w:style>
  <w:style w:type="numbering" w:customStyle="1" w:styleId="NoList138">
    <w:name w:val="No List138"/>
    <w:next w:val="NoList"/>
    <w:uiPriority w:val="99"/>
    <w:semiHidden/>
    <w:unhideWhenUsed/>
    <w:rsid w:val="008F7DB9"/>
  </w:style>
  <w:style w:type="table" w:customStyle="1" w:styleId="TableGrid390">
    <w:name w:val="Table Grid39"/>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8F7DB9"/>
  </w:style>
  <w:style w:type="numbering" w:customStyle="1" w:styleId="NoList11120">
    <w:name w:val="No List11120"/>
    <w:next w:val="NoList"/>
    <w:semiHidden/>
    <w:rsid w:val="008F7DB9"/>
  </w:style>
  <w:style w:type="table" w:customStyle="1" w:styleId="TableGrid1200">
    <w:name w:val="Table Grid120"/>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semiHidden/>
    <w:rsid w:val="008F7DB9"/>
  </w:style>
  <w:style w:type="numbering" w:customStyle="1" w:styleId="NoList226">
    <w:name w:val="No List226"/>
    <w:next w:val="NoList"/>
    <w:semiHidden/>
    <w:rsid w:val="008F7DB9"/>
  </w:style>
  <w:style w:type="numbering" w:customStyle="1" w:styleId="NoList320">
    <w:name w:val="No List320"/>
    <w:next w:val="NoList"/>
    <w:semiHidden/>
    <w:unhideWhenUsed/>
    <w:rsid w:val="008F7DB9"/>
  </w:style>
  <w:style w:type="table" w:customStyle="1" w:styleId="TableList716">
    <w:name w:val="Table List 716"/>
    <w:basedOn w:val="TableNormal"/>
    <w:next w:val="TableList7"/>
    <w:uiPriority w:val="99"/>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6">
    <w:name w:val="Table Web 316"/>
    <w:basedOn w:val="TableNormal"/>
    <w:next w:val="TableWeb3"/>
    <w:uiPriority w:val="99"/>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6">
    <w:name w:val="Table Elegant16"/>
    <w:basedOn w:val="TableNormal"/>
    <w:next w:val="TableElegant"/>
    <w:uiPriority w:val="99"/>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6">
    <w:name w:val="Table Web 216"/>
    <w:basedOn w:val="TableNormal"/>
    <w:next w:val="TableWeb2"/>
    <w:uiPriority w:val="99"/>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6">
    <w:name w:val="Table Web 116"/>
    <w:basedOn w:val="TableNormal"/>
    <w:next w:val="TableWeb1"/>
    <w:uiPriority w:val="99"/>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6">
    <w:name w:val="Table Grid 816"/>
    <w:basedOn w:val="TableNormal"/>
    <w:next w:val="TableGrid8"/>
    <w:uiPriority w:val="99"/>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6">
    <w:name w:val="Table Contemporary16"/>
    <w:basedOn w:val="TableNormal"/>
    <w:next w:val="TableContemporary"/>
    <w:uiPriority w:val="99"/>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5">
    <w:name w:val="Light List - Accent 13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6">
    <w:name w:val="Table Grid 716"/>
    <w:basedOn w:val="TableNormal"/>
    <w:next w:val="TableGrid7"/>
    <w:uiPriority w:val="99"/>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6">
    <w:name w:val="Colorful Grid - Accent 12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6">
    <w:name w:val="Light List - Accent 52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6">
    <w:name w:val="Table Simple 316"/>
    <w:basedOn w:val="TableNormal"/>
    <w:next w:val="TableSimple3"/>
    <w:uiPriority w:val="99"/>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6">
    <w:name w:val="Table Grid 516"/>
    <w:basedOn w:val="TableNormal"/>
    <w:next w:val="TableGrid5"/>
    <w:uiPriority w:val="99"/>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6">
    <w:name w:val="Table Grid 316"/>
    <w:basedOn w:val="TableNormal"/>
    <w:next w:val="TableGrid3"/>
    <w:uiPriority w:val="99"/>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60">
    <w:name w:val="Table Grid 116"/>
    <w:basedOn w:val="TableNormal"/>
    <w:next w:val="TableGrid10"/>
    <w:uiPriority w:val="99"/>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6">
    <w:name w:val="Table Columns 516"/>
    <w:basedOn w:val="TableNormal"/>
    <w:next w:val="TableColumns5"/>
    <w:uiPriority w:val="99"/>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9">
    <w:name w:val="Light List - Accent 1119"/>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6">
    <w:name w:val="Нет списка126"/>
    <w:next w:val="NoList"/>
    <w:semiHidden/>
    <w:unhideWhenUsed/>
    <w:rsid w:val="008F7DB9"/>
  </w:style>
  <w:style w:type="table" w:customStyle="1" w:styleId="ColorfulGrid-Accent1116">
    <w:name w:val="Colorful Grid - Accent 1116"/>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7">
    <w:name w:val="Light List - Accent 5117"/>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9">
    <w:name w:val="No List419"/>
    <w:next w:val="NoList"/>
    <w:semiHidden/>
    <w:rsid w:val="008F7DB9"/>
  </w:style>
  <w:style w:type="table" w:customStyle="1" w:styleId="Table3Deffects316">
    <w:name w:val="Table 3D effects 316"/>
    <w:basedOn w:val="TableNormal"/>
    <w:next w:val="Table3Deffects3"/>
    <w:uiPriority w:val="99"/>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6"/>
    <w:next w:val="NoList"/>
    <w:semiHidden/>
    <w:unhideWhenUsed/>
    <w:rsid w:val="008F7DB9"/>
  </w:style>
  <w:style w:type="numbering" w:customStyle="1" w:styleId="NoList516">
    <w:name w:val="No List516"/>
    <w:next w:val="NoList"/>
    <w:uiPriority w:val="99"/>
    <w:semiHidden/>
    <w:unhideWhenUsed/>
    <w:rsid w:val="008F7DB9"/>
  </w:style>
  <w:style w:type="numbering" w:customStyle="1" w:styleId="NoList1218">
    <w:name w:val="No List1218"/>
    <w:next w:val="NoList"/>
    <w:uiPriority w:val="99"/>
    <w:semiHidden/>
    <w:rsid w:val="008F7DB9"/>
  </w:style>
  <w:style w:type="numbering" w:customStyle="1" w:styleId="NoList11210">
    <w:name w:val="No List11210"/>
    <w:next w:val="NoList"/>
    <w:semiHidden/>
    <w:rsid w:val="008F7DB9"/>
  </w:style>
  <w:style w:type="numbering" w:customStyle="1" w:styleId="NoList111116">
    <w:name w:val="No List111116"/>
    <w:next w:val="NoList"/>
    <w:semiHidden/>
    <w:rsid w:val="008F7DB9"/>
  </w:style>
  <w:style w:type="numbering" w:customStyle="1" w:styleId="NoList2116">
    <w:name w:val="No List2116"/>
    <w:next w:val="NoList"/>
    <w:semiHidden/>
    <w:rsid w:val="008F7DB9"/>
  </w:style>
  <w:style w:type="table" w:customStyle="1" w:styleId="TableGrid218">
    <w:name w:val="Table Grid218"/>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8F7DB9"/>
  </w:style>
  <w:style w:type="numbering" w:customStyle="1" w:styleId="NoList68">
    <w:name w:val="No List68"/>
    <w:next w:val="NoList"/>
    <w:uiPriority w:val="99"/>
    <w:semiHidden/>
    <w:unhideWhenUsed/>
    <w:rsid w:val="008F7DB9"/>
  </w:style>
  <w:style w:type="numbering" w:customStyle="1" w:styleId="NoList76">
    <w:name w:val="No List76"/>
    <w:next w:val="NoList"/>
    <w:uiPriority w:val="99"/>
    <w:semiHidden/>
    <w:unhideWhenUsed/>
    <w:rsid w:val="008F7DB9"/>
  </w:style>
  <w:style w:type="table" w:customStyle="1" w:styleId="TableGrid3101">
    <w:name w:val="Table Grid3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unhideWhenUsed/>
    <w:rsid w:val="008F7DB9"/>
  </w:style>
  <w:style w:type="numbering" w:customStyle="1" w:styleId="NoList1135">
    <w:name w:val="No List1135"/>
    <w:next w:val="NoList"/>
    <w:semiHidden/>
    <w:rsid w:val="008F7DB9"/>
  </w:style>
  <w:style w:type="table" w:customStyle="1" w:styleId="TableGrid11100">
    <w:name w:val="Table Grid11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semiHidden/>
    <w:rsid w:val="008F7DB9"/>
  </w:style>
  <w:style w:type="numbering" w:customStyle="1" w:styleId="NoList227">
    <w:name w:val="No List227"/>
    <w:next w:val="NoList"/>
    <w:semiHidden/>
    <w:rsid w:val="008F7DB9"/>
  </w:style>
  <w:style w:type="numbering" w:customStyle="1" w:styleId="NoList326">
    <w:name w:val="No List326"/>
    <w:next w:val="NoList"/>
    <w:semiHidden/>
    <w:unhideWhenUsed/>
    <w:rsid w:val="008F7DB9"/>
  </w:style>
  <w:style w:type="table" w:customStyle="1" w:styleId="TableList717">
    <w:name w:val="Table List 717"/>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7">
    <w:name w:val="Table Web 317"/>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7">
    <w:name w:val="Table Elegant17"/>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7">
    <w:name w:val="Table Web 117"/>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7">
    <w:name w:val="Table Grid 817"/>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7">
    <w:name w:val="Table Contemporary17"/>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4">
    <w:name w:val="Light List - Accent 1214"/>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7">
    <w:name w:val="Table Grid 717"/>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7">
    <w:name w:val="Colorful Grid - Accent 127"/>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7">
    <w:name w:val="Light List - Accent 527"/>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7">
    <w:name w:val="Table Simple 317"/>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7">
    <w:name w:val="Table Grid 517"/>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7">
    <w:name w:val="Table Grid 317"/>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70">
    <w:name w:val="Table Grid 117"/>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7">
    <w:name w:val="Table Columns 517"/>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0">
    <w:name w:val="Light List - Accent 11110"/>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7">
    <w:name w:val="Нет списка127"/>
    <w:next w:val="NoList"/>
    <w:uiPriority w:val="99"/>
    <w:semiHidden/>
    <w:unhideWhenUsed/>
    <w:rsid w:val="008F7DB9"/>
  </w:style>
  <w:style w:type="table" w:customStyle="1" w:styleId="ColorfulGrid-Accent1117">
    <w:name w:val="Colorful Grid - Accent 1117"/>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8">
    <w:name w:val="Light List - Accent 5118"/>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0">
    <w:name w:val="No List4110"/>
    <w:next w:val="NoList"/>
    <w:semiHidden/>
    <w:rsid w:val="008F7DB9"/>
  </w:style>
  <w:style w:type="table" w:customStyle="1" w:styleId="Table3Deffects317">
    <w:name w:val="Table 3D effects 317"/>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7"/>
    <w:next w:val="NoList"/>
    <w:semiHidden/>
    <w:unhideWhenUsed/>
    <w:rsid w:val="008F7DB9"/>
  </w:style>
  <w:style w:type="numbering" w:customStyle="1" w:styleId="NoList517">
    <w:name w:val="No List517"/>
    <w:next w:val="NoList"/>
    <w:uiPriority w:val="99"/>
    <w:semiHidden/>
    <w:unhideWhenUsed/>
    <w:rsid w:val="008F7DB9"/>
  </w:style>
  <w:style w:type="numbering" w:customStyle="1" w:styleId="NoList1219">
    <w:name w:val="No List1219"/>
    <w:next w:val="NoList"/>
    <w:uiPriority w:val="99"/>
    <w:semiHidden/>
    <w:rsid w:val="008F7DB9"/>
  </w:style>
  <w:style w:type="numbering" w:customStyle="1" w:styleId="NoList11215">
    <w:name w:val="No List11215"/>
    <w:next w:val="NoList"/>
    <w:semiHidden/>
    <w:rsid w:val="008F7DB9"/>
  </w:style>
  <w:style w:type="numbering" w:customStyle="1" w:styleId="NoList1111113">
    <w:name w:val="No List1111113"/>
    <w:next w:val="NoList"/>
    <w:semiHidden/>
    <w:rsid w:val="008F7DB9"/>
  </w:style>
  <w:style w:type="numbering" w:customStyle="1" w:styleId="NoList2117">
    <w:name w:val="No List2117"/>
    <w:next w:val="NoList"/>
    <w:semiHidden/>
    <w:rsid w:val="008F7DB9"/>
  </w:style>
  <w:style w:type="table" w:customStyle="1" w:styleId="TableGrid219">
    <w:name w:val="Table Grid219"/>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semiHidden/>
    <w:unhideWhenUsed/>
    <w:rsid w:val="008F7DB9"/>
  </w:style>
  <w:style w:type="numbering" w:customStyle="1" w:styleId="NoList86">
    <w:name w:val="No List86"/>
    <w:next w:val="NoList"/>
    <w:uiPriority w:val="99"/>
    <w:semiHidden/>
    <w:unhideWhenUsed/>
    <w:rsid w:val="008F7DB9"/>
  </w:style>
  <w:style w:type="numbering" w:customStyle="1" w:styleId="NoList96">
    <w:name w:val="No List96"/>
    <w:next w:val="NoList"/>
    <w:uiPriority w:val="99"/>
    <w:semiHidden/>
    <w:unhideWhenUsed/>
    <w:rsid w:val="008F7DB9"/>
  </w:style>
  <w:style w:type="table" w:customStyle="1" w:styleId="TableGrid46">
    <w:name w:val="Table Grid4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5">
    <w:name w:val="Table List 725"/>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5">
    <w:name w:val="Table Web 325"/>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5">
    <w:name w:val="Table Elegant25"/>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6">
    <w:name w:val="Table Web 226"/>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6">
    <w:name w:val="Table Web 126"/>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6">
    <w:name w:val="Table Grid 826"/>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6">
    <w:name w:val="Table Contemporary26"/>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6">
    <w:name w:val="No List146"/>
    <w:next w:val="NoList"/>
    <w:semiHidden/>
    <w:unhideWhenUsed/>
    <w:rsid w:val="008F7DB9"/>
  </w:style>
  <w:style w:type="numbering" w:customStyle="1" w:styleId="NoList235">
    <w:name w:val="No List235"/>
    <w:next w:val="NoList"/>
    <w:semiHidden/>
    <w:unhideWhenUsed/>
    <w:rsid w:val="008F7DB9"/>
  </w:style>
  <w:style w:type="numbering" w:customStyle="1" w:styleId="NoList335">
    <w:name w:val="No List335"/>
    <w:next w:val="NoList"/>
    <w:semiHidden/>
    <w:unhideWhenUsed/>
    <w:rsid w:val="008F7DB9"/>
  </w:style>
  <w:style w:type="table" w:customStyle="1" w:styleId="LightList-Accent136">
    <w:name w:val="Light List - Accent 136"/>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5">
    <w:name w:val="Table Grid 725"/>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6">
    <w:name w:val="Colorful Grid - Accent 13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6">
    <w:name w:val="Light List - Accent 53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5">
    <w:name w:val="Table Simple 325"/>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5">
    <w:name w:val="Table Grid 525"/>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5">
    <w:name w:val="Table Grid 325"/>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5">
    <w:name w:val="Table Grid 125"/>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5">
    <w:name w:val="Table Columns 525"/>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5">
    <w:name w:val="Light List - Accent 1125"/>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6">
    <w:name w:val="Нет списка136"/>
    <w:next w:val="NoList"/>
    <w:semiHidden/>
    <w:unhideWhenUsed/>
    <w:rsid w:val="008F7DB9"/>
  </w:style>
  <w:style w:type="table" w:customStyle="1" w:styleId="ColorfulGrid-Accent1125">
    <w:name w:val="Colorful Grid - Accent 1125"/>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5">
    <w:name w:val="Light List - Accent 5125"/>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6">
    <w:name w:val="No List426"/>
    <w:next w:val="NoList"/>
    <w:semiHidden/>
    <w:rsid w:val="008F7DB9"/>
  </w:style>
  <w:style w:type="numbering" w:customStyle="1" w:styleId="NoList1143">
    <w:name w:val="No List1143"/>
    <w:next w:val="NoList"/>
    <w:semiHidden/>
    <w:unhideWhenUsed/>
    <w:rsid w:val="008F7DB9"/>
  </w:style>
  <w:style w:type="table" w:customStyle="1" w:styleId="Table3Deffects325">
    <w:name w:val="Table 3D effects 325"/>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NoList"/>
    <w:semiHidden/>
    <w:unhideWhenUsed/>
    <w:rsid w:val="008F7DB9"/>
  </w:style>
  <w:style w:type="numbering" w:customStyle="1" w:styleId="NoList106">
    <w:name w:val="No List106"/>
    <w:next w:val="NoList"/>
    <w:uiPriority w:val="99"/>
    <w:semiHidden/>
    <w:unhideWhenUsed/>
    <w:rsid w:val="008F7DB9"/>
  </w:style>
  <w:style w:type="table" w:customStyle="1" w:styleId="TableGrid560">
    <w:name w:val="Table Grid56"/>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8F7DB9"/>
  </w:style>
  <w:style w:type="numbering" w:customStyle="1" w:styleId="NoList1153">
    <w:name w:val="No List1153"/>
    <w:next w:val="NoList"/>
    <w:semiHidden/>
    <w:rsid w:val="008F7DB9"/>
  </w:style>
  <w:style w:type="table" w:customStyle="1" w:styleId="TableGrid1250">
    <w:name w:val="Table Grid12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semiHidden/>
    <w:rsid w:val="008F7DB9"/>
  </w:style>
  <w:style w:type="numbering" w:customStyle="1" w:styleId="NoList243">
    <w:name w:val="No List243"/>
    <w:next w:val="NoList"/>
    <w:semiHidden/>
    <w:rsid w:val="008F7DB9"/>
  </w:style>
  <w:style w:type="numbering" w:customStyle="1" w:styleId="NoList343">
    <w:name w:val="No List343"/>
    <w:next w:val="NoList"/>
    <w:semiHidden/>
    <w:unhideWhenUsed/>
    <w:rsid w:val="008F7DB9"/>
  </w:style>
  <w:style w:type="table" w:customStyle="1" w:styleId="TableList733">
    <w:name w:val="Table List 73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3">
    <w:name w:val="Table Web 33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3">
    <w:name w:val="Table Elegant3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5">
    <w:name w:val="Table Web 23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5">
    <w:name w:val="Table Web 13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5">
    <w:name w:val="Table Grid 83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5">
    <w:name w:val="Table Contemporary3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3">
    <w:name w:val="Light List - Accent 143"/>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3">
    <w:name w:val="Table Grid 73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5">
    <w:name w:val="Colorful Grid - Accent 145"/>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5">
    <w:name w:val="Light List - Accent 545"/>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3">
    <w:name w:val="Table Simple 33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3">
    <w:name w:val="Table Grid 53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3">
    <w:name w:val="Table Grid 33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30">
    <w:name w:val="Table Grid 13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3">
    <w:name w:val="Table Columns 53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3">
    <w:name w:val="Light List - Accent 1133"/>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5">
    <w:name w:val="Нет списка145"/>
    <w:next w:val="NoList"/>
    <w:semiHidden/>
    <w:unhideWhenUsed/>
    <w:rsid w:val="008F7DB9"/>
  </w:style>
  <w:style w:type="table" w:customStyle="1" w:styleId="ColorfulGrid-Accent1133">
    <w:name w:val="Colorful Grid - Accent 1133"/>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3">
    <w:name w:val="Light List - Accent 5133"/>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5">
    <w:name w:val="No List435"/>
    <w:next w:val="NoList"/>
    <w:semiHidden/>
    <w:rsid w:val="008F7DB9"/>
  </w:style>
  <w:style w:type="table" w:customStyle="1" w:styleId="Table3Deffects333">
    <w:name w:val="Table 3D effects 33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NoList"/>
    <w:semiHidden/>
    <w:unhideWhenUsed/>
    <w:rsid w:val="008F7DB9"/>
  </w:style>
  <w:style w:type="numbering" w:customStyle="1" w:styleId="NoList525">
    <w:name w:val="No List525"/>
    <w:next w:val="NoList"/>
    <w:uiPriority w:val="99"/>
    <w:semiHidden/>
    <w:unhideWhenUsed/>
    <w:rsid w:val="008F7DB9"/>
  </w:style>
  <w:style w:type="numbering" w:customStyle="1" w:styleId="NoList1225">
    <w:name w:val="No List1225"/>
    <w:next w:val="NoList"/>
    <w:uiPriority w:val="99"/>
    <w:semiHidden/>
    <w:rsid w:val="008F7DB9"/>
  </w:style>
  <w:style w:type="numbering" w:customStyle="1" w:styleId="NoList11223">
    <w:name w:val="No List11223"/>
    <w:next w:val="NoList"/>
    <w:semiHidden/>
    <w:rsid w:val="008F7DB9"/>
  </w:style>
  <w:style w:type="numbering" w:customStyle="1" w:styleId="NoList111125">
    <w:name w:val="No List111125"/>
    <w:next w:val="NoList"/>
    <w:semiHidden/>
    <w:rsid w:val="008F7DB9"/>
  </w:style>
  <w:style w:type="numbering" w:customStyle="1" w:styleId="NoList2125">
    <w:name w:val="No List2125"/>
    <w:next w:val="NoList"/>
    <w:semiHidden/>
    <w:rsid w:val="008F7DB9"/>
  </w:style>
  <w:style w:type="table" w:customStyle="1" w:styleId="TableGrid226">
    <w:name w:val="Table Grid22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semiHidden/>
    <w:unhideWhenUsed/>
    <w:rsid w:val="008F7DB9"/>
  </w:style>
  <w:style w:type="table" w:customStyle="1" w:styleId="LightShading-Accent115">
    <w:name w:val="Light Shading - Accent 115"/>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5">
    <w:name w:val="Medium Grid 2 - Accent 115"/>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5">
    <w:name w:val="Medium List 2 - Accent 515"/>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4">
    <w:name w:val="Light List - Accent 15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5">
    <w:name w:val="Medium Grid 3 - Accent 515"/>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5">
    <w:name w:val="Light Shading - Accent 515"/>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5">
    <w:name w:val="Medium Grid 2 - Accent 515"/>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5">
    <w:name w:val="Light Grid - Accent 115"/>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5">
    <w:name w:val="Table List 45"/>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4">
    <w:name w:val="Table List 414"/>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3">
    <w:name w:val="Table Theme3"/>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30">
    <w:name w:val="Table Grid 63"/>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3">
    <w:name w:val="Table List 42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3">
    <w:name w:val="Table List 411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7">
    <w:name w:val="Style117"/>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8">
    <w:name w:val="Style218"/>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7">
    <w:name w:val="Style2117"/>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5">
    <w:name w:val="No List165"/>
    <w:next w:val="NoList"/>
    <w:semiHidden/>
    <w:unhideWhenUsed/>
    <w:rsid w:val="008F7DB9"/>
  </w:style>
  <w:style w:type="table" w:customStyle="1" w:styleId="TableGrid66">
    <w:name w:val="Table Grid6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8F7DB9"/>
  </w:style>
  <w:style w:type="numbering" w:customStyle="1" w:styleId="NoList1163">
    <w:name w:val="No List1163"/>
    <w:next w:val="NoList"/>
    <w:semiHidden/>
    <w:rsid w:val="008F7DB9"/>
  </w:style>
  <w:style w:type="table" w:customStyle="1" w:styleId="TableGrid135">
    <w:name w:val="Table Grid135"/>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4">
    <w:name w:val="Light List - Accent 16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2">
    <w:name w:val="Light Shading - Accent 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2">
    <w:name w:val="Medium Grid 2 - Accent 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2">
    <w:name w:val="Medium List 2 - Accent 5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2">
    <w:name w:val="Light List - Accent 17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2">
    <w:name w:val="Medium Grid 3 - Accent 5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2">
    <w:name w:val="Light Shading - Accent 5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2">
    <w:name w:val="Medium Grid 2 - Accent 5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2">
    <w:name w:val="Light Grid - Accent 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2">
    <w:name w:val="No List182"/>
    <w:next w:val="NoList"/>
    <w:semiHidden/>
    <w:unhideWhenUsed/>
    <w:rsid w:val="008F7DB9"/>
  </w:style>
  <w:style w:type="table" w:customStyle="1" w:styleId="TableGrid760">
    <w:name w:val="Table Grid7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2">
    <w:name w:val="Table List 74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2">
    <w:name w:val="Table Web 34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2">
    <w:name w:val="Table Web 24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2">
    <w:name w:val="Table Web 14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2">
    <w:name w:val="Table Grid 84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2">
    <w:name w:val="Table Contemporary4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2">
    <w:name w:val="No List192"/>
    <w:next w:val="NoList"/>
    <w:semiHidden/>
    <w:unhideWhenUsed/>
    <w:rsid w:val="008F7DB9"/>
  </w:style>
  <w:style w:type="numbering" w:customStyle="1" w:styleId="NoList252">
    <w:name w:val="No List252"/>
    <w:next w:val="NoList"/>
    <w:semiHidden/>
    <w:unhideWhenUsed/>
    <w:rsid w:val="008F7DB9"/>
  </w:style>
  <w:style w:type="numbering" w:customStyle="1" w:styleId="NoList352">
    <w:name w:val="No List352"/>
    <w:next w:val="NoList"/>
    <w:semiHidden/>
    <w:unhideWhenUsed/>
    <w:rsid w:val="008F7DB9"/>
  </w:style>
  <w:style w:type="table" w:customStyle="1" w:styleId="LightList-Accent182">
    <w:name w:val="Light List - Accent 18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2">
    <w:name w:val="Table Grid 74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2">
    <w:name w:val="Colorful Grid - Accent 15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2">
    <w:name w:val="Light List - Accent 55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2">
    <w:name w:val="Table Simple 34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2">
    <w:name w:val="Table Grid 54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2">
    <w:name w:val="Table Grid 34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20">
    <w:name w:val="Table Grid 14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2">
    <w:name w:val="Table Columns 54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2">
    <w:name w:val="Light List - Accent 114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2">
    <w:name w:val="Нет списка152"/>
    <w:next w:val="NoList"/>
    <w:semiHidden/>
    <w:unhideWhenUsed/>
    <w:rsid w:val="008F7DB9"/>
  </w:style>
  <w:style w:type="table" w:customStyle="1" w:styleId="ColorfulGrid-Accent1142">
    <w:name w:val="Colorful Grid - Accent 114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2">
    <w:name w:val="Light List - Accent 514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2">
    <w:name w:val="No List442"/>
    <w:next w:val="NoList"/>
    <w:semiHidden/>
    <w:rsid w:val="008F7DB9"/>
  </w:style>
  <w:style w:type="numbering" w:customStyle="1" w:styleId="NoList1172">
    <w:name w:val="No List1172"/>
    <w:next w:val="NoList"/>
    <w:semiHidden/>
    <w:unhideWhenUsed/>
    <w:rsid w:val="008F7DB9"/>
  </w:style>
  <w:style w:type="table" w:customStyle="1" w:styleId="Table3Deffects342">
    <w:name w:val="Table 3D effects 34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NoList"/>
    <w:semiHidden/>
    <w:unhideWhenUsed/>
    <w:rsid w:val="008F7DB9"/>
  </w:style>
  <w:style w:type="table" w:customStyle="1" w:styleId="Style1112">
    <w:name w:val="Style11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2">
    <w:name w:val="Style2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2">
    <w:name w:val="Style2111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2">
    <w:name w:val="Style112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2">
    <w:name w:val="Style2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2">
    <w:name w:val="Style21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2">
    <w:name w:val="No List202"/>
    <w:next w:val="NoList"/>
    <w:uiPriority w:val="99"/>
    <w:semiHidden/>
    <w:unhideWhenUsed/>
    <w:rsid w:val="008F7DB9"/>
  </w:style>
  <w:style w:type="numbering" w:customStyle="1" w:styleId="NoList1102">
    <w:name w:val="No List1102"/>
    <w:next w:val="NoList"/>
    <w:uiPriority w:val="99"/>
    <w:semiHidden/>
    <w:unhideWhenUsed/>
    <w:rsid w:val="008F7DB9"/>
  </w:style>
  <w:style w:type="table" w:customStyle="1" w:styleId="TableGrid850">
    <w:name w:val="Table Grid8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semiHidden/>
    <w:unhideWhenUsed/>
    <w:rsid w:val="008F7DB9"/>
  </w:style>
  <w:style w:type="numbering" w:customStyle="1" w:styleId="NoList11142">
    <w:name w:val="No List11142"/>
    <w:next w:val="NoList"/>
    <w:semiHidden/>
    <w:rsid w:val="008F7DB9"/>
  </w:style>
  <w:style w:type="table" w:customStyle="1" w:styleId="TableGrid144">
    <w:name w:val="Table Grid14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semiHidden/>
    <w:rsid w:val="008F7DB9"/>
  </w:style>
  <w:style w:type="numbering" w:customStyle="1" w:styleId="NoList262">
    <w:name w:val="No List262"/>
    <w:next w:val="NoList"/>
    <w:semiHidden/>
    <w:rsid w:val="008F7DB9"/>
  </w:style>
  <w:style w:type="numbering" w:customStyle="1" w:styleId="NoList362">
    <w:name w:val="No List362"/>
    <w:next w:val="NoList"/>
    <w:semiHidden/>
    <w:unhideWhenUsed/>
    <w:rsid w:val="008F7DB9"/>
  </w:style>
  <w:style w:type="table" w:customStyle="1" w:styleId="TableList752">
    <w:name w:val="Table List 75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2">
    <w:name w:val="Table Web 35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2">
    <w:name w:val="Table Elegant5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2">
    <w:name w:val="Table Web 25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2">
    <w:name w:val="Table Web 15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2">
    <w:name w:val="Table Grid 85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2">
    <w:name w:val="Table Contemporary5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2">
    <w:name w:val="Light List - Accent 19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2">
    <w:name w:val="Table Grid 75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2">
    <w:name w:val="Colorful Grid - Accent 16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2">
    <w:name w:val="Light List - Accent 56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2">
    <w:name w:val="Table Simple 35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2">
    <w:name w:val="Table Grid 55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2">
    <w:name w:val="Table Grid 35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2">
    <w:name w:val="Table Grid 15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2">
    <w:name w:val="Table Columns 55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2">
    <w:name w:val="Light List - Accent 115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2">
    <w:name w:val="Нет списка162"/>
    <w:next w:val="NoList"/>
    <w:semiHidden/>
    <w:unhideWhenUsed/>
    <w:rsid w:val="008F7DB9"/>
  </w:style>
  <w:style w:type="table" w:customStyle="1" w:styleId="ColorfulGrid-Accent1152">
    <w:name w:val="Colorful Grid - Accent 115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2">
    <w:name w:val="Light List - Accent 515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2">
    <w:name w:val="No List452"/>
    <w:next w:val="NoList"/>
    <w:semiHidden/>
    <w:rsid w:val="008F7DB9"/>
  </w:style>
  <w:style w:type="table" w:customStyle="1" w:styleId="Table3Deffects352">
    <w:name w:val="Table 3D effects 35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
    <w:name w:val="Нет списка1152"/>
    <w:next w:val="NoList"/>
    <w:semiHidden/>
    <w:unhideWhenUsed/>
    <w:rsid w:val="008F7DB9"/>
  </w:style>
  <w:style w:type="numbering" w:customStyle="1" w:styleId="NoList532">
    <w:name w:val="No List532"/>
    <w:next w:val="NoList"/>
    <w:uiPriority w:val="99"/>
    <w:semiHidden/>
    <w:unhideWhenUsed/>
    <w:rsid w:val="008F7DB9"/>
  </w:style>
  <w:style w:type="numbering" w:customStyle="1" w:styleId="NoList1232">
    <w:name w:val="No List1232"/>
    <w:next w:val="NoList"/>
    <w:semiHidden/>
    <w:rsid w:val="008F7DB9"/>
  </w:style>
  <w:style w:type="numbering" w:customStyle="1" w:styleId="NoList11232">
    <w:name w:val="No List11232"/>
    <w:next w:val="NoList"/>
    <w:semiHidden/>
    <w:rsid w:val="008F7DB9"/>
  </w:style>
  <w:style w:type="numbering" w:customStyle="1" w:styleId="NoList11111112">
    <w:name w:val="No List11111112"/>
    <w:next w:val="NoList"/>
    <w:semiHidden/>
    <w:rsid w:val="008F7DB9"/>
  </w:style>
  <w:style w:type="numbering" w:customStyle="1" w:styleId="NoList2132">
    <w:name w:val="No List2132"/>
    <w:next w:val="NoList"/>
    <w:semiHidden/>
    <w:rsid w:val="008F7DB9"/>
  </w:style>
  <w:style w:type="table" w:customStyle="1" w:styleId="TableGrid234">
    <w:name w:val="Table Grid23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8F7DB9"/>
  </w:style>
  <w:style w:type="numbering" w:customStyle="1" w:styleId="NoList615">
    <w:name w:val="No List615"/>
    <w:next w:val="NoList"/>
    <w:uiPriority w:val="99"/>
    <w:semiHidden/>
    <w:unhideWhenUsed/>
    <w:rsid w:val="008F7DB9"/>
  </w:style>
  <w:style w:type="numbering" w:customStyle="1" w:styleId="NoList715">
    <w:name w:val="No List715"/>
    <w:next w:val="NoList"/>
    <w:uiPriority w:val="99"/>
    <w:semiHidden/>
    <w:unhideWhenUsed/>
    <w:rsid w:val="008F7DB9"/>
  </w:style>
  <w:style w:type="table" w:customStyle="1" w:styleId="TableGrid3150">
    <w:name w:val="Table Grid315"/>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semiHidden/>
    <w:unhideWhenUsed/>
    <w:rsid w:val="008F7DB9"/>
  </w:style>
  <w:style w:type="numbering" w:customStyle="1" w:styleId="NoList11312">
    <w:name w:val="No List11312"/>
    <w:next w:val="NoList"/>
    <w:semiHidden/>
    <w:rsid w:val="008F7DB9"/>
  </w:style>
  <w:style w:type="table" w:customStyle="1" w:styleId="TableGrid1116">
    <w:name w:val="Table Grid1116"/>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semiHidden/>
    <w:rsid w:val="008F7DB9"/>
  </w:style>
  <w:style w:type="numbering" w:customStyle="1" w:styleId="NoList2214">
    <w:name w:val="No List2214"/>
    <w:next w:val="NoList"/>
    <w:semiHidden/>
    <w:rsid w:val="008F7DB9"/>
  </w:style>
  <w:style w:type="numbering" w:customStyle="1" w:styleId="NoList3214">
    <w:name w:val="No List3214"/>
    <w:next w:val="NoList"/>
    <w:semiHidden/>
    <w:unhideWhenUsed/>
    <w:rsid w:val="008F7DB9"/>
  </w:style>
  <w:style w:type="table" w:customStyle="1" w:styleId="TableList7114">
    <w:name w:val="Table List 7114"/>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4">
    <w:name w:val="Table Web 3114"/>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4">
    <w:name w:val="Table Elegant114"/>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5">
    <w:name w:val="Table Web 211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5">
    <w:name w:val="Table Web 111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5">
    <w:name w:val="Table Grid 811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5">
    <w:name w:val="Table Contemporary11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5">
    <w:name w:val="Light List - Accent 121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4">
    <w:name w:val="Table Grid 7114"/>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5">
    <w:name w:val="Colorful Grid - Accent 1215"/>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5">
    <w:name w:val="Light List - Accent 5215"/>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4">
    <w:name w:val="Table Simple 3114"/>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4">
    <w:name w:val="Table Grid 5114"/>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4">
    <w:name w:val="Table Grid 3114"/>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40">
    <w:name w:val="Table Grid 1114"/>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4">
    <w:name w:val="Table Columns 5114"/>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4">
    <w:name w:val="Light List - Accent 11114"/>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5">
    <w:name w:val="Нет списка1215"/>
    <w:next w:val="NoList"/>
    <w:uiPriority w:val="99"/>
    <w:semiHidden/>
    <w:unhideWhenUsed/>
    <w:rsid w:val="008F7DB9"/>
  </w:style>
  <w:style w:type="table" w:customStyle="1" w:styleId="ColorfulGrid-Accent11114">
    <w:name w:val="Colorful Grid - Accent 11114"/>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4">
    <w:name w:val="Light List - Accent 51114"/>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5">
    <w:name w:val="No List4115"/>
    <w:next w:val="NoList"/>
    <w:semiHidden/>
    <w:rsid w:val="008F7DB9"/>
  </w:style>
  <w:style w:type="table" w:customStyle="1" w:styleId="Table3Deffects3114">
    <w:name w:val="Table 3D effects 3114"/>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NoList"/>
    <w:semiHidden/>
    <w:unhideWhenUsed/>
    <w:rsid w:val="008F7DB9"/>
  </w:style>
  <w:style w:type="numbering" w:customStyle="1" w:styleId="NoList5114">
    <w:name w:val="No List5114"/>
    <w:next w:val="NoList"/>
    <w:uiPriority w:val="99"/>
    <w:semiHidden/>
    <w:unhideWhenUsed/>
    <w:rsid w:val="008F7DB9"/>
  </w:style>
  <w:style w:type="numbering" w:customStyle="1" w:styleId="NoList12114">
    <w:name w:val="No List12114"/>
    <w:next w:val="NoList"/>
    <w:uiPriority w:val="99"/>
    <w:semiHidden/>
    <w:rsid w:val="008F7DB9"/>
  </w:style>
  <w:style w:type="numbering" w:customStyle="1" w:styleId="NoList112112">
    <w:name w:val="No List112112"/>
    <w:next w:val="NoList"/>
    <w:semiHidden/>
    <w:rsid w:val="008F7DB9"/>
  </w:style>
  <w:style w:type="numbering" w:customStyle="1" w:styleId="NoList111111112">
    <w:name w:val="No List111111112"/>
    <w:next w:val="NoList"/>
    <w:semiHidden/>
    <w:rsid w:val="008F7DB9"/>
  </w:style>
  <w:style w:type="numbering" w:customStyle="1" w:styleId="NoList21114">
    <w:name w:val="No List21114"/>
    <w:next w:val="NoList"/>
    <w:semiHidden/>
    <w:rsid w:val="008F7DB9"/>
  </w:style>
  <w:style w:type="table" w:customStyle="1" w:styleId="TableGrid2114">
    <w:name w:val="Table Grid211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4">
    <w:name w:val="No List31114"/>
    <w:next w:val="NoList"/>
    <w:semiHidden/>
    <w:unhideWhenUsed/>
    <w:rsid w:val="008F7DB9"/>
  </w:style>
  <w:style w:type="numbering" w:customStyle="1" w:styleId="NoList815">
    <w:name w:val="No List815"/>
    <w:next w:val="NoList"/>
    <w:uiPriority w:val="99"/>
    <w:semiHidden/>
    <w:unhideWhenUsed/>
    <w:rsid w:val="008F7DB9"/>
  </w:style>
  <w:style w:type="numbering" w:customStyle="1" w:styleId="NoList914">
    <w:name w:val="No List914"/>
    <w:next w:val="NoList"/>
    <w:uiPriority w:val="99"/>
    <w:semiHidden/>
    <w:unhideWhenUsed/>
    <w:rsid w:val="008F7DB9"/>
  </w:style>
  <w:style w:type="table" w:customStyle="1" w:styleId="TableGrid415">
    <w:name w:val="Table Grid4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2">
    <w:name w:val="Table List 72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2">
    <w:name w:val="Table Web 32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4">
    <w:name w:val="Table Web 2214"/>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4">
    <w:name w:val="Table Web 1214"/>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4">
    <w:name w:val="Table Grid 8214"/>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4">
    <w:name w:val="Table Contemporary214"/>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4">
    <w:name w:val="No List1414"/>
    <w:next w:val="NoList"/>
    <w:semiHidden/>
    <w:unhideWhenUsed/>
    <w:rsid w:val="008F7DB9"/>
  </w:style>
  <w:style w:type="numbering" w:customStyle="1" w:styleId="NoList2312">
    <w:name w:val="No List2312"/>
    <w:next w:val="NoList"/>
    <w:semiHidden/>
    <w:unhideWhenUsed/>
    <w:rsid w:val="008F7DB9"/>
  </w:style>
  <w:style w:type="numbering" w:customStyle="1" w:styleId="NoList3312">
    <w:name w:val="No List3312"/>
    <w:next w:val="NoList"/>
    <w:semiHidden/>
    <w:unhideWhenUsed/>
    <w:rsid w:val="008F7DB9"/>
  </w:style>
  <w:style w:type="table" w:customStyle="1" w:styleId="LightList-Accent1312">
    <w:name w:val="Light List - Accent 13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2">
    <w:name w:val="Table Grid 72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4">
    <w:name w:val="Colorful Grid - Accent 1314"/>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4">
    <w:name w:val="Light List - Accent 5314"/>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2">
    <w:name w:val="Table Simple 32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2">
    <w:name w:val="Table Grid 52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2">
    <w:name w:val="Table Grid 32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20">
    <w:name w:val="Table Grid 12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2">
    <w:name w:val="Table Columns 52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2">
    <w:name w:val="Light List - Accent 112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4">
    <w:name w:val="Нет списка1314"/>
    <w:next w:val="NoList"/>
    <w:semiHidden/>
    <w:unhideWhenUsed/>
    <w:rsid w:val="008F7DB9"/>
  </w:style>
  <w:style w:type="table" w:customStyle="1" w:styleId="ColorfulGrid-Accent11212">
    <w:name w:val="Colorful Grid - Accent 112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2">
    <w:name w:val="Light List - Accent 512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4">
    <w:name w:val="No List4214"/>
    <w:next w:val="NoList"/>
    <w:semiHidden/>
    <w:rsid w:val="008F7DB9"/>
  </w:style>
  <w:style w:type="numbering" w:customStyle="1" w:styleId="NoList11412">
    <w:name w:val="No List11412"/>
    <w:next w:val="NoList"/>
    <w:semiHidden/>
    <w:unhideWhenUsed/>
    <w:rsid w:val="008F7DB9"/>
  </w:style>
  <w:style w:type="table" w:customStyle="1" w:styleId="Table3Deffects3212">
    <w:name w:val="Table 3D effects 32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4">
    <w:name w:val="Нет списка11214"/>
    <w:next w:val="NoList"/>
    <w:semiHidden/>
    <w:unhideWhenUsed/>
    <w:rsid w:val="008F7DB9"/>
  </w:style>
  <w:style w:type="numbering" w:customStyle="1" w:styleId="NoList1014">
    <w:name w:val="No List1014"/>
    <w:next w:val="NoList"/>
    <w:uiPriority w:val="99"/>
    <w:semiHidden/>
    <w:unhideWhenUsed/>
    <w:rsid w:val="008F7DB9"/>
  </w:style>
  <w:style w:type="table" w:customStyle="1" w:styleId="TableGrid5140">
    <w:name w:val="Table Grid5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8F7DB9"/>
  </w:style>
  <w:style w:type="numbering" w:customStyle="1" w:styleId="NoList11512">
    <w:name w:val="No List11512"/>
    <w:next w:val="NoList"/>
    <w:semiHidden/>
    <w:rsid w:val="008F7DB9"/>
  </w:style>
  <w:style w:type="table" w:customStyle="1" w:styleId="TableGrid1214">
    <w:name w:val="Table Grid12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semiHidden/>
    <w:rsid w:val="008F7DB9"/>
  </w:style>
  <w:style w:type="numbering" w:customStyle="1" w:styleId="NoList2412">
    <w:name w:val="No List2412"/>
    <w:next w:val="NoList"/>
    <w:semiHidden/>
    <w:rsid w:val="008F7DB9"/>
  </w:style>
  <w:style w:type="numbering" w:customStyle="1" w:styleId="NoList3412">
    <w:name w:val="No List3412"/>
    <w:next w:val="NoList"/>
    <w:semiHidden/>
    <w:unhideWhenUsed/>
    <w:rsid w:val="008F7DB9"/>
  </w:style>
  <w:style w:type="table" w:customStyle="1" w:styleId="TableList7312">
    <w:name w:val="Table List 73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2">
    <w:name w:val="Table Web 33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2">
    <w:name w:val="Table Elegant3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2">
    <w:name w:val="Table Web 231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2">
    <w:name w:val="Table Web 131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2">
    <w:name w:val="Table Grid 831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2">
    <w:name w:val="Table Contemporary31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2">
    <w:name w:val="Light List - Accent 14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20">
    <w:name w:val="Table Grid 73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2">
    <w:name w:val="Colorful Grid - Accent 141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2">
    <w:name w:val="Light List - Accent 541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2">
    <w:name w:val="Table Simple 33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2">
    <w:name w:val="Table Grid 53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2">
    <w:name w:val="Table Grid 33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2">
    <w:name w:val="Table Grid 13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2">
    <w:name w:val="Table Columns 53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2">
    <w:name w:val="Light List - Accent 113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2">
    <w:name w:val="Нет списка1412"/>
    <w:next w:val="NoList"/>
    <w:semiHidden/>
    <w:unhideWhenUsed/>
    <w:rsid w:val="008F7DB9"/>
  </w:style>
  <w:style w:type="table" w:customStyle="1" w:styleId="ColorfulGrid-Accent11312">
    <w:name w:val="Colorful Grid - Accent 113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2">
    <w:name w:val="Light List - Accent 513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2">
    <w:name w:val="No List4312"/>
    <w:next w:val="NoList"/>
    <w:semiHidden/>
    <w:rsid w:val="008F7DB9"/>
  </w:style>
  <w:style w:type="table" w:customStyle="1" w:styleId="Table3Deffects3312">
    <w:name w:val="Table 3D effects 33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2">
    <w:name w:val="Нет списка11312"/>
    <w:next w:val="NoList"/>
    <w:semiHidden/>
    <w:unhideWhenUsed/>
    <w:rsid w:val="008F7DB9"/>
  </w:style>
  <w:style w:type="numbering" w:customStyle="1" w:styleId="NoList5212">
    <w:name w:val="No List5212"/>
    <w:next w:val="NoList"/>
    <w:uiPriority w:val="99"/>
    <w:semiHidden/>
    <w:unhideWhenUsed/>
    <w:rsid w:val="008F7DB9"/>
  </w:style>
  <w:style w:type="numbering" w:customStyle="1" w:styleId="NoList12212">
    <w:name w:val="No List12212"/>
    <w:next w:val="NoList"/>
    <w:semiHidden/>
    <w:rsid w:val="008F7DB9"/>
  </w:style>
  <w:style w:type="numbering" w:customStyle="1" w:styleId="NoList112212">
    <w:name w:val="No List112212"/>
    <w:next w:val="NoList"/>
    <w:semiHidden/>
    <w:rsid w:val="008F7DB9"/>
  </w:style>
  <w:style w:type="numbering" w:customStyle="1" w:styleId="NoList1111212">
    <w:name w:val="No List1111212"/>
    <w:next w:val="NoList"/>
    <w:semiHidden/>
    <w:rsid w:val="008F7DB9"/>
  </w:style>
  <w:style w:type="numbering" w:customStyle="1" w:styleId="NoList21212">
    <w:name w:val="No List21212"/>
    <w:next w:val="NoList"/>
    <w:semiHidden/>
    <w:rsid w:val="008F7DB9"/>
  </w:style>
  <w:style w:type="table" w:customStyle="1" w:styleId="TableGrid2215">
    <w:name w:val="Table Grid22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8F7DB9"/>
  </w:style>
  <w:style w:type="table" w:customStyle="1" w:styleId="LightShading-Accent1112">
    <w:name w:val="Light Shading - Accent 111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2">
    <w:name w:val="Medium Grid 2 - Accent 111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2">
    <w:name w:val="Medium List 2 - Accent 511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2">
    <w:name w:val="Light List - Accent 15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2">
    <w:name w:val="Medium Grid 3 - Accent 511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2">
    <w:name w:val="Light Shading - Accent 511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2">
    <w:name w:val="Medium Grid 2 - Accent 511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2">
    <w:name w:val="Light Grid - Accent 111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2">
    <w:name w:val="Table List 43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2">
    <w:name w:val="Table List 412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2">
    <w:name w:val="Table Theme12"/>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20">
    <w:name w:val="Table Grid 612"/>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2">
    <w:name w:val="Table List 42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2">
    <w:name w:val="Table List 411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2">
    <w:name w:val="Style113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2">
    <w:name w:val="Style2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2">
    <w:name w:val="Style21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2">
    <w:name w:val="No List1612"/>
    <w:next w:val="NoList"/>
    <w:uiPriority w:val="99"/>
    <w:semiHidden/>
    <w:unhideWhenUsed/>
    <w:rsid w:val="008F7DB9"/>
  </w:style>
  <w:style w:type="table" w:customStyle="1" w:styleId="TableGrid614">
    <w:name w:val="Table Grid6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8F7DB9"/>
  </w:style>
  <w:style w:type="numbering" w:customStyle="1" w:styleId="NoList11612">
    <w:name w:val="No List11612"/>
    <w:next w:val="NoList"/>
    <w:semiHidden/>
    <w:rsid w:val="008F7DB9"/>
  </w:style>
  <w:style w:type="table" w:customStyle="1" w:styleId="TableGrid13120">
    <w:name w:val="Table Grid131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2">
    <w:name w:val="Light List - Accent 16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2">
    <w:name w:val="Medium Grid 2 - Accent 132"/>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2">
    <w:name w:val="Medium List 2 - Accent 532"/>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2">
    <w:name w:val="Medium Grid 3 - Accent 532"/>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2">
    <w:name w:val="Light Shading - Accent 532"/>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2">
    <w:name w:val="Medium Grid 2 - Accent 532"/>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2">
    <w:name w:val="Light Grid - Accent 132"/>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2">
    <w:name w:val="Light Shading - Accent 14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2">
    <w:name w:val="Medium Grid 2 - Accent 14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2">
    <w:name w:val="Medium List 2 - Accent 54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2">
    <w:name w:val="Light List - Accent 11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2">
    <w:name w:val="Medium Grid 3 - Accent 54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2">
    <w:name w:val="Light Shading - Accent 54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2">
    <w:name w:val="Medium Grid 2 - Accent 54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2">
    <w:name w:val="Light Grid - Accent 14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2">
    <w:name w:val="Light Shading - Accent 15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2">
    <w:name w:val="Medium Grid 2 - Accent 15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2">
    <w:name w:val="Medium List 2 - Accent 55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2">
    <w:name w:val="Light List - Accent 116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2">
    <w:name w:val="Medium Grid 3 - Accent 55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2">
    <w:name w:val="Light Shading - Accent 55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2">
    <w:name w:val="Medium Grid 2 - Accent 55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2">
    <w:name w:val="Light Grid - Accent 15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2">
    <w:name w:val="No List272"/>
    <w:next w:val="NoList"/>
    <w:uiPriority w:val="99"/>
    <w:semiHidden/>
    <w:unhideWhenUsed/>
    <w:rsid w:val="008F7DB9"/>
  </w:style>
  <w:style w:type="table" w:customStyle="1" w:styleId="TableGrid95">
    <w:name w:val="Table Grid9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2">
    <w:name w:val="Table List 76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2">
    <w:name w:val="Table Web 36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2">
    <w:name w:val="Table Elegant6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2">
    <w:name w:val="Table Web 26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2">
    <w:name w:val="Table Web 16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2">
    <w:name w:val="Table Grid 86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2">
    <w:name w:val="Table Contemporary6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2">
    <w:name w:val="No List1192"/>
    <w:next w:val="NoList"/>
    <w:semiHidden/>
    <w:unhideWhenUsed/>
    <w:rsid w:val="008F7DB9"/>
  </w:style>
  <w:style w:type="numbering" w:customStyle="1" w:styleId="NoList282">
    <w:name w:val="No List282"/>
    <w:next w:val="NoList"/>
    <w:semiHidden/>
    <w:unhideWhenUsed/>
    <w:rsid w:val="008F7DB9"/>
  </w:style>
  <w:style w:type="numbering" w:customStyle="1" w:styleId="NoList372">
    <w:name w:val="No List372"/>
    <w:next w:val="NoList"/>
    <w:semiHidden/>
    <w:unhideWhenUsed/>
    <w:rsid w:val="008F7DB9"/>
  </w:style>
  <w:style w:type="table" w:customStyle="1" w:styleId="LightList-Accent1172">
    <w:name w:val="Light List - Accent 117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2">
    <w:name w:val="Table Grid 76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2">
    <w:name w:val="Colorful Grid - Accent 17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2">
    <w:name w:val="Light List - Accent 57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2">
    <w:name w:val="Table Simple 36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2">
    <w:name w:val="Table Grid 56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2">
    <w:name w:val="Table Grid 36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2">
    <w:name w:val="Table Grid 16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2">
    <w:name w:val="Table Columns 56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2">
    <w:name w:val="Light List - Accent 118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2">
    <w:name w:val="Нет списка172"/>
    <w:next w:val="NoList"/>
    <w:semiHidden/>
    <w:unhideWhenUsed/>
    <w:rsid w:val="008F7DB9"/>
  </w:style>
  <w:style w:type="table" w:customStyle="1" w:styleId="ColorfulGrid-Accent1162">
    <w:name w:val="Colorful Grid - Accent 116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2">
    <w:name w:val="Light List - Accent 516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2">
    <w:name w:val="No List462"/>
    <w:next w:val="NoList"/>
    <w:semiHidden/>
    <w:rsid w:val="008F7DB9"/>
  </w:style>
  <w:style w:type="numbering" w:customStyle="1" w:styleId="NoList11102">
    <w:name w:val="No List11102"/>
    <w:next w:val="NoList"/>
    <w:semiHidden/>
    <w:unhideWhenUsed/>
    <w:rsid w:val="008F7DB9"/>
  </w:style>
  <w:style w:type="table" w:customStyle="1" w:styleId="Table3Deffects362">
    <w:name w:val="Table 3D effects 36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NoList"/>
    <w:semiHidden/>
    <w:unhideWhenUsed/>
    <w:rsid w:val="008F7DB9"/>
  </w:style>
  <w:style w:type="table" w:customStyle="1" w:styleId="LightShading-Accent162">
    <w:name w:val="Light Shading - Accent 16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2">
    <w:name w:val="Medium Grid 2 - Accent 16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2">
    <w:name w:val="Medium List 2 - Accent 56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2">
    <w:name w:val="Light List - Accent 15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2">
    <w:name w:val="Medium Grid 3 - Accent 56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2">
    <w:name w:val="Light Shading - Accent 56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2">
    <w:name w:val="Medium Grid 2 - Accent 56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2">
    <w:name w:val="Light Grid - Accent 16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2">
    <w:name w:val="Style114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2">
    <w:name w:val="Style2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2">
    <w:name w:val="Style21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2">
    <w:name w:val="Light Shading - Accent 1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2">
    <w:name w:val="Medium Grid 2 - Accent 1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2">
    <w:name w:val="Medium List 2 - Accent 51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2">
    <w:name w:val="Light List - Accent 16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2">
    <w:name w:val="Medium Grid 3 - Accent 51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2">
    <w:name w:val="Light Shading - Accent 51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2">
    <w:name w:val="Medium Grid 2 - Accent 51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2">
    <w:name w:val="Light Grid - Accent 1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2">
    <w:name w:val="No List292"/>
    <w:next w:val="NoList"/>
    <w:uiPriority w:val="99"/>
    <w:semiHidden/>
    <w:unhideWhenUsed/>
    <w:rsid w:val="008F7DB9"/>
  </w:style>
  <w:style w:type="table" w:customStyle="1" w:styleId="TableGrid105">
    <w:name w:val="Table Grid10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2">
    <w:name w:val="No List1202"/>
    <w:next w:val="NoList"/>
    <w:uiPriority w:val="99"/>
    <w:semiHidden/>
    <w:unhideWhenUsed/>
    <w:rsid w:val="008F7DB9"/>
  </w:style>
  <w:style w:type="numbering" w:customStyle="1" w:styleId="NoList11152">
    <w:name w:val="No List11152"/>
    <w:next w:val="NoList"/>
    <w:semiHidden/>
    <w:rsid w:val="008F7DB9"/>
  </w:style>
  <w:style w:type="table" w:customStyle="1" w:styleId="TableGrid1520">
    <w:name w:val="Table Grid15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8F7DB9"/>
  </w:style>
  <w:style w:type="table" w:customStyle="1" w:styleId="LightShading-Accent172">
    <w:name w:val="Light Shading - Accent 17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2">
    <w:name w:val="Medium Grid 2 - Accent 17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2">
    <w:name w:val="Medium List 2 - Accent 57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2">
    <w:name w:val="Light List - Accent 119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2">
    <w:name w:val="Medium Grid 3 - Accent 57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2">
    <w:name w:val="Light Shading - Accent 57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2">
    <w:name w:val="Medium Grid 2 - Accent 57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2">
    <w:name w:val="Light Grid - Accent 17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2">
    <w:name w:val="No List382"/>
    <w:next w:val="NoList"/>
    <w:uiPriority w:val="99"/>
    <w:semiHidden/>
    <w:unhideWhenUsed/>
    <w:rsid w:val="008F7DB9"/>
  </w:style>
  <w:style w:type="table" w:customStyle="1" w:styleId="TableGrid1620">
    <w:name w:val="Table Grid162"/>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F7DB9"/>
  </w:style>
  <w:style w:type="numbering" w:customStyle="1" w:styleId="NoList11162">
    <w:name w:val="No List11162"/>
    <w:next w:val="NoList"/>
    <w:semiHidden/>
    <w:rsid w:val="008F7DB9"/>
  </w:style>
  <w:style w:type="table" w:customStyle="1" w:styleId="TableGrid172">
    <w:name w:val="Table Grid17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2">
    <w:name w:val="Light Shading - Accent 18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2">
    <w:name w:val="Medium Grid 2 - Accent 18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2">
    <w:name w:val="Medium List 2 - Accent 58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2">
    <w:name w:val="Light List - Accent 12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2">
    <w:name w:val="Medium Grid 3 - Accent 58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2">
    <w:name w:val="Light Shading - Accent 58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2">
    <w:name w:val="Medium Grid 2 - Accent 58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2">
    <w:name w:val="Light Grid - Accent 18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2">
    <w:name w:val="Light Shading - Accent 19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2">
    <w:name w:val="Medium Grid 2 - Accent 19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2">
    <w:name w:val="Medium List 2 - Accent 59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2">
    <w:name w:val="Light List - Accent 12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2">
    <w:name w:val="Medium Grid 3 - Accent 59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2">
    <w:name w:val="Light Shading - Accent 59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2">
    <w:name w:val="Medium Grid 2 - Accent 59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2">
    <w:name w:val="Light Grid - Accent 19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3">
    <w:name w:val="Style1153"/>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2">
    <w:name w:val="Style21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2">
    <w:name w:val="No List392"/>
    <w:next w:val="NoList"/>
    <w:uiPriority w:val="99"/>
    <w:semiHidden/>
    <w:unhideWhenUsed/>
    <w:rsid w:val="008F7DB9"/>
  </w:style>
  <w:style w:type="table" w:customStyle="1" w:styleId="TableGrid182">
    <w:name w:val="Table Grid18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F7DB9"/>
  </w:style>
  <w:style w:type="numbering" w:customStyle="1" w:styleId="NoList11172">
    <w:name w:val="No List11172"/>
    <w:next w:val="NoList"/>
    <w:semiHidden/>
    <w:rsid w:val="008F7DB9"/>
  </w:style>
  <w:style w:type="table" w:customStyle="1" w:styleId="TableGrid192">
    <w:name w:val="Table Grid19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2">
    <w:name w:val="Style115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2">
    <w:name w:val="Style216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2">
    <w:name w:val="No List402"/>
    <w:next w:val="NoList"/>
    <w:uiPriority w:val="99"/>
    <w:semiHidden/>
    <w:unhideWhenUsed/>
    <w:rsid w:val="008F7DB9"/>
  </w:style>
  <w:style w:type="table" w:customStyle="1" w:styleId="TableGrid202">
    <w:name w:val="Table Grid202"/>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2">
    <w:name w:val="Light Shading - Accent 110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2">
    <w:name w:val="Light List - Accent 582"/>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2">
    <w:name w:val="Medium List 2 - Accent 112"/>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2">
    <w:name w:val="Medium Grid 2 - Accent 110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2">
    <w:name w:val="Medium List 2 - Accent 510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2">
    <w:name w:val="Light List - Accent 123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2">
    <w:name w:val="Medium List 1 - Accent 512"/>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2">
    <w:name w:val="Medium Grid 3 - Accent 510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2">
    <w:name w:val="Light Shading - Accent 510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2">
    <w:name w:val="Medium Grid 2 - Accent 510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2">
    <w:name w:val="Light List - Accent 312"/>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2">
    <w:name w:val="Medium List 2 - Accent 312"/>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2">
    <w:name w:val="Light Grid - Accent 110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2">
    <w:name w:val="No List472"/>
    <w:next w:val="NoList"/>
    <w:uiPriority w:val="99"/>
    <w:semiHidden/>
    <w:unhideWhenUsed/>
    <w:rsid w:val="008F7DB9"/>
  </w:style>
  <w:style w:type="table" w:customStyle="1" w:styleId="TableGrid242">
    <w:name w:val="Table Grid24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8F7DB9"/>
  </w:style>
  <w:style w:type="numbering" w:customStyle="1" w:styleId="NoList11182">
    <w:name w:val="No List11182"/>
    <w:next w:val="NoList"/>
    <w:semiHidden/>
    <w:rsid w:val="008F7DB9"/>
  </w:style>
  <w:style w:type="table" w:customStyle="1" w:styleId="TableGrid11020">
    <w:name w:val="Table Grid110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semiHidden/>
    <w:rsid w:val="008F7DB9"/>
  </w:style>
  <w:style w:type="numbering" w:customStyle="1" w:styleId="NoList1271">
    <w:name w:val="No List1271"/>
    <w:next w:val="NoList"/>
    <w:semiHidden/>
    <w:rsid w:val="008F7DB9"/>
  </w:style>
  <w:style w:type="numbering" w:customStyle="1" w:styleId="NoList2101">
    <w:name w:val="No List2101"/>
    <w:next w:val="NoList"/>
    <w:semiHidden/>
    <w:rsid w:val="008F7DB9"/>
  </w:style>
  <w:style w:type="numbering" w:customStyle="1" w:styleId="NoList491">
    <w:name w:val="No List491"/>
    <w:next w:val="NoList"/>
    <w:uiPriority w:val="99"/>
    <w:semiHidden/>
    <w:unhideWhenUsed/>
    <w:rsid w:val="008F7DB9"/>
  </w:style>
  <w:style w:type="table" w:customStyle="1" w:styleId="TableGrid251">
    <w:name w:val="Table Grid251"/>
    <w:basedOn w:val="TableNormal"/>
    <w:next w:val="TableGrid"/>
    <w:uiPriority w:val="39"/>
    <w:rsid w:val="008F7DB9"/>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8F7DB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1">
    <w:name w:val="Table Grid26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8F7DB9"/>
  </w:style>
  <w:style w:type="numbering" w:customStyle="1" w:styleId="NoList1281">
    <w:name w:val="No List1281"/>
    <w:next w:val="NoList"/>
    <w:uiPriority w:val="99"/>
    <w:semiHidden/>
    <w:unhideWhenUsed/>
    <w:rsid w:val="008F7DB9"/>
  </w:style>
  <w:style w:type="table" w:customStyle="1" w:styleId="TableGrid271">
    <w:name w:val="Table Grid27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semiHidden/>
    <w:unhideWhenUsed/>
    <w:rsid w:val="008F7DB9"/>
  </w:style>
  <w:style w:type="numbering" w:customStyle="1" w:styleId="NoList111101">
    <w:name w:val="No List111101"/>
    <w:next w:val="NoList"/>
    <w:semiHidden/>
    <w:rsid w:val="008F7DB9"/>
  </w:style>
  <w:style w:type="table" w:customStyle="1" w:styleId="TableGrid1123">
    <w:name w:val="Table Grid11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semiHidden/>
    <w:rsid w:val="008F7DB9"/>
  </w:style>
  <w:style w:type="numbering" w:customStyle="1" w:styleId="NoList2141">
    <w:name w:val="No List2141"/>
    <w:next w:val="NoList"/>
    <w:semiHidden/>
    <w:rsid w:val="008F7DB9"/>
  </w:style>
  <w:style w:type="numbering" w:customStyle="1" w:styleId="NoList3101">
    <w:name w:val="No List3101"/>
    <w:next w:val="NoList"/>
    <w:semiHidden/>
    <w:unhideWhenUsed/>
    <w:rsid w:val="008F7DB9"/>
  </w:style>
  <w:style w:type="table" w:customStyle="1" w:styleId="TableList771">
    <w:name w:val="Table List 77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1">
    <w:name w:val="Table Web 37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1">
    <w:name w:val="Table Elegant7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1">
    <w:name w:val="Table Web 27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1">
    <w:name w:val="Table Web 17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1">
    <w:name w:val="Table Grid 87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1">
    <w:name w:val="Table Contemporary7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1">
    <w:name w:val="Light List - Accent 124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1">
    <w:name w:val="Table Grid 77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1">
    <w:name w:val="Colorful Grid - Accent 18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1">
    <w:name w:val="Light List - Accent 59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1">
    <w:name w:val="Table Simple 37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1">
    <w:name w:val="Table Grid 57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1">
    <w:name w:val="Table Grid 37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10">
    <w:name w:val="Table Grid 17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1">
    <w:name w:val="Table Columns 57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1">
    <w:name w:val="Light List - Accent 1110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1">
    <w:name w:val="Нет списка181"/>
    <w:next w:val="NoList"/>
    <w:semiHidden/>
    <w:unhideWhenUsed/>
    <w:rsid w:val="008F7DB9"/>
  </w:style>
  <w:style w:type="table" w:customStyle="1" w:styleId="ColorfulGrid-Accent1171">
    <w:name w:val="Colorful Grid - Accent 117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1">
    <w:name w:val="Light List - Accent 517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1">
    <w:name w:val="No List4101"/>
    <w:next w:val="NoList"/>
    <w:semiHidden/>
    <w:rsid w:val="008F7DB9"/>
  </w:style>
  <w:style w:type="table" w:customStyle="1" w:styleId="Table3Deffects371">
    <w:name w:val="Table 3D effects 37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
    <w:name w:val="Нет списка1171"/>
    <w:next w:val="NoList"/>
    <w:semiHidden/>
    <w:unhideWhenUsed/>
    <w:rsid w:val="008F7DB9"/>
  </w:style>
  <w:style w:type="numbering" w:customStyle="1" w:styleId="NoList541">
    <w:name w:val="No List541"/>
    <w:next w:val="NoList"/>
    <w:uiPriority w:val="99"/>
    <w:semiHidden/>
    <w:unhideWhenUsed/>
    <w:rsid w:val="008F7DB9"/>
  </w:style>
  <w:style w:type="numbering" w:customStyle="1" w:styleId="NoList1291">
    <w:name w:val="No List1291"/>
    <w:next w:val="NoList"/>
    <w:semiHidden/>
    <w:rsid w:val="008F7DB9"/>
  </w:style>
  <w:style w:type="numbering" w:customStyle="1" w:styleId="NoList11241">
    <w:name w:val="No List11241"/>
    <w:next w:val="NoList"/>
    <w:semiHidden/>
    <w:rsid w:val="008F7DB9"/>
  </w:style>
  <w:style w:type="numbering" w:customStyle="1" w:styleId="NoList1111121">
    <w:name w:val="No List1111121"/>
    <w:next w:val="NoList"/>
    <w:semiHidden/>
    <w:rsid w:val="008F7DB9"/>
  </w:style>
  <w:style w:type="numbering" w:customStyle="1" w:styleId="NoList2151">
    <w:name w:val="No List2151"/>
    <w:next w:val="NoList"/>
    <w:semiHidden/>
    <w:rsid w:val="008F7DB9"/>
  </w:style>
  <w:style w:type="table" w:customStyle="1" w:styleId="TableGrid281">
    <w:name w:val="Table Grid28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8F7DB9"/>
  </w:style>
  <w:style w:type="numbering" w:customStyle="1" w:styleId="NoList623">
    <w:name w:val="No List623"/>
    <w:next w:val="NoList"/>
    <w:uiPriority w:val="99"/>
    <w:semiHidden/>
    <w:unhideWhenUsed/>
    <w:rsid w:val="008F7DB9"/>
  </w:style>
  <w:style w:type="numbering" w:customStyle="1" w:styleId="NoList723">
    <w:name w:val="No List723"/>
    <w:next w:val="NoList"/>
    <w:uiPriority w:val="99"/>
    <w:semiHidden/>
    <w:unhideWhenUsed/>
    <w:rsid w:val="008F7DB9"/>
  </w:style>
  <w:style w:type="table" w:customStyle="1" w:styleId="TableGrid3230">
    <w:name w:val="Table Grid3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unhideWhenUsed/>
    <w:rsid w:val="008F7DB9"/>
  </w:style>
  <w:style w:type="numbering" w:customStyle="1" w:styleId="NoList11321">
    <w:name w:val="No List11321"/>
    <w:next w:val="NoList"/>
    <w:semiHidden/>
    <w:rsid w:val="008F7DB9"/>
  </w:style>
  <w:style w:type="table" w:customStyle="1" w:styleId="TableGrid11310">
    <w:name w:val="Table Grid113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semiHidden/>
    <w:rsid w:val="008F7DB9"/>
  </w:style>
  <w:style w:type="numbering" w:customStyle="1" w:styleId="NoList2222">
    <w:name w:val="No List2222"/>
    <w:next w:val="NoList"/>
    <w:semiHidden/>
    <w:rsid w:val="008F7DB9"/>
  </w:style>
  <w:style w:type="numbering" w:customStyle="1" w:styleId="NoList3222">
    <w:name w:val="No List3222"/>
    <w:next w:val="NoList"/>
    <w:semiHidden/>
    <w:unhideWhenUsed/>
    <w:rsid w:val="008F7DB9"/>
  </w:style>
  <w:style w:type="table" w:customStyle="1" w:styleId="TableList7123">
    <w:name w:val="Table List 712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3">
    <w:name w:val="Table Web 312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3">
    <w:name w:val="Table Elegant12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3">
    <w:name w:val="Table Web 212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3">
    <w:name w:val="Table Web 112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3">
    <w:name w:val="Table Grid 812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3">
    <w:name w:val="Table Contemporary12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1">
    <w:name w:val="Light List - Accent 125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3">
    <w:name w:val="Table Grid 712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3">
    <w:name w:val="Colorful Grid - Accent 122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3">
    <w:name w:val="Light List - Accent 522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3">
    <w:name w:val="Table Simple 312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3">
    <w:name w:val="Table Grid 512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3">
    <w:name w:val="Table Grid 312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30">
    <w:name w:val="Table Grid 112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3">
    <w:name w:val="Table Columns 512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1">
    <w:name w:val="Light List - Accent 111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3">
    <w:name w:val="Нет списка1223"/>
    <w:next w:val="NoList"/>
    <w:uiPriority w:val="99"/>
    <w:semiHidden/>
    <w:unhideWhenUsed/>
    <w:rsid w:val="008F7DB9"/>
  </w:style>
  <w:style w:type="table" w:customStyle="1" w:styleId="ColorfulGrid-Accent11121">
    <w:name w:val="Colorful Grid - Accent 111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1">
    <w:name w:val="Light List - Accent 511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3">
    <w:name w:val="No List4123"/>
    <w:next w:val="NoList"/>
    <w:semiHidden/>
    <w:rsid w:val="008F7DB9"/>
  </w:style>
  <w:style w:type="table" w:customStyle="1" w:styleId="Table3Deffects3123">
    <w:name w:val="Table 3D effects 312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NoList"/>
    <w:semiHidden/>
    <w:unhideWhenUsed/>
    <w:rsid w:val="008F7DB9"/>
  </w:style>
  <w:style w:type="numbering" w:customStyle="1" w:styleId="NoList5122">
    <w:name w:val="No List5122"/>
    <w:next w:val="NoList"/>
    <w:uiPriority w:val="99"/>
    <w:semiHidden/>
    <w:unhideWhenUsed/>
    <w:rsid w:val="008F7DB9"/>
  </w:style>
  <w:style w:type="numbering" w:customStyle="1" w:styleId="NoList12122">
    <w:name w:val="No List12122"/>
    <w:next w:val="NoList"/>
    <w:semiHidden/>
    <w:rsid w:val="008F7DB9"/>
  </w:style>
  <w:style w:type="numbering" w:customStyle="1" w:styleId="NoList112121">
    <w:name w:val="No List112121"/>
    <w:next w:val="NoList"/>
    <w:semiHidden/>
    <w:rsid w:val="008F7DB9"/>
  </w:style>
  <w:style w:type="numbering" w:customStyle="1" w:styleId="NoList11111121">
    <w:name w:val="No List11111121"/>
    <w:next w:val="NoList"/>
    <w:semiHidden/>
    <w:rsid w:val="008F7DB9"/>
  </w:style>
  <w:style w:type="numbering" w:customStyle="1" w:styleId="NoList21122">
    <w:name w:val="No List21122"/>
    <w:next w:val="NoList"/>
    <w:semiHidden/>
    <w:rsid w:val="008F7DB9"/>
  </w:style>
  <w:style w:type="table" w:customStyle="1" w:styleId="TableGrid2121">
    <w:name w:val="Table Grid21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2">
    <w:name w:val="No List31122"/>
    <w:next w:val="NoList"/>
    <w:uiPriority w:val="99"/>
    <w:semiHidden/>
    <w:unhideWhenUsed/>
    <w:rsid w:val="008F7DB9"/>
  </w:style>
  <w:style w:type="numbering" w:customStyle="1" w:styleId="NoList823">
    <w:name w:val="No List823"/>
    <w:next w:val="NoList"/>
    <w:uiPriority w:val="99"/>
    <w:semiHidden/>
    <w:unhideWhenUsed/>
    <w:rsid w:val="008F7DB9"/>
  </w:style>
  <w:style w:type="numbering" w:customStyle="1" w:styleId="NoList922">
    <w:name w:val="No List922"/>
    <w:next w:val="NoList"/>
    <w:uiPriority w:val="99"/>
    <w:semiHidden/>
    <w:unhideWhenUsed/>
    <w:rsid w:val="008F7DB9"/>
  </w:style>
  <w:style w:type="table" w:customStyle="1" w:styleId="TableGrid423">
    <w:name w:val="Table Grid42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1">
    <w:name w:val="Table List 72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1">
    <w:name w:val="Table Web 32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1">
    <w:name w:val="Table Elegant2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2">
    <w:name w:val="No List1422"/>
    <w:next w:val="NoList"/>
    <w:semiHidden/>
    <w:unhideWhenUsed/>
    <w:rsid w:val="008F7DB9"/>
  </w:style>
  <w:style w:type="numbering" w:customStyle="1" w:styleId="NoList2321">
    <w:name w:val="No List2321"/>
    <w:next w:val="NoList"/>
    <w:semiHidden/>
    <w:unhideWhenUsed/>
    <w:rsid w:val="008F7DB9"/>
  </w:style>
  <w:style w:type="numbering" w:customStyle="1" w:styleId="NoList3321">
    <w:name w:val="No List3321"/>
    <w:next w:val="NoList"/>
    <w:semiHidden/>
    <w:unhideWhenUsed/>
    <w:rsid w:val="008F7DB9"/>
  </w:style>
  <w:style w:type="table" w:customStyle="1" w:styleId="LightList-Accent1321">
    <w:name w:val="Light List - Accent 13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1">
    <w:name w:val="Table Grid 72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1">
    <w:name w:val="Colorful Grid - Accent 13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1">
    <w:name w:val="Light List - Accent 53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1">
    <w:name w:val="Table Simple 32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1">
    <w:name w:val="Table Grid 52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1">
    <w:name w:val="Table Grid 32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1">
    <w:name w:val="Table Grid 12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1">
    <w:name w:val="Light List - Accent 112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2">
    <w:name w:val="Нет списка1322"/>
    <w:next w:val="NoList"/>
    <w:semiHidden/>
    <w:unhideWhenUsed/>
    <w:rsid w:val="008F7DB9"/>
  </w:style>
  <w:style w:type="table" w:customStyle="1" w:styleId="ColorfulGrid-Accent11221">
    <w:name w:val="Colorful Grid - Accent 112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1">
    <w:name w:val="Light List - Accent 512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2">
    <w:name w:val="No List4222"/>
    <w:next w:val="NoList"/>
    <w:semiHidden/>
    <w:rsid w:val="008F7DB9"/>
  </w:style>
  <w:style w:type="numbering" w:customStyle="1" w:styleId="NoList11421">
    <w:name w:val="No List11421"/>
    <w:next w:val="NoList"/>
    <w:semiHidden/>
    <w:unhideWhenUsed/>
    <w:rsid w:val="008F7DB9"/>
  </w:style>
  <w:style w:type="table" w:customStyle="1" w:styleId="Table3Deffects3221">
    <w:name w:val="Table 3D effects 32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2">
    <w:name w:val="Нет списка11222"/>
    <w:next w:val="NoList"/>
    <w:semiHidden/>
    <w:unhideWhenUsed/>
    <w:rsid w:val="008F7DB9"/>
  </w:style>
  <w:style w:type="numbering" w:customStyle="1" w:styleId="NoList1022">
    <w:name w:val="No List1022"/>
    <w:next w:val="NoList"/>
    <w:uiPriority w:val="99"/>
    <w:semiHidden/>
    <w:unhideWhenUsed/>
    <w:rsid w:val="008F7DB9"/>
  </w:style>
  <w:style w:type="table" w:customStyle="1" w:styleId="TableGrid5210">
    <w:name w:val="Table Grid5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unhideWhenUsed/>
    <w:rsid w:val="008F7DB9"/>
  </w:style>
  <w:style w:type="numbering" w:customStyle="1" w:styleId="NoList11521">
    <w:name w:val="No List11521"/>
    <w:next w:val="NoList"/>
    <w:semiHidden/>
    <w:rsid w:val="008F7DB9"/>
  </w:style>
  <w:style w:type="table" w:customStyle="1" w:styleId="TableGrid12210">
    <w:name w:val="Table Grid12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semiHidden/>
    <w:rsid w:val="008F7DB9"/>
  </w:style>
  <w:style w:type="numbering" w:customStyle="1" w:styleId="NoList2421">
    <w:name w:val="No List2421"/>
    <w:next w:val="NoList"/>
    <w:semiHidden/>
    <w:rsid w:val="008F7DB9"/>
  </w:style>
  <w:style w:type="numbering" w:customStyle="1" w:styleId="NoList3421">
    <w:name w:val="No List3421"/>
    <w:next w:val="NoList"/>
    <w:semiHidden/>
    <w:unhideWhenUsed/>
    <w:rsid w:val="008F7DB9"/>
  </w:style>
  <w:style w:type="table" w:customStyle="1" w:styleId="TableList7321">
    <w:name w:val="Table List 73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1">
    <w:name w:val="Table Web 33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1">
    <w:name w:val="Table Elegant3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1">
    <w:name w:val="Table Web 23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1">
    <w:name w:val="Table Web 13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1">
    <w:name w:val="Table Grid 83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1">
    <w:name w:val="Table Contemporary3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1">
    <w:name w:val="Light List - Accent 14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1">
    <w:name w:val="Table Grid 73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1">
    <w:name w:val="Colorful Grid - Accent 14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1">
    <w:name w:val="Light List - Accent 54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1">
    <w:name w:val="Table Simple 33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1">
    <w:name w:val="Table Grid 53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1">
    <w:name w:val="Table Grid 33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1">
    <w:name w:val="Table Grid 13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1">
    <w:name w:val="Table Columns 53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1">
    <w:name w:val="Light List - Accent 113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1">
    <w:name w:val="Нет списка1421"/>
    <w:next w:val="NoList"/>
    <w:semiHidden/>
    <w:unhideWhenUsed/>
    <w:rsid w:val="008F7DB9"/>
  </w:style>
  <w:style w:type="table" w:customStyle="1" w:styleId="ColorfulGrid-Accent11321">
    <w:name w:val="Colorful Grid - Accent 113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1">
    <w:name w:val="Light List - Accent 513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1">
    <w:name w:val="No List4321"/>
    <w:next w:val="NoList"/>
    <w:semiHidden/>
    <w:rsid w:val="008F7DB9"/>
  </w:style>
  <w:style w:type="table" w:customStyle="1" w:styleId="Table3Deffects3321">
    <w:name w:val="Table 3D effects 33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1">
    <w:name w:val="Нет списка11321"/>
    <w:next w:val="NoList"/>
    <w:semiHidden/>
    <w:unhideWhenUsed/>
    <w:rsid w:val="008F7DB9"/>
  </w:style>
  <w:style w:type="numbering" w:customStyle="1" w:styleId="NoList5221">
    <w:name w:val="No List5221"/>
    <w:next w:val="NoList"/>
    <w:uiPriority w:val="99"/>
    <w:semiHidden/>
    <w:unhideWhenUsed/>
    <w:rsid w:val="008F7DB9"/>
  </w:style>
  <w:style w:type="numbering" w:customStyle="1" w:styleId="NoList12221">
    <w:name w:val="No List12221"/>
    <w:next w:val="NoList"/>
    <w:semiHidden/>
    <w:rsid w:val="008F7DB9"/>
  </w:style>
  <w:style w:type="numbering" w:customStyle="1" w:styleId="NoList112221">
    <w:name w:val="No List112221"/>
    <w:next w:val="NoList"/>
    <w:semiHidden/>
    <w:rsid w:val="008F7DB9"/>
  </w:style>
  <w:style w:type="numbering" w:customStyle="1" w:styleId="NoList1111221">
    <w:name w:val="No List1111221"/>
    <w:next w:val="NoList"/>
    <w:semiHidden/>
    <w:rsid w:val="008F7DB9"/>
  </w:style>
  <w:style w:type="numbering" w:customStyle="1" w:styleId="NoList21221">
    <w:name w:val="No List21221"/>
    <w:next w:val="NoList"/>
    <w:semiHidden/>
    <w:rsid w:val="008F7DB9"/>
  </w:style>
  <w:style w:type="table" w:customStyle="1" w:styleId="TableGrid2221">
    <w:name w:val="Table Grid22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1">
    <w:name w:val="No List31221"/>
    <w:next w:val="NoList"/>
    <w:uiPriority w:val="99"/>
    <w:semiHidden/>
    <w:unhideWhenUsed/>
    <w:rsid w:val="008F7DB9"/>
  </w:style>
  <w:style w:type="table" w:customStyle="1" w:styleId="LightShading-Accent1131">
    <w:name w:val="Light Shading - Accent 113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1">
    <w:name w:val="Medium Grid 2 - Accent 113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1">
    <w:name w:val="Medium List 2 - Accent 513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1">
    <w:name w:val="Light List - Accent 15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1">
    <w:name w:val="Medium Grid 3 - Accent 513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1">
    <w:name w:val="Light Shading - Accent 513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1">
    <w:name w:val="Medium Grid 2 - Accent 513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1">
    <w:name w:val="Light Grid - Accent 113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1">
    <w:name w:val="Table List 44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1">
    <w:name w:val="Table List 413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1">
    <w:name w:val="Table Theme2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1">
    <w:name w:val="Table Grid 62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1">
    <w:name w:val="Table List 42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1">
    <w:name w:val="Table List 411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1">
    <w:name w:val="Style116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1">
    <w:name w:val="Style217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1">
    <w:name w:val="Style2116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1">
    <w:name w:val="No List1621"/>
    <w:next w:val="NoList"/>
    <w:uiPriority w:val="99"/>
    <w:semiHidden/>
    <w:unhideWhenUsed/>
    <w:rsid w:val="008F7DB9"/>
  </w:style>
  <w:style w:type="table" w:customStyle="1" w:styleId="TableGrid6210">
    <w:name w:val="Table Grid62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F7DB9"/>
  </w:style>
  <w:style w:type="numbering" w:customStyle="1" w:styleId="NoList11621">
    <w:name w:val="No List11621"/>
    <w:next w:val="NoList"/>
    <w:semiHidden/>
    <w:rsid w:val="008F7DB9"/>
  </w:style>
  <w:style w:type="table" w:customStyle="1" w:styleId="TableGrid13210">
    <w:name w:val="Table Grid132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1">
    <w:name w:val="Light List - Accent 16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1">
    <w:name w:val="Light Shading - Accent 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1">
    <w:name w:val="Medium Grid 2 - Accent 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1">
    <w:name w:val="Medium List 2 - Accent 5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1">
    <w:name w:val="Light List - Accent 17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1">
    <w:name w:val="Medium Grid 3 - Accent 5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1">
    <w:name w:val="Light Shading - Accent 5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1">
    <w:name w:val="Medium Grid 2 - Accent 5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1">
    <w:name w:val="Light Grid - Accent 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2">
    <w:name w:val="No List1812"/>
    <w:next w:val="NoList"/>
    <w:uiPriority w:val="99"/>
    <w:semiHidden/>
    <w:unhideWhenUsed/>
    <w:rsid w:val="008F7DB9"/>
  </w:style>
  <w:style w:type="table" w:customStyle="1" w:styleId="TableGrid7130">
    <w:name w:val="Table Grid7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1">
    <w:name w:val="Table List 74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1">
    <w:name w:val="Table Web 34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1">
    <w:name w:val="Table Elegant4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1">
    <w:name w:val="Table Web 24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1">
    <w:name w:val="Table Web 14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1">
    <w:name w:val="Table Grid 84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1">
    <w:name w:val="Table Contemporary4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1">
    <w:name w:val="No List1911"/>
    <w:next w:val="NoList"/>
    <w:semiHidden/>
    <w:unhideWhenUsed/>
    <w:rsid w:val="008F7DB9"/>
  </w:style>
  <w:style w:type="numbering" w:customStyle="1" w:styleId="NoList2511">
    <w:name w:val="No List2511"/>
    <w:next w:val="NoList"/>
    <w:semiHidden/>
    <w:unhideWhenUsed/>
    <w:rsid w:val="008F7DB9"/>
  </w:style>
  <w:style w:type="numbering" w:customStyle="1" w:styleId="NoList3511">
    <w:name w:val="No List3511"/>
    <w:next w:val="NoList"/>
    <w:semiHidden/>
    <w:unhideWhenUsed/>
    <w:rsid w:val="008F7DB9"/>
  </w:style>
  <w:style w:type="table" w:customStyle="1" w:styleId="LightList-Accent1811">
    <w:name w:val="Light List - Accent 18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1">
    <w:name w:val="Table Grid 74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1">
    <w:name w:val="Colorful Grid - Accent 15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1">
    <w:name w:val="Light List - Accent 55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1">
    <w:name w:val="Table Simple 34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1">
    <w:name w:val="Table Grid 54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1">
    <w:name w:val="Table Grid 34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10">
    <w:name w:val="Table Grid 14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1">
    <w:name w:val="Table Columns 54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1">
    <w:name w:val="Light List - Accent 114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2">
    <w:name w:val="Нет списка1512"/>
    <w:next w:val="NoList"/>
    <w:semiHidden/>
    <w:unhideWhenUsed/>
    <w:rsid w:val="008F7DB9"/>
  </w:style>
  <w:style w:type="table" w:customStyle="1" w:styleId="ColorfulGrid-Accent11411">
    <w:name w:val="Colorful Grid - Accent 114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1">
    <w:name w:val="Light List - Accent 514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2">
    <w:name w:val="No List4412"/>
    <w:next w:val="NoList"/>
    <w:semiHidden/>
    <w:rsid w:val="008F7DB9"/>
  </w:style>
  <w:style w:type="numbering" w:customStyle="1" w:styleId="NoList11711">
    <w:name w:val="No List11711"/>
    <w:next w:val="NoList"/>
    <w:semiHidden/>
    <w:unhideWhenUsed/>
    <w:rsid w:val="008F7DB9"/>
  </w:style>
  <w:style w:type="table" w:customStyle="1" w:styleId="Table3Deffects3411">
    <w:name w:val="Table 3D effects 34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2">
    <w:name w:val="Нет списка11412"/>
    <w:next w:val="NoList"/>
    <w:semiHidden/>
    <w:unhideWhenUsed/>
    <w:rsid w:val="008F7DB9"/>
  </w:style>
  <w:style w:type="table" w:customStyle="1" w:styleId="Style11111">
    <w:name w:val="Style11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1">
    <w:name w:val="Style2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1">
    <w:name w:val="Style2111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1">
    <w:name w:val="Style112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1">
    <w:name w:val="Style2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1">
    <w:name w:val="Style21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1">
    <w:name w:val="No List2011"/>
    <w:next w:val="NoList"/>
    <w:uiPriority w:val="99"/>
    <w:semiHidden/>
    <w:unhideWhenUsed/>
    <w:rsid w:val="008F7DB9"/>
  </w:style>
  <w:style w:type="numbering" w:customStyle="1" w:styleId="NoList11011">
    <w:name w:val="No List11011"/>
    <w:next w:val="NoList"/>
    <w:uiPriority w:val="99"/>
    <w:semiHidden/>
    <w:unhideWhenUsed/>
    <w:rsid w:val="008F7DB9"/>
  </w:style>
  <w:style w:type="table" w:customStyle="1" w:styleId="TableGrid8130">
    <w:name w:val="Table Grid8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1">
    <w:name w:val="No List11811"/>
    <w:next w:val="NoList"/>
    <w:semiHidden/>
    <w:unhideWhenUsed/>
    <w:rsid w:val="008F7DB9"/>
  </w:style>
  <w:style w:type="numbering" w:customStyle="1" w:styleId="NoList111411">
    <w:name w:val="No List111411"/>
    <w:next w:val="NoList"/>
    <w:semiHidden/>
    <w:rsid w:val="008F7DB9"/>
  </w:style>
  <w:style w:type="table" w:customStyle="1" w:styleId="TableGrid1413">
    <w:name w:val="Table Grid14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2">
    <w:name w:val="No List1111312"/>
    <w:next w:val="NoList"/>
    <w:semiHidden/>
    <w:rsid w:val="008F7DB9"/>
  </w:style>
  <w:style w:type="numbering" w:customStyle="1" w:styleId="NoList2611">
    <w:name w:val="No List2611"/>
    <w:next w:val="NoList"/>
    <w:semiHidden/>
    <w:rsid w:val="008F7DB9"/>
  </w:style>
  <w:style w:type="numbering" w:customStyle="1" w:styleId="NoList3611">
    <w:name w:val="No List3611"/>
    <w:next w:val="NoList"/>
    <w:semiHidden/>
    <w:unhideWhenUsed/>
    <w:rsid w:val="008F7DB9"/>
  </w:style>
  <w:style w:type="table" w:customStyle="1" w:styleId="TableList7511">
    <w:name w:val="Table List 75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1">
    <w:name w:val="Table Web 35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1">
    <w:name w:val="Table Elegant5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1">
    <w:name w:val="Table Web 25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1">
    <w:name w:val="Table Web 15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1">
    <w:name w:val="Table Grid 85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1">
    <w:name w:val="Table Contemporary5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1">
    <w:name w:val="Light List - Accent 19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1">
    <w:name w:val="Table Grid 75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1">
    <w:name w:val="Colorful Grid - Accent 16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1">
    <w:name w:val="Light List - Accent 56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1">
    <w:name w:val="Table Simple 35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1">
    <w:name w:val="Table Grid 55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1">
    <w:name w:val="Table Grid 35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1">
    <w:name w:val="Table Grid 15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1">
    <w:name w:val="Table Columns 55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1">
    <w:name w:val="Light List - Accent 115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1">
    <w:name w:val="Нет списка1611"/>
    <w:next w:val="NoList"/>
    <w:semiHidden/>
    <w:unhideWhenUsed/>
    <w:rsid w:val="008F7DB9"/>
  </w:style>
  <w:style w:type="table" w:customStyle="1" w:styleId="ColorfulGrid-Accent11511">
    <w:name w:val="Colorful Grid - Accent 115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1">
    <w:name w:val="Light List - Accent 515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1">
    <w:name w:val="No List4511"/>
    <w:next w:val="NoList"/>
    <w:semiHidden/>
    <w:rsid w:val="008F7DB9"/>
  </w:style>
  <w:style w:type="table" w:customStyle="1" w:styleId="Table3Deffects3511">
    <w:name w:val="Table 3D effects 35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1">
    <w:name w:val="Нет списка11511"/>
    <w:next w:val="NoList"/>
    <w:semiHidden/>
    <w:unhideWhenUsed/>
    <w:rsid w:val="008F7DB9"/>
  </w:style>
  <w:style w:type="numbering" w:customStyle="1" w:styleId="NoList5312">
    <w:name w:val="No List5312"/>
    <w:next w:val="NoList"/>
    <w:uiPriority w:val="99"/>
    <w:semiHidden/>
    <w:unhideWhenUsed/>
    <w:rsid w:val="008F7DB9"/>
  </w:style>
  <w:style w:type="numbering" w:customStyle="1" w:styleId="NoList12312">
    <w:name w:val="No List12312"/>
    <w:next w:val="NoList"/>
    <w:semiHidden/>
    <w:rsid w:val="008F7DB9"/>
  </w:style>
  <w:style w:type="numbering" w:customStyle="1" w:styleId="NoList112311">
    <w:name w:val="No List112311"/>
    <w:next w:val="NoList"/>
    <w:semiHidden/>
    <w:rsid w:val="008F7DB9"/>
  </w:style>
  <w:style w:type="numbering" w:customStyle="1" w:styleId="NoList1111111112">
    <w:name w:val="No List1111111112"/>
    <w:next w:val="NoList"/>
    <w:semiHidden/>
    <w:rsid w:val="008F7DB9"/>
  </w:style>
  <w:style w:type="numbering" w:customStyle="1" w:styleId="NoList21312">
    <w:name w:val="No List21312"/>
    <w:next w:val="NoList"/>
    <w:semiHidden/>
    <w:rsid w:val="008F7DB9"/>
  </w:style>
  <w:style w:type="table" w:customStyle="1" w:styleId="TableGrid2311">
    <w:name w:val="Table Grid23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2">
    <w:name w:val="No List31312"/>
    <w:next w:val="NoList"/>
    <w:uiPriority w:val="99"/>
    <w:semiHidden/>
    <w:unhideWhenUsed/>
    <w:rsid w:val="008F7DB9"/>
  </w:style>
  <w:style w:type="numbering" w:customStyle="1" w:styleId="NoList6113">
    <w:name w:val="No List6113"/>
    <w:next w:val="NoList"/>
    <w:uiPriority w:val="99"/>
    <w:semiHidden/>
    <w:unhideWhenUsed/>
    <w:rsid w:val="008F7DB9"/>
  </w:style>
  <w:style w:type="numbering" w:customStyle="1" w:styleId="NoList7113">
    <w:name w:val="No List7113"/>
    <w:next w:val="NoList"/>
    <w:uiPriority w:val="99"/>
    <w:semiHidden/>
    <w:unhideWhenUsed/>
    <w:rsid w:val="008F7DB9"/>
  </w:style>
  <w:style w:type="table" w:customStyle="1" w:styleId="TableGrid31130">
    <w:name w:val="Table Grid311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3">
    <w:name w:val="No List13113"/>
    <w:next w:val="NoList"/>
    <w:semiHidden/>
    <w:unhideWhenUsed/>
    <w:rsid w:val="008F7DB9"/>
  </w:style>
  <w:style w:type="numbering" w:customStyle="1" w:styleId="NoList113112">
    <w:name w:val="No List113112"/>
    <w:next w:val="NoList"/>
    <w:semiHidden/>
    <w:rsid w:val="008F7DB9"/>
  </w:style>
  <w:style w:type="table" w:customStyle="1" w:styleId="TableGrid11113">
    <w:name w:val="Table Grid111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2">
    <w:name w:val="No List1112112"/>
    <w:next w:val="NoList"/>
    <w:semiHidden/>
    <w:rsid w:val="008F7DB9"/>
  </w:style>
  <w:style w:type="numbering" w:customStyle="1" w:styleId="NoList22112">
    <w:name w:val="No List22112"/>
    <w:next w:val="NoList"/>
    <w:semiHidden/>
    <w:rsid w:val="008F7DB9"/>
  </w:style>
  <w:style w:type="numbering" w:customStyle="1" w:styleId="NoList32112">
    <w:name w:val="No List32112"/>
    <w:next w:val="NoList"/>
    <w:semiHidden/>
    <w:unhideWhenUsed/>
    <w:rsid w:val="008F7DB9"/>
  </w:style>
  <w:style w:type="table" w:customStyle="1" w:styleId="TableList71111">
    <w:name w:val="Table List 71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1">
    <w:name w:val="Table Web 31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3">
    <w:name w:val="Table Web 2111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3">
    <w:name w:val="Table Web 1111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3">
    <w:name w:val="Table Grid 8111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3">
    <w:name w:val="Table Contemporary111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1">
    <w:name w:val="Light List - Accent 12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1">
    <w:name w:val="Table Grid 71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3">
    <w:name w:val="Colorful Grid - Accent 1211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3">
    <w:name w:val="Light List - Accent 5211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1">
    <w:name w:val="Table Simple 31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1">
    <w:name w:val="Table Grid 51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10">
    <w:name w:val="Table Grid 31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10">
    <w:name w:val="Table Grid 11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1">
    <w:name w:val="Table Columns 51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1">
    <w:name w:val="Light List - Accent 111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3">
    <w:name w:val="Нет списка12113"/>
    <w:next w:val="NoList"/>
    <w:uiPriority w:val="99"/>
    <w:semiHidden/>
    <w:unhideWhenUsed/>
    <w:rsid w:val="008F7DB9"/>
  </w:style>
  <w:style w:type="table" w:customStyle="1" w:styleId="ColorfulGrid-Accent111111">
    <w:name w:val="Colorful Grid - Accent 111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1">
    <w:name w:val="Light List - Accent 511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3">
    <w:name w:val="No List41113"/>
    <w:next w:val="NoList"/>
    <w:semiHidden/>
    <w:rsid w:val="008F7DB9"/>
  </w:style>
  <w:style w:type="table" w:customStyle="1" w:styleId="Table3Deffects31111">
    <w:name w:val="Table 3D effects 31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
    <w:name w:val="Нет списка111114"/>
    <w:next w:val="NoList"/>
    <w:semiHidden/>
    <w:unhideWhenUsed/>
    <w:rsid w:val="008F7DB9"/>
  </w:style>
  <w:style w:type="numbering" w:customStyle="1" w:styleId="NoList51112">
    <w:name w:val="No List51112"/>
    <w:next w:val="NoList"/>
    <w:uiPriority w:val="99"/>
    <w:semiHidden/>
    <w:unhideWhenUsed/>
    <w:rsid w:val="008F7DB9"/>
  </w:style>
  <w:style w:type="numbering" w:customStyle="1" w:styleId="NoList121112">
    <w:name w:val="No List121112"/>
    <w:next w:val="NoList"/>
    <w:semiHidden/>
    <w:rsid w:val="008F7DB9"/>
  </w:style>
  <w:style w:type="numbering" w:customStyle="1" w:styleId="NoList1121112">
    <w:name w:val="No List1121112"/>
    <w:next w:val="NoList"/>
    <w:semiHidden/>
    <w:rsid w:val="008F7DB9"/>
  </w:style>
  <w:style w:type="numbering" w:customStyle="1" w:styleId="NoList11111111112">
    <w:name w:val="No List11111111112"/>
    <w:next w:val="NoList"/>
    <w:semiHidden/>
    <w:rsid w:val="008F7DB9"/>
  </w:style>
  <w:style w:type="numbering" w:customStyle="1" w:styleId="NoList211112">
    <w:name w:val="No List211112"/>
    <w:next w:val="NoList"/>
    <w:semiHidden/>
    <w:rsid w:val="008F7DB9"/>
  </w:style>
  <w:style w:type="table" w:customStyle="1" w:styleId="TableGrid21111">
    <w:name w:val="Table Grid21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2">
    <w:name w:val="No List311112"/>
    <w:next w:val="NoList"/>
    <w:uiPriority w:val="99"/>
    <w:semiHidden/>
    <w:unhideWhenUsed/>
    <w:rsid w:val="008F7DB9"/>
  </w:style>
  <w:style w:type="numbering" w:customStyle="1" w:styleId="NoList8113">
    <w:name w:val="No List8113"/>
    <w:next w:val="NoList"/>
    <w:uiPriority w:val="99"/>
    <w:semiHidden/>
    <w:unhideWhenUsed/>
    <w:rsid w:val="008F7DB9"/>
  </w:style>
  <w:style w:type="numbering" w:customStyle="1" w:styleId="NoList9112">
    <w:name w:val="No List9112"/>
    <w:next w:val="NoList"/>
    <w:uiPriority w:val="99"/>
    <w:semiHidden/>
    <w:unhideWhenUsed/>
    <w:rsid w:val="008F7DB9"/>
  </w:style>
  <w:style w:type="table" w:customStyle="1" w:styleId="TableGrid4114">
    <w:name w:val="Table Grid41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1">
    <w:name w:val="Table List 72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1">
    <w:name w:val="Table Web 32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1">
    <w:name w:val="Table Elegant2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1">
    <w:name w:val="Table Web 22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1">
    <w:name w:val="Table Web 12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1">
    <w:name w:val="Table Grid 82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1">
    <w:name w:val="Table Contemporary2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2">
    <w:name w:val="No List14112"/>
    <w:next w:val="NoList"/>
    <w:semiHidden/>
    <w:unhideWhenUsed/>
    <w:rsid w:val="008F7DB9"/>
  </w:style>
  <w:style w:type="numbering" w:customStyle="1" w:styleId="NoList23112">
    <w:name w:val="No List23112"/>
    <w:next w:val="NoList"/>
    <w:semiHidden/>
    <w:unhideWhenUsed/>
    <w:rsid w:val="008F7DB9"/>
  </w:style>
  <w:style w:type="numbering" w:customStyle="1" w:styleId="NoList33112">
    <w:name w:val="No List33112"/>
    <w:next w:val="NoList"/>
    <w:semiHidden/>
    <w:unhideWhenUsed/>
    <w:rsid w:val="008F7DB9"/>
  </w:style>
  <w:style w:type="table" w:customStyle="1" w:styleId="LightList-Accent13111">
    <w:name w:val="Light List - Accent 13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1">
    <w:name w:val="Table Grid 72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1">
    <w:name w:val="Colorful Grid - Accent 13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1">
    <w:name w:val="Light List - Accent 53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1">
    <w:name w:val="Table Simple 32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1">
    <w:name w:val="Table Grid 52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1">
    <w:name w:val="Table Grid 32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1">
    <w:name w:val="Table Grid 12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1">
    <w:name w:val="Table Columns 52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1">
    <w:name w:val="Light List - Accent 112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2">
    <w:name w:val="Нет списка13112"/>
    <w:next w:val="NoList"/>
    <w:semiHidden/>
    <w:unhideWhenUsed/>
    <w:rsid w:val="008F7DB9"/>
  </w:style>
  <w:style w:type="table" w:customStyle="1" w:styleId="ColorfulGrid-Accent112111">
    <w:name w:val="Colorful Grid - Accent 112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1">
    <w:name w:val="Light List - Accent 512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2">
    <w:name w:val="No List42112"/>
    <w:next w:val="NoList"/>
    <w:semiHidden/>
    <w:rsid w:val="008F7DB9"/>
  </w:style>
  <w:style w:type="numbering" w:customStyle="1" w:styleId="NoList114112">
    <w:name w:val="No List114112"/>
    <w:next w:val="NoList"/>
    <w:semiHidden/>
    <w:unhideWhenUsed/>
    <w:rsid w:val="008F7DB9"/>
  </w:style>
  <w:style w:type="table" w:customStyle="1" w:styleId="Table3Deffects32111">
    <w:name w:val="Table 3D effects 32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NoList"/>
    <w:semiHidden/>
    <w:unhideWhenUsed/>
    <w:rsid w:val="008F7DB9"/>
  </w:style>
  <w:style w:type="numbering" w:customStyle="1" w:styleId="NoList10112">
    <w:name w:val="No List10112"/>
    <w:next w:val="NoList"/>
    <w:uiPriority w:val="99"/>
    <w:semiHidden/>
    <w:unhideWhenUsed/>
    <w:rsid w:val="008F7DB9"/>
  </w:style>
  <w:style w:type="table" w:customStyle="1" w:styleId="TableGrid51110">
    <w:name w:val="Table Grid5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semiHidden/>
    <w:unhideWhenUsed/>
    <w:rsid w:val="008F7DB9"/>
  </w:style>
  <w:style w:type="numbering" w:customStyle="1" w:styleId="NoList115111">
    <w:name w:val="No List115111"/>
    <w:next w:val="NoList"/>
    <w:semiHidden/>
    <w:rsid w:val="008F7DB9"/>
  </w:style>
  <w:style w:type="table" w:customStyle="1" w:styleId="TableGrid121110">
    <w:name w:val="Table Grid12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2">
    <w:name w:val="No List1113112"/>
    <w:next w:val="NoList"/>
    <w:semiHidden/>
    <w:rsid w:val="008F7DB9"/>
  </w:style>
  <w:style w:type="numbering" w:customStyle="1" w:styleId="NoList24112">
    <w:name w:val="No List24112"/>
    <w:next w:val="NoList"/>
    <w:semiHidden/>
    <w:rsid w:val="008F7DB9"/>
  </w:style>
  <w:style w:type="numbering" w:customStyle="1" w:styleId="NoList34112">
    <w:name w:val="No List34112"/>
    <w:next w:val="NoList"/>
    <w:semiHidden/>
    <w:unhideWhenUsed/>
    <w:rsid w:val="008F7DB9"/>
  </w:style>
  <w:style w:type="table" w:customStyle="1" w:styleId="TableList73111">
    <w:name w:val="Table List 73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1">
    <w:name w:val="Table Web 33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1">
    <w:name w:val="Table Elegant3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1">
    <w:name w:val="Table Web 23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1">
    <w:name w:val="Table Web 13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1">
    <w:name w:val="Table Grid 83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1">
    <w:name w:val="Table Contemporary3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1">
    <w:name w:val="Light List - Accent 14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1">
    <w:name w:val="Table Grid 73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1">
    <w:name w:val="Colorful Grid - Accent 14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1">
    <w:name w:val="Light List - Accent 54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1">
    <w:name w:val="Table Simple 33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1">
    <w:name w:val="Table Grid 53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1">
    <w:name w:val="Table Grid 33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1">
    <w:name w:val="Table Grid 13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1">
    <w:name w:val="Table Columns 53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1">
    <w:name w:val="Light List - Accent 113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2">
    <w:name w:val="Нет списка14112"/>
    <w:next w:val="NoList"/>
    <w:semiHidden/>
    <w:unhideWhenUsed/>
    <w:rsid w:val="008F7DB9"/>
  </w:style>
  <w:style w:type="table" w:customStyle="1" w:styleId="ColorfulGrid-Accent113111">
    <w:name w:val="Colorful Grid - Accent 113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1">
    <w:name w:val="Light List - Accent 513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2">
    <w:name w:val="No List43112"/>
    <w:next w:val="NoList"/>
    <w:semiHidden/>
    <w:rsid w:val="008F7DB9"/>
  </w:style>
  <w:style w:type="table" w:customStyle="1" w:styleId="Table3Deffects33111">
    <w:name w:val="Table 3D effects 33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NoList"/>
    <w:semiHidden/>
    <w:unhideWhenUsed/>
    <w:rsid w:val="008F7DB9"/>
  </w:style>
  <w:style w:type="numbering" w:customStyle="1" w:styleId="NoList52112">
    <w:name w:val="No List52112"/>
    <w:next w:val="NoList"/>
    <w:uiPriority w:val="99"/>
    <w:semiHidden/>
    <w:unhideWhenUsed/>
    <w:rsid w:val="008F7DB9"/>
  </w:style>
  <w:style w:type="numbering" w:customStyle="1" w:styleId="NoList122112">
    <w:name w:val="No List122112"/>
    <w:next w:val="NoList"/>
    <w:semiHidden/>
    <w:rsid w:val="008F7DB9"/>
  </w:style>
  <w:style w:type="numbering" w:customStyle="1" w:styleId="NoList1122112">
    <w:name w:val="No List1122112"/>
    <w:next w:val="NoList"/>
    <w:semiHidden/>
    <w:rsid w:val="008F7DB9"/>
  </w:style>
  <w:style w:type="numbering" w:customStyle="1" w:styleId="NoList11112112">
    <w:name w:val="No List11112112"/>
    <w:next w:val="NoList"/>
    <w:semiHidden/>
    <w:rsid w:val="008F7DB9"/>
  </w:style>
  <w:style w:type="numbering" w:customStyle="1" w:styleId="NoList212112">
    <w:name w:val="No List212112"/>
    <w:next w:val="NoList"/>
    <w:semiHidden/>
    <w:rsid w:val="008F7DB9"/>
  </w:style>
  <w:style w:type="table" w:customStyle="1" w:styleId="TableGrid22111">
    <w:name w:val="Table Grid22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2">
    <w:name w:val="No List312112"/>
    <w:next w:val="NoList"/>
    <w:uiPriority w:val="99"/>
    <w:semiHidden/>
    <w:unhideWhenUsed/>
    <w:rsid w:val="008F7DB9"/>
  </w:style>
  <w:style w:type="table" w:customStyle="1" w:styleId="LightShading-Accent11111">
    <w:name w:val="Light Shading - Accent 111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1">
    <w:name w:val="Medium Grid 2 - Accent 111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1">
    <w:name w:val="Medium List 2 - Accent 511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1">
    <w:name w:val="Light List - Accent 15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1">
    <w:name w:val="Medium Grid 3 - Accent 511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1">
    <w:name w:val="Light Shading - Accent 511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1">
    <w:name w:val="Medium Grid 2 - Accent 511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1">
    <w:name w:val="Light Grid - Accent 111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1">
    <w:name w:val="Table List 43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1">
    <w:name w:val="Table List 412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1">
    <w:name w:val="Table Theme11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1">
    <w:name w:val="Table Professional11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1">
    <w:name w:val="Table Grid 611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1">
    <w:name w:val="Table List 42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1">
    <w:name w:val="Table List 411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1">
    <w:name w:val="Style113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1">
    <w:name w:val="Style2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1">
    <w:name w:val="Style21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2">
    <w:name w:val="No List16112"/>
    <w:next w:val="NoList"/>
    <w:uiPriority w:val="99"/>
    <w:semiHidden/>
    <w:unhideWhenUsed/>
    <w:rsid w:val="008F7DB9"/>
  </w:style>
  <w:style w:type="table" w:customStyle="1" w:styleId="TableGrid61110">
    <w:name w:val="Table Grid61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2">
    <w:name w:val="No List17112"/>
    <w:next w:val="NoList"/>
    <w:uiPriority w:val="99"/>
    <w:semiHidden/>
    <w:unhideWhenUsed/>
    <w:rsid w:val="008F7DB9"/>
  </w:style>
  <w:style w:type="numbering" w:customStyle="1" w:styleId="NoList116111">
    <w:name w:val="No List116111"/>
    <w:next w:val="NoList"/>
    <w:semiHidden/>
    <w:rsid w:val="008F7DB9"/>
  </w:style>
  <w:style w:type="table" w:customStyle="1" w:styleId="TableGrid131110">
    <w:name w:val="Table Grid131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1">
    <w:name w:val="Light List - Accent 16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1">
    <w:name w:val="Medium Grid 2 - Accent 131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1">
    <w:name w:val="Medium List 2 - Accent 531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1">
    <w:name w:val="Medium Grid 3 - Accent 531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1">
    <w:name w:val="Light Shading - Accent 531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1">
    <w:name w:val="Medium Grid 2 - Accent 531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1">
    <w:name w:val="Light Grid - Accent 131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1">
    <w:name w:val="Light Shading - Accent 14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1">
    <w:name w:val="Medium Grid 2 - Accent 14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1">
    <w:name w:val="Medium List 2 - Accent 54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1">
    <w:name w:val="Light List - Accent 11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1">
    <w:name w:val="Medium Grid 3 - Accent 54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1">
    <w:name w:val="Light Shading - Accent 54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1">
    <w:name w:val="Medium Grid 2 - Accent 54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1">
    <w:name w:val="Light Grid - Accent 14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1">
    <w:name w:val="Light Shading - Accent 15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1">
    <w:name w:val="Medium Grid 2 - Accent 15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1">
    <w:name w:val="Medium List 2 - Accent 55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1">
    <w:name w:val="Light List - Accent 116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1">
    <w:name w:val="Medium Grid 3 - Accent 55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1">
    <w:name w:val="Light Shading - Accent 55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1">
    <w:name w:val="Medium Grid 2 - Accent 55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1">
    <w:name w:val="Light Grid - Accent 15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1">
    <w:name w:val="No List2711"/>
    <w:next w:val="NoList"/>
    <w:uiPriority w:val="99"/>
    <w:semiHidden/>
    <w:unhideWhenUsed/>
    <w:rsid w:val="008F7DB9"/>
  </w:style>
  <w:style w:type="table" w:customStyle="1" w:styleId="TableGrid913">
    <w:name w:val="Table Grid9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1">
    <w:name w:val="Table List 76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1">
    <w:name w:val="Table Web 36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1">
    <w:name w:val="Table Elegant6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1">
    <w:name w:val="Table Web 26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1">
    <w:name w:val="Table Web 16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1">
    <w:name w:val="Table Grid 86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1">
    <w:name w:val="Table Contemporary6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1">
    <w:name w:val="No List11911"/>
    <w:next w:val="NoList"/>
    <w:semiHidden/>
    <w:unhideWhenUsed/>
    <w:rsid w:val="008F7DB9"/>
  </w:style>
  <w:style w:type="numbering" w:customStyle="1" w:styleId="NoList2811">
    <w:name w:val="No List2811"/>
    <w:next w:val="NoList"/>
    <w:semiHidden/>
    <w:unhideWhenUsed/>
    <w:rsid w:val="008F7DB9"/>
  </w:style>
  <w:style w:type="numbering" w:customStyle="1" w:styleId="NoList3711">
    <w:name w:val="No List3711"/>
    <w:next w:val="NoList"/>
    <w:semiHidden/>
    <w:unhideWhenUsed/>
    <w:rsid w:val="008F7DB9"/>
  </w:style>
  <w:style w:type="table" w:customStyle="1" w:styleId="LightList-Accent11711">
    <w:name w:val="Light List - Accent 117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1">
    <w:name w:val="Table Grid 76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1">
    <w:name w:val="Colorful Grid - Accent 17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1">
    <w:name w:val="Light List - Accent 57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1">
    <w:name w:val="Table Simple 36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1">
    <w:name w:val="Table Grid 56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1">
    <w:name w:val="Table Grid 36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1">
    <w:name w:val="Table Grid 16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1">
    <w:name w:val="Table Columns 56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1">
    <w:name w:val="Light List - Accent 118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1">
    <w:name w:val="Нет списка1711"/>
    <w:next w:val="NoList"/>
    <w:semiHidden/>
    <w:unhideWhenUsed/>
    <w:rsid w:val="008F7DB9"/>
  </w:style>
  <w:style w:type="table" w:customStyle="1" w:styleId="ColorfulGrid-Accent11611">
    <w:name w:val="Colorful Grid - Accent 116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1">
    <w:name w:val="Light List - Accent 516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1">
    <w:name w:val="No List4611"/>
    <w:next w:val="NoList"/>
    <w:semiHidden/>
    <w:rsid w:val="008F7DB9"/>
  </w:style>
  <w:style w:type="numbering" w:customStyle="1" w:styleId="NoList111011">
    <w:name w:val="No List111011"/>
    <w:next w:val="NoList"/>
    <w:semiHidden/>
    <w:unhideWhenUsed/>
    <w:rsid w:val="008F7DB9"/>
  </w:style>
  <w:style w:type="table" w:customStyle="1" w:styleId="Table3Deffects3611">
    <w:name w:val="Table 3D effects 36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
    <w:name w:val="Нет списка11611"/>
    <w:next w:val="NoList"/>
    <w:semiHidden/>
    <w:unhideWhenUsed/>
    <w:rsid w:val="008F7DB9"/>
  </w:style>
  <w:style w:type="table" w:customStyle="1" w:styleId="LightShading-Accent1611">
    <w:name w:val="Light Shading - Accent 16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1">
    <w:name w:val="Medium Grid 2 - Accent 16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1">
    <w:name w:val="Medium List 2 - Accent 56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1">
    <w:name w:val="Light List - Accent 15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1">
    <w:name w:val="Medium Grid 3 - Accent 56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1">
    <w:name w:val="Light Shading - Accent 56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1">
    <w:name w:val="Medium Grid 2 - Accent 56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1">
    <w:name w:val="Light Grid - Accent 16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1">
    <w:name w:val="Style114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1">
    <w:name w:val="Style2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1">
    <w:name w:val="Style21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1">
    <w:name w:val="Light Shading - Accent 1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1">
    <w:name w:val="Medium Grid 2 - Accent 1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1">
    <w:name w:val="Medium List 2 - Accent 51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1">
    <w:name w:val="Light List - Accent 16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1">
    <w:name w:val="Medium Grid 3 - Accent 51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1">
    <w:name w:val="Light Shading - Accent 51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1">
    <w:name w:val="Medium Grid 2 - Accent 51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1">
    <w:name w:val="Light Grid - Accent 1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1">
    <w:name w:val="No List2911"/>
    <w:next w:val="NoList"/>
    <w:uiPriority w:val="99"/>
    <w:semiHidden/>
    <w:unhideWhenUsed/>
    <w:rsid w:val="008F7DB9"/>
  </w:style>
  <w:style w:type="table" w:customStyle="1" w:styleId="TableGrid1013">
    <w:name w:val="Table Grid10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1">
    <w:name w:val="No List12011"/>
    <w:next w:val="NoList"/>
    <w:uiPriority w:val="99"/>
    <w:semiHidden/>
    <w:unhideWhenUsed/>
    <w:rsid w:val="008F7DB9"/>
  </w:style>
  <w:style w:type="numbering" w:customStyle="1" w:styleId="NoList111511">
    <w:name w:val="No List111511"/>
    <w:next w:val="NoList"/>
    <w:semiHidden/>
    <w:rsid w:val="008F7DB9"/>
  </w:style>
  <w:style w:type="table" w:customStyle="1" w:styleId="TableGrid15110">
    <w:name w:val="Table Grid15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8F7DB9"/>
  </w:style>
  <w:style w:type="table" w:customStyle="1" w:styleId="LightShading-Accent1711">
    <w:name w:val="Light Shading - Accent 17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1">
    <w:name w:val="Medium Grid 2 - Accent 17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1">
    <w:name w:val="Medium List 2 - Accent 57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1">
    <w:name w:val="Light List - Accent 119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1">
    <w:name w:val="Medium Grid 3 - Accent 57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1">
    <w:name w:val="Light Shading - Accent 57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1">
    <w:name w:val="Medium Grid 2 - Accent 57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1">
    <w:name w:val="Light Grid - Accent 17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1">
    <w:name w:val="No List3811"/>
    <w:next w:val="NoList"/>
    <w:uiPriority w:val="99"/>
    <w:semiHidden/>
    <w:unhideWhenUsed/>
    <w:rsid w:val="008F7DB9"/>
  </w:style>
  <w:style w:type="table" w:customStyle="1" w:styleId="TableGrid16110">
    <w:name w:val="Table Grid16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F7DB9"/>
  </w:style>
  <w:style w:type="numbering" w:customStyle="1" w:styleId="NoList111611">
    <w:name w:val="No List111611"/>
    <w:next w:val="NoList"/>
    <w:semiHidden/>
    <w:rsid w:val="008F7DB9"/>
  </w:style>
  <w:style w:type="table" w:customStyle="1" w:styleId="TableGrid1711">
    <w:name w:val="Table Grid17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1">
    <w:name w:val="Light Shading - Accent 18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1">
    <w:name w:val="Medium Grid 2 - Accent 18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1">
    <w:name w:val="Medium List 2 - Accent 58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1">
    <w:name w:val="Light List - Accent 12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1">
    <w:name w:val="Medium Grid 3 - Accent 58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1">
    <w:name w:val="Light Shading - Accent 58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1">
    <w:name w:val="Medium Grid 2 - Accent 58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1">
    <w:name w:val="Light Grid - Accent 18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1">
    <w:name w:val="Light Shading - Accent 19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1">
    <w:name w:val="Medium Grid 2 - Accent 19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1">
    <w:name w:val="Medium List 2 - Accent 59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2">
    <w:name w:val="Light List - Accent 122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1">
    <w:name w:val="Medium Grid 3 - Accent 59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1">
    <w:name w:val="Light Shading - Accent 59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1">
    <w:name w:val="Medium Grid 2 - Accent 59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1">
    <w:name w:val="Light Grid - Accent 19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1">
    <w:name w:val="Style1152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1">
    <w:name w:val="Style21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1">
    <w:name w:val="No List3911"/>
    <w:next w:val="NoList"/>
    <w:uiPriority w:val="99"/>
    <w:semiHidden/>
    <w:unhideWhenUsed/>
    <w:rsid w:val="008F7DB9"/>
  </w:style>
  <w:style w:type="table" w:customStyle="1" w:styleId="TableGrid1811">
    <w:name w:val="Table Grid18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1">
    <w:name w:val="No List12511"/>
    <w:next w:val="NoList"/>
    <w:uiPriority w:val="99"/>
    <w:semiHidden/>
    <w:unhideWhenUsed/>
    <w:rsid w:val="008F7DB9"/>
  </w:style>
  <w:style w:type="numbering" w:customStyle="1" w:styleId="NoList111711">
    <w:name w:val="No List111711"/>
    <w:next w:val="NoList"/>
    <w:semiHidden/>
    <w:rsid w:val="008F7DB9"/>
  </w:style>
  <w:style w:type="table" w:customStyle="1" w:styleId="TableGrid1911">
    <w:name w:val="Table Grid19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1">
    <w:name w:val="Style115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1">
    <w:name w:val="Style216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1">
    <w:name w:val="No List4011"/>
    <w:next w:val="NoList"/>
    <w:uiPriority w:val="99"/>
    <w:semiHidden/>
    <w:unhideWhenUsed/>
    <w:rsid w:val="008F7DB9"/>
  </w:style>
  <w:style w:type="table" w:customStyle="1" w:styleId="TableGrid2011">
    <w:name w:val="Table Grid2011"/>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1">
    <w:name w:val="Light Shading - Accent 110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1">
    <w:name w:val="Light List - Accent 5811"/>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11">
    <w:name w:val="Medium List 2 - Accent 1111"/>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1">
    <w:name w:val="Medium Grid 2 - Accent 110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1">
    <w:name w:val="Medium List 2 - Accent 510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1">
    <w:name w:val="Light List - Accent 123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11">
    <w:name w:val="Medium List 1 - Accent 5111"/>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1">
    <w:name w:val="Medium Grid 3 - Accent 510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1">
    <w:name w:val="Light Shading - Accent 510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1">
    <w:name w:val="Medium Grid 2 - Accent 510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11">
    <w:name w:val="Light List - Accent 3111"/>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1">
    <w:name w:val="Medium List 2 - Accent 3111"/>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1">
    <w:name w:val="Light Grid - Accent 110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1">
    <w:name w:val="No List4711"/>
    <w:next w:val="NoList"/>
    <w:uiPriority w:val="99"/>
    <w:semiHidden/>
    <w:unhideWhenUsed/>
    <w:rsid w:val="008F7DB9"/>
  </w:style>
  <w:style w:type="table" w:customStyle="1" w:styleId="TableGrid2411">
    <w:name w:val="Table Grid24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1">
    <w:name w:val="No List12611"/>
    <w:next w:val="NoList"/>
    <w:uiPriority w:val="99"/>
    <w:semiHidden/>
    <w:unhideWhenUsed/>
    <w:rsid w:val="008F7DB9"/>
  </w:style>
  <w:style w:type="numbering" w:customStyle="1" w:styleId="NoList111811">
    <w:name w:val="No List111811"/>
    <w:next w:val="NoList"/>
    <w:semiHidden/>
    <w:rsid w:val="008F7DB9"/>
  </w:style>
  <w:style w:type="table" w:customStyle="1" w:styleId="TableGrid11011">
    <w:name w:val="Table Grid110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1">
    <w:name w:val="Medium Grid 2 - Accent 114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1">
    <w:name w:val="Medium List 2 - Accent 514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1">
    <w:name w:val="Medium Grid 3 - Accent 514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1">
    <w:name w:val="Light Shading - Accent 514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1">
    <w:name w:val="Medium Grid 2 - Accent 514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1">
    <w:name w:val="Light Grid - Accent 114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1">
    <w:name w:val="Medium List 2 - Accent 121"/>
    <w:basedOn w:val="TableNormal"/>
    <w:next w:val="MediumList2-Accent1"/>
    <w:uiPriority w:val="66"/>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1">
    <w:name w:val="Medium List 1 - Accent 521"/>
    <w:basedOn w:val="TableNormal"/>
    <w:next w:val="MediumList1-Accent5"/>
    <w:uiPriority w:val="65"/>
    <w:semiHidden/>
    <w:unhideWhenUsed/>
    <w:rsid w:val="008F7DB9"/>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1">
    <w:name w:val="Light List - Accent 321"/>
    <w:basedOn w:val="TableNormal"/>
    <w:next w:val="LightList-Accent3"/>
    <w:uiPriority w:val="61"/>
    <w:semiHidden/>
    <w:unhideWhenUsed/>
    <w:rsid w:val="008F7DB9"/>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1">
    <w:name w:val="Medium List 2 - Accent 321"/>
    <w:basedOn w:val="TableNormal"/>
    <w:next w:val="MediumList2-Accent3"/>
    <w:uiPriority w:val="66"/>
    <w:semiHidden/>
    <w:unhideWhenUsed/>
    <w:rsid w:val="008F7DB9"/>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8F7DB9"/>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1">
    <w:name w:val="No List551"/>
    <w:next w:val="NoList"/>
    <w:uiPriority w:val="99"/>
    <w:semiHidden/>
    <w:unhideWhenUsed/>
    <w:rsid w:val="008F7DB9"/>
  </w:style>
  <w:style w:type="table" w:customStyle="1" w:styleId="TableGrid291">
    <w:name w:val="Table Grid29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TableNormal"/>
    <w:next w:val="MediumGrid3-Accent1"/>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01">
    <w:name w:val="No List1301"/>
    <w:next w:val="NoList"/>
    <w:uiPriority w:val="99"/>
    <w:semiHidden/>
    <w:unhideWhenUsed/>
    <w:rsid w:val="008F7DB9"/>
  </w:style>
  <w:style w:type="table" w:customStyle="1" w:styleId="TableGrid1141">
    <w:name w:val="Table Grid1141"/>
    <w:basedOn w:val="TableNormal"/>
    <w:next w:val="TableGrid"/>
    <w:uiPriority w:val="39"/>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2">
    <w:name w:val="Table List 7132"/>
    <w:basedOn w:val="TableNormal"/>
    <w:next w:val="TableList7"/>
    <w:rsid w:val="008F7DB9"/>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2">
    <w:name w:val="Table Web 3132"/>
    <w:basedOn w:val="TableNormal"/>
    <w:next w:val="TableWeb3"/>
    <w:rsid w:val="008F7DB9"/>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2">
    <w:name w:val="Table Elegant132"/>
    <w:basedOn w:val="TableNormal"/>
    <w:next w:val="TableElegant"/>
    <w:rsid w:val="008F7DB9"/>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2">
    <w:name w:val="Table Web 2132"/>
    <w:basedOn w:val="TableNormal"/>
    <w:next w:val="TableWeb2"/>
    <w:rsid w:val="008F7DB9"/>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2">
    <w:name w:val="Table Web 1132"/>
    <w:basedOn w:val="TableNormal"/>
    <w:next w:val="TableWeb1"/>
    <w:rsid w:val="008F7DB9"/>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2">
    <w:name w:val="Table Grid 8132"/>
    <w:basedOn w:val="TableNormal"/>
    <w:next w:val="TableGrid8"/>
    <w:rsid w:val="008F7DB9"/>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2">
    <w:name w:val="Table Contemporary132"/>
    <w:basedOn w:val="TableNormal"/>
    <w:next w:val="TableContemporary"/>
    <w:rsid w:val="008F7DB9"/>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01">
    <w:name w:val="No List11201"/>
    <w:next w:val="NoList"/>
    <w:semiHidden/>
    <w:unhideWhenUsed/>
    <w:rsid w:val="008F7DB9"/>
  </w:style>
  <w:style w:type="numbering" w:customStyle="1" w:styleId="NoList2161">
    <w:name w:val="No List2161"/>
    <w:next w:val="NoList"/>
    <w:semiHidden/>
    <w:unhideWhenUsed/>
    <w:rsid w:val="008F7DB9"/>
  </w:style>
  <w:style w:type="numbering" w:customStyle="1" w:styleId="NoList3151">
    <w:name w:val="No List3151"/>
    <w:next w:val="NoList"/>
    <w:semiHidden/>
    <w:unhideWhenUsed/>
    <w:rsid w:val="008F7DB9"/>
  </w:style>
  <w:style w:type="table" w:customStyle="1" w:styleId="LightList-Accent11131">
    <w:name w:val="Light List - Accent 11131"/>
    <w:basedOn w:val="TableNormal"/>
    <w:next w:val="LightList-Accent1"/>
    <w:uiPriority w:val="61"/>
    <w:rsid w:val="008F7DB9"/>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2">
    <w:name w:val="Table Grid 7132"/>
    <w:basedOn w:val="TableNormal"/>
    <w:next w:val="TableGrid7"/>
    <w:rsid w:val="008F7DB9"/>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1">
    <w:name w:val="Colorful Grid - Accent 1181"/>
    <w:basedOn w:val="TableNormal"/>
    <w:next w:val="ColorfulGrid-Accent1"/>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1">
    <w:name w:val="Light List - Accent 5181"/>
    <w:basedOn w:val="TableNormal"/>
    <w:next w:val="LightList-Accent5"/>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2">
    <w:name w:val="Table Simple 3132"/>
    <w:basedOn w:val="TableNormal"/>
    <w:next w:val="TableSimple3"/>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2">
    <w:name w:val="Table Grid 5132"/>
    <w:basedOn w:val="TableNormal"/>
    <w:next w:val="TableGrid5"/>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2">
    <w:name w:val="Table Grid 3132"/>
    <w:basedOn w:val="TableNormal"/>
    <w:next w:val="TableGrid3"/>
    <w:rsid w:val="008F7DB9"/>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2">
    <w:name w:val="Table Grid 1132"/>
    <w:basedOn w:val="TableNormal"/>
    <w:next w:val="TableGrid10"/>
    <w:rsid w:val="008F7DB9"/>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2">
    <w:name w:val="Table Columns 5132"/>
    <w:basedOn w:val="TableNormal"/>
    <w:next w:val="TableColumns5"/>
    <w:rsid w:val="008F7DB9"/>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1">
    <w:name w:val="Нет списка191"/>
    <w:next w:val="NoList"/>
    <w:semiHidden/>
    <w:unhideWhenUsed/>
    <w:rsid w:val="008F7DB9"/>
  </w:style>
  <w:style w:type="numbering" w:customStyle="1" w:styleId="NoList4132">
    <w:name w:val="No List4132"/>
    <w:next w:val="NoList"/>
    <w:semiHidden/>
    <w:rsid w:val="008F7DB9"/>
  </w:style>
  <w:style w:type="numbering" w:customStyle="1" w:styleId="NoList111151">
    <w:name w:val="No List111151"/>
    <w:next w:val="NoList"/>
    <w:semiHidden/>
    <w:unhideWhenUsed/>
    <w:rsid w:val="008F7DB9"/>
  </w:style>
  <w:style w:type="table" w:customStyle="1" w:styleId="Table3Deffects3132">
    <w:name w:val="Table 3D effects 3132"/>
    <w:basedOn w:val="TableNormal"/>
    <w:next w:val="Table3Deffects3"/>
    <w:rsid w:val="008F7DB9"/>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81">
    <w:name w:val="Нет списка1181"/>
    <w:next w:val="NoList"/>
    <w:semiHidden/>
    <w:unhideWhenUsed/>
    <w:rsid w:val="008F7DB9"/>
  </w:style>
  <w:style w:type="table" w:customStyle="1" w:styleId="TableGrid1151">
    <w:name w:val="Table Grid115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rsid w:val="008F7DB9"/>
  </w:style>
  <w:style w:type="numbering" w:customStyle="1" w:styleId="NoList632">
    <w:name w:val="No List632"/>
    <w:next w:val="NoList"/>
    <w:uiPriority w:val="99"/>
    <w:semiHidden/>
    <w:unhideWhenUsed/>
    <w:rsid w:val="008F7DB9"/>
  </w:style>
  <w:style w:type="table" w:customStyle="1" w:styleId="TableGrid2101">
    <w:name w:val="Table Grid210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2">
    <w:name w:val="No List732"/>
    <w:next w:val="NoList"/>
    <w:uiPriority w:val="99"/>
    <w:semiHidden/>
    <w:unhideWhenUsed/>
    <w:rsid w:val="008F7DB9"/>
  </w:style>
  <w:style w:type="numbering" w:customStyle="1" w:styleId="NoList12101">
    <w:name w:val="No List12101"/>
    <w:next w:val="NoList"/>
    <w:uiPriority w:val="99"/>
    <w:semiHidden/>
    <w:unhideWhenUsed/>
    <w:rsid w:val="008F7DB9"/>
  </w:style>
  <w:style w:type="table" w:customStyle="1" w:styleId="TableGrid3320">
    <w:name w:val="Table Grid332"/>
    <w:basedOn w:val="TableNormal"/>
    <w:next w:val="TableGrid"/>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2">
    <w:name w:val="Colorful Grid - Accent 1232"/>
    <w:basedOn w:val="TableNormal"/>
    <w:next w:val="ColorfulGrid-Accent1"/>
    <w:uiPriority w:val="73"/>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2">
    <w:name w:val="Light List - Accent 5232"/>
    <w:basedOn w:val="TableNormal"/>
    <w:next w:val="LightList-Accent5"/>
    <w:uiPriority w:val="61"/>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2">
    <w:name w:val="No List832"/>
    <w:next w:val="NoList"/>
    <w:uiPriority w:val="99"/>
    <w:semiHidden/>
    <w:unhideWhenUsed/>
    <w:rsid w:val="008F7DB9"/>
  </w:style>
  <w:style w:type="numbering" w:customStyle="1" w:styleId="1232">
    <w:name w:val="Нет списка1232"/>
    <w:next w:val="NoList"/>
    <w:semiHidden/>
    <w:unhideWhenUsed/>
    <w:rsid w:val="008F7DB9"/>
  </w:style>
  <w:style w:type="numbering" w:customStyle="1" w:styleId="NoList1332">
    <w:name w:val="No List1332"/>
    <w:next w:val="NoList"/>
    <w:semiHidden/>
    <w:unhideWhenUsed/>
    <w:rsid w:val="008F7DB9"/>
  </w:style>
  <w:style w:type="numbering" w:customStyle="1" w:styleId="NoList2171">
    <w:name w:val="No List2171"/>
    <w:next w:val="NoList"/>
    <w:semiHidden/>
    <w:unhideWhenUsed/>
    <w:rsid w:val="008F7DB9"/>
  </w:style>
  <w:style w:type="numbering" w:customStyle="1" w:styleId="NoList3161">
    <w:name w:val="No List3161"/>
    <w:next w:val="NoList"/>
    <w:semiHidden/>
    <w:unhideWhenUsed/>
    <w:rsid w:val="008F7DB9"/>
  </w:style>
  <w:style w:type="numbering" w:customStyle="1" w:styleId="11133">
    <w:name w:val="Нет списка11133"/>
    <w:next w:val="NoList"/>
    <w:semiHidden/>
    <w:unhideWhenUsed/>
    <w:rsid w:val="008F7DB9"/>
  </w:style>
  <w:style w:type="numbering" w:customStyle="1" w:styleId="NoList4141">
    <w:name w:val="No List4141"/>
    <w:next w:val="NoList"/>
    <w:semiHidden/>
    <w:rsid w:val="008F7DB9"/>
  </w:style>
  <w:style w:type="numbering" w:customStyle="1" w:styleId="NoList111161">
    <w:name w:val="No List111161"/>
    <w:next w:val="NoList"/>
    <w:semiHidden/>
    <w:unhideWhenUsed/>
    <w:rsid w:val="008F7DB9"/>
  </w:style>
  <w:style w:type="numbering" w:customStyle="1" w:styleId="111123">
    <w:name w:val="Нет списка111123"/>
    <w:next w:val="NoList"/>
    <w:semiHidden/>
    <w:unhideWhenUsed/>
    <w:rsid w:val="008F7DB9"/>
  </w:style>
  <w:style w:type="numbering" w:customStyle="1" w:styleId="NoList931">
    <w:name w:val="No List931"/>
    <w:next w:val="NoList"/>
    <w:uiPriority w:val="99"/>
    <w:semiHidden/>
    <w:unhideWhenUsed/>
    <w:rsid w:val="008F7DB9"/>
  </w:style>
  <w:style w:type="table" w:customStyle="1" w:styleId="TableGrid432">
    <w:name w:val="Table Grid432"/>
    <w:basedOn w:val="TableNormal"/>
    <w:next w:val="TableGrid"/>
    <w:rsid w:val="008F7DB9"/>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5">
    <w:name w:val="Grid Table 1 Light - Accent 515"/>
    <w:basedOn w:val="TableNormal"/>
    <w:uiPriority w:val="46"/>
    <w:rsid w:val="008F7DB9"/>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8F7DB9"/>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2">
    <w:name w:val="Grid Table 4 - Accent 1112"/>
    <w:basedOn w:val="TableNormal"/>
    <w:uiPriority w:val="49"/>
    <w:rsid w:val="008F7DB9"/>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31">
    <w:name w:val="No List1031"/>
    <w:next w:val="NoList"/>
    <w:uiPriority w:val="99"/>
    <w:semiHidden/>
    <w:unhideWhenUsed/>
    <w:rsid w:val="008F7DB9"/>
  </w:style>
  <w:style w:type="table" w:customStyle="1" w:styleId="TableGrid5310">
    <w:name w:val="Table Grid531"/>
    <w:basedOn w:val="TableNormal"/>
    <w:next w:val="TableGrid"/>
    <w:uiPriority w:val="39"/>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1">
    <w:name w:val="Table List 71121"/>
    <w:basedOn w:val="TableNormal"/>
    <w:next w:val="TableList7"/>
    <w:rsid w:val="008F7DB9"/>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1">
    <w:name w:val="Table Web 31121"/>
    <w:basedOn w:val="TableNormal"/>
    <w:next w:val="TableWeb3"/>
    <w:rsid w:val="008F7DB9"/>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1">
    <w:name w:val="Table Elegant1121"/>
    <w:basedOn w:val="TableNormal"/>
    <w:next w:val="TableElegant"/>
    <w:rsid w:val="008F7DB9"/>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1">
    <w:name w:val="Table Web 2231"/>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1">
    <w:name w:val="Table Web 1231"/>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1">
    <w:name w:val="Table Grid 8231"/>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1">
    <w:name w:val="Table Contemporary231"/>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1">
    <w:name w:val="No List1431"/>
    <w:next w:val="NoList"/>
    <w:semiHidden/>
    <w:unhideWhenUsed/>
    <w:rsid w:val="008F7DB9"/>
  </w:style>
  <w:style w:type="numbering" w:customStyle="1" w:styleId="NoList2231">
    <w:name w:val="No List2231"/>
    <w:next w:val="NoList"/>
    <w:semiHidden/>
    <w:unhideWhenUsed/>
    <w:rsid w:val="008F7DB9"/>
  </w:style>
  <w:style w:type="numbering" w:customStyle="1" w:styleId="NoList3231">
    <w:name w:val="No List3231"/>
    <w:next w:val="NoList"/>
    <w:semiHidden/>
    <w:unhideWhenUsed/>
    <w:rsid w:val="008F7DB9"/>
  </w:style>
  <w:style w:type="table" w:customStyle="1" w:styleId="LightList-Accent1261">
    <w:name w:val="Light List - Accent 126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1">
    <w:name w:val="Table Grid 71121"/>
    <w:basedOn w:val="TableNormal"/>
    <w:next w:val="TableGrid7"/>
    <w:rsid w:val="008F7DB9"/>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1">
    <w:name w:val="Colorful Grid - Accent 1331"/>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1">
    <w:name w:val="Light List - Accent 5331"/>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1">
    <w:name w:val="Table Simple 31121"/>
    <w:basedOn w:val="TableNormal"/>
    <w:next w:val="TableSimple3"/>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1">
    <w:name w:val="Table Grid 51121"/>
    <w:basedOn w:val="TableNormal"/>
    <w:next w:val="TableGrid5"/>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1">
    <w:name w:val="Table Grid 31121"/>
    <w:basedOn w:val="TableNormal"/>
    <w:next w:val="TableGrid3"/>
    <w:rsid w:val="008F7DB9"/>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10">
    <w:name w:val="Table Grid 11121"/>
    <w:basedOn w:val="TableNormal"/>
    <w:next w:val="TableGrid10"/>
    <w:rsid w:val="008F7DB9"/>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1">
    <w:name w:val="Table Columns 51121"/>
    <w:basedOn w:val="TableNormal"/>
    <w:next w:val="TableColumns5"/>
    <w:rsid w:val="008F7DB9"/>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1">
    <w:name w:val="Light List - Accent 1114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1">
    <w:name w:val="Нет списка1331"/>
    <w:next w:val="NoList"/>
    <w:semiHidden/>
    <w:unhideWhenUsed/>
    <w:rsid w:val="008F7DB9"/>
  </w:style>
  <w:style w:type="table" w:customStyle="1" w:styleId="ColorfulGrid-Accent11131">
    <w:name w:val="Colorful Grid - Accent 11131"/>
    <w:basedOn w:val="TableNormal"/>
    <w:rsid w:val="008F7DB9"/>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1">
    <w:name w:val="Light List - Accent 51131"/>
    <w:basedOn w:val="TableNormal"/>
    <w:rsid w:val="008F7DB9"/>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1">
    <w:name w:val="No List4231"/>
    <w:next w:val="NoList"/>
    <w:semiHidden/>
    <w:rsid w:val="008F7DB9"/>
  </w:style>
  <w:style w:type="numbering" w:customStyle="1" w:styleId="NoList11251">
    <w:name w:val="No List11251"/>
    <w:next w:val="NoList"/>
    <w:semiHidden/>
    <w:unhideWhenUsed/>
    <w:rsid w:val="008F7DB9"/>
  </w:style>
  <w:style w:type="table" w:customStyle="1" w:styleId="Table3Deffects31121">
    <w:name w:val="Table 3D effects 31121"/>
    <w:basedOn w:val="TableNormal"/>
    <w:next w:val="Table3Deffects3"/>
    <w:rsid w:val="008F7DB9"/>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1">
    <w:name w:val="Нет списка11231"/>
    <w:next w:val="NoList"/>
    <w:semiHidden/>
    <w:unhideWhenUsed/>
    <w:rsid w:val="008F7DB9"/>
  </w:style>
  <w:style w:type="table" w:customStyle="1" w:styleId="TableGrid11123">
    <w:name w:val="Table Grid11123"/>
    <w:basedOn w:val="TableNormal"/>
    <w:next w:val="TableGrid"/>
    <w:uiPriority w:val="39"/>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8F7DB9"/>
  </w:style>
  <w:style w:type="numbering" w:customStyle="1" w:styleId="NoList6122">
    <w:name w:val="No List6122"/>
    <w:next w:val="NoList"/>
    <w:uiPriority w:val="99"/>
    <w:semiHidden/>
    <w:unhideWhenUsed/>
    <w:rsid w:val="008F7DB9"/>
  </w:style>
  <w:style w:type="table" w:customStyle="1" w:styleId="TableGrid2131">
    <w:name w:val="Table Grid2131"/>
    <w:basedOn w:val="TableNormal"/>
    <w:next w:val="TableGrid"/>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2">
    <w:name w:val="No List7122"/>
    <w:next w:val="NoList"/>
    <w:uiPriority w:val="99"/>
    <w:semiHidden/>
    <w:unhideWhenUsed/>
    <w:rsid w:val="008F7DB9"/>
  </w:style>
  <w:style w:type="numbering" w:customStyle="1" w:styleId="NoList12131">
    <w:name w:val="No List12131"/>
    <w:next w:val="NoList"/>
    <w:uiPriority w:val="99"/>
    <w:semiHidden/>
    <w:unhideWhenUsed/>
    <w:rsid w:val="008F7DB9"/>
  </w:style>
  <w:style w:type="table" w:customStyle="1" w:styleId="TableGrid31220">
    <w:name w:val="Table Grid3122"/>
    <w:basedOn w:val="TableNormal"/>
    <w:next w:val="TableGrid"/>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2">
    <w:name w:val="Table Web 21122"/>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2">
    <w:name w:val="Table Web 11122"/>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2">
    <w:name w:val="Table Grid 81122"/>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2">
    <w:name w:val="Table Contemporary1122"/>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2">
    <w:name w:val="Colorful Grid - Accent 12122"/>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2">
    <w:name w:val="Light List - Accent 52122"/>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2">
    <w:name w:val="No List8122"/>
    <w:next w:val="NoList"/>
    <w:uiPriority w:val="99"/>
    <w:semiHidden/>
    <w:unhideWhenUsed/>
    <w:rsid w:val="008F7DB9"/>
  </w:style>
  <w:style w:type="numbering" w:customStyle="1" w:styleId="12122">
    <w:name w:val="Нет списка12122"/>
    <w:next w:val="NoList"/>
    <w:semiHidden/>
    <w:unhideWhenUsed/>
    <w:rsid w:val="008F7DB9"/>
  </w:style>
  <w:style w:type="numbering" w:customStyle="1" w:styleId="NoList13122">
    <w:name w:val="No List13122"/>
    <w:next w:val="NoList"/>
    <w:semiHidden/>
    <w:unhideWhenUsed/>
    <w:rsid w:val="008F7DB9"/>
  </w:style>
  <w:style w:type="numbering" w:customStyle="1" w:styleId="NoList21131">
    <w:name w:val="No List21131"/>
    <w:next w:val="NoList"/>
    <w:semiHidden/>
    <w:unhideWhenUsed/>
    <w:rsid w:val="008F7DB9"/>
  </w:style>
  <w:style w:type="numbering" w:customStyle="1" w:styleId="NoList31131">
    <w:name w:val="No List31131"/>
    <w:next w:val="NoList"/>
    <w:semiHidden/>
    <w:unhideWhenUsed/>
    <w:rsid w:val="008F7DB9"/>
  </w:style>
  <w:style w:type="numbering" w:customStyle="1" w:styleId="111213">
    <w:name w:val="Нет списка111213"/>
    <w:next w:val="NoList"/>
    <w:semiHidden/>
    <w:unhideWhenUsed/>
    <w:rsid w:val="008F7DB9"/>
  </w:style>
  <w:style w:type="numbering" w:customStyle="1" w:styleId="NoList41122">
    <w:name w:val="No List41122"/>
    <w:next w:val="NoList"/>
    <w:semiHidden/>
    <w:rsid w:val="008F7DB9"/>
  </w:style>
  <w:style w:type="numbering" w:customStyle="1" w:styleId="NoList1111131">
    <w:name w:val="No List1111131"/>
    <w:next w:val="NoList"/>
    <w:semiHidden/>
    <w:unhideWhenUsed/>
    <w:rsid w:val="008F7DB9"/>
  </w:style>
  <w:style w:type="numbering" w:customStyle="1" w:styleId="1111113">
    <w:name w:val="Нет списка1111113"/>
    <w:next w:val="NoList"/>
    <w:semiHidden/>
    <w:unhideWhenUsed/>
    <w:rsid w:val="008F7DB9"/>
  </w:style>
  <w:style w:type="table" w:customStyle="1" w:styleId="TableGrid631">
    <w:name w:val="Table Grid631"/>
    <w:basedOn w:val="TableNormal"/>
    <w:next w:val="TableGrid"/>
    <w:uiPriority w:val="39"/>
    <w:rsid w:val="008F7DB9"/>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4">
    <w:name w:val="Grid Table 1 Light - Accent 5114"/>
    <w:basedOn w:val="TableNormal"/>
    <w:uiPriority w:val="46"/>
    <w:rsid w:val="008F7DB9"/>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1">
    <w:name w:val="Table Grid223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7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 Grid8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8F7DB9"/>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81">
    <w:name w:val="Table List 781"/>
    <w:basedOn w:val="TableNormal"/>
    <w:next w:val="TableList7"/>
    <w:uiPriority w:val="99"/>
    <w:semiHidden/>
    <w:unhideWhenUsed/>
    <w:rsid w:val="008F7DB9"/>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1">
    <w:name w:val="Table Web 381"/>
    <w:basedOn w:val="TableNormal"/>
    <w:next w:val="TableWeb3"/>
    <w:uiPriority w:val="99"/>
    <w:semiHidden/>
    <w:unhideWhenUsed/>
    <w:rsid w:val="008F7DB9"/>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1">
    <w:name w:val="Table Elegant81"/>
    <w:basedOn w:val="TableNormal"/>
    <w:next w:val="TableElegant"/>
    <w:uiPriority w:val="99"/>
    <w:semiHidden/>
    <w:unhideWhenUsed/>
    <w:rsid w:val="008F7DB9"/>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81">
    <w:name w:val="Table Web 281"/>
    <w:basedOn w:val="TableNormal"/>
    <w:next w:val="TableWeb2"/>
    <w:uiPriority w:val="99"/>
    <w:semiHidden/>
    <w:unhideWhenUsed/>
    <w:rsid w:val="008F7DB9"/>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1">
    <w:name w:val="Table Web 181"/>
    <w:basedOn w:val="TableNormal"/>
    <w:next w:val="TableWeb1"/>
    <w:uiPriority w:val="99"/>
    <w:semiHidden/>
    <w:unhideWhenUsed/>
    <w:rsid w:val="008F7DB9"/>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81">
    <w:name w:val="Table Grid 881"/>
    <w:basedOn w:val="TableNormal"/>
    <w:next w:val="TableGrid8"/>
    <w:uiPriority w:val="99"/>
    <w:semiHidden/>
    <w:unhideWhenUsed/>
    <w:rsid w:val="008F7DB9"/>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1">
    <w:name w:val="Table Contemporary81"/>
    <w:basedOn w:val="TableNormal"/>
    <w:next w:val="TableContemporary"/>
    <w:uiPriority w:val="99"/>
    <w:semiHidden/>
    <w:unhideWhenUsed/>
    <w:rsid w:val="008F7DB9"/>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71">
    <w:name w:val="Light List - Accent 1271"/>
    <w:basedOn w:val="TableNormal"/>
    <w:next w:val="LightList-Accent1"/>
    <w:uiPriority w:val="61"/>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1">
    <w:name w:val="Table Grid 781"/>
    <w:basedOn w:val="TableNormal"/>
    <w:next w:val="TableGrid7"/>
    <w:uiPriority w:val="99"/>
    <w:semiHidden/>
    <w:unhideWhenUsed/>
    <w:rsid w:val="008F7DB9"/>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1">
    <w:name w:val="Colorful Grid - Accent 191"/>
    <w:basedOn w:val="TableNormal"/>
    <w:next w:val="ColorfulGrid-Accent1"/>
    <w:uiPriority w:val="73"/>
    <w:semiHidden/>
    <w:unhideWhenUsed/>
    <w:rsid w:val="008F7DB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1">
    <w:name w:val="Light List - Accent 5101"/>
    <w:basedOn w:val="TableNormal"/>
    <w:next w:val="LightList-Accent5"/>
    <w:uiPriority w:val="61"/>
    <w:semiHidden/>
    <w:unhideWhenUsed/>
    <w:rsid w:val="008F7DB9"/>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1">
    <w:name w:val="Table Simple 381"/>
    <w:basedOn w:val="TableNormal"/>
    <w:next w:val="TableSimple3"/>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1">
    <w:name w:val="Table Grid 581"/>
    <w:basedOn w:val="TableNormal"/>
    <w:next w:val="TableGrid5"/>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1">
    <w:name w:val="Table Grid 381"/>
    <w:basedOn w:val="TableNormal"/>
    <w:next w:val="TableGrid3"/>
    <w:uiPriority w:val="99"/>
    <w:semiHidden/>
    <w:unhideWhenUsed/>
    <w:rsid w:val="008F7DB9"/>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10">
    <w:name w:val="Table Grid 181"/>
    <w:basedOn w:val="TableNormal"/>
    <w:next w:val="TableGrid10"/>
    <w:uiPriority w:val="99"/>
    <w:semiHidden/>
    <w:unhideWhenUsed/>
    <w:rsid w:val="008F7DB9"/>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1">
    <w:name w:val="Table Columns 581"/>
    <w:basedOn w:val="TableNormal"/>
    <w:next w:val="TableColumns5"/>
    <w:uiPriority w:val="99"/>
    <w:semiHidden/>
    <w:unhideWhenUsed/>
    <w:rsid w:val="008F7DB9"/>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Light1">
    <w:name w:val="Table Grid Light1"/>
    <w:basedOn w:val="TableNormal"/>
    <w:uiPriority w:val="40"/>
    <w:rsid w:val="00352DBB"/>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Основной текст"/>
    <w:basedOn w:val="Normal"/>
    <w:rsid w:val="00352DB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2">
    <w:name w:val="Grid Table 4 - Accent 52"/>
    <w:basedOn w:val="TableNormal"/>
    <w:uiPriority w:val="49"/>
    <w:rsid w:val="00352DBB"/>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3Deffects381">
    <w:name w:val="Table 3D effects 381"/>
    <w:basedOn w:val="TableNormal"/>
    <w:next w:val="Table3Deffects3"/>
    <w:uiPriority w:val="99"/>
    <w:semiHidden/>
    <w:unhideWhenUsed/>
    <w:rsid w:val="00352DBB"/>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31">
    <w:name w:val="No List1531"/>
    <w:next w:val="NoList"/>
    <w:uiPriority w:val="99"/>
    <w:semiHidden/>
    <w:unhideWhenUsed/>
    <w:rsid w:val="00352DBB"/>
  </w:style>
  <w:style w:type="table" w:customStyle="1" w:styleId="TableGrid1231">
    <w:name w:val="Table Grid1231"/>
    <w:basedOn w:val="TableNormal"/>
    <w:next w:val="TableGrid"/>
    <w:uiPriority w:val="39"/>
    <w:rsid w:val="00352DBB"/>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69543490">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27206059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23942746">
      <w:bodyDiv w:val="1"/>
      <w:marLeft w:val="0"/>
      <w:marRight w:val="0"/>
      <w:marTop w:val="0"/>
      <w:marBottom w:val="0"/>
      <w:divBdr>
        <w:top w:val="none" w:sz="0" w:space="0" w:color="auto"/>
        <w:left w:val="none" w:sz="0" w:space="0" w:color="auto"/>
        <w:bottom w:val="none" w:sz="0" w:space="0" w:color="auto"/>
        <w:right w:val="none" w:sz="0" w:space="0" w:color="auto"/>
      </w:divBdr>
    </w:div>
    <w:div w:id="726100770">
      <w:bodyDiv w:val="1"/>
      <w:marLeft w:val="0"/>
      <w:marRight w:val="0"/>
      <w:marTop w:val="0"/>
      <w:marBottom w:val="0"/>
      <w:divBdr>
        <w:top w:val="none" w:sz="0" w:space="0" w:color="auto"/>
        <w:left w:val="none" w:sz="0" w:space="0" w:color="auto"/>
        <w:bottom w:val="none" w:sz="0" w:space="0" w:color="auto"/>
        <w:right w:val="none" w:sz="0" w:space="0" w:color="auto"/>
      </w:divBdr>
    </w:div>
    <w:div w:id="730081290">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5677390">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82208889">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394505736">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04796487">
      <w:bodyDiv w:val="1"/>
      <w:marLeft w:val="0"/>
      <w:marRight w:val="0"/>
      <w:marTop w:val="0"/>
      <w:marBottom w:val="0"/>
      <w:divBdr>
        <w:top w:val="none" w:sz="0" w:space="0" w:color="auto"/>
        <w:left w:val="none" w:sz="0" w:space="0" w:color="auto"/>
        <w:bottom w:val="none" w:sz="0" w:space="0" w:color="auto"/>
        <w:right w:val="none" w:sz="0" w:space="0" w:color="auto"/>
      </w:divBdr>
    </w:div>
    <w:div w:id="1425154574">
      <w:bodyDiv w:val="1"/>
      <w:marLeft w:val="0"/>
      <w:marRight w:val="0"/>
      <w:marTop w:val="0"/>
      <w:marBottom w:val="0"/>
      <w:divBdr>
        <w:top w:val="none" w:sz="0" w:space="0" w:color="auto"/>
        <w:left w:val="none" w:sz="0" w:space="0" w:color="auto"/>
        <w:bottom w:val="none" w:sz="0" w:space="0" w:color="auto"/>
        <w:right w:val="none" w:sz="0" w:space="0" w:color="auto"/>
      </w:divBdr>
    </w:div>
    <w:div w:id="146187676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12405994">
      <w:bodyDiv w:val="1"/>
      <w:marLeft w:val="0"/>
      <w:marRight w:val="0"/>
      <w:marTop w:val="0"/>
      <w:marBottom w:val="0"/>
      <w:divBdr>
        <w:top w:val="none" w:sz="0" w:space="0" w:color="auto"/>
        <w:left w:val="none" w:sz="0" w:space="0" w:color="auto"/>
        <w:bottom w:val="none" w:sz="0" w:space="0" w:color="auto"/>
        <w:right w:val="none" w:sz="0" w:space="0" w:color="auto"/>
      </w:divBdr>
    </w:div>
    <w:div w:id="1512603500">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02687862">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256338">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2947657">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776637366">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69262735">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 w:id="2142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image" Target="media/image3.png"/><Relationship Id="rId68" Type="http://schemas.openxmlformats.org/officeDocument/2006/relationships/chart" Target="charts/chart58.xml"/><Relationship Id="rId84" Type="http://schemas.openxmlformats.org/officeDocument/2006/relationships/chart" Target="charts/chart70.xml"/><Relationship Id="rId89" Type="http://schemas.openxmlformats.org/officeDocument/2006/relationships/chart" Target="charts/chart73.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4.xml"/><Relationship Id="rId79"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chart" Target="charts/chart74.xml"/><Relationship Id="rId95" Type="http://schemas.openxmlformats.org/officeDocument/2006/relationships/footer" Target="footer1.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4.xml"/><Relationship Id="rId69" Type="http://schemas.openxmlformats.org/officeDocument/2006/relationships/chart" Target="charts/chart59.xml"/><Relationship Id="rId80" Type="http://schemas.openxmlformats.org/officeDocument/2006/relationships/chart" Target="charts/chart66.xml"/><Relationship Id="rId85" Type="http://schemas.openxmlformats.org/officeDocument/2006/relationships/chart" Target="charts/chart7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7.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69.xml"/><Relationship Id="rId88" Type="http://schemas.openxmlformats.org/officeDocument/2006/relationships/chart" Target="charts/chart72.xml"/><Relationship Id="rId91" Type="http://schemas.openxmlformats.org/officeDocument/2006/relationships/chart" Target="charts/chart7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image" Target="media/image6.png"/><Relationship Id="rId81" Type="http://schemas.openxmlformats.org/officeDocument/2006/relationships/chart" Target="charts/chart67.xml"/><Relationship Id="rId86" Type="http://schemas.openxmlformats.org/officeDocument/2006/relationships/image" Target="media/image60.png"/><Relationship Id="rId94" Type="http://schemas.openxmlformats.org/officeDocument/2006/relationships/chart" Target="charts/chart7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image" Target="media/image4.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61.xml"/><Relationship Id="rId92" Type="http://schemas.openxmlformats.org/officeDocument/2006/relationships/chart" Target="charts/chart76.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6.xml"/><Relationship Id="rId87" Type="http://schemas.openxmlformats.org/officeDocument/2006/relationships/image" Target="media/image70.png"/><Relationship Id="rId61" Type="http://schemas.openxmlformats.org/officeDocument/2006/relationships/chart" Target="charts/chart52.xml"/><Relationship Id="rId82" Type="http://schemas.openxmlformats.org/officeDocument/2006/relationships/chart" Target="charts/chart68.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chart" Target="charts/chart62.xml"/><Relationship Id="rId93" Type="http://schemas.openxmlformats.org/officeDocument/2006/relationships/chart" Target="charts/chart77.xml"/></Relationships>
</file>

<file path=word/_rels/footnotes.xml.rels><?xml version="1.0" encoding="UTF-8" standalone="yes"?>
<Relationships xmlns="http://schemas.openxmlformats.org/package/2006/relationships"><Relationship Id="rId2" Type="http://schemas.openxmlformats.org/officeDocument/2006/relationships/hyperlink" Target="https://www.imf.org/en/Topics/imf-and-covid19/Fiscal-Policies-Database-in-Response-to-COVID-19" TargetMode="External"/><Relationship Id="rId1" Type="http://schemas.openxmlformats.org/officeDocument/2006/relationships/hyperlink" Target="https://www.unwto.org/international-travel-largely-on-hold-despite-uptick-in-may"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7.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NULL" TargetMode="External"/><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53.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54.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55.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1.xml"/><Relationship Id="rId1" Type="http://schemas.microsoft.com/office/2011/relationships/chartStyle" Target="style1.xml"/></Relationships>
</file>

<file path=word/charts/_rels/chart6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62.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D:\Working%20Files\Budget%20External%20Debt.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172.20.215.254\Share\macroeconomic\Armine\2021\09\&#1356;&#1387;&#1405;&#1391;&#1381;&#1408;%20&#1330;&#1397;&#1400;&#1410;&#1403;&#1381;%202022\Risks_for_Budget%202022.xlsx" TargetMode="External"/></Relationships>
</file>

<file path=word/charts/_rels/chart74.xml.rels><?xml version="1.0" encoding="UTF-8" standalone="yes"?>
<Relationships xmlns="http://schemas.openxmlformats.org/package/2006/relationships"><Relationship Id="rId2" Type="http://schemas.openxmlformats.org/officeDocument/2006/relationships/oleObject" Target="https://d.docs.live.net/e6f9e6114dd3e381/Documents/ADB/Fiscal%20risk%20management/Integrated%20Fiscal%20Risk%20Management/SOE/SOE%20Database%202020.xlsx" TargetMode="External"/><Relationship Id="rId1" Type="http://schemas.openxmlformats.org/officeDocument/2006/relationships/themeOverride" Target="../theme/themeOverride55.xml"/></Relationships>
</file>

<file path=word/charts/_rels/chart75.xml.rels><?xml version="1.0" encoding="UTF-8" standalone="yes"?>
<Relationships xmlns="http://schemas.openxmlformats.org/package/2006/relationships"><Relationship Id="rId2" Type="http://schemas.openxmlformats.org/officeDocument/2006/relationships/oleObject" Target="https://d.docs.live.net/e6f9e6114dd3e381/Documents/ADB/Fiscal%20risk%20management/Integrated%20Fiscal%20Risk%20Management/SOE/SOE%20Database%202020.xlsx" TargetMode="External"/><Relationship Id="rId1" Type="http://schemas.openxmlformats.org/officeDocument/2006/relationships/themeOverride" Target="../theme/themeOverride56.xml"/></Relationships>
</file>

<file path=word/charts/_rels/chart76.xml.rels><?xml version="1.0" encoding="UTF-8" standalone="yes"?>
<Relationships xmlns="http://schemas.openxmlformats.org/package/2006/relationships"><Relationship Id="rId2" Type="http://schemas.openxmlformats.org/officeDocument/2006/relationships/oleObject" Target="https://d.docs.live.net/e6f9e6114dd3e381/Documents/ADB/Fiscal%20risk%20management/Integrated%20Fiscal%20Risk%20Management/SOE/SOE%20Database%202020.xlsx" TargetMode="External"/><Relationship Id="rId1" Type="http://schemas.openxmlformats.org/officeDocument/2006/relationships/themeOverride" Target="../theme/themeOverride57.xml"/></Relationships>
</file>

<file path=word/charts/_rels/chart7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8.xml"/></Relationships>
</file>

<file path=word/charts/_rels/chart7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9.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1655410095014735"/>
          <c:h val="0.63586107292144023"/>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2.5</c:v>
                </c:pt>
                <c:pt idx="1">
                  <c:v>1.3</c:v>
                </c:pt>
                <c:pt idx="2">
                  <c:v>-3</c:v>
                </c:pt>
                <c:pt idx="3">
                  <c:v>4.4000000000000004</c:v>
                </c:pt>
                <c:pt idx="4">
                  <c:v>3.1</c:v>
                </c:pt>
              </c:numCache>
            </c:numRef>
          </c:val>
          <c:extLst>
            <c:ext xmlns:c16="http://schemas.microsoft.com/office/drawing/2014/chart" uri="{C3380CC4-5D6E-409C-BE32-E72D297353CC}">
              <c16:uniqueId val="{00000000-50C7-46D5-ADA9-D358126E971A}"/>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1.9245307253744466</c:v>
                </c:pt>
                <c:pt idx="1">
                  <c:v>1.2783448122809844</c:v>
                </c:pt>
                <c:pt idx="2">
                  <c:v>-6.5</c:v>
                </c:pt>
                <c:pt idx="3">
                  <c:v>4.5999999999999996</c:v>
                </c:pt>
                <c:pt idx="4">
                  <c:v>4.3</c:v>
                </c:pt>
              </c:numCache>
            </c:numRef>
          </c:val>
          <c:extLst>
            <c:ext xmlns:c16="http://schemas.microsoft.com/office/drawing/2014/chart" uri="{C3380CC4-5D6E-409C-BE32-E72D297353CC}">
              <c16:uniqueId val="{00000001-50C7-46D5-ADA9-D358126E971A}"/>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Sheet1!$E$2:$E$7</c:f>
              <c:numCache>
                <c:formatCode>#,##0.0;"–"#,##0.0</c:formatCode>
                <c:ptCount val="5"/>
                <c:pt idx="0">
                  <c:v>6.7</c:v>
                </c:pt>
                <c:pt idx="1">
                  <c:v>6.1</c:v>
                </c:pt>
                <c:pt idx="2">
                  <c:v>2.2999999999999998</c:v>
                </c:pt>
                <c:pt idx="3">
                  <c:v>8.1</c:v>
                </c:pt>
                <c:pt idx="4">
                  <c:v>5.7</c:v>
                </c:pt>
              </c:numCache>
            </c:numRef>
          </c:val>
          <c:extLst>
            <c:ext xmlns:c16="http://schemas.microsoft.com/office/drawing/2014/chart" uri="{C3380CC4-5D6E-409C-BE32-E72D297353CC}">
              <c16:uniqueId val="{00000002-50C7-46D5-ADA9-D358126E971A}"/>
            </c:ext>
          </c:extLst>
        </c:ser>
        <c:ser>
          <c:idx val="4"/>
          <c:order val="4"/>
          <c:tx>
            <c:strRef>
              <c:f>Sheet1!$F$1</c:f>
              <c:strCache>
                <c:ptCount val="1"/>
                <c:pt idx="0">
                  <c:v>ԱՄՆ</c:v>
                </c:pt>
              </c:strCache>
            </c:strRef>
          </c:tx>
          <c:spPr>
            <a:solidFill>
              <a:schemeClr val="accent5"/>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Sheet1!$F$2:$F$7</c:f>
              <c:numCache>
                <c:formatCode>#,##0.0;"–"#,##0.0</c:formatCode>
                <c:ptCount val="5"/>
                <c:pt idx="0">
                  <c:v>2.9</c:v>
                </c:pt>
                <c:pt idx="1">
                  <c:v>2.2000000000000002</c:v>
                </c:pt>
                <c:pt idx="2">
                  <c:v>-3.5</c:v>
                </c:pt>
                <c:pt idx="3">
                  <c:v>7</c:v>
                </c:pt>
                <c:pt idx="4">
                  <c:v>4.9000000000000004</c:v>
                </c:pt>
              </c:numCache>
            </c:numRef>
          </c:val>
          <c:extLst>
            <c:ext xmlns:c16="http://schemas.microsoft.com/office/drawing/2014/chart" uri="{C3380CC4-5D6E-409C-BE32-E72D297353CC}">
              <c16:uniqueId val="{00000003-50C7-46D5-ADA9-D358126E971A}"/>
            </c:ext>
          </c:extLst>
        </c:ser>
        <c:dLbls>
          <c:showLegendKey val="0"/>
          <c:showVal val="0"/>
          <c:showCatName val="0"/>
          <c:showSerName val="0"/>
          <c:showPercent val="0"/>
          <c:showBubbleSize val="0"/>
        </c:dLbls>
        <c:gapWidth val="150"/>
        <c:axId val="165114240"/>
        <c:axId val="165115776"/>
      </c:barChart>
      <c:lineChart>
        <c:grouping val="standard"/>
        <c:varyColors val="0"/>
        <c:ser>
          <c:idx val="0"/>
          <c:order val="0"/>
          <c:tx>
            <c:strRef>
              <c:f>Sheet1!$B$1</c:f>
              <c:strCache>
                <c:ptCount val="1"/>
                <c:pt idx="0">
                  <c:v>Աշխարը</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3.5852566282283198</c:v>
                </c:pt>
                <c:pt idx="1">
                  <c:v>2.8161521911176002</c:v>
                </c:pt>
                <c:pt idx="2">
                  <c:v>-3.2</c:v>
                </c:pt>
                <c:pt idx="3">
                  <c:v>6</c:v>
                </c:pt>
                <c:pt idx="4">
                  <c:v>4.9000000000000004</c:v>
                </c:pt>
              </c:numCache>
            </c:numRef>
          </c:val>
          <c:smooth val="0"/>
          <c:extLst>
            <c:ext xmlns:c16="http://schemas.microsoft.com/office/drawing/2014/chart" uri="{C3380CC4-5D6E-409C-BE32-E72D297353CC}">
              <c16:uniqueId val="{00000004-50C7-46D5-ADA9-D358126E971A}"/>
            </c:ext>
          </c:extLst>
        </c:ser>
        <c:dLbls>
          <c:showLegendKey val="0"/>
          <c:showVal val="0"/>
          <c:showCatName val="0"/>
          <c:showSerName val="0"/>
          <c:showPercent val="0"/>
          <c:showBubbleSize val="0"/>
        </c:dLbls>
        <c:marker val="1"/>
        <c:smooth val="0"/>
        <c:axId val="165114240"/>
        <c:axId val="165115776"/>
      </c:lineChart>
      <c:catAx>
        <c:axId val="165114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15776"/>
        <c:crosses val="autoZero"/>
        <c:auto val="1"/>
        <c:lblAlgn val="ctr"/>
        <c:lblOffset val="100"/>
        <c:noMultiLvlLbl val="0"/>
      </c:catAx>
      <c:valAx>
        <c:axId val="16511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14240"/>
        <c:crosses val="autoZero"/>
        <c:crossBetween val="between"/>
      </c:valAx>
      <c:spPr>
        <a:noFill/>
        <a:ln>
          <a:noFill/>
        </a:ln>
        <a:effectLst/>
      </c:spPr>
    </c:plotArea>
    <c:legend>
      <c:legendPos val="b"/>
      <c:layout>
        <c:manualLayout>
          <c:xMode val="edge"/>
          <c:yMode val="edge"/>
          <c:x val="9.0876097384378726E-2"/>
          <c:y val="0.83979280367731957"/>
          <c:w val="0.74601823708206683"/>
          <c:h val="0.160207196322681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2872079514650834"/>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Sheet1!$C$2:$C$7</c:f>
              <c:numCache>
                <c:formatCode>0.0</c:formatCode>
                <c:ptCount val="6"/>
                <c:pt idx="0">
                  <c:v>0.10513439319595831</c:v>
                </c:pt>
                <c:pt idx="1">
                  <c:v>-1.3395221221487805</c:v>
                </c:pt>
                <c:pt idx="2">
                  <c:v>-1.2439671159377241</c:v>
                </c:pt>
                <c:pt idx="3">
                  <c:v>-1.1492890620555209</c:v>
                </c:pt>
                <c:pt idx="4">
                  <c:v>-0.60528177647684145</c:v>
                </c:pt>
                <c:pt idx="5">
                  <c:v>0.87563074285572129</c:v>
                </c:pt>
              </c:numCache>
            </c:numRef>
          </c:val>
          <c:extLst>
            <c:ext xmlns:c16="http://schemas.microsoft.com/office/drawing/2014/chart" uri="{C3380CC4-5D6E-409C-BE32-E72D297353CC}">
              <c16:uniqueId val="{00000000-0D9C-424E-A9F1-9409C357E62E}"/>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Sheet1!$D$2:$D$7</c:f>
              <c:numCache>
                <c:formatCode>0.0</c:formatCode>
                <c:ptCount val="6"/>
                <c:pt idx="0">
                  <c:v>0.61375152498404462</c:v>
                </c:pt>
                <c:pt idx="1">
                  <c:v>-0.31986461436202185</c:v>
                </c:pt>
                <c:pt idx="2">
                  <c:v>-0.3814651100430656</c:v>
                </c:pt>
                <c:pt idx="3">
                  <c:v>-0.31349257135824771</c:v>
                </c:pt>
                <c:pt idx="4">
                  <c:v>-0.72229427255206557</c:v>
                </c:pt>
                <c:pt idx="5">
                  <c:v>0.26675195195303247</c:v>
                </c:pt>
              </c:numCache>
            </c:numRef>
          </c:val>
          <c:extLst>
            <c:ext xmlns:c16="http://schemas.microsoft.com/office/drawing/2014/chart" uri="{C3380CC4-5D6E-409C-BE32-E72D297353CC}">
              <c16:uniqueId val="{00000001-0D9C-424E-A9F1-9409C357E62E}"/>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Sheet1!$E$2:$E$7</c:f>
              <c:numCache>
                <c:formatCode>0.0</c:formatCode>
                <c:ptCount val="6"/>
                <c:pt idx="0">
                  <c:v>0.28597042474452383</c:v>
                </c:pt>
                <c:pt idx="1">
                  <c:v>0.13849542858424765</c:v>
                </c:pt>
                <c:pt idx="2">
                  <c:v>-0.19233652712748164</c:v>
                </c:pt>
                <c:pt idx="3">
                  <c:v>-0.47428700859768752</c:v>
                </c:pt>
                <c:pt idx="4">
                  <c:v>6.5569307576807553E-2</c:v>
                </c:pt>
                <c:pt idx="5">
                  <c:v>0.53050328577073314</c:v>
                </c:pt>
              </c:numCache>
            </c:numRef>
          </c:val>
          <c:extLst>
            <c:ext xmlns:c16="http://schemas.microsoft.com/office/drawing/2014/chart" uri="{C3380CC4-5D6E-409C-BE32-E72D297353CC}">
              <c16:uniqueId val="{00000002-0D9C-424E-A9F1-9409C357E62E}"/>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Sheet1!$F$2:$F$7</c:f>
              <c:numCache>
                <c:formatCode>0.0</c:formatCode>
                <c:ptCount val="6"/>
                <c:pt idx="0">
                  <c:v>-0.52656625296272364</c:v>
                </c:pt>
                <c:pt idx="1">
                  <c:v>-1.4600274442612291</c:v>
                </c:pt>
                <c:pt idx="2">
                  <c:v>-1.104763552087904</c:v>
                </c:pt>
                <c:pt idx="3">
                  <c:v>-0.42846070196442121</c:v>
                </c:pt>
                <c:pt idx="4">
                  <c:v>0.11687356814094271</c:v>
                </c:pt>
                <c:pt idx="5">
                  <c:v>0.22537752359982316</c:v>
                </c:pt>
              </c:numCache>
            </c:numRef>
          </c:val>
          <c:extLst>
            <c:ext xmlns:c16="http://schemas.microsoft.com/office/drawing/2014/chart" uri="{C3380CC4-5D6E-409C-BE32-E72D297353CC}">
              <c16:uniqueId val="{00000003-0D9C-424E-A9F1-9409C357E62E}"/>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Sheet1!$G$2:$G$7</c:f>
              <c:numCache>
                <c:formatCode>0.0</c:formatCode>
                <c:ptCount val="6"/>
                <c:pt idx="0">
                  <c:v>3.7162969068174192</c:v>
                </c:pt>
                <c:pt idx="1">
                  <c:v>-2.5346965506532286</c:v>
                </c:pt>
                <c:pt idx="2">
                  <c:v>-3.9423436582872395</c:v>
                </c:pt>
                <c:pt idx="3">
                  <c:v>-5.0598792681469451</c:v>
                </c:pt>
                <c:pt idx="4">
                  <c:v>-2.125060525873403</c:v>
                </c:pt>
                <c:pt idx="5">
                  <c:v>3.0744179925736312</c:v>
                </c:pt>
              </c:numCache>
            </c:numRef>
          </c:val>
          <c:extLst>
            <c:ext xmlns:c16="http://schemas.microsoft.com/office/drawing/2014/chart" uri="{C3380CC4-5D6E-409C-BE32-E72D297353CC}">
              <c16:uniqueId val="{00000004-0D9C-424E-A9F1-9409C357E62E}"/>
            </c:ext>
          </c:extLst>
        </c:ser>
        <c:dLbls>
          <c:showLegendKey val="0"/>
          <c:showVal val="0"/>
          <c:showCatName val="0"/>
          <c:showSerName val="0"/>
          <c:showPercent val="0"/>
          <c:showBubbleSize val="0"/>
        </c:dLbls>
        <c:gapWidth val="219"/>
        <c:overlap val="100"/>
        <c:axId val="311699712"/>
        <c:axId val="311726080"/>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911489466957993E-2"/>
                  <c:y val="-4.5464571458334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9C-424E-A9F1-9409C357E62E}"/>
                </c:ext>
              </c:extLst>
            </c:dLbl>
            <c:dLbl>
              <c:idx val="1"/>
              <c:layout>
                <c:manualLayout>
                  <c:x val="-5.5868409119017227E-2"/>
                  <c:y val="4.0816705504564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9C-424E-A9F1-9409C357E62E}"/>
                </c:ext>
              </c:extLst>
            </c:dLbl>
            <c:dLbl>
              <c:idx val="2"/>
              <c:layout>
                <c:manualLayout>
                  <c:x val="-6.97180195407512E-2"/>
                  <c:y val="3.7420710676911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9C-424E-A9F1-9409C357E62E}"/>
                </c:ext>
              </c:extLst>
            </c:dLbl>
            <c:dLbl>
              <c:idx val="3"/>
              <c:layout>
                <c:manualLayout>
                  <c:x val="-5.6629014305149106E-2"/>
                  <c:y val="3.166862554605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9C-424E-A9F1-9409C357E62E}"/>
                </c:ext>
              </c:extLst>
            </c:dLbl>
            <c:dLbl>
              <c:idx val="4"/>
              <c:layout>
                <c:manualLayout>
                  <c:x val="-4.2895178024212943E-2"/>
                  <c:y val="3.2572201123694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9C-424E-A9F1-9409C357E62E}"/>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Sheet1!$B$2:$B$7</c:f>
              <c:numCache>
                <c:formatCode>0.0</c:formatCode>
                <c:ptCount val="6"/>
                <c:pt idx="0">
                  <c:v>4.194586996779222</c:v>
                </c:pt>
                <c:pt idx="1">
                  <c:v>-5.5156153028410131</c:v>
                </c:pt>
                <c:pt idx="2">
                  <c:v>-6.8648759634834144</c:v>
                </c:pt>
                <c:pt idx="3">
                  <c:v>-7.4254086121228227</c:v>
                </c:pt>
                <c:pt idx="4">
                  <c:v>-3.2701936991845599</c:v>
                </c:pt>
                <c:pt idx="5">
                  <c:v>4.9726814967529407</c:v>
                </c:pt>
              </c:numCache>
            </c:numRef>
          </c:val>
          <c:smooth val="0"/>
          <c:extLst>
            <c:ext xmlns:c16="http://schemas.microsoft.com/office/drawing/2014/chart" uri="{C3380CC4-5D6E-409C-BE32-E72D297353CC}">
              <c16:uniqueId val="{0000000A-0D9C-424E-A9F1-9409C357E62E}"/>
            </c:ext>
          </c:extLst>
        </c:ser>
        <c:dLbls>
          <c:showLegendKey val="0"/>
          <c:showVal val="0"/>
          <c:showCatName val="0"/>
          <c:showSerName val="0"/>
          <c:showPercent val="0"/>
          <c:showBubbleSize val="0"/>
        </c:dLbls>
        <c:marker val="1"/>
        <c:smooth val="0"/>
        <c:axId val="311699712"/>
        <c:axId val="311726080"/>
      </c:lineChart>
      <c:catAx>
        <c:axId val="3116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311726080"/>
        <c:crosses val="autoZero"/>
        <c:auto val="1"/>
        <c:lblAlgn val="ctr"/>
        <c:lblOffset val="100"/>
        <c:noMultiLvlLbl val="0"/>
      </c:catAx>
      <c:valAx>
        <c:axId val="311726080"/>
        <c:scaling>
          <c:orientation val="minMax"/>
          <c:max val="5"/>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311699712"/>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5950464129861253"/>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Sheet1!$C$2:$C$7</c:f>
              <c:numCache>
                <c:formatCode>0.0</c:formatCode>
                <c:ptCount val="6"/>
                <c:pt idx="0">
                  <c:v>1.9182532030876893</c:v>
                </c:pt>
                <c:pt idx="1">
                  <c:v>-6.7118940924474257</c:v>
                </c:pt>
                <c:pt idx="2">
                  <c:v>-6.7161879233366655</c:v>
                </c:pt>
                <c:pt idx="3">
                  <c:v>-9.6621603376249023</c:v>
                </c:pt>
                <c:pt idx="4">
                  <c:v>-1.051751056489413</c:v>
                </c:pt>
                <c:pt idx="5">
                  <c:v>5.4265122328947255</c:v>
                </c:pt>
              </c:numCache>
            </c:numRef>
          </c:val>
          <c:extLst>
            <c:ext xmlns:c16="http://schemas.microsoft.com/office/drawing/2014/chart" uri="{C3380CC4-5D6E-409C-BE32-E72D297353CC}">
              <c16:uniqueId val="{00000000-0ABC-4943-B4F4-58F6BC679F17}"/>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Sheet1!$D$2:$D$7</c:f>
              <c:numCache>
                <c:formatCode>0.0</c:formatCode>
                <c:ptCount val="6"/>
                <c:pt idx="0">
                  <c:v>-0.81570423869976305</c:v>
                </c:pt>
                <c:pt idx="1">
                  <c:v>-2.4230908925865666</c:v>
                </c:pt>
                <c:pt idx="2">
                  <c:v>-1.9066487214759491</c:v>
                </c:pt>
                <c:pt idx="3">
                  <c:v>-1.3615586733604275</c:v>
                </c:pt>
                <c:pt idx="4">
                  <c:v>0.44598242734524018</c:v>
                </c:pt>
                <c:pt idx="5">
                  <c:v>1.0494236518593478</c:v>
                </c:pt>
              </c:numCache>
            </c:numRef>
          </c:val>
          <c:extLst>
            <c:ext xmlns:c16="http://schemas.microsoft.com/office/drawing/2014/chart" uri="{C3380CC4-5D6E-409C-BE32-E72D297353CC}">
              <c16:uniqueId val="{00000001-0ABC-4943-B4F4-58F6BC679F17}"/>
            </c:ext>
          </c:extLst>
        </c:ser>
        <c:ser>
          <c:idx val="3"/>
          <c:order val="3"/>
          <c:tx>
            <c:strRef>
              <c:f>Sheet1!$E$1</c:f>
              <c:strCache>
                <c:ptCount val="1"/>
                <c:pt idx="0">
                  <c:v>Զուտ արտահանում</c:v>
                </c:pt>
              </c:strCache>
            </c:strRef>
          </c:tx>
          <c:spPr>
            <a:solidFill>
              <a:schemeClr val="accent4"/>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Sheet1!$E$2:$E$7</c:f>
              <c:numCache>
                <c:formatCode>0.0</c:formatCode>
                <c:ptCount val="6"/>
                <c:pt idx="0">
                  <c:v>2.8090001745157323</c:v>
                </c:pt>
                <c:pt idx="1">
                  <c:v>3.3276338947452171</c:v>
                </c:pt>
                <c:pt idx="2">
                  <c:v>0.80039226873209657</c:v>
                </c:pt>
                <c:pt idx="3">
                  <c:v>3.3962372635644904</c:v>
                </c:pt>
                <c:pt idx="4">
                  <c:v>1.6177271859574347</c:v>
                </c:pt>
                <c:pt idx="5">
                  <c:v>-0.59779108469248765</c:v>
                </c:pt>
              </c:numCache>
            </c:numRef>
          </c:val>
          <c:extLst>
            <c:ext xmlns:c16="http://schemas.microsoft.com/office/drawing/2014/chart" uri="{C3380CC4-5D6E-409C-BE32-E72D297353CC}">
              <c16:uniqueId val="{00000002-0ABC-4943-B4F4-58F6BC679F17}"/>
            </c:ext>
          </c:extLst>
        </c:ser>
        <c:ser>
          <c:idx val="4"/>
          <c:order val="4"/>
          <c:tx>
            <c:strRef>
              <c:f>Sheet1!$F$1</c:f>
              <c:strCache>
                <c:ptCount val="1"/>
                <c:pt idx="0">
                  <c:v>Վիճակագրական շեղում</c:v>
                </c:pt>
              </c:strCache>
            </c:strRef>
          </c:tx>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Sheet1!$F$2:$F$7</c:f>
              <c:numCache>
                <c:formatCode>0.0</c:formatCode>
                <c:ptCount val="6"/>
                <c:pt idx="0">
                  <c:v>0.29013153336526232</c:v>
                </c:pt>
                <c:pt idx="1">
                  <c:v>0.29142146594259</c:v>
                </c:pt>
                <c:pt idx="2">
                  <c:v>0.95263828189768351</c:v>
                </c:pt>
                <c:pt idx="3">
                  <c:v>0.19595521993567822</c:v>
                </c:pt>
                <c:pt idx="4">
                  <c:v>-4.3385714600390557</c:v>
                </c:pt>
                <c:pt idx="5">
                  <c:v>-0.89575929427393852</c:v>
                </c:pt>
              </c:numCache>
            </c:numRef>
          </c:val>
          <c:extLst>
            <c:ext xmlns:c16="http://schemas.microsoft.com/office/drawing/2014/chart" uri="{C3380CC4-5D6E-409C-BE32-E72D297353CC}">
              <c16:uniqueId val="{00000003-0ABC-4943-B4F4-58F6BC679F17}"/>
            </c:ext>
          </c:extLst>
        </c:ser>
        <c:dLbls>
          <c:showLegendKey val="0"/>
          <c:showVal val="0"/>
          <c:showCatName val="0"/>
          <c:showSerName val="0"/>
          <c:showPercent val="0"/>
          <c:showBubbleSize val="0"/>
        </c:dLbls>
        <c:gapWidth val="150"/>
        <c:overlap val="100"/>
        <c:axId val="315232640"/>
        <c:axId val="315234176"/>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9585960115114231E-2"/>
                  <c:y val="-7.1040989035249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BC-4943-B4F4-58F6BC679F17}"/>
                </c:ext>
              </c:extLst>
            </c:dLbl>
            <c:dLbl>
              <c:idx val="1"/>
              <c:layout>
                <c:manualLayout>
                  <c:x val="-2.8601977027207442E-2"/>
                  <c:y val="-2.3772208229569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BC-4943-B4F4-58F6BC679F17}"/>
                </c:ext>
              </c:extLst>
            </c:dLbl>
            <c:dLbl>
              <c:idx val="2"/>
              <c:layout>
                <c:manualLayout>
                  <c:x val="-1.0981451868644954E-2"/>
                  <c:y val="-2.689213028699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BC-4943-B4F4-58F6BC679F17}"/>
                </c:ext>
              </c:extLst>
            </c:dLbl>
            <c:dLbl>
              <c:idx val="3"/>
              <c:layout>
                <c:manualLayout>
                  <c:x val="-4.8242684317432332E-4"/>
                  <c:y val="1.3372465629026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BC-4943-B4F4-58F6BC679F17}"/>
                </c:ext>
              </c:extLst>
            </c:dLbl>
            <c:dLbl>
              <c:idx val="4"/>
              <c:layout>
                <c:manualLayout>
                  <c:x val="-3.4247582805362851E-2"/>
                  <c:y val="1.5315945731114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BC-4943-B4F4-58F6BC679F17}"/>
                </c:ext>
              </c:extLst>
            </c:dLbl>
            <c:dLbl>
              <c:idx val="5"/>
              <c:layout>
                <c:manualLayout>
                  <c:x val="0"/>
                  <c:y val="-4.485981308411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BC-4943-B4F4-58F6BC679F17}"/>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Sheet1!$B$2:$B$7</c:f>
              <c:numCache>
                <c:formatCode>0.0</c:formatCode>
                <c:ptCount val="6"/>
                <c:pt idx="0">
                  <c:v>4.2016806722689211</c:v>
                </c:pt>
                <c:pt idx="1">
                  <c:v>-5.5159296243461853</c:v>
                </c:pt>
                <c:pt idx="2">
                  <c:v>-6.8698060941828345</c:v>
                </c:pt>
                <c:pt idx="3">
                  <c:v>-7.4315265274851612</c:v>
                </c:pt>
                <c:pt idx="4">
                  <c:v>-3.3266129032257936</c:v>
                </c:pt>
                <c:pt idx="5">
                  <c:v>4.9823855057876472</c:v>
                </c:pt>
              </c:numCache>
            </c:numRef>
          </c:val>
          <c:smooth val="0"/>
          <c:extLst>
            <c:ext xmlns:c16="http://schemas.microsoft.com/office/drawing/2014/chart" uri="{C3380CC4-5D6E-409C-BE32-E72D297353CC}">
              <c16:uniqueId val="{0000000A-0ABC-4943-B4F4-58F6BC679F17}"/>
            </c:ext>
          </c:extLst>
        </c:ser>
        <c:dLbls>
          <c:showLegendKey val="0"/>
          <c:showVal val="0"/>
          <c:showCatName val="0"/>
          <c:showSerName val="0"/>
          <c:showPercent val="0"/>
          <c:showBubbleSize val="0"/>
        </c:dLbls>
        <c:marker val="1"/>
        <c:smooth val="0"/>
        <c:axId val="315232640"/>
        <c:axId val="315234176"/>
      </c:lineChart>
      <c:catAx>
        <c:axId val="3152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315234176"/>
        <c:crosses val="autoZero"/>
        <c:auto val="1"/>
        <c:lblAlgn val="ctr"/>
        <c:lblOffset val="100"/>
        <c:noMultiLvlLbl val="0"/>
      </c:catAx>
      <c:valAx>
        <c:axId val="315234176"/>
        <c:scaling>
          <c:orientation val="minMax"/>
          <c:max val="7"/>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315232640"/>
        <c:crosses val="autoZero"/>
        <c:crossBetween val="between"/>
        <c:majorUnit val="3"/>
      </c:valAx>
      <c:spPr>
        <a:noFill/>
        <a:ln w="25400">
          <a:noFill/>
        </a:ln>
        <a:effectLst/>
      </c:spPr>
    </c:plotArea>
    <c:legend>
      <c:legendPos val="b"/>
      <c:layout>
        <c:manualLayout>
          <c:xMode val="edge"/>
          <c:yMode val="edge"/>
          <c:x val="0"/>
          <c:y val="0.76134644084071024"/>
          <c:w val="0.97208671538165703"/>
          <c:h val="0.23865355915928974"/>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7687837896831341E-2"/>
          <c:w val="0.87658476118247253"/>
          <c:h val="0.6148588444244294"/>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Sheet1!$B$3:$I$3</c:f>
              <c:numCache>
                <c:formatCode>0.0</c:formatCode>
                <c:ptCount val="8"/>
                <c:pt idx="0">
                  <c:v>-10.799999999999997</c:v>
                </c:pt>
                <c:pt idx="1">
                  <c:v>-7.9000000000000057</c:v>
                </c:pt>
                <c:pt idx="2">
                  <c:v>-3.9000000000000057</c:v>
                </c:pt>
                <c:pt idx="3">
                  <c:v>0.90000000000000568</c:v>
                </c:pt>
                <c:pt idx="4">
                  <c:v>2.2999999999999972</c:v>
                </c:pt>
                <c:pt idx="5">
                  <c:v>2.0999999999999943</c:v>
                </c:pt>
                <c:pt idx="6">
                  <c:v>2.0999999999999943</c:v>
                </c:pt>
                <c:pt idx="7">
                  <c:v>1</c:v>
                </c:pt>
              </c:numCache>
            </c:numRef>
          </c:val>
          <c:extLst>
            <c:ext xmlns:c16="http://schemas.microsoft.com/office/drawing/2014/chart" uri="{C3380CC4-5D6E-409C-BE32-E72D297353CC}">
              <c16:uniqueId val="{00000000-3133-4359-9051-4A9623553D45}"/>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-1</c:v>
                </c:pt>
                <c:pt idx="3">
                  <c:v>0</c:v>
                </c:pt>
                <c:pt idx="4">
                  <c:v>0</c:v>
                </c:pt>
                <c:pt idx="5">
                  <c:v>6.7999999999999972</c:v>
                </c:pt>
                <c:pt idx="6">
                  <c:v>0</c:v>
                </c:pt>
                <c:pt idx="7">
                  <c:v>0</c:v>
                </c:pt>
              </c:numCache>
            </c:numRef>
          </c:val>
          <c:extLst>
            <c:ext xmlns:c16="http://schemas.microsoft.com/office/drawing/2014/chart" uri="{C3380CC4-5D6E-409C-BE32-E72D297353CC}">
              <c16:uniqueId val="{00000001-3133-4359-9051-4A9623553D45}"/>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Sheet1!$B$5:$I$5</c:f>
              <c:numCache>
                <c:formatCode>0.0</c:formatCode>
                <c:ptCount val="8"/>
                <c:pt idx="0">
                  <c:v>0.79999999999999716</c:v>
                </c:pt>
                <c:pt idx="1">
                  <c:v>1</c:v>
                </c:pt>
                <c:pt idx="2">
                  <c:v>4.7000000000000028</c:v>
                </c:pt>
                <c:pt idx="3">
                  <c:v>20.299999999999997</c:v>
                </c:pt>
                <c:pt idx="4">
                  <c:v>14.299999999999997</c:v>
                </c:pt>
                <c:pt idx="5">
                  <c:v>10.799999999999997</c:v>
                </c:pt>
                <c:pt idx="6">
                  <c:v>8.7999999999999972</c:v>
                </c:pt>
                <c:pt idx="7">
                  <c:v>7.2999999999999972</c:v>
                </c:pt>
              </c:numCache>
            </c:numRef>
          </c:val>
          <c:extLst>
            <c:ext xmlns:c16="http://schemas.microsoft.com/office/drawing/2014/chart" uri="{C3380CC4-5D6E-409C-BE32-E72D297353CC}">
              <c16:uniqueId val="{00000002-3133-4359-9051-4A9623553D45}"/>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Sheet1!$B$6:$I$6</c:f>
              <c:numCache>
                <c:formatCode>0.0</c:formatCode>
                <c:ptCount val="8"/>
                <c:pt idx="0">
                  <c:v>-12.5</c:v>
                </c:pt>
                <c:pt idx="1">
                  <c:v>-12.398255551476083</c:v>
                </c:pt>
                <c:pt idx="2">
                  <c:v>-8.0310705725455023</c:v>
                </c:pt>
                <c:pt idx="3">
                  <c:v>-2.7655481804455206</c:v>
                </c:pt>
                <c:pt idx="4">
                  <c:v>0.97422366662934223</c:v>
                </c:pt>
                <c:pt idx="5">
                  <c:v>2.8485068635894635</c:v>
                </c:pt>
                <c:pt idx="6">
                  <c:v>4.5153118805703087</c:v>
                </c:pt>
                <c:pt idx="7">
                  <c:v>5.2999999999999972</c:v>
                </c:pt>
              </c:numCache>
            </c:numRef>
          </c:val>
          <c:extLst>
            <c:ext xmlns:c16="http://schemas.microsoft.com/office/drawing/2014/chart" uri="{C3380CC4-5D6E-409C-BE32-E72D297353CC}">
              <c16:uniqueId val="{00000003-3133-4359-9051-4A9623553D45}"/>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Sheet1!$B$7:$I$7</c:f>
              <c:numCache>
                <c:formatCode>0.0</c:formatCode>
                <c:ptCount val="8"/>
                <c:pt idx="0">
                  <c:v>-14.200000000000003</c:v>
                </c:pt>
                <c:pt idx="1">
                  <c:v>-10.846408716233185</c:v>
                </c:pt>
                <c:pt idx="2">
                  <c:v>-5.5999999999999943</c:v>
                </c:pt>
                <c:pt idx="3">
                  <c:v>4.7999999999999972</c:v>
                </c:pt>
                <c:pt idx="4">
                  <c:v>7.4000000000000057</c:v>
                </c:pt>
                <c:pt idx="5">
                  <c:v>8</c:v>
                </c:pt>
                <c:pt idx="6">
                  <c:v>7.5</c:v>
                </c:pt>
                <c:pt idx="7">
                  <c:v>7.0999999999999943</c:v>
                </c:pt>
              </c:numCache>
            </c:numRef>
          </c:val>
          <c:extLst>
            <c:ext xmlns:c16="http://schemas.microsoft.com/office/drawing/2014/chart" uri="{C3380CC4-5D6E-409C-BE32-E72D297353CC}">
              <c16:uniqueId val="{00000004-3133-4359-9051-4A9623553D45}"/>
            </c:ext>
          </c:extLst>
        </c:ser>
        <c:dLbls>
          <c:showLegendKey val="0"/>
          <c:showVal val="0"/>
          <c:showCatName val="0"/>
          <c:showSerName val="0"/>
          <c:showPercent val="0"/>
          <c:showBubbleSize val="0"/>
        </c:dLbls>
        <c:gapWidth val="150"/>
        <c:axId val="315274368"/>
        <c:axId val="31527590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33-4359-9051-4A9623553D45}"/>
                </c:ext>
              </c:extLst>
            </c:dLbl>
            <c:dLbl>
              <c:idx val="1"/>
              <c:layout>
                <c:manualLayout>
                  <c:x val="-7.8465072719619125E-2"/>
                  <c:y val="-3.95676682467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33-4359-9051-4A9623553D45}"/>
                </c:ext>
              </c:extLst>
            </c:dLbl>
            <c:dLbl>
              <c:idx val="2"/>
              <c:layout>
                <c:manualLayout>
                  <c:x val="-7.428136961537081E-2"/>
                  <c:y val="5.8341135080267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33-4359-9051-4A9623553D45}"/>
                </c:ext>
              </c:extLst>
            </c:dLbl>
            <c:dLbl>
              <c:idx val="3"/>
              <c:layout>
                <c:manualLayout>
                  <c:x val="-6.1868292157636798E-2"/>
                  <c:y val="-4.060144077734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133-4359-9051-4A9623553D45}"/>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133-4359-9051-4A9623553D45}"/>
                </c:ext>
              </c:extLst>
            </c:dLbl>
            <c:dLbl>
              <c:idx val="5"/>
              <c:layout>
                <c:manualLayout>
                  <c:x val="-5.8019063406547867E-2"/>
                  <c:y val="-4.0852057192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133-4359-9051-4A9623553D45}"/>
                </c:ext>
              </c:extLst>
            </c:dLbl>
            <c:dLbl>
              <c:idx val="6"/>
              <c:layout>
                <c:manualLayout>
                  <c:x val="-5.3874844591794445E-2"/>
                  <c:y val="-4.6688065363291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133-4359-9051-4A9623553D45}"/>
                </c:ext>
              </c:extLst>
            </c:dLbl>
            <c:dLbl>
              <c:idx val="7"/>
              <c:layout>
                <c:manualLayout>
                  <c:x val="-4.9730625777041182E-2"/>
                  <c:y val="-4.0852057192880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133-4359-9051-4A9623553D45}"/>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Sheet1!$B$2:$I$2</c:f>
              <c:numCache>
                <c:formatCode>0.0</c:formatCode>
                <c:ptCount val="8"/>
                <c:pt idx="0">
                  <c:v>-8.4097295421886855</c:v>
                </c:pt>
                <c:pt idx="1">
                  <c:v>-7.2873162388730464</c:v>
                </c:pt>
                <c:pt idx="2">
                  <c:v>-3.4614825571698304</c:v>
                </c:pt>
                <c:pt idx="3">
                  <c:v>2.6757228183570447</c:v>
                </c:pt>
                <c:pt idx="4">
                  <c:v>4.4078401781489021</c:v>
                </c:pt>
                <c:pt idx="5">
                  <c:v>5.126609590810375</c:v>
                </c:pt>
                <c:pt idx="6">
                  <c:v>5.3110243717503067</c:v>
                </c:pt>
                <c:pt idx="7">
                  <c:v>4.9000000000000057</c:v>
                </c:pt>
              </c:numCache>
            </c:numRef>
          </c:val>
          <c:smooth val="0"/>
          <c:extLst>
            <c:ext xmlns:c16="http://schemas.microsoft.com/office/drawing/2014/chart" uri="{C3380CC4-5D6E-409C-BE32-E72D297353CC}">
              <c16:uniqueId val="{0000000D-3133-4359-9051-4A9623553D45}"/>
            </c:ext>
          </c:extLst>
        </c:ser>
        <c:dLbls>
          <c:showLegendKey val="0"/>
          <c:showVal val="0"/>
          <c:showCatName val="0"/>
          <c:showSerName val="0"/>
          <c:showPercent val="0"/>
          <c:showBubbleSize val="0"/>
        </c:dLbls>
        <c:marker val="1"/>
        <c:smooth val="0"/>
        <c:axId val="315340672"/>
        <c:axId val="315339136"/>
      </c:lineChart>
      <c:catAx>
        <c:axId val="315274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275904"/>
        <c:crosses val="autoZero"/>
        <c:auto val="1"/>
        <c:lblAlgn val="ctr"/>
        <c:lblOffset val="100"/>
        <c:noMultiLvlLbl val="0"/>
      </c:catAx>
      <c:valAx>
        <c:axId val="315275904"/>
        <c:scaling>
          <c:orientation val="minMax"/>
          <c:max val="3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274368"/>
        <c:crosses val="autoZero"/>
        <c:crossBetween val="between"/>
      </c:valAx>
      <c:valAx>
        <c:axId val="315339136"/>
        <c:scaling>
          <c:orientation val="minMax"/>
        </c:scaling>
        <c:delete val="0"/>
        <c:axPos val="r"/>
        <c:numFmt formatCode="0.0" sourceLinked="1"/>
        <c:majorTickMark val="out"/>
        <c:minorTickMark val="none"/>
        <c:tickLblPos val="nextTo"/>
        <c:crossAx val="315340672"/>
        <c:crosses val="max"/>
        <c:crossBetween val="between"/>
      </c:valAx>
      <c:catAx>
        <c:axId val="315340672"/>
        <c:scaling>
          <c:orientation val="minMax"/>
        </c:scaling>
        <c:delete val="1"/>
        <c:axPos val="b"/>
        <c:numFmt formatCode="General" sourceLinked="1"/>
        <c:majorTickMark val="out"/>
        <c:minorTickMark val="none"/>
        <c:tickLblPos val="none"/>
        <c:crossAx val="315339136"/>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-10.799999999999997</c:v>
                </c:pt>
                <c:pt idx="1">
                  <c:v>-5.0999999999999943</c:v>
                </c:pt>
                <c:pt idx="2">
                  <c:v>3.7999999999999972</c:v>
                </c:pt>
                <c:pt idx="3">
                  <c:v>16.900000000000006</c:v>
                </c:pt>
                <c:pt idx="4">
                  <c:v>7.9000000000000057</c:v>
                </c:pt>
                <c:pt idx="5">
                  <c:v>1.2999999999999972</c:v>
                </c:pt>
                <c:pt idx="6">
                  <c:v>1.7000000000000028</c:v>
                </c:pt>
                <c:pt idx="7">
                  <c:v>-5.2000000000000028</c:v>
                </c:pt>
              </c:numCache>
            </c:numRef>
          </c:val>
          <c:extLst>
            <c:ext xmlns:c16="http://schemas.microsoft.com/office/drawing/2014/chart" uri="{C3380CC4-5D6E-409C-BE32-E72D297353CC}">
              <c16:uniqueId val="{00000000-E9F8-490E-A84B-1641E5A20AB9}"/>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0.79999999999999716</c:v>
                </c:pt>
                <c:pt idx="1">
                  <c:v>1.0999999999999943</c:v>
                </c:pt>
                <c:pt idx="2">
                  <c:v>10.799999999999997</c:v>
                </c:pt>
                <c:pt idx="3">
                  <c:v>87.699999999999989</c:v>
                </c:pt>
                <c:pt idx="4">
                  <c:v>0.5</c:v>
                </c:pt>
                <c:pt idx="5">
                  <c:v>1.2999999999999972</c:v>
                </c:pt>
                <c:pt idx="6">
                  <c:v>2.2000000000000028</c:v>
                </c:pt>
                <c:pt idx="7">
                  <c:v>2.2999999999999972</c:v>
                </c:pt>
              </c:numCache>
            </c:numRef>
          </c:val>
          <c:extLst>
            <c:ext xmlns:c16="http://schemas.microsoft.com/office/drawing/2014/chart" uri="{C3380CC4-5D6E-409C-BE32-E72D297353CC}">
              <c16:uniqueId val="{00000001-E9F8-490E-A84B-1641E5A20AB9}"/>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-12.5</c:v>
                </c:pt>
                <c:pt idx="1">
                  <c:v>-12.299999999999997</c:v>
                </c:pt>
                <c:pt idx="2">
                  <c:v>1</c:v>
                </c:pt>
                <c:pt idx="3">
                  <c:v>15.5</c:v>
                </c:pt>
                <c:pt idx="4">
                  <c:v>17.5</c:v>
                </c:pt>
                <c:pt idx="5">
                  <c:v>12.200000000000003</c:v>
                </c:pt>
                <c:pt idx="6">
                  <c:v>14.400000000000006</c:v>
                </c:pt>
                <c:pt idx="7">
                  <c:v>10.799999999999997</c:v>
                </c:pt>
              </c:numCache>
            </c:numRef>
          </c:val>
          <c:extLst>
            <c:ext xmlns:c16="http://schemas.microsoft.com/office/drawing/2014/chart" uri="{C3380CC4-5D6E-409C-BE32-E72D297353CC}">
              <c16:uniqueId val="{00000002-E9F8-490E-A84B-1641E5A20AB9}"/>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-14.200000000000003</c:v>
                </c:pt>
                <c:pt idx="1">
                  <c:v>-7.7999999999999972</c:v>
                </c:pt>
                <c:pt idx="2">
                  <c:v>4.5999999999999943</c:v>
                </c:pt>
                <c:pt idx="3">
                  <c:v>47.800000000000011</c:v>
                </c:pt>
                <c:pt idx="4">
                  <c:v>17.599999999999994</c:v>
                </c:pt>
                <c:pt idx="5">
                  <c:v>10.299999999999997</c:v>
                </c:pt>
                <c:pt idx="6">
                  <c:v>5.2000000000000028</c:v>
                </c:pt>
                <c:pt idx="7">
                  <c:v>5</c:v>
                </c:pt>
              </c:numCache>
            </c:numRef>
          </c:val>
          <c:extLst>
            <c:ext xmlns:c16="http://schemas.microsoft.com/office/drawing/2014/chart" uri="{C3380CC4-5D6E-409C-BE32-E72D297353CC}">
              <c16:uniqueId val="{00000003-E9F8-490E-A84B-1641E5A20AB9}"/>
            </c:ext>
          </c:extLst>
        </c:ser>
        <c:dLbls>
          <c:showLegendKey val="0"/>
          <c:showVal val="0"/>
          <c:showCatName val="0"/>
          <c:showSerName val="0"/>
          <c:showPercent val="0"/>
          <c:showBubbleSize val="0"/>
        </c:dLbls>
        <c:gapWidth val="219"/>
        <c:overlap val="-27"/>
        <c:axId val="315420672"/>
        <c:axId val="315422208"/>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0390729460704182E-2"/>
                  <c:y val="-5.208326884751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F8-490E-A84B-1641E5A20AB9}"/>
                </c:ext>
              </c:extLst>
            </c:dLbl>
            <c:dLbl>
              <c:idx val="1"/>
              <c:layout>
                <c:manualLayout>
                  <c:x val="-7.4515261064065141E-2"/>
                  <c:y val="-4.6035535315891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F8-490E-A84B-1641E5A20AB9}"/>
                </c:ext>
              </c:extLst>
            </c:dLbl>
            <c:dLbl>
              <c:idx val="2"/>
              <c:layout>
                <c:manualLayout>
                  <c:x val="-7.8571452153386484E-2"/>
                  <c:y val="-3.884529753302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F8-490E-A84B-1641E5A20AB9}"/>
                </c:ext>
              </c:extLst>
            </c:dLbl>
            <c:dLbl>
              <c:idx val="3"/>
              <c:layout>
                <c:manualLayout>
                  <c:x val="-6.6061176315224748E-2"/>
                  <c:y val="-4.2864790719368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F8-490E-A84B-1641E5A20AB9}"/>
                </c:ext>
              </c:extLst>
            </c:dLbl>
            <c:dLbl>
              <c:idx val="4"/>
              <c:layout>
                <c:manualLayout>
                  <c:x val="-3.2449858861981873E-2"/>
                  <c:y val="-3.968853178441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F8-490E-A84B-1641E5A20AB9}"/>
                </c:ext>
              </c:extLst>
            </c:dLbl>
            <c:dLbl>
              <c:idx val="5"/>
              <c:layout>
                <c:manualLayout>
                  <c:x val="-5.0314465408805187E-2"/>
                  <c:y val="-3.5016049022468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F8-490E-A84B-1641E5A20AB9}"/>
                </c:ext>
              </c:extLst>
            </c:dLbl>
            <c:dLbl>
              <c:idx val="6"/>
              <c:layout>
                <c:manualLayout>
                  <c:x val="-5.0314465408805034E-2"/>
                  <c:y val="-4.0852057192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F8-490E-A84B-1641E5A20AB9}"/>
                </c:ext>
              </c:extLst>
            </c:dLbl>
            <c:dLbl>
              <c:idx val="7"/>
              <c:layout>
                <c:manualLayout>
                  <c:x val="-4.6121593291404611E-2"/>
                  <c:y val="-5.8360081704114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F8-490E-A84B-1641E5A20AB9}"/>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-8.4097295421886855</c:v>
                </c:pt>
                <c:pt idx="1">
                  <c:v>-6.2633073826779793</c:v>
                </c:pt>
                <c:pt idx="2">
                  <c:v>3.9353930794852943</c:v>
                </c:pt>
                <c:pt idx="3">
                  <c:v>23.356149985997021</c:v>
                </c:pt>
                <c:pt idx="4">
                  <c:v>11.086522476462449</c:v>
                </c:pt>
                <c:pt idx="5">
                  <c:v>8.1606857558619481</c:v>
                </c:pt>
                <c:pt idx="6">
                  <c:v>6.1902771593338173</c:v>
                </c:pt>
                <c:pt idx="7">
                  <c:v>2.2999999999999972</c:v>
                </c:pt>
              </c:numCache>
            </c:numRef>
          </c:val>
          <c:smooth val="0"/>
          <c:extLst>
            <c:ext xmlns:c16="http://schemas.microsoft.com/office/drawing/2014/chart" uri="{C3380CC4-5D6E-409C-BE32-E72D297353CC}">
              <c16:uniqueId val="{0000000C-E9F8-490E-A84B-1641E5A20AB9}"/>
            </c:ext>
          </c:extLst>
        </c:ser>
        <c:dLbls>
          <c:showLegendKey val="0"/>
          <c:showVal val="0"/>
          <c:showCatName val="0"/>
          <c:showSerName val="0"/>
          <c:showPercent val="0"/>
          <c:showBubbleSize val="0"/>
        </c:dLbls>
        <c:marker val="1"/>
        <c:smooth val="0"/>
        <c:axId val="315564800"/>
        <c:axId val="315423744"/>
      </c:lineChart>
      <c:catAx>
        <c:axId val="315420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422208"/>
        <c:crosses val="autoZero"/>
        <c:auto val="1"/>
        <c:lblAlgn val="ctr"/>
        <c:lblOffset val="100"/>
        <c:noMultiLvlLbl val="0"/>
      </c:catAx>
      <c:valAx>
        <c:axId val="315422208"/>
        <c:scaling>
          <c:orientation val="minMax"/>
          <c:max val="95"/>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420672"/>
        <c:crosses val="autoZero"/>
        <c:crossBetween val="between"/>
      </c:valAx>
      <c:valAx>
        <c:axId val="315423744"/>
        <c:scaling>
          <c:orientation val="minMax"/>
        </c:scaling>
        <c:delete val="0"/>
        <c:axPos val="r"/>
        <c:numFmt formatCode="0.0" sourceLinked="1"/>
        <c:majorTickMark val="out"/>
        <c:minorTickMark val="none"/>
        <c:tickLblPos val="nextTo"/>
        <c:crossAx val="315564800"/>
        <c:crosses val="max"/>
        <c:crossBetween val="between"/>
      </c:valAx>
      <c:catAx>
        <c:axId val="315564800"/>
        <c:scaling>
          <c:orientation val="minMax"/>
        </c:scaling>
        <c:delete val="1"/>
        <c:axPos val="b"/>
        <c:numFmt formatCode="General" sourceLinked="1"/>
        <c:majorTickMark val="out"/>
        <c:minorTickMark val="none"/>
        <c:tickLblPos val="none"/>
        <c:crossAx val="315423744"/>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Sheet1!$B$3:$I$3</c:f>
              <c:numCache>
                <c:formatCode>0.0</c:formatCode>
                <c:ptCount val="8"/>
                <c:pt idx="0">
                  <c:v>-2.3716259878127546</c:v>
                </c:pt>
                <c:pt idx="1">
                  <c:v>-1.7348004910852575</c:v>
                </c:pt>
                <c:pt idx="2">
                  <c:v>-0.85642049559905187</c:v>
                </c:pt>
                <c:pt idx="3">
                  <c:v>0.19763549898439753</c:v>
                </c:pt>
                <c:pt idx="4">
                  <c:v>0.50506849740456761</c:v>
                </c:pt>
                <c:pt idx="5">
                  <c:v>0.46114949763025675</c:v>
                </c:pt>
                <c:pt idx="6">
                  <c:v>0.46114949763025675</c:v>
                </c:pt>
                <c:pt idx="7">
                  <c:v>0.21959499887155143</c:v>
                </c:pt>
              </c:numCache>
            </c:numRef>
          </c:val>
          <c:extLst>
            <c:ext xmlns:c16="http://schemas.microsoft.com/office/drawing/2014/chart" uri="{C3380CC4-5D6E-409C-BE32-E72D297353CC}">
              <c16:uniqueId val="{00000000-E3A5-47DF-9102-38C5EEE6193D}"/>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-0.12265209040788619</c:v>
                </c:pt>
                <c:pt idx="3">
                  <c:v>0</c:v>
                </c:pt>
                <c:pt idx="4">
                  <c:v>0</c:v>
                </c:pt>
                <c:pt idx="5">
                  <c:v>0.83403421477362572</c:v>
                </c:pt>
                <c:pt idx="6">
                  <c:v>0</c:v>
                </c:pt>
                <c:pt idx="7">
                  <c:v>0</c:v>
                </c:pt>
              </c:numCache>
            </c:numRef>
          </c:val>
          <c:extLst>
            <c:ext xmlns:c16="http://schemas.microsoft.com/office/drawing/2014/chart" uri="{C3380CC4-5D6E-409C-BE32-E72D297353CC}">
              <c16:uniqueId val="{00000001-E3A5-47DF-9102-38C5EEE6193D}"/>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Sheet1!$B$5:$I$5</c:f>
              <c:numCache>
                <c:formatCode>0.0</c:formatCode>
                <c:ptCount val="8"/>
                <c:pt idx="0">
                  <c:v>6.1067394701060013E-2</c:v>
                </c:pt>
                <c:pt idx="1">
                  <c:v>7.6334243376325286E-2</c:v>
                </c:pt>
                <c:pt idx="2">
                  <c:v>0.35877094386872904</c:v>
                </c:pt>
                <c:pt idx="3">
                  <c:v>1.549585140539403</c:v>
                </c:pt>
                <c:pt idx="4">
                  <c:v>1.0915796802814515</c:v>
                </c:pt>
                <c:pt idx="5">
                  <c:v>0.82440982846431288</c:v>
                </c:pt>
                <c:pt idx="6">
                  <c:v>0.67174134171166233</c:v>
                </c:pt>
                <c:pt idx="7">
                  <c:v>0.5572399766471744</c:v>
                </c:pt>
              </c:numCache>
            </c:numRef>
          </c:val>
          <c:extLst>
            <c:ext xmlns:c16="http://schemas.microsoft.com/office/drawing/2014/chart" uri="{C3380CC4-5D6E-409C-BE32-E72D297353CC}">
              <c16:uniqueId val="{00000002-E3A5-47DF-9102-38C5EEE6193D}"/>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Sheet1!$B$6:$I$6</c:f>
              <c:numCache>
                <c:formatCode>0.0</c:formatCode>
                <c:ptCount val="8"/>
                <c:pt idx="0">
                  <c:v>-5.7947100311780932</c:v>
                </c:pt>
                <c:pt idx="1">
                  <c:v>-5.7475436650598359</c:v>
                </c:pt>
                <c:pt idx="2">
                  <c:v>-3.7230180166262894</c:v>
                </c:pt>
                <c:pt idx="3">
                  <c:v>-1.2820439826347185</c:v>
                </c:pt>
                <c:pt idx="4">
                  <c:v>0.45162749229025217</c:v>
                </c:pt>
                <c:pt idx="5">
                  <c:v>1.3205017037057212</c:v>
                </c:pt>
                <c:pt idx="6">
                  <c:v>2.0931938438590714</c:v>
                </c:pt>
                <c:pt idx="7">
                  <c:v>2.4569570532195102</c:v>
                </c:pt>
              </c:numCache>
            </c:numRef>
          </c:val>
          <c:extLst>
            <c:ext xmlns:c16="http://schemas.microsoft.com/office/drawing/2014/chart" uri="{C3380CC4-5D6E-409C-BE32-E72D297353CC}">
              <c16:uniqueId val="{00000003-E3A5-47DF-9102-38C5EEE6193D}"/>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Sheet1!$B$7:$I$7</c:f>
              <c:numCache>
                <c:formatCode>0.0</c:formatCode>
                <c:ptCount val="8"/>
                <c:pt idx="0">
                  <c:v>-1.6733544808698553</c:v>
                </c:pt>
                <c:pt idx="1">
                  <c:v>-1.2781610300461024</c:v>
                </c:pt>
                <c:pt idx="2">
                  <c:v>-0.65991444315994219</c:v>
                </c:pt>
                <c:pt idx="3">
                  <c:v>0.56564095127995062</c:v>
                </c:pt>
                <c:pt idx="4">
                  <c:v>0.87202979988992513</c:v>
                </c:pt>
                <c:pt idx="5">
                  <c:v>0.94273491879991833</c:v>
                </c:pt>
                <c:pt idx="6">
                  <c:v>0.88381398637492348</c:v>
                </c:pt>
                <c:pt idx="7">
                  <c:v>0.83667724043492686</c:v>
                </c:pt>
              </c:numCache>
            </c:numRef>
          </c:val>
          <c:extLst>
            <c:ext xmlns:c16="http://schemas.microsoft.com/office/drawing/2014/chart" uri="{C3380CC4-5D6E-409C-BE32-E72D297353CC}">
              <c16:uniqueId val="{00000004-E3A5-47DF-9102-38C5EEE6193D}"/>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Sheet1!$B$8:$I$8</c:f>
              <c:numCache>
                <c:formatCode>0.0</c:formatCode>
                <c:ptCount val="8"/>
                <c:pt idx="0">
                  <c:v>1.3688935629709587</c:v>
                </c:pt>
                <c:pt idx="1">
                  <c:v>1.3968547039418233</c:v>
                </c:pt>
                <c:pt idx="2">
                  <c:v>1.54175154475461</c:v>
                </c:pt>
                <c:pt idx="3">
                  <c:v>1.6449052101880119</c:v>
                </c:pt>
                <c:pt idx="4">
                  <c:v>1.4875347082827055</c:v>
                </c:pt>
                <c:pt idx="5">
                  <c:v>0.74377942743653946</c:v>
                </c:pt>
                <c:pt idx="6">
                  <c:v>1.2011257021743926</c:v>
                </c:pt>
                <c:pt idx="7">
                  <c:v>0.8295307308268427</c:v>
                </c:pt>
              </c:numCache>
            </c:numRef>
          </c:val>
          <c:extLst>
            <c:ext xmlns:c16="http://schemas.microsoft.com/office/drawing/2014/chart" uri="{C3380CC4-5D6E-409C-BE32-E72D297353CC}">
              <c16:uniqueId val="{00000005-E3A5-47DF-9102-38C5EEE6193D}"/>
            </c:ext>
          </c:extLst>
        </c:ser>
        <c:dLbls>
          <c:showLegendKey val="0"/>
          <c:showVal val="0"/>
          <c:showCatName val="0"/>
          <c:showSerName val="0"/>
          <c:showPercent val="0"/>
          <c:showBubbleSize val="0"/>
        </c:dLbls>
        <c:gapWidth val="150"/>
        <c:overlap val="100"/>
        <c:axId val="315673984"/>
        <c:axId val="315675776"/>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4.5370159499293398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A5-47DF-9102-38C5EEE6193D}"/>
                </c:ext>
              </c:extLst>
            </c:dLbl>
            <c:dLbl>
              <c:idx val="1"/>
              <c:layout>
                <c:manualLayout>
                  <c:x val="-6.5948879466989699E-2"/>
                  <c:y val="-5.208358171818384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A5-47DF-9102-38C5EEE6193D}"/>
                </c:ext>
              </c:extLst>
            </c:dLbl>
            <c:dLbl>
              <c:idx val="2"/>
              <c:layout>
                <c:manualLayout>
                  <c:x val="-5.7435897435897512E-2"/>
                  <c:y val="-5.03688191049851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A5-47DF-9102-38C5EEE6193D}"/>
                </c:ext>
              </c:extLst>
            </c:dLbl>
            <c:dLbl>
              <c:idx val="3"/>
              <c:layout>
                <c:manualLayout>
                  <c:x val="-5.7699818291944274E-2"/>
                  <c:y val="-4.2529056078641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A5-47DF-9102-38C5EEE6193D}"/>
                </c:ext>
              </c:extLst>
            </c:dLbl>
            <c:dLbl>
              <c:idx val="4"/>
              <c:layout>
                <c:manualLayout>
                  <c:x val="-5.7457863920856195E-2"/>
                  <c:y val="-4.322485574456421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A5-47DF-9102-38C5EEE6193D}"/>
                </c:ext>
              </c:extLst>
            </c:dLbl>
            <c:dLbl>
              <c:idx val="5"/>
              <c:layout>
                <c:manualLayout>
                  <c:x val="-6.153846153846154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A5-47DF-9102-38C5EEE6193D}"/>
                </c:ext>
              </c:extLst>
            </c:dLbl>
            <c:dLbl>
              <c:idx val="6"/>
              <c:layout>
                <c:manualLayout>
                  <c:x val="-4.9230769230769231E-2"/>
                  <c:y val="-4.760487950014876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3A5-47DF-9102-38C5EEE6193D}"/>
                </c:ext>
              </c:extLst>
            </c:dLbl>
            <c:dLbl>
              <c:idx val="7"/>
              <c:layout>
                <c:manualLayout>
                  <c:x val="-3.28205128205128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A5-47DF-9102-38C5EEE6193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Sheet1!$B$2:$I$2</c:f>
              <c:numCache>
                <c:formatCode>0.0</c:formatCode>
                <c:ptCount val="8"/>
                <c:pt idx="0">
                  <c:v>-8.4097295421886855</c:v>
                </c:pt>
                <c:pt idx="1">
                  <c:v>-7.2873162388730464</c:v>
                </c:pt>
                <c:pt idx="2">
                  <c:v>-3.4614825571698304</c:v>
                </c:pt>
                <c:pt idx="3">
                  <c:v>2.6757228183570447</c:v>
                </c:pt>
                <c:pt idx="4">
                  <c:v>4.4078401781489021</c:v>
                </c:pt>
                <c:pt idx="5">
                  <c:v>5.126609590810375</c:v>
                </c:pt>
                <c:pt idx="6">
                  <c:v>5.3110243717503067</c:v>
                </c:pt>
                <c:pt idx="7">
                  <c:v>4.9000000000000057</c:v>
                </c:pt>
              </c:numCache>
            </c:numRef>
          </c:val>
          <c:smooth val="0"/>
          <c:extLst>
            <c:ext xmlns:c16="http://schemas.microsoft.com/office/drawing/2014/chart" uri="{C3380CC4-5D6E-409C-BE32-E72D297353CC}">
              <c16:uniqueId val="{0000000E-E3A5-47DF-9102-38C5EEE6193D}"/>
            </c:ext>
          </c:extLst>
        </c:ser>
        <c:dLbls>
          <c:showLegendKey val="0"/>
          <c:showVal val="0"/>
          <c:showCatName val="0"/>
          <c:showSerName val="0"/>
          <c:showPercent val="0"/>
          <c:showBubbleSize val="0"/>
        </c:dLbls>
        <c:marker val="1"/>
        <c:smooth val="0"/>
        <c:axId val="315673984"/>
        <c:axId val="315675776"/>
      </c:lineChart>
      <c:catAx>
        <c:axId val="31567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675776"/>
        <c:crosses val="autoZero"/>
        <c:auto val="1"/>
        <c:lblAlgn val="ctr"/>
        <c:lblOffset val="100"/>
        <c:noMultiLvlLbl val="0"/>
      </c:catAx>
      <c:valAx>
        <c:axId val="315675776"/>
        <c:scaling>
          <c:orientation val="minMax"/>
          <c:max val="6"/>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673984"/>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-2.3716259878127546</c:v>
                </c:pt>
                <c:pt idx="1">
                  <c:v>-1.119934494244911</c:v>
                </c:pt>
                <c:pt idx="2">
                  <c:v>0.8344609957118948</c:v>
                </c:pt>
                <c:pt idx="3">
                  <c:v>3.7111554809292202</c:v>
                </c:pt>
                <c:pt idx="4">
                  <c:v>1.7348004910852575</c:v>
                </c:pt>
                <c:pt idx="5">
                  <c:v>0.28547349853301623</c:v>
                </c:pt>
                <c:pt idx="6">
                  <c:v>0.37331149808163805</c:v>
                </c:pt>
                <c:pt idx="7">
                  <c:v>-1.141893994132068</c:v>
                </c:pt>
              </c:numCache>
            </c:numRef>
          </c:val>
          <c:extLst>
            <c:ext xmlns:c16="http://schemas.microsoft.com/office/drawing/2014/chart" uri="{C3380CC4-5D6E-409C-BE32-E72D297353CC}">
              <c16:uniqueId val="{00000000-FA8F-4A8F-BBC6-0419C97C98BA}"/>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6.1067394701060013E-2</c:v>
                </c:pt>
                <c:pt idx="1">
                  <c:v>8.3967667713957375E-2</c:v>
                </c:pt>
                <c:pt idx="2">
                  <c:v>0.82440982846431288</c:v>
                </c:pt>
                <c:pt idx="3">
                  <c:v>6.6945131441037269</c:v>
                </c:pt>
                <c:pt idx="4">
                  <c:v>3.8167121688162643E-2</c:v>
                </c:pt>
                <c:pt idx="5">
                  <c:v>9.9234516389222649E-2</c:v>
                </c:pt>
                <c:pt idx="6">
                  <c:v>0.16793533542791586</c:v>
                </c:pt>
                <c:pt idx="7">
                  <c:v>0.17556875976554795</c:v>
                </c:pt>
              </c:numCache>
            </c:numRef>
          </c:val>
          <c:extLst>
            <c:ext xmlns:c16="http://schemas.microsoft.com/office/drawing/2014/chart" uri="{C3380CC4-5D6E-409C-BE32-E72D297353CC}">
              <c16:uniqueId val="{00000001-FA8F-4A8F-BBC6-0419C97C98BA}"/>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-5.7947100311780932</c:v>
                </c:pt>
                <c:pt idx="1">
                  <c:v>-5.7019946706792428</c:v>
                </c:pt>
                <c:pt idx="2">
                  <c:v>0.46357680249424749</c:v>
                </c:pt>
                <c:pt idx="3">
                  <c:v>7.1854404386608364</c:v>
                </c:pt>
                <c:pt idx="4">
                  <c:v>8.1125940436493309</c:v>
                </c:pt>
                <c:pt idx="5">
                  <c:v>5.6556369904298203</c:v>
                </c:pt>
                <c:pt idx="6">
                  <c:v>6.6755059559171661</c:v>
                </c:pt>
                <c:pt idx="7">
                  <c:v>5.0066294669378717</c:v>
                </c:pt>
              </c:numCache>
            </c:numRef>
          </c:val>
          <c:extLst>
            <c:ext xmlns:c16="http://schemas.microsoft.com/office/drawing/2014/chart" uri="{C3380CC4-5D6E-409C-BE32-E72D297353CC}">
              <c16:uniqueId val="{00000002-FA8F-4A8F-BBC6-0419C97C98BA}"/>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-1.6733544808698553</c:v>
                </c:pt>
                <c:pt idx="1">
                  <c:v>-0.91916654582992008</c:v>
                </c:pt>
                <c:pt idx="2">
                  <c:v>0.54207257830995237</c:v>
                </c:pt>
                <c:pt idx="3">
                  <c:v>5.6328411398295133</c:v>
                </c:pt>
                <c:pt idx="4">
                  <c:v>2.0740168213598196</c:v>
                </c:pt>
                <c:pt idx="5">
                  <c:v>1.2137712079548946</c:v>
                </c:pt>
                <c:pt idx="6">
                  <c:v>0.61277769721994724</c:v>
                </c:pt>
                <c:pt idx="7">
                  <c:v>0.58920932424994898</c:v>
                </c:pt>
              </c:numCache>
            </c:numRef>
          </c:val>
          <c:extLst>
            <c:ext xmlns:c16="http://schemas.microsoft.com/office/drawing/2014/chart" uri="{C3380CC4-5D6E-409C-BE32-E72D297353CC}">
              <c16:uniqueId val="{00000003-FA8F-4A8F-BBC6-0419C97C98BA}"/>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Sheet1!$B$7:$I$7</c:f>
              <c:numCache>
                <c:formatCode>0.0</c:formatCode>
                <c:ptCount val="8"/>
                <c:pt idx="0">
                  <c:v>1.3688935629709587</c:v>
                </c:pt>
                <c:pt idx="1">
                  <c:v>1.3938206603621381</c:v>
                </c:pt>
                <c:pt idx="2">
                  <c:v>1.2708728745048865</c:v>
                </c:pt>
                <c:pt idx="3">
                  <c:v>0.13219978247372666</c:v>
                </c:pt>
                <c:pt idx="4">
                  <c:v>-0.87305600132012273</c:v>
                </c:pt>
                <c:pt idx="5">
                  <c:v>0.906569542554994</c:v>
                </c:pt>
                <c:pt idx="6">
                  <c:v>-1.6392533273128498</c:v>
                </c:pt>
                <c:pt idx="7">
                  <c:v>-2.3295135568213032</c:v>
                </c:pt>
              </c:numCache>
            </c:numRef>
          </c:val>
          <c:extLst>
            <c:ext xmlns:c16="http://schemas.microsoft.com/office/drawing/2014/chart" uri="{C3380CC4-5D6E-409C-BE32-E72D297353CC}">
              <c16:uniqueId val="{00000004-FA8F-4A8F-BBC6-0419C97C98BA}"/>
            </c:ext>
          </c:extLst>
        </c:ser>
        <c:dLbls>
          <c:showLegendKey val="0"/>
          <c:showVal val="0"/>
          <c:showCatName val="0"/>
          <c:showSerName val="0"/>
          <c:showPercent val="0"/>
          <c:showBubbleSize val="0"/>
        </c:dLbls>
        <c:gapWidth val="219"/>
        <c:overlap val="100"/>
        <c:axId val="319237120"/>
        <c:axId val="319361792"/>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8F-4A8F-BBC6-0419C97C98BA}"/>
                </c:ext>
              </c:extLst>
            </c:dLbl>
            <c:dLbl>
              <c:idx val="1"/>
              <c:layout>
                <c:manualLayout>
                  <c:x val="-6.6155973405532517E-2"/>
                  <c:y val="-4.560037774856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8F-4A8F-BBC6-0419C97C98BA}"/>
                </c:ext>
              </c:extLst>
            </c:dLbl>
            <c:dLbl>
              <c:idx val="2"/>
              <c:layout>
                <c:manualLayout>
                  <c:x val="-7.8611325003932864E-2"/>
                  <c:y val="-4.5161372656618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8F-4A8F-BBC6-0419C97C98BA}"/>
                </c:ext>
              </c:extLst>
            </c:dLbl>
            <c:dLbl>
              <c:idx val="3"/>
              <c:layout>
                <c:manualLayout>
                  <c:x val="-7.8692797469716913E-2"/>
                  <c:y val="-4.420372899092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8F-4A8F-BBC6-0419C97C98BA}"/>
                </c:ext>
              </c:extLst>
            </c:dLbl>
            <c:dLbl>
              <c:idx val="4"/>
              <c:layout>
                <c:manualLayout>
                  <c:x val="-5.3374731943995959E-2"/>
                  <c:y val="-5.716969333452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8F-4A8F-BBC6-0419C97C98BA}"/>
                </c:ext>
              </c:extLst>
            </c:dLbl>
            <c:dLbl>
              <c:idx val="5"/>
              <c:layout>
                <c:manualLayout>
                  <c:x val="-2.5236593059937064E-2"/>
                  <c:y val="-3.8897893030794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8F-4A8F-BBC6-0419C97C98BA}"/>
                </c:ext>
              </c:extLst>
            </c:dLbl>
            <c:dLbl>
              <c:idx val="6"/>
              <c:layout>
                <c:manualLayout>
                  <c:x val="-3.4091955859284047E-2"/>
                  <c:y val="-5.186365148658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A8F-4A8F-BBC6-0419C97C98BA}"/>
                </c:ext>
              </c:extLst>
            </c:dLbl>
            <c:dLbl>
              <c:idx val="7"/>
              <c:layout>
                <c:manualLayout>
                  <c:x val="0"/>
                  <c:y val="-4.4814340588988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A8F-4A8F-BBC6-0419C97C98BA}"/>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-8.4097295421886855</c:v>
                </c:pt>
                <c:pt idx="1">
                  <c:v>-6.2633073826779793</c:v>
                </c:pt>
                <c:pt idx="2">
                  <c:v>3.9353930794852943</c:v>
                </c:pt>
                <c:pt idx="3">
                  <c:v>23.356149985997021</c:v>
                </c:pt>
                <c:pt idx="4">
                  <c:v>11.086522476462449</c:v>
                </c:pt>
                <c:pt idx="5">
                  <c:v>8.1606857558619481</c:v>
                </c:pt>
                <c:pt idx="6">
                  <c:v>6.1902771593338173</c:v>
                </c:pt>
                <c:pt idx="7">
                  <c:v>2.2999999999999972</c:v>
                </c:pt>
              </c:numCache>
            </c:numRef>
          </c:val>
          <c:smooth val="0"/>
          <c:extLst>
            <c:ext xmlns:c16="http://schemas.microsoft.com/office/drawing/2014/chart" uri="{C3380CC4-5D6E-409C-BE32-E72D297353CC}">
              <c16:uniqueId val="{0000000D-FA8F-4A8F-BBC6-0419C97C98BA}"/>
            </c:ext>
          </c:extLst>
        </c:ser>
        <c:dLbls>
          <c:showLegendKey val="0"/>
          <c:showVal val="0"/>
          <c:showCatName val="0"/>
          <c:showSerName val="0"/>
          <c:showPercent val="0"/>
          <c:showBubbleSize val="0"/>
        </c:dLbls>
        <c:marker val="1"/>
        <c:smooth val="0"/>
        <c:axId val="319237120"/>
        <c:axId val="319361792"/>
      </c:lineChart>
      <c:catAx>
        <c:axId val="319237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9361792"/>
        <c:crosses val="autoZero"/>
        <c:auto val="1"/>
        <c:lblAlgn val="ctr"/>
        <c:lblOffset val="100"/>
        <c:noMultiLvlLbl val="0"/>
      </c:catAx>
      <c:valAx>
        <c:axId val="319361792"/>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9237120"/>
        <c:crosses val="autoZero"/>
        <c:crossBetween val="between"/>
      </c:valAx>
      <c:spPr>
        <a:noFill/>
        <a:ln>
          <a:noFill/>
        </a:ln>
        <a:effectLst/>
      </c:spPr>
    </c:plotArea>
    <c:legend>
      <c:legendPos val="b"/>
      <c:layout>
        <c:manualLayout>
          <c:xMode val="edge"/>
          <c:yMode val="edge"/>
          <c:x val="3.9212432830754193E-2"/>
          <c:y val="0.77158400988919762"/>
          <c:w val="0.68892760086405125"/>
          <c:h val="0.228416022260981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2020-2021թթ</a:t>
            </a:r>
            <a:r>
              <a:rPr lang="hy-AM" sz="900" i="1" baseline="0">
                <a:latin typeface="GHEA Grapalat" panose="02000506050000020003" pitchFamily="50" charset="0"/>
              </a:rPr>
              <a:t>.</a:t>
            </a:r>
            <a:endParaRPr lang="en-US" sz="900" i="1">
              <a:latin typeface="GHEA Grapalat" panose="02000506050000020003" pitchFamily="50" charset="0"/>
            </a:endParaRPr>
          </a:p>
        </c:rich>
      </c:tx>
      <c:layout>
        <c:manualLayout>
          <c:xMode val="edge"/>
          <c:yMode val="edge"/>
          <c:x val="0.19202489787978994"/>
          <c:y val="0"/>
        </c:manualLayout>
      </c:layout>
      <c:overlay val="0"/>
    </c:title>
    <c:autoTitleDeleted val="0"/>
    <c:plotArea>
      <c:layout>
        <c:manualLayout>
          <c:layoutTarget val="inner"/>
          <c:xMode val="edge"/>
          <c:yMode val="edge"/>
          <c:x val="0.12935655460884934"/>
          <c:y val="0.17024981523891206"/>
          <c:w val="0.83342569824358115"/>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Sheet1!$A$2:$A$575</c:f>
              <c:strCache>
                <c:ptCount val="54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strCache>
            </c:strRef>
          </c:cat>
          <c:val>
            <c:numRef>
              <c:f>Sheet1!$C$2:$C$575</c:f>
              <c:numCache>
                <c:formatCode>General</c:formatCode>
                <c:ptCount val="57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numCache>
            </c:numRef>
          </c:val>
          <c:extLst>
            <c:ext xmlns:c16="http://schemas.microsoft.com/office/drawing/2014/chart" uri="{C3380CC4-5D6E-409C-BE32-E72D297353CC}">
              <c16:uniqueId val="{00000000-9007-495E-9C49-C2320C95D97B}"/>
            </c:ext>
          </c:extLst>
        </c:ser>
        <c:dLbls>
          <c:showLegendKey val="0"/>
          <c:showVal val="0"/>
          <c:showCatName val="0"/>
          <c:showSerName val="0"/>
          <c:showPercent val="0"/>
          <c:showBubbleSize val="0"/>
        </c:dLbls>
        <c:gapWidth val="150"/>
        <c:axId val="319403136"/>
        <c:axId val="316849536"/>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Sheet1!$A$2:$A$575</c:f>
              <c:strCache>
                <c:ptCount val="54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strCache>
            </c:strRef>
          </c:cat>
          <c:val>
            <c:numRef>
              <c:f>Sheet1!$B$2:$B$575</c:f>
              <c:numCache>
                <c:formatCode>General</c:formatCode>
                <c:ptCount val="57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numCache>
            </c:numRef>
          </c:val>
          <c:smooth val="0"/>
          <c:extLst>
            <c:ext xmlns:c16="http://schemas.microsoft.com/office/drawing/2014/chart" uri="{C3380CC4-5D6E-409C-BE32-E72D297353CC}">
              <c16:uniqueId val="{00000001-9007-495E-9C49-C2320C95D97B}"/>
            </c:ext>
          </c:extLst>
        </c:ser>
        <c:dLbls>
          <c:showLegendKey val="0"/>
          <c:showVal val="0"/>
          <c:showCatName val="0"/>
          <c:showSerName val="0"/>
          <c:showPercent val="0"/>
          <c:showBubbleSize val="0"/>
        </c:dLbls>
        <c:marker val="1"/>
        <c:smooth val="0"/>
        <c:axId val="319414656"/>
        <c:axId val="319404672"/>
      </c:lineChart>
      <c:valAx>
        <c:axId val="316849536"/>
        <c:scaling>
          <c:orientation val="minMax"/>
        </c:scaling>
        <c:delete val="0"/>
        <c:axPos val="r"/>
        <c:numFmt formatCode="General" sourceLinked="1"/>
        <c:majorTickMark val="out"/>
        <c:minorTickMark val="none"/>
        <c:tickLblPos val="nextTo"/>
        <c:txPr>
          <a:bodyPr/>
          <a:lstStyle/>
          <a:p>
            <a:pPr>
              <a:defRPr sz="750" baseline="0">
                <a:latin typeface="GHEA Grapalat" pitchFamily="50" charset="0"/>
              </a:defRPr>
            </a:pPr>
            <a:endParaRPr lang="en-US"/>
          </a:p>
        </c:txPr>
        <c:crossAx val="319403136"/>
        <c:crosses val="max"/>
        <c:crossBetween val="between"/>
        <c:majorUnit val="500"/>
      </c:valAx>
      <c:catAx>
        <c:axId val="319403136"/>
        <c:scaling>
          <c:orientation val="minMax"/>
        </c:scaling>
        <c:delete val="0"/>
        <c:axPos val="b"/>
        <c:numFmt formatCode="General" sourceLinked="1"/>
        <c:majorTickMark val="out"/>
        <c:minorTickMark val="none"/>
        <c:tickLblPos val="nextTo"/>
        <c:txPr>
          <a:bodyPr/>
          <a:lstStyle/>
          <a:p>
            <a:pPr>
              <a:defRPr sz="600" baseline="0">
                <a:latin typeface="GHEA Grapalat" pitchFamily="50" charset="0"/>
              </a:defRPr>
            </a:pPr>
            <a:endParaRPr lang="en-US"/>
          </a:p>
        </c:txPr>
        <c:crossAx val="316849536"/>
        <c:crosses val="autoZero"/>
        <c:auto val="1"/>
        <c:lblAlgn val="ctr"/>
        <c:lblOffset val="100"/>
        <c:noMultiLvlLbl val="0"/>
      </c:catAx>
      <c:valAx>
        <c:axId val="319404672"/>
        <c:scaling>
          <c:orientation val="minMax"/>
        </c:scaling>
        <c:delete val="0"/>
        <c:axPos val="l"/>
        <c:numFmt formatCode="General" sourceLinked="1"/>
        <c:majorTickMark val="out"/>
        <c:minorTickMark val="none"/>
        <c:tickLblPos val="nextTo"/>
        <c:txPr>
          <a:bodyPr/>
          <a:lstStyle/>
          <a:p>
            <a:pPr>
              <a:defRPr sz="750" baseline="0">
                <a:latin typeface="GHEA Grapalat" pitchFamily="50" charset="0"/>
              </a:defRPr>
            </a:pPr>
            <a:endParaRPr lang="en-US"/>
          </a:p>
        </c:txPr>
        <c:crossAx val="319414656"/>
        <c:crosses val="autoZero"/>
        <c:crossBetween val="between"/>
      </c:valAx>
      <c:catAx>
        <c:axId val="319414656"/>
        <c:scaling>
          <c:orientation val="minMax"/>
        </c:scaling>
        <c:delete val="1"/>
        <c:axPos val="t"/>
        <c:numFmt formatCode="General" sourceLinked="1"/>
        <c:majorTickMark val="out"/>
        <c:minorTickMark val="none"/>
        <c:tickLblPos val="nextTo"/>
        <c:crossAx val="319404672"/>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ysClr val="window" lastClr="FFFFFF">
          <a:lumMod val="85000"/>
        </a:sysClr>
      </a:solidFill>
      <a:round/>
    </a:ln>
    <a:effectLst/>
  </c:spPr>
  <c:txPr>
    <a:bodyPr/>
    <a:lstStyle/>
    <a:p>
      <a:pPr>
        <a:defRPr sz="10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manualLayout>
          <c:xMode val="edge"/>
          <c:yMode val="edge"/>
          <c:x val="0.20475537141784531"/>
          <c:y val="1.18518518518518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34F2-4B1F-BC5E-AC86434A5AF7}"/>
              </c:ext>
            </c:extLst>
          </c:dPt>
          <c:dPt>
            <c:idx val="1"/>
            <c:invertIfNegative val="0"/>
            <c:bubble3D val="0"/>
            <c:spPr>
              <a:solidFill>
                <a:srgbClr val="00B050"/>
              </a:solidFill>
              <a:ln>
                <a:noFill/>
              </a:ln>
              <a:effectLst/>
            </c:spPr>
            <c:extLst>
              <c:ext xmlns:c16="http://schemas.microsoft.com/office/drawing/2014/chart" uri="{C3380CC4-5D6E-409C-BE32-E72D297353CC}">
                <c16:uniqueId val="{00000003-34F2-4B1F-BC5E-AC86434A5AF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c:ext xmlns:c16="http://schemas.microsoft.com/office/drawing/2014/chart" uri="{C3380CC4-5D6E-409C-BE32-E72D297353CC}">
              <c16:uniqueId val="{00000004-34F2-4B1F-BC5E-AC86434A5AF7}"/>
            </c:ext>
          </c:extLst>
        </c:ser>
        <c:dLbls>
          <c:showLegendKey val="0"/>
          <c:showVal val="0"/>
          <c:showCatName val="0"/>
          <c:showSerName val="0"/>
          <c:showPercent val="0"/>
          <c:showBubbleSize val="0"/>
        </c:dLbls>
        <c:gapWidth val="219"/>
        <c:overlap val="-27"/>
        <c:axId val="320158720"/>
        <c:axId val="320176896"/>
      </c:barChart>
      <c:catAx>
        <c:axId val="3201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320176896"/>
        <c:crosses val="autoZero"/>
        <c:auto val="1"/>
        <c:lblAlgn val="ctr"/>
        <c:lblOffset val="100"/>
        <c:noMultiLvlLbl val="0"/>
      </c:catAx>
      <c:valAx>
        <c:axId val="3201768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320158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solidFill>
        <a:sysClr val="window" lastClr="FFFFFF">
          <a:lumMod val="85000"/>
        </a:sysClr>
      </a:solidFill>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Sheet1!$B$1:$X$1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Sheet1!$B$3:$X$3</c:f>
              <c:numCache>
                <c:formatCode>_(* #,##0_);_(* \(#,##0\);_(* "-"??_);_(@_)</c:formatCode>
                <c:ptCount val="23"/>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6181.6640999999981</c:v>
                </c:pt>
                <c:pt idx="21">
                  <c:v>7031.1817616081471</c:v>
                </c:pt>
                <c:pt idx="22">
                  <c:v>7869.4392512270688</c:v>
                </c:pt>
              </c:numCache>
            </c:numRef>
          </c:val>
          <c:extLst>
            <c:ext xmlns:c16="http://schemas.microsoft.com/office/drawing/2014/chart" uri="{C3380CC4-5D6E-409C-BE32-E72D297353CC}">
              <c16:uniqueId val="{00000000-B180-4119-B1DE-38E44E4F9187}"/>
            </c:ext>
          </c:extLst>
        </c:ser>
        <c:dLbls>
          <c:showLegendKey val="0"/>
          <c:showVal val="0"/>
          <c:showCatName val="0"/>
          <c:showSerName val="0"/>
          <c:showPercent val="0"/>
          <c:showBubbleSize val="0"/>
        </c:dLbls>
        <c:gapWidth val="219"/>
        <c:axId val="320247296"/>
        <c:axId val="320248832"/>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Sheet1!$B$1:$X$1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Sheet1!$B$2:$X$2</c:f>
              <c:numCache>
                <c:formatCode>0.0</c:formatCode>
                <c:ptCount val="23"/>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5.2000000000000028</c:v>
                </c:pt>
                <c:pt idx="19">
                  <c:v>7.5999999999999943</c:v>
                </c:pt>
                <c:pt idx="20">
                  <c:v>-7.4000000000000057</c:v>
                </c:pt>
                <c:pt idx="21">
                  <c:v>6.5</c:v>
                </c:pt>
                <c:pt idx="22">
                  <c:v>7</c:v>
                </c:pt>
              </c:numCache>
            </c:numRef>
          </c:val>
          <c:smooth val="0"/>
          <c:extLst>
            <c:ext xmlns:c16="http://schemas.microsoft.com/office/drawing/2014/chart" uri="{C3380CC4-5D6E-409C-BE32-E72D297353CC}">
              <c16:uniqueId val="{00000001-B180-4119-B1DE-38E44E4F9187}"/>
            </c:ext>
          </c:extLst>
        </c:ser>
        <c:dLbls>
          <c:showLegendKey val="0"/>
          <c:showVal val="0"/>
          <c:showCatName val="0"/>
          <c:showSerName val="0"/>
          <c:showPercent val="0"/>
          <c:showBubbleSize val="0"/>
        </c:dLbls>
        <c:marker val="1"/>
        <c:smooth val="0"/>
        <c:axId val="320256256"/>
        <c:axId val="320254720"/>
      </c:lineChart>
      <c:catAx>
        <c:axId val="3202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48832"/>
        <c:crosses val="autoZero"/>
        <c:auto val="1"/>
        <c:lblAlgn val="ctr"/>
        <c:lblOffset val="100"/>
        <c:noMultiLvlLbl val="0"/>
      </c:catAx>
      <c:valAx>
        <c:axId val="320248832"/>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47296"/>
        <c:crosses val="autoZero"/>
        <c:crossBetween val="between"/>
      </c:valAx>
      <c:valAx>
        <c:axId val="3202547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56256"/>
        <c:crosses val="max"/>
        <c:crossBetween val="between"/>
      </c:valAx>
      <c:catAx>
        <c:axId val="320256256"/>
        <c:scaling>
          <c:orientation val="minMax"/>
        </c:scaling>
        <c:delete val="1"/>
        <c:axPos val="b"/>
        <c:numFmt formatCode="General" sourceLinked="1"/>
        <c:majorTickMark val="out"/>
        <c:minorTickMark val="none"/>
        <c:tickLblPos val="none"/>
        <c:crossAx val="320254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1-A2D7-40ED-938A-2C17AA5684BF}"/>
              </c:ext>
            </c:extLst>
          </c:dPt>
          <c:dPt>
            <c:idx val="4"/>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3-A2D7-40ED-938A-2C17AA5684BF}"/>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5-A2D7-40ED-938A-2C17AA5684BF}"/>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6-A2D7-40ED-938A-2C17AA5684BF}"/>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A2D7-40ED-938A-2C17AA5684BF}"/>
                </c:ext>
              </c:extLst>
            </c:dLbl>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A2D7-40ED-938A-2C17AA5684B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0.0</c:formatCode>
                <c:ptCount val="8"/>
                <c:pt idx="0" formatCode="General">
                  <c:v>-14.1</c:v>
                </c:pt>
                <c:pt idx="1">
                  <c:v>2.2151091894039183</c:v>
                </c:pt>
                <c:pt idx="3" formatCode="General">
                  <c:v>0.2</c:v>
                </c:pt>
                <c:pt idx="4" formatCode="General">
                  <c:v>7.5</c:v>
                </c:pt>
                <c:pt idx="6" formatCode="General">
                  <c:v>-7.4</c:v>
                </c:pt>
                <c:pt idx="7">
                  <c:v>6.5</c:v>
                </c:pt>
              </c:numCache>
            </c:numRef>
          </c:val>
          <c:extLst>
            <c:ext xmlns:c16="http://schemas.microsoft.com/office/drawing/2014/chart" uri="{C3380CC4-5D6E-409C-BE32-E72D297353CC}">
              <c16:uniqueId val="{00000009-A2D7-40ED-938A-2C17AA5684BF}"/>
            </c:ext>
          </c:extLst>
        </c:ser>
        <c:dLbls>
          <c:showLegendKey val="0"/>
          <c:showVal val="0"/>
          <c:showCatName val="0"/>
          <c:showSerName val="0"/>
          <c:showPercent val="0"/>
          <c:showBubbleSize val="0"/>
        </c:dLbls>
        <c:gapWidth val="219"/>
        <c:overlap val="-27"/>
        <c:axId val="321058304"/>
        <c:axId val="321059840"/>
      </c:barChart>
      <c:catAx>
        <c:axId val="3210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59840"/>
        <c:crosses val="autoZero"/>
        <c:auto val="1"/>
        <c:lblAlgn val="ctr"/>
        <c:lblOffset val="100"/>
        <c:noMultiLvlLbl val="0"/>
      </c:catAx>
      <c:valAx>
        <c:axId val="321059840"/>
        <c:scaling>
          <c:orientation val="minMax"/>
          <c:max val="8"/>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5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234719560402"/>
          <c:y val="7.0512820512820512E-2"/>
          <c:w val="0.71293878587757176"/>
          <c:h val="0.63414496264890208"/>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Sheet1!$A$2:$A$7</c:f>
              <c:numCache>
                <c:formatCode>General</c:formatCode>
                <c:ptCount val="5"/>
                <c:pt idx="0">
                  <c:v>2018</c:v>
                </c:pt>
                <c:pt idx="1">
                  <c:v>2019</c:v>
                </c:pt>
                <c:pt idx="2">
                  <c:v>2020</c:v>
                </c:pt>
                <c:pt idx="3">
                  <c:v>2021</c:v>
                </c:pt>
                <c:pt idx="4">
                  <c:v>2022</c:v>
                </c:pt>
              </c:numCache>
            </c:numRef>
          </c:cat>
          <c:val>
            <c:numRef>
              <c:f>Sheet1!$C$2:$C$7</c:f>
              <c:numCache>
                <c:formatCode>0</c:formatCode>
                <c:ptCount val="5"/>
                <c:pt idx="0">
                  <c:v>6529.798333333335</c:v>
                </c:pt>
                <c:pt idx="1">
                  <c:v>6010.1449999999995</c:v>
                </c:pt>
                <c:pt idx="2">
                  <c:v>6173.770833333333</c:v>
                </c:pt>
                <c:pt idx="3">
                  <c:v>9394.7999999999993</c:v>
                </c:pt>
                <c:pt idx="4">
                  <c:v>9531.4</c:v>
                </c:pt>
              </c:numCache>
            </c:numRef>
          </c:val>
          <c:smooth val="0"/>
          <c:extLst>
            <c:ext xmlns:c16="http://schemas.microsoft.com/office/drawing/2014/chart" uri="{C3380CC4-5D6E-409C-BE32-E72D297353CC}">
              <c16:uniqueId val="{00000000-D91A-4E34-93D2-B95A725293A3}"/>
            </c:ext>
          </c:extLst>
        </c:ser>
        <c:dLbls>
          <c:showLegendKey val="0"/>
          <c:showVal val="0"/>
          <c:showCatName val="0"/>
          <c:showSerName val="0"/>
          <c:showPercent val="0"/>
          <c:showBubbleSize val="0"/>
        </c:dLbls>
        <c:marker val="1"/>
        <c:smooth val="0"/>
        <c:axId val="295581184"/>
        <c:axId val="295583104"/>
      </c:lineChart>
      <c:lineChart>
        <c:grouping val="standard"/>
        <c:varyColors val="0"/>
        <c:ser>
          <c:idx val="0"/>
          <c:order val="0"/>
          <c:tx>
            <c:strRef>
              <c:f>Sheet1!$B$1</c:f>
              <c:strCache>
                <c:ptCount val="1"/>
                <c:pt idx="0">
                  <c:v>Նավթ(աջ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5"/>
                <c:pt idx="0">
                  <c:v>2018</c:v>
                </c:pt>
                <c:pt idx="1">
                  <c:v>2019</c:v>
                </c:pt>
                <c:pt idx="2">
                  <c:v>2020</c:v>
                </c:pt>
                <c:pt idx="3">
                  <c:v>2021</c:v>
                </c:pt>
                <c:pt idx="4">
                  <c:v>2022</c:v>
                </c:pt>
              </c:numCache>
            </c:numRef>
          </c:cat>
          <c:val>
            <c:numRef>
              <c:f>Sheet1!$B$2:$B$7</c:f>
              <c:numCache>
                <c:formatCode>0</c:formatCode>
                <c:ptCount val="5"/>
                <c:pt idx="0">
                  <c:v>71.071666666666701</c:v>
                </c:pt>
                <c:pt idx="1">
                  <c:v>64.031666666666695</c:v>
                </c:pt>
                <c:pt idx="2">
                  <c:v>42.3</c:v>
                </c:pt>
                <c:pt idx="3">
                  <c:v>68.7</c:v>
                </c:pt>
                <c:pt idx="4">
                  <c:v>66.7</c:v>
                </c:pt>
              </c:numCache>
            </c:numRef>
          </c:val>
          <c:smooth val="0"/>
          <c:extLst>
            <c:ext xmlns:c16="http://schemas.microsoft.com/office/drawing/2014/chart" uri="{C3380CC4-5D6E-409C-BE32-E72D297353CC}">
              <c16:uniqueId val="{00000001-D91A-4E34-93D2-B95A725293A3}"/>
            </c:ext>
          </c:extLst>
        </c:ser>
        <c:dLbls>
          <c:showLegendKey val="0"/>
          <c:showVal val="0"/>
          <c:showCatName val="0"/>
          <c:showSerName val="0"/>
          <c:showPercent val="0"/>
          <c:showBubbleSize val="0"/>
        </c:dLbls>
        <c:marker val="1"/>
        <c:smooth val="0"/>
        <c:axId val="295611776"/>
        <c:axId val="295609856"/>
      </c:lineChart>
      <c:catAx>
        <c:axId val="2955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83104"/>
        <c:crosses val="autoZero"/>
        <c:auto val="1"/>
        <c:lblAlgn val="ctr"/>
        <c:lblOffset val="100"/>
        <c:noMultiLvlLbl val="0"/>
      </c:catAx>
      <c:valAx>
        <c:axId val="295583104"/>
        <c:scaling>
          <c:orientation val="minMax"/>
          <c:max val="10000"/>
          <c:min val="5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5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81184"/>
        <c:crosses val="autoZero"/>
        <c:crossBetween val="between"/>
      </c:valAx>
      <c:valAx>
        <c:axId val="295609856"/>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44"/>
              <c:y val="0.28816222491419341"/>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611776"/>
        <c:crosses val="max"/>
        <c:crossBetween val="between"/>
      </c:valAx>
      <c:catAx>
        <c:axId val="295611776"/>
        <c:scaling>
          <c:orientation val="minMax"/>
        </c:scaling>
        <c:delete val="1"/>
        <c:axPos val="b"/>
        <c:numFmt formatCode="General" sourceLinked="1"/>
        <c:majorTickMark val="out"/>
        <c:minorTickMark val="none"/>
        <c:tickLblPos val="none"/>
        <c:crossAx val="295609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0.91064682700878941</c:v>
                </c:pt>
                <c:pt idx="1">
                  <c:v>2.1622213883023029</c:v>
                </c:pt>
                <c:pt idx="2">
                  <c:v>-0.31604456064627884</c:v>
                </c:pt>
                <c:pt idx="3">
                  <c:v>0.86328498340762283</c:v>
                </c:pt>
                <c:pt idx="4">
                  <c:v>1.6465651060753823</c:v>
                </c:pt>
              </c:numCache>
            </c:numRef>
          </c:val>
          <c:extLst>
            <c:ext xmlns:c16="http://schemas.microsoft.com/office/drawing/2014/chart" uri="{C3380CC4-5D6E-409C-BE32-E72D297353CC}">
              <c16:uniqueId val="{00000000-301F-4E00-913C-73C127657207}"/>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-1.0356524175384063</c:v>
                </c:pt>
                <c:pt idx="1">
                  <c:v>-0.80644026167682614</c:v>
                </c:pt>
                <c:pt idx="2">
                  <c:v>-0.47220561096775676</c:v>
                </c:pt>
                <c:pt idx="3">
                  <c:v>0.62795173875591115</c:v>
                </c:pt>
                <c:pt idx="4">
                  <c:v>0.44255814814201405</c:v>
                </c:pt>
              </c:numCache>
            </c:numRef>
          </c:val>
          <c:extLst>
            <c:ext xmlns:c16="http://schemas.microsoft.com/office/drawing/2014/chart" uri="{C3380CC4-5D6E-409C-BE32-E72D297353CC}">
              <c16:uniqueId val="{00000001-301F-4E00-913C-73C127657207}"/>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4.3649529298147187E-2</c:v>
                </c:pt>
                <c:pt idx="1">
                  <c:v>0.42807405697801104</c:v>
                </c:pt>
                <c:pt idx="2">
                  <c:v>-0.42508266880374179</c:v>
                </c:pt>
                <c:pt idx="3">
                  <c:v>0.10468246729873268</c:v>
                </c:pt>
                <c:pt idx="4">
                  <c:v>1.2151435844858425</c:v>
                </c:pt>
              </c:numCache>
            </c:numRef>
          </c:val>
          <c:extLst>
            <c:ext xmlns:c16="http://schemas.microsoft.com/office/drawing/2014/chart" uri="{C3380CC4-5D6E-409C-BE32-E72D297353CC}">
              <c16:uniqueId val="{00000002-301F-4E00-913C-73C127657207}"/>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4.4580577508018671</c:v>
                </c:pt>
                <c:pt idx="1">
                  <c:v>5.063935281019055</c:v>
                </c:pt>
                <c:pt idx="2">
                  <c:v>-5.0484597067809514</c:v>
                </c:pt>
                <c:pt idx="3">
                  <c:v>4.1211921008454695</c:v>
                </c:pt>
                <c:pt idx="4">
                  <c:v>2.9633121633826396</c:v>
                </c:pt>
              </c:numCache>
            </c:numRef>
          </c:val>
          <c:extLst>
            <c:ext xmlns:c16="http://schemas.microsoft.com/office/drawing/2014/chart" uri="{C3380CC4-5D6E-409C-BE32-E72D297353CC}">
              <c16:uniqueId val="{00000003-301F-4E00-913C-73C127657207}"/>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0.82329831042960522</c:v>
                </c:pt>
                <c:pt idx="1">
                  <c:v>0.75220953537745205</c:v>
                </c:pt>
                <c:pt idx="2">
                  <c:v>-1.1382074528012773</c:v>
                </c:pt>
                <c:pt idx="3">
                  <c:v>0.77288870969226475</c:v>
                </c:pt>
                <c:pt idx="4">
                  <c:v>0.7324209979141284</c:v>
                </c:pt>
              </c:numCache>
            </c:numRef>
          </c:val>
          <c:extLst>
            <c:ext xmlns:c16="http://schemas.microsoft.com/office/drawing/2014/chart" uri="{C3380CC4-5D6E-409C-BE32-E72D297353CC}">
              <c16:uniqueId val="{00000004-301F-4E00-913C-73C127657207}"/>
            </c:ext>
          </c:extLst>
        </c:ser>
        <c:dLbls>
          <c:showLegendKey val="0"/>
          <c:showVal val="0"/>
          <c:showCatName val="0"/>
          <c:showSerName val="0"/>
          <c:showPercent val="0"/>
          <c:showBubbleSize val="0"/>
        </c:dLbls>
        <c:gapWidth val="150"/>
        <c:overlap val="100"/>
        <c:axId val="325552384"/>
        <c:axId val="325558272"/>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1F-4E00-913C-73C127657207}"/>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1F-4E00-913C-73C127657207}"/>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Sheet1!$E$2:$I$2</c:f>
              <c:numCache>
                <c:formatCode>General</c:formatCode>
                <c:ptCount val="5"/>
                <c:pt idx="0">
                  <c:v>2018</c:v>
                </c:pt>
                <c:pt idx="1">
                  <c:v>2019</c:v>
                </c:pt>
                <c:pt idx="2">
                  <c:v>2020</c:v>
                </c:pt>
                <c:pt idx="3">
                  <c:v>2021</c:v>
                </c:pt>
                <c:pt idx="4">
                  <c:v>2022</c:v>
                </c:pt>
              </c:numCache>
            </c:numRef>
          </c:cat>
          <c:val>
            <c:numRef>
              <c:f>Sheet1!$E$3:$I$3</c:f>
              <c:numCache>
                <c:formatCode>0.0</c:formatCode>
                <c:ptCount val="5"/>
                <c:pt idx="0">
                  <c:v>5.200000000000002</c:v>
                </c:pt>
                <c:pt idx="1">
                  <c:v>7.5999999999999943</c:v>
                </c:pt>
                <c:pt idx="2">
                  <c:v>-7.4000000000000057</c:v>
                </c:pt>
                <c:pt idx="3">
                  <c:v>6.4900000000000011</c:v>
                </c:pt>
                <c:pt idx="4">
                  <c:v>7.0000000000000062</c:v>
                </c:pt>
              </c:numCache>
            </c:numRef>
          </c:val>
          <c:smooth val="0"/>
          <c:extLst>
            <c:ext xmlns:c16="http://schemas.microsoft.com/office/drawing/2014/chart" uri="{C3380CC4-5D6E-409C-BE32-E72D297353CC}">
              <c16:uniqueId val="{00000007-301F-4E00-913C-73C127657207}"/>
            </c:ext>
          </c:extLst>
        </c:ser>
        <c:dLbls>
          <c:showLegendKey val="0"/>
          <c:showVal val="0"/>
          <c:showCatName val="0"/>
          <c:showSerName val="0"/>
          <c:showPercent val="0"/>
          <c:showBubbleSize val="0"/>
        </c:dLbls>
        <c:marker val="1"/>
        <c:smooth val="0"/>
        <c:axId val="325552384"/>
        <c:axId val="325558272"/>
      </c:lineChart>
      <c:catAx>
        <c:axId val="325552384"/>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558272"/>
        <c:crosses val="autoZero"/>
        <c:auto val="1"/>
        <c:lblAlgn val="ctr"/>
        <c:lblOffset val="100"/>
        <c:noMultiLvlLbl val="0"/>
      </c:catAx>
      <c:valAx>
        <c:axId val="325558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552384"/>
        <c:crosses val="autoZero"/>
        <c:crossBetween val="between"/>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2018</c:v>
                </c:pt>
                <c:pt idx="1">
                  <c:v>2019</c:v>
                </c:pt>
                <c:pt idx="2">
                  <c:v>2020</c:v>
                </c:pt>
                <c:pt idx="3">
                  <c:v>2021</c:v>
                </c:pt>
                <c:pt idx="4">
                  <c:v>2022</c:v>
                </c:pt>
              </c:strCache>
            </c:strRef>
          </c:cat>
          <c:val>
            <c:numRef>
              <c:f>Sheet1!$B$3:$F$3</c:f>
              <c:numCache>
                <c:formatCode>0.0</c:formatCode>
                <c:ptCount val="5"/>
                <c:pt idx="0">
                  <c:v>3.5092447105651088</c:v>
                </c:pt>
                <c:pt idx="1">
                  <c:v>10.680646817555598</c:v>
                </c:pt>
                <c:pt idx="2">
                  <c:v>-9.6964062213782558</c:v>
                </c:pt>
                <c:pt idx="3">
                  <c:v>6.9007492636863583</c:v>
                </c:pt>
                <c:pt idx="4">
                  <c:v>4.8802647695227428</c:v>
                </c:pt>
              </c:numCache>
            </c:numRef>
          </c:val>
          <c:extLst>
            <c:ext xmlns:c16="http://schemas.microsoft.com/office/drawing/2014/chart" uri="{C3380CC4-5D6E-409C-BE32-E72D297353CC}">
              <c16:uniqueId val="{00000000-C56F-4F6E-AAB1-BB5BD3FCDA90}"/>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2018</c:v>
                </c:pt>
                <c:pt idx="1">
                  <c:v>2019</c:v>
                </c:pt>
                <c:pt idx="2">
                  <c:v>2020</c:v>
                </c:pt>
                <c:pt idx="3">
                  <c:v>2021</c:v>
                </c:pt>
                <c:pt idx="4">
                  <c:v>2022</c:v>
                </c:pt>
              </c:strCache>
            </c:strRef>
          </c:cat>
          <c:val>
            <c:numRef>
              <c:f>Sheet1!$B$4:$F$4</c:f>
              <c:numCache>
                <c:formatCode>0.0</c:formatCode>
                <c:ptCount val="5"/>
                <c:pt idx="0">
                  <c:v>0.84712204793201873</c:v>
                </c:pt>
                <c:pt idx="1">
                  <c:v>0.73660007839076713</c:v>
                </c:pt>
                <c:pt idx="2">
                  <c:v>-1.360141465150009</c:v>
                </c:pt>
                <c:pt idx="3">
                  <c:v>0.59081563210847454</c:v>
                </c:pt>
                <c:pt idx="4">
                  <c:v>4.0880101577095953</c:v>
                </c:pt>
              </c:numCache>
            </c:numRef>
          </c:val>
          <c:extLst>
            <c:ext xmlns:c16="http://schemas.microsoft.com/office/drawing/2014/chart" uri="{C3380CC4-5D6E-409C-BE32-E72D297353CC}">
              <c16:uniqueId val="{00000001-C56F-4F6E-AAB1-BB5BD3FCDA90}"/>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Sheet1!$B$1:$F$1</c:f>
              <c:strCache>
                <c:ptCount val="5"/>
                <c:pt idx="0">
                  <c:v>2018</c:v>
                </c:pt>
                <c:pt idx="1">
                  <c:v>2019</c:v>
                </c:pt>
                <c:pt idx="2">
                  <c:v>2020</c:v>
                </c:pt>
                <c:pt idx="3">
                  <c:v>2021</c:v>
                </c:pt>
                <c:pt idx="4">
                  <c:v>2022</c:v>
                </c:pt>
              </c:strCache>
            </c:strRef>
          </c:cat>
          <c:val>
            <c:numRef>
              <c:f>Sheet1!$B$5:$F$5</c:f>
              <c:numCache>
                <c:formatCode>0.0</c:formatCode>
                <c:ptCount val="5"/>
                <c:pt idx="0">
                  <c:v>-4.6043797249248186</c:v>
                </c:pt>
                <c:pt idx="1">
                  <c:v>0.14555833743502333</c:v>
                </c:pt>
                <c:pt idx="2">
                  <c:v>3.3845251138343819</c:v>
                </c:pt>
                <c:pt idx="3">
                  <c:v>-1.0015648957948522</c:v>
                </c:pt>
                <c:pt idx="4">
                  <c:v>-1.9682749272323377</c:v>
                </c:pt>
              </c:numCache>
            </c:numRef>
          </c:val>
          <c:extLst>
            <c:ext xmlns:c16="http://schemas.microsoft.com/office/drawing/2014/chart" uri="{C3380CC4-5D6E-409C-BE32-E72D297353CC}">
              <c16:uniqueId val="{00000002-C56F-4F6E-AAB1-BB5BD3FCDA90}"/>
            </c:ext>
          </c:extLst>
        </c:ser>
        <c:dLbls>
          <c:showLegendKey val="0"/>
          <c:showVal val="0"/>
          <c:showCatName val="0"/>
          <c:showSerName val="0"/>
          <c:showPercent val="0"/>
          <c:showBubbleSize val="0"/>
        </c:dLbls>
        <c:gapWidth val="150"/>
        <c:overlap val="100"/>
        <c:axId val="325991808"/>
        <c:axId val="326005888"/>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6F-4F6E-AAB1-BB5BD3FCDA90}"/>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6F-4F6E-AAB1-BB5BD3FCDA90}"/>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6F-4F6E-AAB1-BB5BD3FCDA90}"/>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6F-4F6E-AAB1-BB5BD3FCDA90}"/>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6F-4F6E-AAB1-BB5BD3FCDA90}"/>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6F-4F6E-AAB1-BB5BD3FCDA90}"/>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6F-4F6E-AAB1-BB5BD3FCDA90}"/>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c:v>
                </c:pt>
                <c:pt idx="1">
                  <c:v>2019</c:v>
                </c:pt>
                <c:pt idx="2">
                  <c:v>2020</c:v>
                </c:pt>
                <c:pt idx="3">
                  <c:v>2021</c:v>
                </c:pt>
                <c:pt idx="4">
                  <c:v>2022</c:v>
                </c:pt>
              </c:strCache>
            </c:strRef>
          </c:cat>
          <c:val>
            <c:numRef>
              <c:f>Sheet1!$B$2:$F$2</c:f>
              <c:numCache>
                <c:formatCode>0.0</c:formatCode>
                <c:ptCount val="5"/>
                <c:pt idx="0">
                  <c:v>5.200000000000002</c:v>
                </c:pt>
                <c:pt idx="1">
                  <c:v>7.5999999999999943</c:v>
                </c:pt>
                <c:pt idx="2">
                  <c:v>-7.4000000000000057</c:v>
                </c:pt>
                <c:pt idx="3">
                  <c:v>6.4899999999999807</c:v>
                </c:pt>
                <c:pt idx="4">
                  <c:v>7</c:v>
                </c:pt>
              </c:numCache>
            </c:numRef>
          </c:val>
          <c:smooth val="0"/>
          <c:extLst>
            <c:ext xmlns:c16="http://schemas.microsoft.com/office/drawing/2014/chart" uri="{C3380CC4-5D6E-409C-BE32-E72D297353CC}">
              <c16:uniqueId val="{0000000A-C56F-4F6E-AAB1-BB5BD3FCDA90}"/>
            </c:ext>
          </c:extLst>
        </c:ser>
        <c:dLbls>
          <c:showLegendKey val="0"/>
          <c:showVal val="0"/>
          <c:showCatName val="0"/>
          <c:showSerName val="0"/>
          <c:showPercent val="0"/>
          <c:showBubbleSize val="0"/>
        </c:dLbls>
        <c:marker val="1"/>
        <c:smooth val="0"/>
        <c:axId val="325991808"/>
        <c:axId val="326005888"/>
      </c:lineChart>
      <c:catAx>
        <c:axId val="325991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05888"/>
        <c:crosses val="autoZero"/>
        <c:auto val="1"/>
        <c:lblAlgn val="ctr"/>
        <c:lblOffset val="100"/>
        <c:noMultiLvlLbl val="0"/>
      </c:catAx>
      <c:valAx>
        <c:axId val="326005888"/>
        <c:scaling>
          <c:orientation val="minMax"/>
          <c:max val="10"/>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991808"/>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Sheet1!$B$8:$F$8</c:f>
              <c:numCache>
                <c:formatCode>0.0</c:formatCode>
                <c:ptCount val="5"/>
                <c:pt idx="0">
                  <c:v>18.152724119014625</c:v>
                </c:pt>
                <c:pt idx="1">
                  <c:v>18.622463287683633</c:v>
                </c:pt>
                <c:pt idx="2">
                  <c:v>20.076394962967981</c:v>
                </c:pt>
                <c:pt idx="3">
                  <c:v>20.582063825942278</c:v>
                </c:pt>
                <c:pt idx="4">
                  <c:v>20.774419562633327</c:v>
                </c:pt>
              </c:numCache>
            </c:numRef>
          </c:val>
          <c:extLst>
            <c:ext xmlns:c16="http://schemas.microsoft.com/office/drawing/2014/chart" uri="{C3380CC4-5D6E-409C-BE32-E72D297353CC}">
              <c16:uniqueId val="{00000000-E7BE-4A07-B865-E8164F2D2373}"/>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Sheet1!$B$9:$F$9</c:f>
              <c:numCache>
                <c:formatCode>0.0</c:formatCode>
                <c:ptCount val="5"/>
                <c:pt idx="0">
                  <c:v>13.942311655414608</c:v>
                </c:pt>
                <c:pt idx="1">
                  <c:v>11.525610737958816</c:v>
                </c:pt>
                <c:pt idx="2">
                  <c:v>11.213423906355571</c:v>
                </c:pt>
                <c:pt idx="3">
                  <c:v>11.347644824154189</c:v>
                </c:pt>
                <c:pt idx="4">
                  <c:v>11.018881282519818</c:v>
                </c:pt>
              </c:numCache>
            </c:numRef>
          </c:val>
          <c:extLst>
            <c:ext xmlns:c16="http://schemas.microsoft.com/office/drawing/2014/chart" uri="{C3380CC4-5D6E-409C-BE32-E72D297353CC}">
              <c16:uniqueId val="{00000001-E7BE-4A07-B865-E8164F2D2373}"/>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Sheet1!$B$10:$F$10</c:f>
              <c:numCache>
                <c:formatCode>0.0</c:formatCode>
                <c:ptCount val="5"/>
                <c:pt idx="0">
                  <c:v>6.6038337286110593</c:v>
                </c:pt>
                <c:pt idx="1">
                  <c:v>6.3491451696598507</c:v>
                </c:pt>
                <c:pt idx="2">
                  <c:v>6.9788311532488487</c:v>
                </c:pt>
                <c:pt idx="3">
                  <c:v>6.7507976915880121</c:v>
                </c:pt>
                <c:pt idx="4">
                  <c:v>7.4448049309101458</c:v>
                </c:pt>
              </c:numCache>
            </c:numRef>
          </c:val>
          <c:extLst>
            <c:ext xmlns:c16="http://schemas.microsoft.com/office/drawing/2014/chart" uri="{C3380CC4-5D6E-409C-BE32-E72D297353CC}">
              <c16:uniqueId val="{00000002-E7BE-4A07-B865-E8164F2D2373}"/>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Sheet1!$B$11:$F$11</c:f>
              <c:numCache>
                <c:formatCode>0.0</c:formatCode>
                <c:ptCount val="5"/>
                <c:pt idx="0">
                  <c:v>50.677546310515176</c:v>
                </c:pt>
                <c:pt idx="1">
                  <c:v>52.112404130880435</c:v>
                </c:pt>
                <c:pt idx="2">
                  <c:v>50.845593502888647</c:v>
                </c:pt>
                <c:pt idx="3">
                  <c:v>50.548596630166564</c:v>
                </c:pt>
                <c:pt idx="4">
                  <c:v>50.011129713597391</c:v>
                </c:pt>
              </c:numCache>
            </c:numRef>
          </c:val>
          <c:extLst>
            <c:ext xmlns:c16="http://schemas.microsoft.com/office/drawing/2014/chart" uri="{C3380CC4-5D6E-409C-BE32-E72D297353CC}">
              <c16:uniqueId val="{00000003-E7BE-4A07-B865-E8164F2D2373}"/>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Sheet1!$B$12:$F$12</c:f>
              <c:numCache>
                <c:formatCode>0.0</c:formatCode>
                <c:ptCount val="5"/>
                <c:pt idx="0">
                  <c:v>10.623584186444512</c:v>
                </c:pt>
                <c:pt idx="1">
                  <c:v>11.390376673817265</c:v>
                </c:pt>
                <c:pt idx="2">
                  <c:v>10.885756474538951</c:v>
                </c:pt>
                <c:pt idx="3">
                  <c:v>10.770897028148953</c:v>
                </c:pt>
                <c:pt idx="4">
                  <c:v>10.75076451033933</c:v>
                </c:pt>
              </c:numCache>
            </c:numRef>
          </c:val>
          <c:extLst>
            <c:ext xmlns:c16="http://schemas.microsoft.com/office/drawing/2014/chart" uri="{C3380CC4-5D6E-409C-BE32-E72D297353CC}">
              <c16:uniqueId val="{00000004-E7BE-4A07-B865-E8164F2D2373}"/>
            </c:ext>
          </c:extLst>
        </c:ser>
        <c:dLbls>
          <c:showLegendKey val="0"/>
          <c:showVal val="0"/>
          <c:showCatName val="0"/>
          <c:showSerName val="0"/>
          <c:showPercent val="0"/>
          <c:showBubbleSize val="0"/>
        </c:dLbls>
        <c:gapWidth val="150"/>
        <c:overlap val="100"/>
        <c:axId val="326079616"/>
        <c:axId val="326081152"/>
      </c:barChart>
      <c:catAx>
        <c:axId val="326079616"/>
        <c:scaling>
          <c:orientation val="minMax"/>
        </c:scaling>
        <c:delete val="0"/>
        <c:axPos val="b"/>
        <c:numFmt formatCode="0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81152"/>
        <c:crosses val="autoZero"/>
        <c:auto val="1"/>
        <c:lblAlgn val="ctr"/>
        <c:lblOffset val="100"/>
        <c:noMultiLvlLbl val="0"/>
      </c:catAx>
      <c:valAx>
        <c:axId val="32608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79616"/>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Sheet1!$B$2:$F$2</c:f>
              <c:numCache>
                <c:formatCode>0.0</c:formatCode>
                <c:ptCount val="5"/>
                <c:pt idx="0">
                  <c:v>91.28757963722731</c:v>
                </c:pt>
                <c:pt idx="1">
                  <c:v>96.004021993844162</c:v>
                </c:pt>
                <c:pt idx="2">
                  <c:v>91.431166568885587</c:v>
                </c:pt>
                <c:pt idx="3">
                  <c:v>92.489123999581324</c:v>
                </c:pt>
                <c:pt idx="4">
                  <c:v>91.308774093121087</c:v>
                </c:pt>
              </c:numCache>
            </c:numRef>
          </c:val>
          <c:extLst>
            <c:ext xmlns:c16="http://schemas.microsoft.com/office/drawing/2014/chart" uri="{C3380CC4-5D6E-409C-BE32-E72D297353CC}">
              <c16:uniqueId val="{00000000-A372-49B0-AE48-89DD21799647}"/>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Sheet1!$B$3:$F$3</c:f>
              <c:numCache>
                <c:formatCode>0.0</c:formatCode>
                <c:ptCount val="5"/>
                <c:pt idx="0">
                  <c:v>16.740910872517414</c:v>
                </c:pt>
                <c:pt idx="1">
                  <c:v>15.815598431976859</c:v>
                </c:pt>
                <c:pt idx="2">
                  <c:v>16.571815993690119</c:v>
                </c:pt>
                <c:pt idx="3">
                  <c:v>16.365526653131422</c:v>
                </c:pt>
                <c:pt idx="4">
                  <c:v>18.73691270675322</c:v>
                </c:pt>
              </c:numCache>
            </c:numRef>
          </c:val>
          <c:extLst>
            <c:ext xmlns:c16="http://schemas.microsoft.com/office/drawing/2014/chart" uri="{C3380CC4-5D6E-409C-BE32-E72D297353CC}">
              <c16:uniqueId val="{00000001-A372-49B0-AE48-89DD21799647}"/>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Sheet1!$B$4:$F$4</c:f>
              <c:numCache>
                <c:formatCode>0.0</c:formatCode>
                <c:ptCount val="5"/>
                <c:pt idx="0">
                  <c:v>39.392894028607309</c:v>
                </c:pt>
                <c:pt idx="1">
                  <c:v>41.35080136208493</c:v>
                </c:pt>
                <c:pt idx="2">
                  <c:v>29.763678036145652</c:v>
                </c:pt>
                <c:pt idx="3">
                  <c:v>32.580982315892349</c:v>
                </c:pt>
                <c:pt idx="4">
                  <c:v>34.547358141821491</c:v>
                </c:pt>
              </c:numCache>
            </c:numRef>
          </c:val>
          <c:extLst>
            <c:ext xmlns:c16="http://schemas.microsoft.com/office/drawing/2014/chart" uri="{C3380CC4-5D6E-409C-BE32-E72D297353CC}">
              <c16:uniqueId val="{00000002-A372-49B0-AE48-89DD21799647}"/>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Sheet1!$B$5:$F$5</c:f>
              <c:numCache>
                <c:formatCode>0.0</c:formatCode>
                <c:ptCount val="5"/>
                <c:pt idx="0">
                  <c:v>53.080212992604729</c:v>
                </c:pt>
                <c:pt idx="1">
                  <c:v>54.763352766785822</c:v>
                </c:pt>
                <c:pt idx="2">
                  <c:v>39.727318732831193</c:v>
                </c:pt>
                <c:pt idx="3">
                  <c:v>42.227487267722495</c:v>
                </c:pt>
                <c:pt idx="4">
                  <c:v>45.44280896079129</c:v>
                </c:pt>
              </c:numCache>
            </c:numRef>
          </c:val>
          <c:extLst>
            <c:ext xmlns:c16="http://schemas.microsoft.com/office/drawing/2014/chart" uri="{C3380CC4-5D6E-409C-BE32-E72D297353CC}">
              <c16:uniqueId val="{00000003-A372-49B0-AE48-89DD21799647}"/>
            </c:ext>
          </c:extLst>
        </c:ser>
        <c:dLbls>
          <c:showLegendKey val="0"/>
          <c:showVal val="0"/>
          <c:showCatName val="0"/>
          <c:showSerName val="0"/>
          <c:showPercent val="0"/>
          <c:showBubbleSize val="0"/>
        </c:dLbls>
        <c:gapWidth val="150"/>
        <c:overlap val="100"/>
        <c:axId val="326202496"/>
        <c:axId val="326204032"/>
      </c:barChart>
      <c:catAx>
        <c:axId val="3262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04032"/>
        <c:crosses val="autoZero"/>
        <c:auto val="1"/>
        <c:lblAlgn val="ctr"/>
        <c:lblOffset val="100"/>
        <c:noMultiLvlLbl val="0"/>
      </c:catAx>
      <c:valAx>
        <c:axId val="32620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02496"/>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8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0.15695898950131323"/>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Лист1!$A$2:$A$6</c:f>
              <c:strCache>
                <c:ptCount val="5"/>
                <c:pt idx="0">
                  <c:v>2020-I</c:v>
                </c:pt>
                <c:pt idx="1">
                  <c:v>2020-II</c:v>
                </c:pt>
                <c:pt idx="2">
                  <c:v>2020-III</c:v>
                </c:pt>
                <c:pt idx="3">
                  <c:v>2020-IV</c:v>
                </c:pt>
                <c:pt idx="4">
                  <c:v>2021-I</c:v>
                </c:pt>
              </c:strCache>
            </c:strRef>
          </c:cat>
          <c:val>
            <c:numRef>
              <c:f>Лист1!$B$2:$B$6</c:f>
              <c:numCache>
                <c:formatCode>General</c:formatCode>
                <c:ptCount val="5"/>
                <c:pt idx="0">
                  <c:v>232.8</c:v>
                </c:pt>
                <c:pt idx="1">
                  <c:v>218.1</c:v>
                </c:pt>
                <c:pt idx="2">
                  <c:v>226.9</c:v>
                </c:pt>
                <c:pt idx="3">
                  <c:v>184.8</c:v>
                </c:pt>
                <c:pt idx="4">
                  <c:v>193</c:v>
                </c:pt>
              </c:numCache>
            </c:numRef>
          </c:val>
          <c:extLst>
            <c:ext xmlns:c16="http://schemas.microsoft.com/office/drawing/2014/chart" uri="{C3380CC4-5D6E-409C-BE32-E72D297353CC}">
              <c16:uniqueId val="{00000000-C459-46FF-9943-1F79C23507E1}"/>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Лист1!$A$2:$A$6</c:f>
              <c:strCache>
                <c:ptCount val="5"/>
                <c:pt idx="0">
                  <c:v>2020-I</c:v>
                </c:pt>
                <c:pt idx="1">
                  <c:v>2020-II</c:v>
                </c:pt>
                <c:pt idx="2">
                  <c:v>2020-III</c:v>
                </c:pt>
                <c:pt idx="3">
                  <c:v>2020-IV</c:v>
                </c:pt>
                <c:pt idx="4">
                  <c:v>2021-I</c:v>
                </c:pt>
              </c:strCache>
            </c:strRef>
          </c:cat>
          <c:val>
            <c:numRef>
              <c:f>Лист1!$C$2:$C$6</c:f>
              <c:numCache>
                <c:formatCode>General</c:formatCode>
                <c:ptCount val="5"/>
                <c:pt idx="0">
                  <c:v>946</c:v>
                </c:pt>
                <c:pt idx="1">
                  <c:v>1027.0999999999999</c:v>
                </c:pt>
                <c:pt idx="2" formatCode="0.0">
                  <c:v>1023</c:v>
                </c:pt>
                <c:pt idx="3" formatCode="0.0">
                  <c:v>967.3</c:v>
                </c:pt>
                <c:pt idx="4">
                  <c:v>943.8</c:v>
                </c:pt>
              </c:numCache>
            </c:numRef>
          </c:val>
          <c:extLst>
            <c:ext xmlns:c16="http://schemas.microsoft.com/office/drawing/2014/chart" uri="{C3380CC4-5D6E-409C-BE32-E72D297353CC}">
              <c16:uniqueId val="{00000001-C459-46FF-9943-1F79C23507E1}"/>
            </c:ext>
          </c:extLst>
        </c:ser>
        <c:dLbls>
          <c:showLegendKey val="0"/>
          <c:showVal val="0"/>
          <c:showCatName val="0"/>
          <c:showSerName val="0"/>
          <c:showPercent val="0"/>
          <c:showBubbleSize val="0"/>
        </c:dLbls>
        <c:gapWidth val="219"/>
        <c:overlap val="-27"/>
        <c:axId val="326269952"/>
        <c:axId val="326279936"/>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2020-I</c:v>
                </c:pt>
                <c:pt idx="1">
                  <c:v>2020-II</c:v>
                </c:pt>
                <c:pt idx="2">
                  <c:v>2020-III</c:v>
                </c:pt>
                <c:pt idx="3">
                  <c:v>2020-IV</c:v>
                </c:pt>
                <c:pt idx="4">
                  <c:v>2021-I</c:v>
                </c:pt>
              </c:strCache>
            </c:strRef>
          </c:cat>
          <c:val>
            <c:numRef>
              <c:f>Лист1!$D$2:$D$6</c:f>
              <c:numCache>
                <c:formatCode>0.0</c:formatCode>
                <c:ptCount val="5"/>
                <c:pt idx="0">
                  <c:v>19.7</c:v>
                </c:pt>
                <c:pt idx="1">
                  <c:v>17.5</c:v>
                </c:pt>
                <c:pt idx="2">
                  <c:v>18.100000000000001</c:v>
                </c:pt>
                <c:pt idx="3">
                  <c:v>16</c:v>
                </c:pt>
                <c:pt idx="4">
                  <c:v>17</c:v>
                </c:pt>
              </c:numCache>
            </c:numRef>
          </c:val>
          <c:smooth val="0"/>
          <c:extLst>
            <c:ext xmlns:c16="http://schemas.microsoft.com/office/drawing/2014/chart" uri="{C3380CC4-5D6E-409C-BE32-E72D297353CC}">
              <c16:uniqueId val="{00000002-C459-46FF-9943-1F79C23507E1}"/>
            </c:ext>
          </c:extLst>
        </c:ser>
        <c:dLbls>
          <c:showLegendKey val="0"/>
          <c:showVal val="0"/>
          <c:showCatName val="0"/>
          <c:showSerName val="0"/>
          <c:showPercent val="0"/>
          <c:showBubbleSize val="0"/>
        </c:dLbls>
        <c:marker val="1"/>
        <c:smooth val="0"/>
        <c:axId val="326283264"/>
        <c:axId val="326281472"/>
      </c:lineChart>
      <c:catAx>
        <c:axId val="3262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79936"/>
        <c:crosses val="autoZero"/>
        <c:auto val="1"/>
        <c:lblAlgn val="ctr"/>
        <c:lblOffset val="100"/>
        <c:noMultiLvlLbl val="0"/>
      </c:catAx>
      <c:valAx>
        <c:axId val="326279936"/>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69952"/>
        <c:crosses val="autoZero"/>
        <c:crossBetween val="between"/>
        <c:majorUnit val="200"/>
      </c:valAx>
      <c:valAx>
        <c:axId val="32628147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83264"/>
        <c:crosses val="max"/>
        <c:crossBetween val="between"/>
      </c:valAx>
      <c:catAx>
        <c:axId val="326283264"/>
        <c:scaling>
          <c:orientation val="minMax"/>
        </c:scaling>
        <c:delete val="1"/>
        <c:axPos val="b"/>
        <c:numFmt formatCode="General" sourceLinked="1"/>
        <c:majorTickMark val="none"/>
        <c:minorTickMark val="none"/>
        <c:tickLblPos val="none"/>
        <c:crossAx val="326281472"/>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I</c:v>
                </c:pt>
                <c:pt idx="1">
                  <c:v>I-II</c:v>
                </c:pt>
                <c:pt idx="2">
                  <c:v>I-III</c:v>
                </c:pt>
                <c:pt idx="3">
                  <c:v>I-IV</c:v>
                </c:pt>
                <c:pt idx="4">
                  <c:v>I-V</c:v>
                </c:pt>
                <c:pt idx="5">
                  <c:v>I-VI</c:v>
                </c:pt>
                <c:pt idx="6">
                  <c:v>I-VII</c:v>
                </c:pt>
              </c:strCache>
            </c:strRef>
          </c:cat>
          <c:val>
            <c:numRef>
              <c:f>Лист1!$B$2:$B$8</c:f>
              <c:numCache>
                <c:formatCode>0.0</c:formatCode>
                <c:ptCount val="7"/>
                <c:pt idx="0">
                  <c:v>0.79999999999999716</c:v>
                </c:pt>
                <c:pt idx="1">
                  <c:v>1.5999999999999943</c:v>
                </c:pt>
                <c:pt idx="2">
                  <c:v>2.0999999999999943</c:v>
                </c:pt>
                <c:pt idx="3">
                  <c:v>3.5</c:v>
                </c:pt>
                <c:pt idx="4">
                  <c:v>4.4000000000000004</c:v>
                </c:pt>
                <c:pt idx="5">
                  <c:v>5.4</c:v>
                </c:pt>
                <c:pt idx="6">
                  <c:v>5.7</c:v>
                </c:pt>
              </c:numCache>
            </c:numRef>
          </c:val>
          <c:smooth val="0"/>
          <c:extLst>
            <c:ext xmlns:c16="http://schemas.microsoft.com/office/drawing/2014/chart" uri="{C3380CC4-5D6E-409C-BE32-E72D297353CC}">
              <c16:uniqueId val="{00000000-7000-434A-8AB6-37EA3929328D}"/>
            </c:ext>
          </c:extLst>
        </c:ser>
        <c:ser>
          <c:idx val="1"/>
          <c:order val="1"/>
          <c:tx>
            <c:strRef>
              <c:f>Лист1!$C$1</c:f>
              <c:strCache>
                <c:ptCount val="1"/>
                <c:pt idx="0">
                  <c:v>Պետական</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Лист1!$C$2:$C$8</c:f>
              <c:numCache>
                <c:formatCode>0.0</c:formatCode>
                <c:ptCount val="7"/>
                <c:pt idx="0">
                  <c:v>2.4000000000000057</c:v>
                </c:pt>
                <c:pt idx="1">
                  <c:v>2.4000000000000057</c:v>
                </c:pt>
                <c:pt idx="2">
                  <c:v>3</c:v>
                </c:pt>
                <c:pt idx="3">
                  <c:v>2.9000000000000057</c:v>
                </c:pt>
                <c:pt idx="4">
                  <c:v>3.7</c:v>
                </c:pt>
                <c:pt idx="5">
                  <c:v>3.9</c:v>
                </c:pt>
                <c:pt idx="6">
                  <c:v>3.6</c:v>
                </c:pt>
              </c:numCache>
            </c:numRef>
          </c:val>
          <c:smooth val="0"/>
          <c:extLst>
            <c:ext xmlns:c16="http://schemas.microsoft.com/office/drawing/2014/chart" uri="{C3380CC4-5D6E-409C-BE32-E72D297353CC}">
              <c16:uniqueId val="{00000001-7000-434A-8AB6-37EA3929328D}"/>
            </c:ext>
          </c:extLst>
        </c:ser>
        <c:ser>
          <c:idx val="2"/>
          <c:order val="2"/>
          <c:tx>
            <c:strRef>
              <c:f>Лист1!$D$1</c:f>
              <c:strCache>
                <c:ptCount val="1"/>
                <c:pt idx="0">
                  <c:v>Մասնավոր</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Лист1!$D$2:$D$8</c:f>
              <c:numCache>
                <c:formatCode>0.0</c:formatCode>
                <c:ptCount val="7"/>
                <c:pt idx="0">
                  <c:v>0.20000000000000284</c:v>
                </c:pt>
                <c:pt idx="1">
                  <c:v>1.4000000000000057</c:v>
                </c:pt>
                <c:pt idx="2">
                  <c:v>1.7999999999999972</c:v>
                </c:pt>
                <c:pt idx="3">
                  <c:v>3.7000000000000028</c:v>
                </c:pt>
                <c:pt idx="4">
                  <c:v>4.5999999999999996</c:v>
                </c:pt>
                <c:pt idx="5">
                  <c:v>5.9</c:v>
                </c:pt>
                <c:pt idx="6">
                  <c:v>6.5</c:v>
                </c:pt>
              </c:numCache>
            </c:numRef>
          </c:val>
          <c:smooth val="0"/>
          <c:extLst>
            <c:ext xmlns:c16="http://schemas.microsoft.com/office/drawing/2014/chart" uri="{C3380CC4-5D6E-409C-BE32-E72D297353CC}">
              <c16:uniqueId val="{00000002-7000-434A-8AB6-37EA3929328D}"/>
            </c:ext>
          </c:extLst>
        </c:ser>
        <c:dLbls>
          <c:showLegendKey val="0"/>
          <c:showVal val="0"/>
          <c:showCatName val="0"/>
          <c:showSerName val="0"/>
          <c:showPercent val="0"/>
          <c:showBubbleSize val="0"/>
        </c:dLbls>
        <c:smooth val="0"/>
        <c:axId val="326392448"/>
        <c:axId val="326414720"/>
      </c:lineChart>
      <c:catAx>
        <c:axId val="3263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414720"/>
        <c:crosses val="autoZero"/>
        <c:auto val="1"/>
        <c:lblAlgn val="ctr"/>
        <c:lblOffset val="100"/>
        <c:noMultiLvlLbl val="0"/>
      </c:catAx>
      <c:valAx>
        <c:axId val="326414720"/>
        <c:scaling>
          <c:orientation val="minMax"/>
          <c:max val="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392448"/>
        <c:crosses val="autoZero"/>
        <c:crossBetween val="between"/>
        <c:majorUnit val="1"/>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-13.644258321979095</c:v>
                </c:pt>
                <c:pt idx="1">
                  <c:v>-13.178759026162695</c:v>
                </c:pt>
                <c:pt idx="2">
                  <c:v>-9.9365626834245582</c:v>
                </c:pt>
                <c:pt idx="3">
                  <c:v>-9.6177083976925388</c:v>
                </c:pt>
                <c:pt idx="4">
                  <c:v>-10.864425611484364</c:v>
                </c:pt>
              </c:numCache>
            </c:numRef>
          </c:val>
          <c:extLst>
            <c:ext xmlns:c16="http://schemas.microsoft.com/office/drawing/2014/chart" uri="{C3380CC4-5D6E-409C-BE32-E72D297353CC}">
              <c16:uniqueId val="{00000000-51EC-4E5E-8016-A4DBEC580AF6}"/>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9.12006102267061</c:v>
                </c:pt>
                <c:pt idx="1">
                  <c:v>8.3981963185381812</c:v>
                </c:pt>
                <c:pt idx="2">
                  <c:v>8.2287451267512584</c:v>
                </c:pt>
                <c:pt idx="3">
                  <c:v>10.080247029154878</c:v>
                </c:pt>
                <c:pt idx="4">
                  <c:v>9.626998654260758</c:v>
                </c:pt>
              </c:numCache>
            </c:numRef>
          </c:val>
          <c:extLst>
            <c:ext xmlns:c16="http://schemas.microsoft.com/office/drawing/2014/chart" uri="{C3380CC4-5D6E-409C-BE32-E72D297353CC}">
              <c16:uniqueId val="{00000001-51EC-4E5E-8016-A4DBEC580AF6}"/>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Sheet1!$B$1:$G$1</c:f>
              <c:strCache>
                <c:ptCount val="5"/>
                <c:pt idx="0">
                  <c:v>2018</c:v>
                </c:pt>
                <c:pt idx="1">
                  <c:v>2019</c:v>
                </c:pt>
                <c:pt idx="2">
                  <c:v>2020</c:v>
                </c:pt>
                <c:pt idx="3">
                  <c:v>2021*</c:v>
                </c:pt>
                <c:pt idx="4">
                  <c:v>2022*</c:v>
                </c:pt>
              </c:strCache>
            </c:strRef>
          </c:cat>
          <c:val>
            <c:numRef>
              <c:f>Sheet1!$B$5:$G$5</c:f>
              <c:numCache>
                <c:formatCode>0.0</c:formatCode>
                <c:ptCount val="5"/>
                <c:pt idx="0">
                  <c:v>0.19789519811247197</c:v>
                </c:pt>
                <c:pt idx="1">
                  <c:v>-0.49137771962102195</c:v>
                </c:pt>
                <c:pt idx="2">
                  <c:v>0.79215216104683872</c:v>
                </c:pt>
                <c:pt idx="3">
                  <c:v>0.8696992818394681</c:v>
                </c:pt>
                <c:pt idx="4">
                  <c:v>0.96873569646584623</c:v>
                </c:pt>
              </c:numCache>
            </c:numRef>
          </c:val>
          <c:extLst>
            <c:ext xmlns:c16="http://schemas.microsoft.com/office/drawing/2014/chart" uri="{C3380CC4-5D6E-409C-BE32-E72D297353CC}">
              <c16:uniqueId val="{00000002-51EC-4E5E-8016-A4DBEC580AF6}"/>
            </c:ext>
          </c:extLst>
        </c:ser>
        <c:dLbls>
          <c:showLegendKey val="0"/>
          <c:showVal val="0"/>
          <c:showCatName val="0"/>
          <c:showSerName val="0"/>
          <c:showPercent val="0"/>
          <c:showBubbleSize val="0"/>
        </c:dLbls>
        <c:gapWidth val="150"/>
        <c:axId val="326717824"/>
        <c:axId val="326711936"/>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2018</c:v>
                </c:pt>
                <c:pt idx="1">
                  <c:v>2019</c:v>
                </c:pt>
                <c:pt idx="2">
                  <c:v>2020</c:v>
                </c:pt>
                <c:pt idx="3">
                  <c:v>2021*</c:v>
                </c:pt>
                <c:pt idx="4">
                  <c:v>2022*</c:v>
                </c:pt>
              </c:strCache>
            </c:strRef>
          </c:cat>
          <c:val>
            <c:numRef>
              <c:f>Sheet1!$B$2:$G$2</c:f>
              <c:numCache>
                <c:formatCode>0.0</c:formatCode>
                <c:ptCount val="5"/>
                <c:pt idx="0">
                  <c:v>-7.0305485843998303</c:v>
                </c:pt>
                <c:pt idx="1">
                  <c:v>-7.3591240712202897</c:v>
                </c:pt>
                <c:pt idx="2">
                  <c:v>-3.786869106981785</c:v>
                </c:pt>
                <c:pt idx="3">
                  <c:v>-1.7423409000493983</c:v>
                </c:pt>
                <c:pt idx="4">
                  <c:v>-2.9865455559182683</c:v>
                </c:pt>
              </c:numCache>
            </c:numRef>
          </c:val>
          <c:smooth val="0"/>
          <c:extLst>
            <c:ext xmlns:c16="http://schemas.microsoft.com/office/drawing/2014/chart" uri="{C3380CC4-5D6E-409C-BE32-E72D297353CC}">
              <c16:uniqueId val="{00000003-51EC-4E5E-8016-A4DBEC580AF6}"/>
            </c:ext>
          </c:extLst>
        </c:ser>
        <c:dLbls>
          <c:showLegendKey val="0"/>
          <c:showVal val="0"/>
          <c:showCatName val="0"/>
          <c:showSerName val="0"/>
          <c:showPercent val="0"/>
          <c:showBubbleSize val="0"/>
        </c:dLbls>
        <c:marker val="1"/>
        <c:smooth val="0"/>
        <c:axId val="326720896"/>
        <c:axId val="326719360"/>
      </c:lineChart>
      <c:valAx>
        <c:axId val="326711936"/>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17824"/>
        <c:crosses val="autoZero"/>
        <c:crossBetween val="between"/>
      </c:valAx>
      <c:catAx>
        <c:axId val="326717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711936"/>
        <c:crosses val="autoZero"/>
        <c:auto val="1"/>
        <c:lblAlgn val="ctr"/>
        <c:lblOffset val="100"/>
        <c:noMultiLvlLbl val="0"/>
      </c:catAx>
      <c:valAx>
        <c:axId val="326719360"/>
        <c:scaling>
          <c:orientation val="minMax"/>
        </c:scaling>
        <c:delete val="1"/>
        <c:axPos val="r"/>
        <c:numFmt formatCode="0.0" sourceLinked="1"/>
        <c:majorTickMark val="out"/>
        <c:minorTickMark val="none"/>
        <c:tickLblPos val="none"/>
        <c:crossAx val="326720896"/>
        <c:crosses val="max"/>
        <c:crossBetween val="between"/>
      </c:valAx>
      <c:catAx>
        <c:axId val="326720896"/>
        <c:scaling>
          <c:orientation val="minMax"/>
        </c:scaling>
        <c:delete val="1"/>
        <c:axPos val="b"/>
        <c:numFmt formatCode="General" sourceLinked="1"/>
        <c:majorTickMark val="out"/>
        <c:minorTickMark val="none"/>
        <c:tickLblPos val="none"/>
        <c:crossAx val="326719360"/>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7846087943437805"/>
          <c:w val="0.97570090670484499"/>
          <c:h val="0.21539120565621953"/>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c:v>
                </c:pt>
                <c:pt idx="1">
                  <c:v>2019</c:v>
                </c:pt>
                <c:pt idx="2">
                  <c:v>2020</c:v>
                </c:pt>
                <c:pt idx="3">
                  <c:v>2021*</c:v>
                </c:pt>
                <c:pt idx="4">
                  <c:v>2022*</c:v>
                </c:pt>
              </c:strCache>
            </c:strRef>
          </c:cat>
          <c:val>
            <c:numRef>
              <c:f>Sheet1!$B$2:$F$2</c:f>
              <c:numCache>
                <c:formatCode>0.0</c:formatCode>
                <c:ptCount val="5"/>
                <c:pt idx="0">
                  <c:v>39.667608515572965</c:v>
                </c:pt>
                <c:pt idx="1">
                  <c:v>41.985467543342466</c:v>
                </c:pt>
                <c:pt idx="2">
                  <c:v>29.764298371950591</c:v>
                </c:pt>
                <c:pt idx="3">
                  <c:v>32.581679137168507</c:v>
                </c:pt>
                <c:pt idx="4">
                  <c:v>34.5479475509227</c:v>
                </c:pt>
              </c:numCache>
            </c:numRef>
          </c:val>
          <c:extLst>
            <c:ext xmlns:c16="http://schemas.microsoft.com/office/drawing/2014/chart" uri="{C3380CC4-5D6E-409C-BE32-E72D297353CC}">
              <c16:uniqueId val="{00000000-1DD8-49E9-A4E6-6008240AD682}"/>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2018</c:v>
                </c:pt>
                <c:pt idx="1">
                  <c:v>2019</c:v>
                </c:pt>
                <c:pt idx="2">
                  <c:v>2020</c:v>
                </c:pt>
                <c:pt idx="3">
                  <c:v>2021*</c:v>
                </c:pt>
                <c:pt idx="4">
                  <c:v>2022*</c:v>
                </c:pt>
              </c:strCache>
            </c:strRef>
          </c:cat>
          <c:val>
            <c:numRef>
              <c:f>Sheet1!$B$3:$F$3</c:f>
              <c:numCache>
                <c:formatCode>0.0</c:formatCode>
                <c:ptCount val="5"/>
                <c:pt idx="0">
                  <c:v>53.31186683755206</c:v>
                </c:pt>
                <c:pt idx="1">
                  <c:v>55.164226569505161</c:v>
                </c:pt>
                <c:pt idx="2">
                  <c:v>39.70086105537515</c:v>
                </c:pt>
                <c:pt idx="3">
                  <c:v>42.199387534861046</c:v>
                </c:pt>
                <c:pt idx="4">
                  <c:v>45.412373162407064</c:v>
                </c:pt>
              </c:numCache>
            </c:numRef>
          </c:val>
          <c:extLst>
            <c:ext xmlns:c16="http://schemas.microsoft.com/office/drawing/2014/chart" uri="{C3380CC4-5D6E-409C-BE32-E72D297353CC}">
              <c16:uniqueId val="{00000001-1DD8-49E9-A4E6-6008240AD682}"/>
            </c:ext>
          </c:extLst>
        </c:ser>
        <c:dLbls>
          <c:showLegendKey val="0"/>
          <c:showVal val="0"/>
          <c:showCatName val="0"/>
          <c:showSerName val="0"/>
          <c:showPercent val="0"/>
          <c:showBubbleSize val="0"/>
        </c:dLbls>
        <c:gapWidth val="150"/>
        <c:axId val="326758784"/>
        <c:axId val="326589056"/>
      </c:barChart>
      <c:valAx>
        <c:axId val="326589056"/>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326758784"/>
        <c:crosses val="autoZero"/>
        <c:crossBetween val="between"/>
        <c:majorUnit val="10"/>
      </c:valAx>
      <c:catAx>
        <c:axId val="32675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589056"/>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-7.5999999999999943</c:v>
                </c:pt>
                <c:pt idx="1">
                  <c:v>-1</c:v>
                </c:pt>
                <c:pt idx="2">
                  <c:v>19.900000000000006</c:v>
                </c:pt>
                <c:pt idx="3">
                  <c:v>64.300000000000011</c:v>
                </c:pt>
                <c:pt idx="4">
                  <c:v>37.099999999999994</c:v>
                </c:pt>
                <c:pt idx="5">
                  <c:v>31.300000000000011</c:v>
                </c:pt>
                <c:pt idx="6">
                  <c:v>24.299999999999997</c:v>
                </c:pt>
                <c:pt idx="7">
                  <c:v>13.900000000000006</c:v>
                </c:pt>
              </c:numCache>
            </c:numRef>
          </c:val>
          <c:smooth val="0"/>
          <c:extLst>
            <c:ext xmlns:c16="http://schemas.microsoft.com/office/drawing/2014/chart" uri="{C3380CC4-5D6E-409C-BE32-E72D297353CC}">
              <c16:uniqueId val="{00000000-76D1-4096-A393-E536F583EA94}"/>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0"/>
              <c:layout>
                <c:manualLayout>
                  <c:x val="-2.6974951830443159E-2"/>
                  <c:y val="5.007824726134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D1-4096-A393-E536F583EA94}"/>
                </c:ext>
              </c:extLst>
            </c:dLbl>
            <c:dLbl>
              <c:idx val="1"/>
              <c:layout>
                <c:manualLayout>
                  <c:x val="-1.1560693641618497E-2"/>
                  <c:y val="5.63380281690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D1-4096-A393-E536F583EA94}"/>
                </c:ext>
              </c:extLst>
            </c:dLbl>
            <c:dLbl>
              <c:idx val="2"/>
              <c:delete val="1"/>
              <c:extLst>
                <c:ext xmlns:c15="http://schemas.microsoft.com/office/drawing/2012/chart" uri="{CE6537A1-D6FC-4f65-9D91-7224C49458BB}"/>
                <c:ext xmlns:c16="http://schemas.microsoft.com/office/drawing/2014/chart" uri="{C3380CC4-5D6E-409C-BE32-E72D297353CC}">
                  <c16:uniqueId val="{00000003-76D1-4096-A393-E536F583EA94}"/>
                </c:ext>
              </c:extLst>
            </c:dLbl>
            <c:dLbl>
              <c:idx val="3"/>
              <c:layout>
                <c:manualLayout>
                  <c:x val="-4.6242774566474062E-2"/>
                  <c:y val="6.4311116040072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D1-4096-A393-E536F583EA94}"/>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D1-4096-A393-E536F583EA94}"/>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D1-4096-A393-E536F583EA94}"/>
                </c:ext>
              </c:extLst>
            </c:dLbl>
            <c:dLbl>
              <c:idx val="6"/>
              <c:layout>
                <c:manualLayout>
                  <c:x val="-3.8535645472061654E-2"/>
                  <c:y val="5.68979581777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D1-4096-A393-E536F583EA94}"/>
                </c:ext>
              </c:extLst>
            </c:dLbl>
            <c:dLbl>
              <c:idx val="7"/>
              <c:layout>
                <c:manualLayout>
                  <c:x val="-2.6974951830443301E-2"/>
                  <c:y val="-6.1279804813130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D1-4096-A393-E536F583EA94}"/>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D1-4096-A393-E536F583EA94}"/>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D1-4096-A393-E536F583EA94}"/>
                </c:ext>
              </c:extLst>
            </c:dLbl>
            <c:spPr>
              <a:noFill/>
              <a:ln>
                <a:noFill/>
              </a:ln>
              <a:effectLst/>
            </c:spPr>
            <c:txPr>
              <a:bodyPr/>
              <a:lstStyle/>
              <a:p>
                <a:pPr>
                  <a:defRPr b="1">
                    <a:solidFill>
                      <a:srgbClr val="9900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-7.5999999999999801</c:v>
                </c:pt>
                <c:pt idx="1">
                  <c:v>-4.0966066481994545</c:v>
                </c:pt>
                <c:pt idx="2">
                  <c:v>3.7114366660808855</c:v>
                </c:pt>
                <c:pt idx="3">
                  <c:v>16.43022202826954</c:v>
                </c:pt>
                <c:pt idx="4">
                  <c:v>20.867873601539515</c:v>
                </c:pt>
                <c:pt idx="5">
                  <c:v>22.942751413008835</c:v>
                </c:pt>
                <c:pt idx="6">
                  <c:v>23.161063782467608</c:v>
                </c:pt>
                <c:pt idx="7">
                  <c:v>21.761863237321606</c:v>
                </c:pt>
              </c:numCache>
            </c:numRef>
          </c:val>
          <c:smooth val="0"/>
          <c:extLst>
            <c:ext xmlns:c16="http://schemas.microsoft.com/office/drawing/2014/chart" uri="{C3380CC4-5D6E-409C-BE32-E72D297353CC}">
              <c16:uniqueId val="{0000000B-76D1-4096-A393-E536F583EA94}"/>
            </c:ext>
          </c:extLst>
        </c:ser>
        <c:dLbls>
          <c:showLegendKey val="0"/>
          <c:showVal val="0"/>
          <c:showCatName val="0"/>
          <c:showSerName val="0"/>
          <c:showPercent val="0"/>
          <c:showBubbleSize val="0"/>
        </c:dLbls>
        <c:marker val="1"/>
        <c:smooth val="0"/>
        <c:axId val="326868352"/>
        <c:axId val="326902912"/>
      </c:lineChart>
      <c:catAx>
        <c:axId val="326868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02912"/>
        <c:crosses val="autoZero"/>
        <c:auto val="1"/>
        <c:lblAlgn val="ctr"/>
        <c:lblOffset val="100"/>
        <c:noMultiLvlLbl val="0"/>
      </c:catAx>
      <c:valAx>
        <c:axId val="326902912"/>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868352"/>
        <c:crosses val="autoZero"/>
        <c:crossBetween val="between"/>
        <c:majorUnit val="10"/>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5.4262288421377688E-2"/>
                  <c:y val="-3.1518347942356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2D-4F2C-8240-651F7C387591}"/>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2D-4F2C-8240-651F7C387591}"/>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2D-4F2C-8240-651F7C387591}"/>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2D-4F2C-8240-651F7C387591}"/>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2D-4F2C-8240-651F7C387591}"/>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2D-4F2C-8240-651F7C387591}"/>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2D-4F2C-8240-651F7C387591}"/>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2D-4F2C-8240-651F7C387591}"/>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2D-4F2C-8240-651F7C387591}"/>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Sheet1!$B$2:$H$2</c:f>
              <c:numCache>
                <c:formatCode>0.0</c:formatCode>
                <c:ptCount val="7"/>
                <c:pt idx="0">
                  <c:v>-16.333448913510452</c:v>
                </c:pt>
                <c:pt idx="1">
                  <c:v>-14.028754642553395</c:v>
                </c:pt>
                <c:pt idx="2">
                  <c:v>-7.9393825897907391</c:v>
                </c:pt>
                <c:pt idx="3">
                  <c:v>3.6916617016594415</c:v>
                </c:pt>
                <c:pt idx="4">
                  <c:v>4.853192802181681</c:v>
                </c:pt>
                <c:pt idx="5">
                  <c:v>5.1791005531108141</c:v>
                </c:pt>
                <c:pt idx="6">
                  <c:v>5.6232876574529627</c:v>
                </c:pt>
              </c:numCache>
            </c:numRef>
          </c:val>
          <c:smooth val="0"/>
          <c:extLst>
            <c:ext xmlns:c16="http://schemas.microsoft.com/office/drawing/2014/chart" uri="{C3380CC4-5D6E-409C-BE32-E72D297353CC}">
              <c16:uniqueId val="{00000009-DA2D-4F2C-8240-651F7C387591}"/>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Sheet1!$B$3:$H$3</c:f>
              <c:numCache>
                <c:formatCode>0.0</c:formatCode>
                <c:ptCount val="7"/>
                <c:pt idx="0">
                  <c:v>19.599999999999994</c:v>
                </c:pt>
                <c:pt idx="1">
                  <c:v>21.599999999999994</c:v>
                </c:pt>
                <c:pt idx="2">
                  <c:v>22.400000000000006</c:v>
                </c:pt>
                <c:pt idx="3">
                  <c:v>22.200000000000003</c:v>
                </c:pt>
                <c:pt idx="4">
                  <c:v>24.900000000000006</c:v>
                </c:pt>
                <c:pt idx="5">
                  <c:v>26.299999999999997</c:v>
                </c:pt>
                <c:pt idx="6">
                  <c:v>24.700000000000003</c:v>
                </c:pt>
              </c:numCache>
            </c:numRef>
          </c:val>
          <c:smooth val="0"/>
          <c:extLst>
            <c:ext xmlns:c16="http://schemas.microsoft.com/office/drawing/2014/chart" uri="{C3380CC4-5D6E-409C-BE32-E72D297353CC}">
              <c16:uniqueId val="{0000000A-DA2D-4F2C-8240-651F7C387591}"/>
            </c:ext>
          </c:extLst>
        </c:ser>
        <c:dLbls>
          <c:showLegendKey val="0"/>
          <c:showVal val="0"/>
          <c:showCatName val="0"/>
          <c:showSerName val="0"/>
          <c:showPercent val="0"/>
          <c:showBubbleSize val="0"/>
        </c:dLbls>
        <c:marker val="1"/>
        <c:smooth val="0"/>
        <c:axId val="326793856"/>
        <c:axId val="326959872"/>
      </c:lineChart>
      <c:catAx>
        <c:axId val="326793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59872"/>
        <c:crosses val="autoZero"/>
        <c:auto val="1"/>
        <c:lblAlgn val="ctr"/>
        <c:lblOffset val="100"/>
        <c:noMultiLvlLbl val="0"/>
      </c:catAx>
      <c:valAx>
        <c:axId val="326959872"/>
        <c:scaling>
          <c:orientation val="minMax"/>
          <c:max val="3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93856"/>
        <c:crosses val="autoZero"/>
        <c:crossBetween val="between"/>
        <c:majorUnit val="10"/>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3.7</c:v>
                </c:pt>
                <c:pt idx="1">
                  <c:v>1</c:v>
                </c:pt>
                <c:pt idx="2">
                  <c:v>-8.1</c:v>
                </c:pt>
                <c:pt idx="3">
                  <c:v>7.79</c:v>
                </c:pt>
                <c:pt idx="4">
                  <c:v>6.3</c:v>
                </c:pt>
              </c:numCache>
            </c:numRef>
          </c:val>
          <c:extLst>
            <c:ext xmlns:c16="http://schemas.microsoft.com/office/drawing/2014/chart" uri="{C3380CC4-5D6E-409C-BE32-E72D297353CC}">
              <c16:uniqueId val="{00000000-B056-4F8C-9CB7-9F94E26D741E}"/>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4.0730000000000004</c:v>
                </c:pt>
                <c:pt idx="1">
                  <c:v>0.73499999999999999</c:v>
                </c:pt>
                <c:pt idx="2">
                  <c:v>-8.9</c:v>
                </c:pt>
                <c:pt idx="3">
                  <c:v>9.1</c:v>
                </c:pt>
                <c:pt idx="4">
                  <c:v>6.75</c:v>
                </c:pt>
              </c:numCache>
            </c:numRef>
          </c:val>
          <c:extLst>
            <c:ext xmlns:c16="http://schemas.microsoft.com/office/drawing/2014/chart" uri="{C3380CC4-5D6E-409C-BE32-E72D297353CC}">
              <c16:uniqueId val="{00000001-B056-4F8C-9CB7-9F94E26D741E}"/>
            </c:ext>
          </c:extLst>
        </c:ser>
        <c:dLbls>
          <c:showLegendKey val="0"/>
          <c:showVal val="0"/>
          <c:showCatName val="0"/>
          <c:showSerName val="0"/>
          <c:showPercent val="0"/>
          <c:showBubbleSize val="0"/>
        </c:dLbls>
        <c:gapWidth val="150"/>
        <c:axId val="281591808"/>
        <c:axId val="281593344"/>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3.8860000000000001</c:v>
                </c:pt>
                <c:pt idx="1">
                  <c:v>0.85199999999999998</c:v>
                </c:pt>
                <c:pt idx="2">
                  <c:v>-8.5</c:v>
                </c:pt>
                <c:pt idx="3">
                  <c:v>8.4</c:v>
                </c:pt>
                <c:pt idx="4">
                  <c:v>6.5</c:v>
                </c:pt>
              </c:numCache>
            </c:numRef>
          </c:val>
          <c:smooth val="0"/>
          <c:extLst>
            <c:ext xmlns:c16="http://schemas.microsoft.com/office/drawing/2014/chart" uri="{C3380CC4-5D6E-409C-BE32-E72D297353CC}">
              <c16:uniqueId val="{00000002-B056-4F8C-9CB7-9F94E26D741E}"/>
            </c:ext>
          </c:extLst>
        </c:ser>
        <c:dLbls>
          <c:showLegendKey val="0"/>
          <c:showVal val="0"/>
          <c:showCatName val="0"/>
          <c:showSerName val="0"/>
          <c:showPercent val="0"/>
          <c:showBubbleSize val="0"/>
        </c:dLbls>
        <c:marker val="1"/>
        <c:smooth val="0"/>
        <c:axId val="281591808"/>
        <c:axId val="281593344"/>
      </c:lineChart>
      <c:catAx>
        <c:axId val="281591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93344"/>
        <c:crosses val="autoZero"/>
        <c:auto val="1"/>
        <c:lblAlgn val="ctr"/>
        <c:lblOffset val="100"/>
        <c:noMultiLvlLbl val="0"/>
      </c:catAx>
      <c:valAx>
        <c:axId val="28159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9180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Sheet1!$B$2:$H$2</c:f>
              <c:numCache>
                <c:formatCode>0.0</c:formatCode>
                <c:ptCount val="7"/>
                <c:pt idx="0">
                  <c:v>-15.782192675769508</c:v>
                </c:pt>
                <c:pt idx="1">
                  <c:v>-13.929290550657313</c:v>
                </c:pt>
                <c:pt idx="2">
                  <c:v>-9.3586397895597031</c:v>
                </c:pt>
                <c:pt idx="3">
                  <c:v>0.48781203042173615</c:v>
                </c:pt>
                <c:pt idx="4">
                  <c:v>6.2464955928162738</c:v>
                </c:pt>
                <c:pt idx="5">
                  <c:v>6.355805871933768</c:v>
                </c:pt>
                <c:pt idx="6">
                  <c:v>7.7648456633481402</c:v>
                </c:pt>
              </c:numCache>
            </c:numRef>
          </c:val>
          <c:smooth val="0"/>
          <c:extLst>
            <c:ext xmlns:c16="http://schemas.microsoft.com/office/drawing/2014/chart" uri="{C3380CC4-5D6E-409C-BE32-E72D297353CC}">
              <c16:uniqueId val="{00000000-D2B3-4531-90D3-504651AFCBF7}"/>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Sheet1!$B$3:$H$3</c:f>
              <c:numCache>
                <c:formatCode>0.0</c:formatCode>
                <c:ptCount val="7"/>
                <c:pt idx="0">
                  <c:v>3.9000000000000057</c:v>
                </c:pt>
                <c:pt idx="1">
                  <c:v>4.7000000000000028</c:v>
                </c:pt>
                <c:pt idx="2">
                  <c:v>6.7999999999999972</c:v>
                </c:pt>
                <c:pt idx="3">
                  <c:v>8.0999999999999943</c:v>
                </c:pt>
                <c:pt idx="4">
                  <c:v>8.9000000000000057</c:v>
                </c:pt>
                <c:pt idx="5">
                  <c:v>10</c:v>
                </c:pt>
                <c:pt idx="6">
                  <c:v>9.7999999999999972</c:v>
                </c:pt>
              </c:numCache>
            </c:numRef>
          </c:val>
          <c:smooth val="0"/>
          <c:extLst>
            <c:ext xmlns:c16="http://schemas.microsoft.com/office/drawing/2014/chart" uri="{C3380CC4-5D6E-409C-BE32-E72D297353CC}">
              <c16:uniqueId val="{00000001-D2B3-4531-90D3-504651AFCBF7}"/>
            </c:ext>
          </c:extLst>
        </c:ser>
        <c:dLbls>
          <c:showLegendKey val="0"/>
          <c:showVal val="0"/>
          <c:showCatName val="0"/>
          <c:showSerName val="0"/>
          <c:showPercent val="0"/>
          <c:showBubbleSize val="0"/>
        </c:dLbls>
        <c:marker val="1"/>
        <c:smooth val="0"/>
        <c:axId val="327027328"/>
        <c:axId val="327029504"/>
      </c:lineChart>
      <c:catAx>
        <c:axId val="32702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9504"/>
        <c:crosses val="autoZero"/>
        <c:auto val="1"/>
        <c:lblAlgn val="ctr"/>
        <c:lblOffset val="100"/>
        <c:noMultiLvlLbl val="0"/>
      </c:catAx>
      <c:valAx>
        <c:axId val="327029504"/>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7328"/>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-19.5</c:v>
                </c:pt>
                <c:pt idx="1">
                  <c:v>-15.599999999999994</c:v>
                </c:pt>
                <c:pt idx="2">
                  <c:v>1.4000000000000057</c:v>
                </c:pt>
                <c:pt idx="3">
                  <c:v>39</c:v>
                </c:pt>
                <c:pt idx="4">
                  <c:v>34.699999999999989</c:v>
                </c:pt>
                <c:pt idx="5">
                  <c:v>15.900000000000006</c:v>
                </c:pt>
                <c:pt idx="6">
                  <c:v>22.599999999999994</c:v>
                </c:pt>
                <c:pt idx="7">
                  <c:v>-7.2999999999999972</c:v>
                </c:pt>
              </c:numCache>
            </c:numRef>
          </c:val>
          <c:smooth val="0"/>
          <c:extLst>
            <c:ext xmlns:c16="http://schemas.microsoft.com/office/drawing/2014/chart" uri="{C3380CC4-5D6E-409C-BE32-E72D297353CC}">
              <c16:uniqueId val="{00000000-EE23-43DF-B46F-65FB27B714E2}"/>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b="1">
                    <a:solidFill>
                      <a:srgbClr val="990033"/>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-19.499999999999986</c:v>
                </c:pt>
                <c:pt idx="1">
                  <c:v>-17.362186882073999</c:v>
                </c:pt>
                <c:pt idx="2">
                  <c:v>-10.936176816043599</c:v>
                </c:pt>
                <c:pt idx="3">
                  <c:v>7.998177219646152E-2</c:v>
                </c:pt>
                <c:pt idx="4">
                  <c:v>6.6190706655119271</c:v>
                </c:pt>
                <c:pt idx="5">
                  <c:v>8.2858067414749712</c:v>
                </c:pt>
                <c:pt idx="6">
                  <c:v>10.537632413553482</c:v>
                </c:pt>
                <c:pt idx="7">
                  <c:v>7.6770114832931426</c:v>
                </c:pt>
              </c:numCache>
            </c:numRef>
          </c:val>
          <c:smooth val="0"/>
          <c:extLst>
            <c:ext xmlns:c16="http://schemas.microsoft.com/office/drawing/2014/chart" uri="{C3380CC4-5D6E-409C-BE32-E72D297353CC}">
              <c16:uniqueId val="{00000001-EE23-43DF-B46F-65FB27B714E2}"/>
            </c:ext>
          </c:extLst>
        </c:ser>
        <c:dLbls>
          <c:showLegendKey val="0"/>
          <c:showVal val="0"/>
          <c:showCatName val="0"/>
          <c:showSerName val="0"/>
          <c:showPercent val="0"/>
          <c:showBubbleSize val="0"/>
        </c:dLbls>
        <c:marker val="1"/>
        <c:smooth val="0"/>
        <c:axId val="327015808"/>
        <c:axId val="327083136"/>
      </c:lineChart>
      <c:catAx>
        <c:axId val="327015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83136"/>
        <c:crosses val="autoZero"/>
        <c:auto val="1"/>
        <c:lblAlgn val="ctr"/>
        <c:lblOffset val="100"/>
        <c:noMultiLvlLbl val="0"/>
      </c:catAx>
      <c:valAx>
        <c:axId val="327083136"/>
        <c:scaling>
          <c:orientation val="minMax"/>
          <c:max val="4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15808"/>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Sheet1!$B$1:$E$1</c:f>
              <c:strCache>
                <c:ptCount val="4"/>
                <c:pt idx="0">
                  <c:v>2018</c:v>
                </c:pt>
                <c:pt idx="1">
                  <c:v>2019</c:v>
                </c:pt>
                <c:pt idx="2">
                  <c:v>2020</c:v>
                </c:pt>
                <c:pt idx="3">
                  <c:v>2021*</c:v>
                </c:pt>
              </c:strCache>
            </c:strRef>
          </c:cat>
          <c:val>
            <c:numRef>
              <c:f>Sheet1!$B$2:$E$2</c:f>
              <c:numCache>
                <c:formatCode>0.0</c:formatCode>
                <c:ptCount val="4"/>
                <c:pt idx="0">
                  <c:v>39.667608515572965</c:v>
                </c:pt>
                <c:pt idx="1">
                  <c:v>41.985467543342466</c:v>
                </c:pt>
                <c:pt idx="2">
                  <c:v>29.764298371950591</c:v>
                </c:pt>
                <c:pt idx="3">
                  <c:v>32.581679137168507</c:v>
                </c:pt>
              </c:numCache>
            </c:numRef>
          </c:val>
          <c:extLst>
            <c:ext xmlns:c16="http://schemas.microsoft.com/office/drawing/2014/chart" uri="{C3380CC4-5D6E-409C-BE32-E72D297353CC}">
              <c16:uniqueId val="{00000000-EF74-484D-90B7-3F6AA5D818E2}"/>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Sheet1!$B$1:$E$1</c:f>
              <c:strCache>
                <c:ptCount val="4"/>
                <c:pt idx="0">
                  <c:v>2018</c:v>
                </c:pt>
                <c:pt idx="1">
                  <c:v>2019</c:v>
                </c:pt>
                <c:pt idx="2">
                  <c:v>2020</c:v>
                </c:pt>
                <c:pt idx="3">
                  <c:v>2021*</c:v>
                </c:pt>
              </c:strCache>
            </c:strRef>
          </c:cat>
          <c:val>
            <c:numRef>
              <c:f>Sheet1!$B$3:$E$3</c:f>
              <c:numCache>
                <c:formatCode>0.0</c:formatCode>
                <c:ptCount val="4"/>
                <c:pt idx="0">
                  <c:v>12.066791952367396</c:v>
                </c:pt>
                <c:pt idx="1">
                  <c:v>15.709804500958342</c:v>
                </c:pt>
                <c:pt idx="2">
                  <c:v>-34.198868672796166</c:v>
                </c:pt>
                <c:pt idx="3">
                  <c:v>20.161771070210449</c:v>
                </c:pt>
              </c:numCache>
            </c:numRef>
          </c:val>
          <c:extLst>
            <c:ext xmlns:c16="http://schemas.microsoft.com/office/drawing/2014/chart" uri="{C3380CC4-5D6E-409C-BE32-E72D297353CC}">
              <c16:uniqueId val="{00000001-EF74-484D-90B7-3F6AA5D818E2}"/>
            </c:ext>
          </c:extLst>
        </c:ser>
        <c:dLbls>
          <c:showLegendKey val="0"/>
          <c:showVal val="0"/>
          <c:showCatName val="0"/>
          <c:showSerName val="0"/>
          <c:showPercent val="0"/>
          <c:showBubbleSize val="0"/>
        </c:dLbls>
        <c:gapWidth val="150"/>
        <c:axId val="327142784"/>
        <c:axId val="327156864"/>
      </c:barChart>
      <c:catAx>
        <c:axId val="32714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56864"/>
        <c:crosses val="autoZero"/>
        <c:auto val="1"/>
        <c:lblAlgn val="ctr"/>
        <c:lblOffset val="100"/>
        <c:noMultiLvlLbl val="0"/>
      </c:catAx>
      <c:valAx>
        <c:axId val="327156864"/>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42784"/>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Sheet1!$B$1:$E$1</c:f>
              <c:strCache>
                <c:ptCount val="4"/>
                <c:pt idx="0">
                  <c:v>2018</c:v>
                </c:pt>
                <c:pt idx="1">
                  <c:v>2019</c:v>
                </c:pt>
                <c:pt idx="2">
                  <c:v>2020</c:v>
                </c:pt>
                <c:pt idx="3">
                  <c:v>2021*</c:v>
                </c:pt>
              </c:strCache>
            </c:strRef>
          </c:cat>
          <c:val>
            <c:numRef>
              <c:f>Sheet1!$B$2:$E$2</c:f>
              <c:numCache>
                <c:formatCode>0.0</c:formatCode>
                <c:ptCount val="4"/>
                <c:pt idx="0">
                  <c:v>53.31186683755206</c:v>
                </c:pt>
                <c:pt idx="1">
                  <c:v>55.164226569505161</c:v>
                </c:pt>
                <c:pt idx="2">
                  <c:v>39.70086105537515</c:v>
                </c:pt>
                <c:pt idx="3">
                  <c:v>42.199387534861046</c:v>
                </c:pt>
              </c:numCache>
            </c:numRef>
          </c:val>
          <c:extLst>
            <c:ext xmlns:c16="http://schemas.microsoft.com/office/drawing/2014/chart" uri="{C3380CC4-5D6E-409C-BE32-E72D297353CC}">
              <c16:uniqueId val="{00000000-F981-4866-A4D6-5B86DF9A97AF}"/>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Sheet1!$B$1:$E$1</c:f>
              <c:strCache>
                <c:ptCount val="4"/>
                <c:pt idx="0">
                  <c:v>2018</c:v>
                </c:pt>
                <c:pt idx="1">
                  <c:v>2019</c:v>
                </c:pt>
                <c:pt idx="2">
                  <c:v>2020</c:v>
                </c:pt>
                <c:pt idx="3">
                  <c:v>2021*</c:v>
                </c:pt>
              </c:strCache>
            </c:strRef>
          </c:cat>
          <c:val>
            <c:numRef>
              <c:f>Sheet1!$B$3:$E$3</c:f>
              <c:numCache>
                <c:formatCode>0.0</c:formatCode>
                <c:ptCount val="4"/>
                <c:pt idx="0">
                  <c:v>17.537608776426111</c:v>
                </c:pt>
                <c:pt idx="1">
                  <c:v>13.120372725442422</c:v>
                </c:pt>
                <c:pt idx="2">
                  <c:v>-33.19959470782247</c:v>
                </c:pt>
                <c:pt idx="3">
                  <c:v>16.679545712550791</c:v>
                </c:pt>
              </c:numCache>
            </c:numRef>
          </c:val>
          <c:extLst>
            <c:ext xmlns:c16="http://schemas.microsoft.com/office/drawing/2014/chart" uri="{C3380CC4-5D6E-409C-BE32-E72D297353CC}">
              <c16:uniqueId val="{00000001-F981-4866-A4D6-5B86DF9A97AF}"/>
            </c:ext>
          </c:extLst>
        </c:ser>
        <c:dLbls>
          <c:showLegendKey val="0"/>
          <c:showVal val="0"/>
          <c:showCatName val="0"/>
          <c:showSerName val="0"/>
          <c:showPercent val="0"/>
          <c:showBubbleSize val="0"/>
        </c:dLbls>
        <c:gapWidth val="150"/>
        <c:axId val="327860608"/>
        <c:axId val="327862144"/>
      </c:barChart>
      <c:catAx>
        <c:axId val="327860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2144"/>
        <c:crosses val="autoZero"/>
        <c:auto val="1"/>
        <c:lblAlgn val="ctr"/>
        <c:lblOffset val="100"/>
        <c:noMultiLvlLbl val="0"/>
      </c:catAx>
      <c:valAx>
        <c:axId val="32786214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0608"/>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0622581751751"/>
          <c:y val="6.2146892655367263E-2"/>
          <c:w val="0.79139809651453141"/>
          <c:h val="0.61186351706036746"/>
        </c:manualLayout>
      </c:layout>
      <c:lineChart>
        <c:grouping val="standard"/>
        <c:varyColors val="0"/>
        <c:ser>
          <c:idx val="0"/>
          <c:order val="0"/>
          <c:tx>
            <c:strRef>
              <c:f>Sheet1!$B$1</c:f>
              <c:strCache>
                <c:ptCount val="1"/>
                <c:pt idx="0">
                  <c:v> USD/AMD </c:v>
                </c:pt>
              </c:strCache>
            </c:strRef>
          </c:tx>
          <c:spPr>
            <a:ln w="28575" cap="rnd">
              <a:solidFill>
                <a:srgbClr val="0070C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Sheet1!$B$2:$B$423</c:f>
              <c:numCache>
                <c:formatCode>0</c:formatCode>
                <c:ptCount val="422"/>
                <c:pt idx="0">
                  <c:v>100</c:v>
                </c:pt>
                <c:pt idx="1">
                  <c:v>100.02918977523873</c:v>
                </c:pt>
                <c:pt idx="2">
                  <c:v>100.10432750490341</c:v>
                </c:pt>
                <c:pt idx="3">
                  <c:v>100.0834445927904</c:v>
                </c:pt>
                <c:pt idx="4">
                  <c:v>100.07718141805213</c:v>
                </c:pt>
                <c:pt idx="5">
                  <c:v>100.02710422617436</c:v>
                </c:pt>
                <c:pt idx="6">
                  <c:v>100.00000000000001</c:v>
                </c:pt>
                <c:pt idx="7">
                  <c:v>100.03127541127168</c:v>
                </c:pt>
                <c:pt idx="8">
                  <c:v>100.08762047815749</c:v>
                </c:pt>
                <c:pt idx="9">
                  <c:v>100.08970855151985</c:v>
                </c:pt>
                <c:pt idx="10">
                  <c:v>100.17957820004179</c:v>
                </c:pt>
                <c:pt idx="11">
                  <c:v>100.21515259123099</c:v>
                </c:pt>
                <c:pt idx="12">
                  <c:v>100.18585419842549</c:v>
                </c:pt>
                <c:pt idx="13">
                  <c:v>100.24656274812992</c:v>
                </c:pt>
                <c:pt idx="14">
                  <c:v>100.22352670830811</c:v>
                </c:pt>
                <c:pt idx="15">
                  <c:v>100.24237358963646</c:v>
                </c:pt>
                <c:pt idx="16">
                  <c:v>100.20887292171446</c:v>
                </c:pt>
                <c:pt idx="17">
                  <c:v>100.19003863422786</c:v>
                </c:pt>
                <c:pt idx="18">
                  <c:v>100.20050125313286</c:v>
                </c:pt>
                <c:pt idx="19">
                  <c:v>100.21724598930484</c:v>
                </c:pt>
                <c:pt idx="20">
                  <c:v>100.19003863422786</c:v>
                </c:pt>
                <c:pt idx="21">
                  <c:v>100.26960937989844</c:v>
                </c:pt>
                <c:pt idx="22">
                  <c:v>100.1628460478517</c:v>
                </c:pt>
                <c:pt idx="23">
                  <c:v>100.14820999895629</c:v>
                </c:pt>
                <c:pt idx="24">
                  <c:v>100.0980617162887</c:v>
                </c:pt>
                <c:pt idx="25">
                  <c:v>100.13566821815452</c:v>
                </c:pt>
                <c:pt idx="26">
                  <c:v>100.1482099989563</c:v>
                </c:pt>
                <c:pt idx="27">
                  <c:v>100.1482099989563</c:v>
                </c:pt>
                <c:pt idx="28">
                  <c:v>100.16911994989042</c:v>
                </c:pt>
                <c:pt idx="29">
                  <c:v>100.23609050832587</c:v>
                </c:pt>
                <c:pt idx="30">
                  <c:v>100.29057006083158</c:v>
                </c:pt>
                <c:pt idx="31">
                  <c:v>100.29476324866729</c:v>
                </c:pt>
                <c:pt idx="32">
                  <c:v>100.28008862505749</c:v>
                </c:pt>
                <c:pt idx="33">
                  <c:v>100.29895678715532</c:v>
                </c:pt>
                <c:pt idx="34">
                  <c:v>100.28637722360418</c:v>
                </c:pt>
                <c:pt idx="35">
                  <c:v>100.26541829505319</c:v>
                </c:pt>
                <c:pt idx="36">
                  <c:v>100.24237358963644</c:v>
                </c:pt>
                <c:pt idx="37">
                  <c:v>100.20050125313283</c:v>
                </c:pt>
                <c:pt idx="38">
                  <c:v>100.18585419842545</c:v>
                </c:pt>
                <c:pt idx="39">
                  <c:v>100.13357822674902</c:v>
                </c:pt>
                <c:pt idx="40">
                  <c:v>100.03336113427854</c:v>
                </c:pt>
                <c:pt idx="41">
                  <c:v>99.987495310741508</c:v>
                </c:pt>
                <c:pt idx="42">
                  <c:v>99.850149850149819</c:v>
                </c:pt>
                <c:pt idx="43">
                  <c:v>99.516687755398337</c:v>
                </c:pt>
                <c:pt idx="44">
                  <c:v>99.323023414694717</c:v>
                </c:pt>
                <c:pt idx="45">
                  <c:v>99.056428468193147</c:v>
                </c:pt>
                <c:pt idx="46">
                  <c:v>98.341703392436173</c:v>
                </c:pt>
                <c:pt idx="47">
                  <c:v>97.950183748468746</c:v>
                </c:pt>
                <c:pt idx="48">
                  <c:v>97.758578531257626</c:v>
                </c:pt>
                <c:pt idx="49">
                  <c:v>97.804415632071411</c:v>
                </c:pt>
                <c:pt idx="50">
                  <c:v>97.468611596440581</c:v>
                </c:pt>
                <c:pt idx="51">
                  <c:v>97.200048624336461</c:v>
                </c:pt>
                <c:pt idx="52">
                  <c:v>96.919254156481671</c:v>
                </c:pt>
                <c:pt idx="53">
                  <c:v>96.837091011848273</c:v>
                </c:pt>
                <c:pt idx="54">
                  <c:v>96.739459197870644</c:v>
                </c:pt>
                <c:pt idx="55">
                  <c:v>96.484594964202373</c:v>
                </c:pt>
                <c:pt idx="56">
                  <c:v>96.254238308288009</c:v>
                </c:pt>
                <c:pt idx="57">
                  <c:v>95.798722044728422</c:v>
                </c:pt>
                <c:pt idx="58">
                  <c:v>95.101789997423012</c:v>
                </c:pt>
                <c:pt idx="59">
                  <c:v>95.009505703422036</c:v>
                </c:pt>
                <c:pt idx="60">
                  <c:v>95.096134786917716</c:v>
                </c:pt>
                <c:pt idx="61">
                  <c:v>95.385410660675547</c:v>
                </c:pt>
                <c:pt idx="62">
                  <c:v>95.655468049047897</c:v>
                </c:pt>
                <c:pt idx="63">
                  <c:v>96.07305204557737</c:v>
                </c:pt>
                <c:pt idx="64">
                  <c:v>96.612831769301977</c:v>
                </c:pt>
                <c:pt idx="65">
                  <c:v>97.294666396268454</c:v>
                </c:pt>
                <c:pt idx="66">
                  <c:v>97.6749867665621</c:v>
                </c:pt>
                <c:pt idx="67">
                  <c:v>98.608513349639239</c:v>
                </c:pt>
                <c:pt idx="68">
                  <c:v>98.813643104300496</c:v>
                </c:pt>
                <c:pt idx="69">
                  <c:v>98.691681066403305</c:v>
                </c:pt>
                <c:pt idx="70">
                  <c:v>99.007367356625409</c:v>
                </c:pt>
                <c:pt idx="71">
                  <c:v>99.132159682618351</c:v>
                </c:pt>
                <c:pt idx="72">
                  <c:v>99.42800298433221</c:v>
                </c:pt>
                <c:pt idx="73">
                  <c:v>99.769168382307015</c:v>
                </c:pt>
                <c:pt idx="74">
                  <c:v>99.989579208436609</c:v>
                </c:pt>
                <c:pt idx="75">
                  <c:v>100.01876289949332</c:v>
                </c:pt>
                <c:pt idx="76">
                  <c:v>100.03753284123601</c:v>
                </c:pt>
                <c:pt idx="77">
                  <c:v>100.02710422617427</c:v>
                </c:pt>
                <c:pt idx="78">
                  <c:v>100.05005005004998</c:v>
                </c:pt>
                <c:pt idx="79">
                  <c:v>100.10015022533794</c:v>
                </c:pt>
                <c:pt idx="80">
                  <c:v>99.949999999999932</c:v>
                </c:pt>
                <c:pt idx="81">
                  <c:v>99.810680924542751</c:v>
                </c:pt>
                <c:pt idx="82">
                  <c:v>99.541465236425424</c:v>
                </c:pt>
                <c:pt idx="83">
                  <c:v>99.300409819099983</c:v>
                </c:pt>
                <c:pt idx="84">
                  <c:v>99.101443886719878</c:v>
                </c:pt>
                <c:pt idx="85">
                  <c:v>98.711987161022108</c:v>
                </c:pt>
                <c:pt idx="86">
                  <c:v>98.483013445550583</c:v>
                </c:pt>
                <c:pt idx="87">
                  <c:v>98.380018865603006</c:v>
                </c:pt>
                <c:pt idx="88">
                  <c:v>98.130497034158239</c:v>
                </c:pt>
                <c:pt idx="89">
                  <c:v>98.333640779683861</c:v>
                </c:pt>
                <c:pt idx="90">
                  <c:v>98.740429735737138</c:v>
                </c:pt>
                <c:pt idx="91">
                  <c:v>98.991024450634413</c:v>
                </c:pt>
                <c:pt idx="92">
                  <c:v>99.199801501147505</c:v>
                </c:pt>
                <c:pt idx="93">
                  <c:v>99.601395117090107</c:v>
                </c:pt>
                <c:pt idx="94">
                  <c:v>99.53733479947708</c:v>
                </c:pt>
                <c:pt idx="95">
                  <c:v>99.485733244857244</c:v>
                </c:pt>
                <c:pt idx="96">
                  <c:v>99.329192546583769</c:v>
                </c:pt>
                <c:pt idx="97">
                  <c:v>99.160844942333853</c:v>
                </c:pt>
                <c:pt idx="98">
                  <c:v>99.142402512863882</c:v>
                </c:pt>
                <c:pt idx="99">
                  <c:v>99.325079706844377</c:v>
                </c:pt>
                <c:pt idx="100">
                  <c:v>99.434185164459308</c:v>
                </c:pt>
                <c:pt idx="101">
                  <c:v>99.456859737136654</c:v>
                </c:pt>
                <c:pt idx="102">
                  <c:v>99.512559374416583</c:v>
                </c:pt>
                <c:pt idx="103">
                  <c:v>99.588989911570508</c:v>
                </c:pt>
                <c:pt idx="104">
                  <c:v>99.655186739229734</c:v>
                </c:pt>
                <c:pt idx="105">
                  <c:v>99.694532759802954</c:v>
                </c:pt>
                <c:pt idx="106">
                  <c:v>99.735983202710798</c:v>
                </c:pt>
                <c:pt idx="107">
                  <c:v>99.615871763460007</c:v>
                </c:pt>
                <c:pt idx="108">
                  <c:v>99.578654600552056</c:v>
                </c:pt>
                <c:pt idx="109">
                  <c:v>99.657256808126078</c:v>
                </c:pt>
                <c:pt idx="110">
                  <c:v>99.686246805327514</c:v>
                </c:pt>
                <c:pt idx="111">
                  <c:v>99.881331584535573</c:v>
                </c:pt>
                <c:pt idx="112">
                  <c:v>99.964578167649393</c:v>
                </c:pt>
                <c:pt idx="113">
                  <c:v>100.01876289949335</c:v>
                </c:pt>
                <c:pt idx="114">
                  <c:v>100.16075492181461</c:v>
                </c:pt>
                <c:pt idx="115">
                  <c:v>100.06883173768847</c:v>
                </c:pt>
                <c:pt idx="116">
                  <c:v>99.933344442592869</c:v>
                </c:pt>
                <c:pt idx="117">
                  <c:v>99.680033243299349</c:v>
                </c:pt>
                <c:pt idx="118">
                  <c:v>99.547661534630819</c:v>
                </c:pt>
                <c:pt idx="119">
                  <c:v>99.44449050659145</c:v>
                </c:pt>
                <c:pt idx="120">
                  <c:v>99.460983497802417</c:v>
                </c:pt>
                <c:pt idx="121">
                  <c:v>99.42800298433221</c:v>
                </c:pt>
                <c:pt idx="122">
                  <c:v>99.255213505461725</c:v>
                </c:pt>
                <c:pt idx="123">
                  <c:v>99.156746031745996</c:v>
                </c:pt>
                <c:pt idx="124">
                  <c:v>99.052338185196604</c:v>
                </c:pt>
                <c:pt idx="125">
                  <c:v>98.895118733509179</c:v>
                </c:pt>
                <c:pt idx="126">
                  <c:v>98.768888705891996</c:v>
                </c:pt>
                <c:pt idx="127">
                  <c:v>98.594327990135582</c:v>
                </c:pt>
                <c:pt idx="128">
                  <c:v>98.567994576048264</c:v>
                </c:pt>
                <c:pt idx="129">
                  <c:v>98.606486619805096</c:v>
                </c:pt>
                <c:pt idx="130">
                  <c:v>98.793295169062176</c:v>
                </c:pt>
                <c:pt idx="131">
                  <c:v>99.021671826625337</c:v>
                </c:pt>
                <c:pt idx="132">
                  <c:v>99.197750392854147</c:v>
                </c:pt>
                <c:pt idx="133">
                  <c:v>99.40740126807836</c:v>
                </c:pt>
                <c:pt idx="134">
                  <c:v>99.368281518609763</c:v>
                </c:pt>
                <c:pt idx="135">
                  <c:v>99.185445524085139</c:v>
                </c:pt>
                <c:pt idx="136">
                  <c:v>99.091209517514827</c:v>
                </c:pt>
                <c:pt idx="137">
                  <c:v>98.880850800717212</c:v>
                </c:pt>
                <c:pt idx="138">
                  <c:v>98.860475179789361</c:v>
                </c:pt>
                <c:pt idx="139">
                  <c:v>98.92570674474706</c:v>
                </c:pt>
                <c:pt idx="140">
                  <c:v>98.993067018818067</c:v>
                </c:pt>
                <c:pt idx="141">
                  <c:v>99.038024854465107</c:v>
                </c:pt>
                <c:pt idx="142">
                  <c:v>98.886965124907221</c:v>
                </c:pt>
                <c:pt idx="143">
                  <c:v>98.852327282467584</c:v>
                </c:pt>
                <c:pt idx="144">
                  <c:v>98.750591770783998</c:v>
                </c:pt>
                <c:pt idx="145">
                  <c:v>98.785158341226349</c:v>
                </c:pt>
                <c:pt idx="146">
                  <c:v>98.813643104300525</c:v>
                </c:pt>
                <c:pt idx="147">
                  <c:v>98.882888824766042</c:v>
                </c:pt>
                <c:pt idx="148">
                  <c:v>98.919587628865955</c:v>
                </c:pt>
                <c:pt idx="149">
                  <c:v>98.872699544545853</c:v>
                </c:pt>
                <c:pt idx="150">
                  <c:v>98.854364130882686</c:v>
                </c:pt>
                <c:pt idx="151">
                  <c:v>98.919587628865955</c:v>
                </c:pt>
                <c:pt idx="152">
                  <c:v>98.884926932827639</c:v>
                </c:pt>
                <c:pt idx="153">
                  <c:v>98.954272631644059</c:v>
                </c:pt>
                <c:pt idx="154">
                  <c:v>98.991024450634455</c:v>
                </c:pt>
                <c:pt idx="155">
                  <c:v>99.080977261931793</c:v>
                </c:pt>
                <c:pt idx="156">
                  <c:v>99.062564526120156</c:v>
                </c:pt>
                <c:pt idx="157">
                  <c:v>98.976728833140768</c:v>
                </c:pt>
                <c:pt idx="158">
                  <c:v>98.909390784455198</c:v>
                </c:pt>
                <c:pt idx="159">
                  <c:v>98.868624420401844</c:v>
                </c:pt>
                <c:pt idx="160">
                  <c:v>98.77498919108109</c:v>
                </c:pt>
                <c:pt idx="161">
                  <c:v>98.478970379949502</c:v>
                </c:pt>
                <c:pt idx="162">
                  <c:v>98.507278812393508</c:v>
                </c:pt>
                <c:pt idx="163">
                  <c:v>98.464822264181933</c:v>
                </c:pt>
                <c:pt idx="164">
                  <c:v>98.472906403940897</c:v>
                </c:pt>
                <c:pt idx="165">
                  <c:v>98.541675224910662</c:v>
                </c:pt>
                <c:pt idx="166">
                  <c:v>98.454718955857913</c:v>
                </c:pt>
                <c:pt idx="167">
                  <c:v>98.41634528596046</c:v>
                </c:pt>
                <c:pt idx="168">
                  <c:v>98.311475409836078</c:v>
                </c:pt>
                <c:pt idx="169">
                  <c:v>98.287306400065575</c:v>
                </c:pt>
                <c:pt idx="170">
                  <c:v>98.196778353153093</c:v>
                </c:pt>
                <c:pt idx="171">
                  <c:v>98.148564882060526</c:v>
                </c:pt>
                <c:pt idx="172">
                  <c:v>98.245039215284763</c:v>
                </c:pt>
                <c:pt idx="173">
                  <c:v>98.378001517419563</c:v>
                </c:pt>
                <c:pt idx="174">
                  <c:v>98.640952361370978</c:v>
                </c:pt>
                <c:pt idx="175">
                  <c:v>98.856401063237939</c:v>
                </c:pt>
                <c:pt idx="176">
                  <c:v>98.933866743653724</c:v>
                </c:pt>
                <c:pt idx="177">
                  <c:v>99.042113955408752</c:v>
                </c:pt>
                <c:pt idx="178">
                  <c:v>98.866586984297072</c:v>
                </c:pt>
                <c:pt idx="179">
                  <c:v>98.86047517978939</c:v>
                </c:pt>
                <c:pt idx="180">
                  <c:v>98.833999423179918</c:v>
                </c:pt>
                <c:pt idx="181">
                  <c:v>98.854364130882715</c:v>
                </c:pt>
                <c:pt idx="182">
                  <c:v>98.864549632163545</c:v>
                </c:pt>
                <c:pt idx="183">
                  <c:v>98.785158341226364</c:v>
                </c:pt>
                <c:pt idx="184">
                  <c:v>98.388089085763497</c:v>
                </c:pt>
                <c:pt idx="185">
                  <c:v>98.228946991257331</c:v>
                </c:pt>
                <c:pt idx="186">
                  <c:v>98.194768512833107</c:v>
                </c:pt>
                <c:pt idx="187">
                  <c:v>98.190749079001208</c:v>
                </c:pt>
                <c:pt idx="188">
                  <c:v>98.192758754784151</c:v>
                </c:pt>
                <c:pt idx="189">
                  <c:v>97.882237727996056</c:v>
                </c:pt>
                <c:pt idx="190">
                  <c:v>97.876247016341239</c:v>
                </c:pt>
                <c:pt idx="191">
                  <c:v>97.680952865723285</c:v>
                </c:pt>
                <c:pt idx="192">
                  <c:v>97.720745493431082</c:v>
                </c:pt>
                <c:pt idx="193">
                  <c:v>97.980189931583766</c:v>
                </c:pt>
                <c:pt idx="194">
                  <c:v>97.712784374427144</c:v>
                </c:pt>
                <c:pt idx="195">
                  <c:v>97.643179875442641</c:v>
                </c:pt>
                <c:pt idx="196">
                  <c:v>97.57565896518058</c:v>
                </c:pt>
                <c:pt idx="197">
                  <c:v>97.482474855227039</c:v>
                </c:pt>
                <c:pt idx="198">
                  <c:v>97.432981316003222</c:v>
                </c:pt>
                <c:pt idx="199">
                  <c:v>97.249305738552266</c:v>
                </c:pt>
                <c:pt idx="200">
                  <c:v>97.044723587596309</c:v>
                </c:pt>
                <c:pt idx="201">
                  <c:v>97.056503004187633</c:v>
                </c:pt>
                <c:pt idx="202">
                  <c:v>97.115443007226546</c:v>
                </c:pt>
                <c:pt idx="203">
                  <c:v>97.267050523071902</c:v>
                </c:pt>
                <c:pt idx="204">
                  <c:v>97.278883977452409</c:v>
                </c:pt>
                <c:pt idx="205">
                  <c:v>97.371679081000963</c:v>
                </c:pt>
                <c:pt idx="206">
                  <c:v>97.284801784446884</c:v>
                </c:pt>
                <c:pt idx="207">
                  <c:v>97.196110210696872</c:v>
                </c:pt>
                <c:pt idx="208">
                  <c:v>97.164614387556668</c:v>
                </c:pt>
                <c:pt idx="209">
                  <c:v>97.184296884495353</c:v>
                </c:pt>
                <c:pt idx="210">
                  <c:v>97.215805471124568</c:v>
                </c:pt>
                <c:pt idx="211">
                  <c:v>97.142972847105469</c:v>
                </c:pt>
                <c:pt idx="212">
                  <c:v>97.168550249118923</c:v>
                </c:pt>
                <c:pt idx="213">
                  <c:v>97.166582278480973</c:v>
                </c:pt>
                <c:pt idx="214">
                  <c:v>97.091858417825222</c:v>
                </c:pt>
                <c:pt idx="215">
                  <c:v>96.96822701916075</c:v>
                </c:pt>
                <c:pt idx="216">
                  <c:v>96.807780782113838</c:v>
                </c:pt>
                <c:pt idx="217">
                  <c:v>96.737508569584989</c:v>
                </c:pt>
                <c:pt idx="218">
                  <c:v>96.504002896568338</c:v>
                </c:pt>
                <c:pt idx="219">
                  <c:v>96.4574369697213</c:v>
                </c:pt>
                <c:pt idx="220">
                  <c:v>96.18283881315152</c:v>
                </c:pt>
                <c:pt idx="221">
                  <c:v>95.794896369953236</c:v>
                </c:pt>
                <c:pt idx="222">
                  <c:v>95.338023131036081</c:v>
                </c:pt>
                <c:pt idx="223">
                  <c:v>94.941819045357363</c:v>
                </c:pt>
                <c:pt idx="224">
                  <c:v>93.646425016103507</c:v>
                </c:pt>
                <c:pt idx="225">
                  <c:v>93.759893685629933</c:v>
                </c:pt>
                <c:pt idx="226">
                  <c:v>94.418641265842666</c:v>
                </c:pt>
                <c:pt idx="227">
                  <c:v>94.401920465949075</c:v>
                </c:pt>
                <c:pt idx="228">
                  <c:v>94.739336492890956</c:v>
                </c:pt>
                <c:pt idx="229">
                  <c:v>94.63095191131795</c:v>
                </c:pt>
                <c:pt idx="230">
                  <c:v>94.229485013945038</c:v>
                </c:pt>
                <c:pt idx="231">
                  <c:v>94.070588235294068</c:v>
                </c:pt>
                <c:pt idx="232">
                  <c:v>93.840586797065967</c:v>
                </c:pt>
                <c:pt idx="233">
                  <c:v>93.604401607679364</c:v>
                </c:pt>
                <c:pt idx="234">
                  <c:v>93.31492035088398</c:v>
                </c:pt>
                <c:pt idx="235">
                  <c:v>93.070536199270549</c:v>
                </c:pt>
                <c:pt idx="236">
                  <c:v>92.480289916533309</c:v>
                </c:pt>
                <c:pt idx="237">
                  <c:v>92.151665322115903</c:v>
                </c:pt>
                <c:pt idx="238">
                  <c:v>91.827125521570991</c:v>
                </c:pt>
                <c:pt idx="239">
                  <c:v>91.367194195280774</c:v>
                </c:pt>
                <c:pt idx="240">
                  <c:v>91.400266717469975</c:v>
                </c:pt>
                <c:pt idx="241">
                  <c:v>91.658706201520758</c:v>
                </c:pt>
                <c:pt idx="242">
                  <c:v>91.867567929839311</c:v>
                </c:pt>
                <c:pt idx="243">
                  <c:v>91.967948472184929</c:v>
                </c:pt>
                <c:pt idx="244">
                  <c:v>91.913328352204118</c:v>
                </c:pt>
                <c:pt idx="245">
                  <c:v>91.871086344573982</c:v>
                </c:pt>
                <c:pt idx="246">
                  <c:v>91.823610473128113</c:v>
                </c:pt>
                <c:pt idx="247">
                  <c:v>91.807796084735003</c:v>
                </c:pt>
                <c:pt idx="248">
                  <c:v>91.688485427615817</c:v>
                </c:pt>
                <c:pt idx="249">
                  <c:v>91.855255600229711</c:v>
                </c:pt>
                <c:pt idx="250">
                  <c:v>91.804282515930211</c:v>
                </c:pt>
                <c:pt idx="251">
                  <c:v>91.7691616136498</c:v>
                </c:pt>
                <c:pt idx="252">
                  <c:v>91.59920574308839</c:v>
                </c:pt>
                <c:pt idx="253">
                  <c:v>91.306333739342207</c:v>
                </c:pt>
                <c:pt idx="254">
                  <c:v>91.055058930706551</c:v>
                </c:pt>
                <c:pt idx="255">
                  <c:v>91.304596060519486</c:v>
                </c:pt>
                <c:pt idx="256">
                  <c:v>91.814824029242274</c:v>
                </c:pt>
                <c:pt idx="257">
                  <c:v>91.874605028820838</c:v>
                </c:pt>
                <c:pt idx="258">
                  <c:v>92.384125089060419</c:v>
                </c:pt>
                <c:pt idx="259">
                  <c:v>92.405477763439123</c:v>
                </c:pt>
                <c:pt idx="260">
                  <c:v>92.458902657595942</c:v>
                </c:pt>
                <c:pt idx="261">
                  <c:v>92.539155929326341</c:v>
                </c:pt>
                <c:pt idx="262">
                  <c:v>92.553437765259574</c:v>
                </c:pt>
                <c:pt idx="263">
                  <c:v>92.571296260564111</c:v>
                </c:pt>
                <c:pt idx="264">
                  <c:v>92.589161648911457</c:v>
                </c:pt>
                <c:pt idx="265">
                  <c:v>92.569510100912566</c:v>
                </c:pt>
                <c:pt idx="266">
                  <c:v>92.460684551341259</c:v>
                </c:pt>
                <c:pt idx="267">
                  <c:v>92.40369799691824</c:v>
                </c:pt>
                <c:pt idx="268">
                  <c:v>92.2349322310871</c:v>
                </c:pt>
                <c:pt idx="269">
                  <c:v>92.15520553207827</c:v>
                </c:pt>
                <c:pt idx="270">
                  <c:v>92.061481779978024</c:v>
                </c:pt>
                <c:pt idx="271">
                  <c:v>91.943273284783345</c:v>
                </c:pt>
                <c:pt idx="272">
                  <c:v>91.802525832376475</c:v>
                </c:pt>
                <c:pt idx="273">
                  <c:v>91.709517710702784</c:v>
                </c:pt>
                <c:pt idx="274">
                  <c:v>91.545022611483091</c:v>
                </c:pt>
                <c:pt idx="275">
                  <c:v>91.508354314488344</c:v>
                </c:pt>
                <c:pt idx="276">
                  <c:v>91.452535264963672</c:v>
                </c:pt>
                <c:pt idx="277">
                  <c:v>91.396784271888947</c:v>
                </c:pt>
                <c:pt idx="278">
                  <c:v>91.499628096809133</c:v>
                </c:pt>
                <c:pt idx="279">
                  <c:v>91.497883052980754</c:v>
                </c:pt>
                <c:pt idx="280">
                  <c:v>91.473459426479423</c:v>
                </c:pt>
                <c:pt idx="281">
                  <c:v>91.365454199200016</c:v>
                </c:pt>
                <c:pt idx="282">
                  <c:v>91.250760803408269</c:v>
                </c:pt>
                <c:pt idx="283">
                  <c:v>91.131161553803651</c:v>
                </c:pt>
                <c:pt idx="284">
                  <c:v>91.04123574397012</c:v>
                </c:pt>
                <c:pt idx="285">
                  <c:v>90.870520493976684</c:v>
                </c:pt>
                <c:pt idx="286">
                  <c:v>90.800007570452408</c:v>
                </c:pt>
                <c:pt idx="287">
                  <c:v>90.97390776699018</c:v>
                </c:pt>
                <c:pt idx="288">
                  <c:v>91.210859522044032</c:v>
                </c:pt>
                <c:pt idx="289">
                  <c:v>91.386338527181863</c:v>
                </c:pt>
                <c:pt idx="290">
                  <c:v>91.302858447836059</c:v>
                </c:pt>
                <c:pt idx="291">
                  <c:v>91.332406860971929</c:v>
                </c:pt>
                <c:pt idx="292">
                  <c:v>91.221265187382258</c:v>
                </c:pt>
                <c:pt idx="293">
                  <c:v>91.143280519776482</c:v>
                </c:pt>
                <c:pt idx="294">
                  <c:v>91.056787124202742</c:v>
                </c:pt>
                <c:pt idx="295">
                  <c:v>91.027416753628586</c:v>
                </c:pt>
                <c:pt idx="296">
                  <c:v>90.917015672080083</c:v>
                </c:pt>
                <c:pt idx="297">
                  <c:v>90.917015672080083</c:v>
                </c:pt>
                <c:pt idx="298">
                  <c:v>90.963558454362641</c:v>
                </c:pt>
                <c:pt idx="299">
                  <c:v>90.886013601833682</c:v>
                </c:pt>
                <c:pt idx="300">
                  <c:v>90.904956798544688</c:v>
                </c:pt>
                <c:pt idx="301">
                  <c:v>90.842990229493196</c:v>
                </c:pt>
                <c:pt idx="302">
                  <c:v>90.808600847970823</c:v>
                </c:pt>
                <c:pt idx="303">
                  <c:v>90.746765529242552</c:v>
                </c:pt>
                <c:pt idx="304">
                  <c:v>90.60794349279486</c:v>
                </c:pt>
                <c:pt idx="305">
                  <c:v>90.507093268940437</c:v>
                </c:pt>
                <c:pt idx="306">
                  <c:v>90.401356698699729</c:v>
                </c:pt>
                <c:pt idx="307">
                  <c:v>90.321366041003728</c:v>
                </c:pt>
                <c:pt idx="308">
                  <c:v>90.156725673694794</c:v>
                </c:pt>
                <c:pt idx="309">
                  <c:v>89.98255715812958</c:v>
                </c:pt>
                <c:pt idx="310">
                  <c:v>89.869623857335412</c:v>
                </c:pt>
                <c:pt idx="311">
                  <c:v>89.656332342882649</c:v>
                </c:pt>
                <c:pt idx="312">
                  <c:v>89.410712288940942</c:v>
                </c:pt>
                <c:pt idx="313">
                  <c:v>89.280928986154407</c:v>
                </c:pt>
                <c:pt idx="314">
                  <c:v>90.048425241187601</c:v>
                </c:pt>
                <c:pt idx="315">
                  <c:v>90.846430600264966</c:v>
                </c:pt>
                <c:pt idx="316">
                  <c:v>92.362782280576667</c:v>
                </c:pt>
                <c:pt idx="317">
                  <c:v>92.378788462278919</c:v>
                </c:pt>
                <c:pt idx="318">
                  <c:v>92.049117421335254</c:v>
                </c:pt>
                <c:pt idx="319">
                  <c:v>91.87284565300638</c:v>
                </c:pt>
                <c:pt idx="320">
                  <c:v>91.871086344573882</c:v>
                </c:pt>
                <c:pt idx="321">
                  <c:v>91.927417655061276</c:v>
                </c:pt>
                <c:pt idx="322">
                  <c:v>91.867567929839197</c:v>
                </c:pt>
                <c:pt idx="323">
                  <c:v>91.865808823529264</c:v>
                </c:pt>
                <c:pt idx="324">
                  <c:v>91.927417655061262</c:v>
                </c:pt>
                <c:pt idx="325">
                  <c:v>92.17999462014356</c:v>
                </c:pt>
                <c:pt idx="326">
                  <c:v>92.210113590497471</c:v>
                </c:pt>
                <c:pt idx="327">
                  <c:v>92.295261730247461</c:v>
                </c:pt>
                <c:pt idx="328">
                  <c:v>92.149895319132455</c:v>
                </c:pt>
                <c:pt idx="329">
                  <c:v>92.139276728955664</c:v>
                </c:pt>
                <c:pt idx="330">
                  <c:v>92.149895319132455</c:v>
                </c:pt>
                <c:pt idx="331">
                  <c:v>92.105667332206906</c:v>
                </c:pt>
                <c:pt idx="332">
                  <c:v>92.077383694150043</c:v>
                </c:pt>
                <c:pt idx="333">
                  <c:v>92.00498609646165</c:v>
                </c:pt>
                <c:pt idx="334">
                  <c:v>91.892202493822765</c:v>
                </c:pt>
                <c:pt idx="335">
                  <c:v>91.842946570438443</c:v>
                </c:pt>
                <c:pt idx="336">
                  <c:v>91.890442443976099</c:v>
                </c:pt>
                <c:pt idx="337">
                  <c:v>91.860531908782662</c:v>
                </c:pt>
                <c:pt idx="338">
                  <c:v>91.714777289237077</c:v>
                </c:pt>
                <c:pt idx="339">
                  <c:v>91.823610473127999</c:v>
                </c:pt>
                <c:pt idx="340">
                  <c:v>91.92389492441211</c:v>
                </c:pt>
                <c:pt idx="341">
                  <c:v>91.98734541271196</c:v>
                </c:pt>
                <c:pt idx="342">
                  <c:v>92.133968351513118</c:v>
                </c:pt>
                <c:pt idx="343">
                  <c:v>92.130429773015152</c:v>
                </c:pt>
                <c:pt idx="344">
                  <c:v>92.165827794213541</c:v>
                </c:pt>
                <c:pt idx="345">
                  <c:v>92.158746014061066</c:v>
                </c:pt>
                <c:pt idx="346">
                  <c:v>92.160516357069952</c:v>
                </c:pt>
                <c:pt idx="347">
                  <c:v>92.141046324037632</c:v>
                </c:pt>
                <c:pt idx="348">
                  <c:v>92.123353431391195</c:v>
                </c:pt>
                <c:pt idx="349">
                  <c:v>92.153435393096373</c:v>
                </c:pt>
                <c:pt idx="350">
                  <c:v>92.142815987093385</c:v>
                </c:pt>
                <c:pt idx="351">
                  <c:v>92.142815987093385</c:v>
                </c:pt>
                <c:pt idx="352">
                  <c:v>92.22252124101324</c:v>
                </c:pt>
                <c:pt idx="353">
                  <c:v>92.254441966002446</c:v>
                </c:pt>
                <c:pt idx="354">
                  <c:v>92.256215987539022</c:v>
                </c:pt>
                <c:pt idx="355">
                  <c:v>92.291710751591694</c:v>
                </c:pt>
                <c:pt idx="356">
                  <c:v>92.337894797620933</c:v>
                </c:pt>
                <c:pt idx="357">
                  <c:v>92.38946233246017</c:v>
                </c:pt>
                <c:pt idx="358">
                  <c:v>92.508821657893051</c:v>
                </c:pt>
                <c:pt idx="359">
                  <c:v>92.798700168281627</c:v>
                </c:pt>
                <c:pt idx="360">
                  <c:v>93.034439962767465</c:v>
                </c:pt>
                <c:pt idx="361">
                  <c:v>93.180802921125562</c:v>
                </c:pt>
                <c:pt idx="362">
                  <c:v>93.318550504755635</c:v>
                </c:pt>
                <c:pt idx="363">
                  <c:v>93.38757713195632</c:v>
                </c:pt>
                <c:pt idx="364">
                  <c:v>93.467630384382943</c:v>
                </c:pt>
                <c:pt idx="365">
                  <c:v>93.507708499814683</c:v>
                </c:pt>
                <c:pt idx="366">
                  <c:v>93.701294896583903</c:v>
                </c:pt>
                <c:pt idx="367">
                  <c:v>94.459539279385567</c:v>
                </c:pt>
                <c:pt idx="368">
                  <c:v>96.071128198966576</c:v>
                </c:pt>
                <c:pt idx="369">
                  <c:v>96.564217136646192</c:v>
                </c:pt>
                <c:pt idx="370">
                  <c:v>96.848820073884028</c:v>
                </c:pt>
                <c:pt idx="371">
                  <c:v>96.753115798814051</c:v>
                </c:pt>
                <c:pt idx="372">
                  <c:v>96.757018393029881</c:v>
                </c:pt>
                <c:pt idx="373">
                  <c:v>96.825364790409367</c:v>
                </c:pt>
                <c:pt idx="374">
                  <c:v>96.805827397647136</c:v>
                </c:pt>
                <c:pt idx="375">
                  <c:v>96.880111467862008</c:v>
                </c:pt>
                <c:pt idx="376">
                  <c:v>96.846865032903921</c:v>
                </c:pt>
                <c:pt idx="377">
                  <c:v>96.770679952397174</c:v>
                </c:pt>
                <c:pt idx="378">
                  <c:v>96.749213519399746</c:v>
                </c:pt>
                <c:pt idx="379">
                  <c:v>96.694614640438459</c:v>
                </c:pt>
                <c:pt idx="380">
                  <c:v>96.801920865196308</c:v>
                </c:pt>
                <c:pt idx="381">
                  <c:v>96.835136444372566</c:v>
                </c:pt>
                <c:pt idx="382">
                  <c:v>96.964307368931543</c:v>
                </c:pt>
                <c:pt idx="383">
                  <c:v>97.332170173053797</c:v>
                </c:pt>
                <c:pt idx="384">
                  <c:v>97.680952865723199</c:v>
                </c:pt>
                <c:pt idx="385">
                  <c:v>98.39817872305504</c:v>
                </c:pt>
                <c:pt idx="386">
                  <c:v>99.038024854465021</c:v>
                </c:pt>
                <c:pt idx="387">
                  <c:v>99.242894377559765</c:v>
                </c:pt>
                <c:pt idx="388">
                  <c:v>99.428002984332153</c:v>
                </c:pt>
                <c:pt idx="389">
                  <c:v>99.477481960686646</c:v>
                </c:pt>
                <c:pt idx="390">
                  <c:v>99.469232045115177</c:v>
                </c:pt>
                <c:pt idx="391">
                  <c:v>99.050293170369045</c:v>
                </c:pt>
                <c:pt idx="392">
                  <c:v>98.667324777887359</c:v>
                </c:pt>
                <c:pt idx="393">
                  <c:v>98.273213298101041</c:v>
                </c:pt>
                <c:pt idx="394">
                  <c:v>97.724726539425063</c:v>
                </c:pt>
                <c:pt idx="395">
                  <c:v>97.45277269957333</c:v>
                </c:pt>
                <c:pt idx="396">
                  <c:v>97.245363332319755</c:v>
                </c:pt>
                <c:pt idx="397">
                  <c:v>97.389468555884775</c:v>
                </c:pt>
                <c:pt idx="398">
                  <c:v>97.653117303425589</c:v>
                </c:pt>
                <c:pt idx="399">
                  <c:v>97.782488178705293</c:v>
                </c:pt>
                <c:pt idx="400">
                  <c:v>97.696866027246557</c:v>
                </c:pt>
                <c:pt idx="401">
                  <c:v>97.56176919166235</c:v>
                </c:pt>
                <c:pt idx="402">
                  <c:v>97.460691504489418</c:v>
                </c:pt>
                <c:pt idx="403">
                  <c:v>97.409242264273459</c:v>
                </c:pt>
                <c:pt idx="404">
                  <c:v>97.48445564270321</c:v>
                </c:pt>
                <c:pt idx="405">
                  <c:v>97.694876598517467</c:v>
                </c:pt>
                <c:pt idx="406">
                  <c:v>97.772524404410035</c:v>
                </c:pt>
                <c:pt idx="407">
                  <c:v>97.888229173042703</c:v>
                </c:pt>
                <c:pt idx="408">
                  <c:v>97.798434442269979</c:v>
                </c:pt>
                <c:pt idx="409">
                  <c:v>97.714774532567432</c:v>
                </c:pt>
                <c:pt idx="410">
                  <c:v>97.456731941171611</c:v>
                </c:pt>
                <c:pt idx="411">
                  <c:v>97.302559526223902</c:v>
                </c:pt>
                <c:pt idx="412">
                  <c:v>97.174454639363105</c:v>
                </c:pt>
                <c:pt idx="413">
                  <c:v>97.217775436178968</c:v>
                </c:pt>
                <c:pt idx="414">
                  <c:v>97.29072031148597</c:v>
                </c:pt>
                <c:pt idx="415">
                  <c:v>97.196110210696844</c:v>
                </c:pt>
                <c:pt idx="416">
                  <c:v>97.207926409206877</c:v>
                </c:pt>
                <c:pt idx="417">
                  <c:v>97.186265572774175</c:v>
                </c:pt>
                <c:pt idx="418">
                  <c:v>97.219745481073133</c:v>
                </c:pt>
                <c:pt idx="419">
                  <c:v>97.186265572774175</c:v>
                </c:pt>
                <c:pt idx="420">
                  <c:v>97.184296884495339</c:v>
                </c:pt>
                <c:pt idx="421">
                  <c:v>97.280856499787035</c:v>
                </c:pt>
              </c:numCache>
            </c:numRef>
          </c:val>
          <c:smooth val="0"/>
          <c:extLst>
            <c:ext xmlns:c16="http://schemas.microsoft.com/office/drawing/2014/chart" uri="{C3380CC4-5D6E-409C-BE32-E72D297353CC}">
              <c16:uniqueId val="{00000000-114A-48E5-A809-EEEA508F8B5A}"/>
            </c:ext>
          </c:extLst>
        </c:ser>
        <c:ser>
          <c:idx val="1"/>
          <c:order val="1"/>
          <c:tx>
            <c:strRef>
              <c:f>Sheet1!$C$1</c:f>
              <c:strCache>
                <c:ptCount val="1"/>
                <c:pt idx="0">
                  <c:v> RUB/AMD </c:v>
                </c:pt>
              </c:strCache>
            </c:strRef>
          </c:tx>
          <c:spPr>
            <a:ln w="28575" cap="rnd">
              <a:solidFill>
                <a:srgbClr val="FFC00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Sheet1!$C$2:$C$423</c:f>
              <c:numCache>
                <c:formatCode>0</c:formatCode>
                <c:ptCount val="422"/>
                <c:pt idx="0">
                  <c:v>100</c:v>
                </c:pt>
                <c:pt idx="1">
                  <c:v>98.852040816326536</c:v>
                </c:pt>
                <c:pt idx="2">
                  <c:v>99.231754161331622</c:v>
                </c:pt>
                <c:pt idx="3">
                  <c:v>98.600508905852394</c:v>
                </c:pt>
                <c:pt idx="4">
                  <c:v>99.231754161331608</c:v>
                </c:pt>
                <c:pt idx="5">
                  <c:v>99.486521181001265</c:v>
                </c:pt>
                <c:pt idx="6">
                  <c:v>99.486521181001265</c:v>
                </c:pt>
                <c:pt idx="7">
                  <c:v>99.231754161331608</c:v>
                </c:pt>
                <c:pt idx="8">
                  <c:v>99.614395886889426</c:v>
                </c:pt>
                <c:pt idx="9">
                  <c:v>99.999999999999972</c:v>
                </c:pt>
                <c:pt idx="10">
                  <c:v>100.25873221216038</c:v>
                </c:pt>
                <c:pt idx="11">
                  <c:v>100.25873221216038</c:v>
                </c:pt>
                <c:pt idx="12">
                  <c:v>99.999999999999972</c:v>
                </c:pt>
                <c:pt idx="13">
                  <c:v>101.30718954248363</c:v>
                </c:pt>
                <c:pt idx="14">
                  <c:v>101.83968462549274</c:v>
                </c:pt>
                <c:pt idx="15">
                  <c:v>102.51322751322749</c:v>
                </c:pt>
                <c:pt idx="16">
                  <c:v>102.51322751322749</c:v>
                </c:pt>
                <c:pt idx="17">
                  <c:v>103.47129506008007</c:v>
                </c:pt>
                <c:pt idx="18">
                  <c:v>102.37780713342136</c:v>
                </c:pt>
                <c:pt idx="19">
                  <c:v>101.43979057591619</c:v>
                </c:pt>
                <c:pt idx="20">
                  <c:v>102.24274406332449</c:v>
                </c:pt>
                <c:pt idx="21">
                  <c:v>103.33333333333329</c:v>
                </c:pt>
                <c:pt idx="22">
                  <c:v>103.47129506008007</c:v>
                </c:pt>
                <c:pt idx="23">
                  <c:v>103.3333333333333</c:v>
                </c:pt>
                <c:pt idx="24">
                  <c:v>102.10803689064556</c:v>
                </c:pt>
                <c:pt idx="25">
                  <c:v>103.05851063829786</c:v>
                </c:pt>
                <c:pt idx="26">
                  <c:v>102.78514588859414</c:v>
                </c:pt>
                <c:pt idx="27">
                  <c:v>102.37780713342137</c:v>
                </c:pt>
                <c:pt idx="28">
                  <c:v>103.19573901464712</c:v>
                </c:pt>
                <c:pt idx="29">
                  <c:v>102.9216467463479</c:v>
                </c:pt>
                <c:pt idx="30">
                  <c:v>103.3333333333333</c:v>
                </c:pt>
                <c:pt idx="31">
                  <c:v>104.30686406460293</c:v>
                </c:pt>
                <c:pt idx="32">
                  <c:v>104.30686406460293</c:v>
                </c:pt>
                <c:pt idx="33">
                  <c:v>106.01915184678521</c:v>
                </c:pt>
                <c:pt idx="34">
                  <c:v>106.45604395604394</c:v>
                </c:pt>
                <c:pt idx="35">
                  <c:v>106.45604395604394</c:v>
                </c:pt>
                <c:pt idx="36">
                  <c:v>109.3088857545839</c:v>
                </c:pt>
                <c:pt idx="37">
                  <c:v>107.78859527120999</c:v>
                </c:pt>
                <c:pt idx="38">
                  <c:v>107.4895977808599</c:v>
                </c:pt>
                <c:pt idx="39">
                  <c:v>106.3100137174211</c:v>
                </c:pt>
                <c:pt idx="40">
                  <c:v>107.19225449515903</c:v>
                </c:pt>
                <c:pt idx="41">
                  <c:v>110.08522727272725</c:v>
                </c:pt>
                <c:pt idx="42">
                  <c:v>119.04761904761904</c:v>
                </c:pt>
                <c:pt idx="43">
                  <c:v>115.67164179104476</c:v>
                </c:pt>
                <c:pt idx="44">
                  <c:v>114.8148148148148</c:v>
                </c:pt>
                <c:pt idx="45">
                  <c:v>119.23076923076923</c:v>
                </c:pt>
                <c:pt idx="46">
                  <c:v>115.49925484351714</c:v>
                </c:pt>
                <c:pt idx="47">
                  <c:v>118.32061068702289</c:v>
                </c:pt>
                <c:pt idx="48">
                  <c:v>118.14024390243902</c:v>
                </c:pt>
                <c:pt idx="49">
                  <c:v>123.01587301587303</c:v>
                </c:pt>
                <c:pt idx="50">
                  <c:v>126.01626016260164</c:v>
                </c:pt>
                <c:pt idx="51">
                  <c:v>122.23974763406942</c:v>
                </c:pt>
                <c:pt idx="52">
                  <c:v>126.42740619902123</c:v>
                </c:pt>
                <c:pt idx="53">
                  <c:v>123.21144674085852</c:v>
                </c:pt>
                <c:pt idx="54">
                  <c:v>121.09375000000001</c:v>
                </c:pt>
                <c:pt idx="55">
                  <c:v>122.04724409448824</c:v>
                </c:pt>
                <c:pt idx="56">
                  <c:v>121.09375000000003</c:v>
                </c:pt>
                <c:pt idx="57">
                  <c:v>123.01587301587307</c:v>
                </c:pt>
                <c:pt idx="58">
                  <c:v>119.96904024767807</c:v>
                </c:pt>
                <c:pt idx="59">
                  <c:v>121.09375000000004</c:v>
                </c:pt>
                <c:pt idx="60">
                  <c:v>120.5287713841369</c:v>
                </c:pt>
                <c:pt idx="61">
                  <c:v>118.14024390243907</c:v>
                </c:pt>
                <c:pt idx="62">
                  <c:v>117.7811550151976</c:v>
                </c:pt>
                <c:pt idx="63">
                  <c:v>117.06948640483385</c:v>
                </c:pt>
                <c:pt idx="64">
                  <c:v>118.14024390243905</c:v>
                </c:pt>
                <c:pt idx="65">
                  <c:v>116.36636636636638</c:v>
                </c:pt>
                <c:pt idx="66">
                  <c:v>116.19190404797602</c:v>
                </c:pt>
                <c:pt idx="67">
                  <c:v>117.42424242424245</c:v>
                </c:pt>
                <c:pt idx="68">
                  <c:v>117.24659606656581</c:v>
                </c:pt>
                <c:pt idx="69">
                  <c:v>117.96042617960427</c:v>
                </c:pt>
                <c:pt idx="70">
                  <c:v>118.50152905198779</c:v>
                </c:pt>
                <c:pt idx="71">
                  <c:v>118.86503067484665</c:v>
                </c:pt>
                <c:pt idx="72">
                  <c:v>119.41448382126349</c:v>
                </c:pt>
                <c:pt idx="73">
                  <c:v>123.40764331210192</c:v>
                </c:pt>
                <c:pt idx="74">
                  <c:v>123.80191693290737</c:v>
                </c:pt>
                <c:pt idx="75">
                  <c:v>121.47335423197495</c:v>
                </c:pt>
                <c:pt idx="76">
                  <c:v>120.15503875968994</c:v>
                </c:pt>
                <c:pt idx="77">
                  <c:v>119.4144838212635</c:v>
                </c:pt>
                <c:pt idx="78">
                  <c:v>119.04761904761908</c:v>
                </c:pt>
                <c:pt idx="79">
                  <c:v>118.14024390243907</c:v>
                </c:pt>
                <c:pt idx="80">
                  <c:v>121.85534591194973</c:v>
                </c:pt>
                <c:pt idx="81">
                  <c:v>119.41448382126352</c:v>
                </c:pt>
                <c:pt idx="82">
                  <c:v>119.59876543209879</c:v>
                </c:pt>
                <c:pt idx="83">
                  <c:v>118.32061068702293</c:v>
                </c:pt>
                <c:pt idx="84">
                  <c:v>117.7811550151976</c:v>
                </c:pt>
                <c:pt idx="85">
                  <c:v>117.6024279210926</c:v>
                </c:pt>
                <c:pt idx="86">
                  <c:v>116.89291101055811</c:v>
                </c:pt>
                <c:pt idx="87">
                  <c:v>116.54135338345867</c:v>
                </c:pt>
                <c:pt idx="88">
                  <c:v>116.89291101055809</c:v>
                </c:pt>
                <c:pt idx="89">
                  <c:v>116.54135338345866</c:v>
                </c:pt>
                <c:pt idx="90">
                  <c:v>116.19190404797602</c:v>
                </c:pt>
                <c:pt idx="91">
                  <c:v>115.67164179104479</c:v>
                </c:pt>
                <c:pt idx="92">
                  <c:v>115.15601783060923</c:v>
                </c:pt>
                <c:pt idx="93">
                  <c:v>114.13843888070694</c:v>
                </c:pt>
                <c:pt idx="94">
                  <c:v>115.49925484351716</c:v>
                </c:pt>
                <c:pt idx="95">
                  <c:v>115.49925484351716</c:v>
                </c:pt>
                <c:pt idx="96">
                  <c:v>114.64497041420121</c:v>
                </c:pt>
                <c:pt idx="97">
                  <c:v>113.80323054331868</c:v>
                </c:pt>
                <c:pt idx="98">
                  <c:v>113.46998535871158</c:v>
                </c:pt>
                <c:pt idx="99">
                  <c:v>111.99421965317921</c:v>
                </c:pt>
                <c:pt idx="100">
                  <c:v>110.39886039886042</c:v>
                </c:pt>
                <c:pt idx="101">
                  <c:v>109.92907801418441</c:v>
                </c:pt>
                <c:pt idx="102">
                  <c:v>111.19081779053086</c:v>
                </c:pt>
                <c:pt idx="103">
                  <c:v>110.55634807417975</c:v>
                </c:pt>
                <c:pt idx="104">
                  <c:v>109.77337110481588</c:v>
                </c:pt>
                <c:pt idx="105">
                  <c:v>110.87267525035766</c:v>
                </c:pt>
                <c:pt idx="106">
                  <c:v>110.87267525035766</c:v>
                </c:pt>
                <c:pt idx="107">
                  <c:v>110.87267525035766</c:v>
                </c:pt>
                <c:pt idx="108">
                  <c:v>111.83261183261186</c:v>
                </c:pt>
                <c:pt idx="109">
                  <c:v>113.30409356725148</c:v>
                </c:pt>
                <c:pt idx="110">
                  <c:v>112.31884057971016</c:v>
                </c:pt>
                <c:pt idx="111">
                  <c:v>112.64534883720931</c:v>
                </c:pt>
                <c:pt idx="112">
                  <c:v>111.83261183261185</c:v>
                </c:pt>
                <c:pt idx="113">
                  <c:v>112.15629522431259</c:v>
                </c:pt>
                <c:pt idx="114">
                  <c:v>112.31884057971013</c:v>
                </c:pt>
                <c:pt idx="115">
                  <c:v>111.19081779053084</c:v>
                </c:pt>
                <c:pt idx="116">
                  <c:v>111.51079136690647</c:v>
                </c:pt>
                <c:pt idx="117">
                  <c:v>111.671469740634</c:v>
                </c:pt>
                <c:pt idx="118">
                  <c:v>111.51079136690646</c:v>
                </c:pt>
                <c:pt idx="119">
                  <c:v>112.48185776487662</c:v>
                </c:pt>
                <c:pt idx="120">
                  <c:v>113.80323054331865</c:v>
                </c:pt>
                <c:pt idx="121">
                  <c:v>114.13843888070691</c:v>
                </c:pt>
                <c:pt idx="122">
                  <c:v>112.6453488372093</c:v>
                </c:pt>
                <c:pt idx="123">
                  <c:v>113.80323054331865</c:v>
                </c:pt>
                <c:pt idx="124">
                  <c:v>114.98516320474776</c:v>
                </c:pt>
                <c:pt idx="125">
                  <c:v>115.32738095238093</c:v>
                </c:pt>
                <c:pt idx="126">
                  <c:v>113.63636363636361</c:v>
                </c:pt>
                <c:pt idx="127">
                  <c:v>112.8093158660844</c:v>
                </c:pt>
                <c:pt idx="128">
                  <c:v>113.30409356725146</c:v>
                </c:pt>
                <c:pt idx="129">
                  <c:v>112.97376093294459</c:v>
                </c:pt>
                <c:pt idx="130">
                  <c:v>113.63636363636361</c:v>
                </c:pt>
                <c:pt idx="131">
                  <c:v>113.46998535871155</c:v>
                </c:pt>
                <c:pt idx="132">
                  <c:v>114.1384388807069</c:v>
                </c:pt>
                <c:pt idx="133">
                  <c:v>115.32738095238093</c:v>
                </c:pt>
                <c:pt idx="134">
                  <c:v>115.15601783060919</c:v>
                </c:pt>
                <c:pt idx="135">
                  <c:v>113.46998535871155</c:v>
                </c:pt>
                <c:pt idx="136">
                  <c:v>113.46998535871155</c:v>
                </c:pt>
                <c:pt idx="137">
                  <c:v>113.63636363636363</c:v>
                </c:pt>
                <c:pt idx="138">
                  <c:v>113.9705882352941</c:v>
                </c:pt>
                <c:pt idx="139">
                  <c:v>114.30678466076694</c:v>
                </c:pt>
                <c:pt idx="140">
                  <c:v>115.49925484351712</c:v>
                </c:pt>
                <c:pt idx="141">
                  <c:v>115.84454409566514</c:v>
                </c:pt>
                <c:pt idx="142">
                  <c:v>117.42424242424239</c:v>
                </c:pt>
                <c:pt idx="143">
                  <c:v>117.96042617960423</c:v>
                </c:pt>
                <c:pt idx="144">
                  <c:v>117.96042617960423</c:v>
                </c:pt>
                <c:pt idx="145">
                  <c:v>117.60242792109254</c:v>
                </c:pt>
                <c:pt idx="146">
                  <c:v>116.36636636636634</c:v>
                </c:pt>
                <c:pt idx="147">
                  <c:v>117.0694864048338</c:v>
                </c:pt>
                <c:pt idx="148">
                  <c:v>117.78115501519753</c:v>
                </c:pt>
                <c:pt idx="149">
                  <c:v>117.60242792109253</c:v>
                </c:pt>
                <c:pt idx="150">
                  <c:v>116.36636636636632</c:v>
                </c:pt>
                <c:pt idx="151">
                  <c:v>116.71686746987947</c:v>
                </c:pt>
                <c:pt idx="152">
                  <c:v>117.42424242424238</c:v>
                </c:pt>
                <c:pt idx="153">
                  <c:v>117.24659606656574</c:v>
                </c:pt>
                <c:pt idx="154">
                  <c:v>117.42424242424238</c:v>
                </c:pt>
                <c:pt idx="155">
                  <c:v>117.06948640483378</c:v>
                </c:pt>
                <c:pt idx="156">
                  <c:v>117.42424242424238</c:v>
                </c:pt>
                <c:pt idx="157">
                  <c:v>118.14024390243898</c:v>
                </c:pt>
                <c:pt idx="158">
                  <c:v>118.68300153139351</c:v>
                </c:pt>
                <c:pt idx="159">
                  <c:v>118.50152905198772</c:v>
                </c:pt>
                <c:pt idx="160">
                  <c:v>119.23076923076918</c:v>
                </c:pt>
                <c:pt idx="161">
                  <c:v>120.5287713841368</c:v>
                </c:pt>
                <c:pt idx="162">
                  <c:v>119.41448382126342</c:v>
                </c:pt>
                <c:pt idx="163">
                  <c:v>118.5015290519877</c:v>
                </c:pt>
                <c:pt idx="164">
                  <c:v>117.24659606656574</c:v>
                </c:pt>
                <c:pt idx="165">
                  <c:v>117.42424242424238</c:v>
                </c:pt>
                <c:pt idx="166">
                  <c:v>117.60242792109251</c:v>
                </c:pt>
                <c:pt idx="167">
                  <c:v>119.78361669242653</c:v>
                </c:pt>
                <c:pt idx="168">
                  <c:v>119.04761904761899</c:v>
                </c:pt>
                <c:pt idx="169">
                  <c:v>120.71651090342674</c:v>
                </c:pt>
                <c:pt idx="170">
                  <c:v>121.28325508607195</c:v>
                </c:pt>
                <c:pt idx="171">
                  <c:v>120.34161490683225</c:v>
                </c:pt>
                <c:pt idx="172">
                  <c:v>119.59876543209872</c:v>
                </c:pt>
                <c:pt idx="173">
                  <c:v>119.04761904761901</c:v>
                </c:pt>
                <c:pt idx="174">
                  <c:v>119.96904024767797</c:v>
                </c:pt>
                <c:pt idx="175">
                  <c:v>119.96904024767797</c:v>
                </c:pt>
                <c:pt idx="176">
                  <c:v>119.41448382126343</c:v>
                </c:pt>
                <c:pt idx="177">
                  <c:v>119.96904024767797</c:v>
                </c:pt>
                <c:pt idx="178">
                  <c:v>119.96904024767797</c:v>
                </c:pt>
                <c:pt idx="179">
                  <c:v>121.28325508607193</c:v>
                </c:pt>
                <c:pt idx="180">
                  <c:v>121.85534591194961</c:v>
                </c:pt>
                <c:pt idx="181">
                  <c:v>123.40764331210184</c:v>
                </c:pt>
                <c:pt idx="182">
                  <c:v>123.40764331210184</c:v>
                </c:pt>
                <c:pt idx="183">
                  <c:v>125.81168831168823</c:v>
                </c:pt>
                <c:pt idx="184">
                  <c:v>126.22149837133543</c:v>
                </c:pt>
                <c:pt idx="185">
                  <c:v>124.19871794871787</c:v>
                </c:pt>
                <c:pt idx="186">
                  <c:v>122.62658227848094</c:v>
                </c:pt>
                <c:pt idx="187">
                  <c:v>124.59807073954977</c:v>
                </c:pt>
                <c:pt idx="188">
                  <c:v>124.19871794871787</c:v>
                </c:pt>
                <c:pt idx="189">
                  <c:v>123.99999999999993</c:v>
                </c:pt>
                <c:pt idx="190">
                  <c:v>123.80191693290728</c:v>
                </c:pt>
                <c:pt idx="191">
                  <c:v>123.01587301587294</c:v>
                </c:pt>
                <c:pt idx="192">
                  <c:v>121.8553459119496</c:v>
                </c:pt>
                <c:pt idx="193">
                  <c:v>122.04724409448811</c:v>
                </c:pt>
                <c:pt idx="194">
                  <c:v>121.66405023547873</c:v>
                </c:pt>
                <c:pt idx="195">
                  <c:v>121.8553459119496</c:v>
                </c:pt>
                <c:pt idx="196">
                  <c:v>123.01587301587296</c:v>
                </c:pt>
                <c:pt idx="197">
                  <c:v>123.21144674085843</c:v>
                </c:pt>
                <c:pt idx="198">
                  <c:v>122.23974763406933</c:v>
                </c:pt>
                <c:pt idx="199">
                  <c:v>122.43285939968398</c:v>
                </c:pt>
                <c:pt idx="200">
                  <c:v>120.90483619344766</c:v>
                </c:pt>
                <c:pt idx="201">
                  <c:v>120.71651090342672</c:v>
                </c:pt>
                <c:pt idx="202">
                  <c:v>119.78361669242652</c:v>
                </c:pt>
                <c:pt idx="203">
                  <c:v>120.15503875968984</c:v>
                </c:pt>
                <c:pt idx="204">
                  <c:v>120.34161490683222</c:v>
                </c:pt>
                <c:pt idx="205">
                  <c:v>122.82091917591119</c:v>
                </c:pt>
                <c:pt idx="206">
                  <c:v>124.79871175523341</c:v>
                </c:pt>
                <c:pt idx="207">
                  <c:v>124.19871794871786</c:v>
                </c:pt>
                <c:pt idx="208">
                  <c:v>126.01626016260154</c:v>
                </c:pt>
                <c:pt idx="209">
                  <c:v>124.99999999999991</c:v>
                </c:pt>
                <c:pt idx="210">
                  <c:v>124.39807383627598</c:v>
                </c:pt>
                <c:pt idx="211">
                  <c:v>122.04724409448811</c:v>
                </c:pt>
                <c:pt idx="212">
                  <c:v>121.8553459119496</c:v>
                </c:pt>
                <c:pt idx="213">
                  <c:v>121.09374999999991</c:v>
                </c:pt>
                <c:pt idx="214">
                  <c:v>119.59876543209867</c:v>
                </c:pt>
                <c:pt idx="215">
                  <c:v>119.23076923076916</c:v>
                </c:pt>
                <c:pt idx="216">
                  <c:v>120.15503875968984</c:v>
                </c:pt>
                <c:pt idx="217">
                  <c:v>120.71651090342672</c:v>
                </c:pt>
                <c:pt idx="218">
                  <c:v>119.78361669242652</c:v>
                </c:pt>
                <c:pt idx="219">
                  <c:v>119.4144838212634</c:v>
                </c:pt>
                <c:pt idx="220">
                  <c:v>117.60242792109248</c:v>
                </c:pt>
                <c:pt idx="221">
                  <c:v>118.32061068702282</c:v>
                </c:pt>
                <c:pt idx="222">
                  <c:v>117.42424242424235</c:v>
                </c:pt>
                <c:pt idx="223">
                  <c:v>116.36636636636629</c:v>
                </c:pt>
                <c:pt idx="224">
                  <c:v>114.81481481481474</c:v>
                </c:pt>
                <c:pt idx="225">
                  <c:v>114.30678466076688</c:v>
                </c:pt>
                <c:pt idx="226">
                  <c:v>115.32738095238086</c:v>
                </c:pt>
                <c:pt idx="227">
                  <c:v>115.67164179104468</c:v>
                </c:pt>
                <c:pt idx="228">
                  <c:v>116.54135338345856</c:v>
                </c:pt>
                <c:pt idx="229">
                  <c:v>116.36636636636628</c:v>
                </c:pt>
                <c:pt idx="230">
                  <c:v>115.15601783060912</c:v>
                </c:pt>
                <c:pt idx="231">
                  <c:v>114.13843888070683</c:v>
                </c:pt>
                <c:pt idx="232">
                  <c:v>112.64534883720921</c:v>
                </c:pt>
                <c:pt idx="233">
                  <c:v>112.48185776487655</c:v>
                </c:pt>
                <c:pt idx="234">
                  <c:v>110.24182076813646</c:v>
                </c:pt>
                <c:pt idx="235">
                  <c:v>110.24182076813646</c:v>
                </c:pt>
                <c:pt idx="236">
                  <c:v>109.77337110481578</c:v>
                </c:pt>
                <c:pt idx="237">
                  <c:v>109.00140646976081</c:v>
                </c:pt>
                <c:pt idx="238">
                  <c:v>108.24022346368706</c:v>
                </c:pt>
                <c:pt idx="239">
                  <c:v>108.3916083916083</c:v>
                </c:pt>
                <c:pt idx="240">
                  <c:v>108.24022346368706</c:v>
                </c:pt>
                <c:pt idx="241">
                  <c:v>107.78859527120991</c:v>
                </c:pt>
                <c:pt idx="242">
                  <c:v>109.15492957746471</c:v>
                </c:pt>
                <c:pt idx="243">
                  <c:v>111.51079136690639</c:v>
                </c:pt>
                <c:pt idx="244">
                  <c:v>112.1562952243125</c:v>
                </c:pt>
                <c:pt idx="245">
                  <c:v>111.83261183261175</c:v>
                </c:pt>
                <c:pt idx="246">
                  <c:v>110.87267525035756</c:v>
                </c:pt>
                <c:pt idx="247">
                  <c:v>109.30888575458383</c:v>
                </c:pt>
                <c:pt idx="248">
                  <c:v>109.1549295774647</c:v>
                </c:pt>
                <c:pt idx="249">
                  <c:v>109.1549295774647</c:v>
                </c:pt>
                <c:pt idx="250">
                  <c:v>110.39886039886031</c:v>
                </c:pt>
                <c:pt idx="251">
                  <c:v>110.39886039886031</c:v>
                </c:pt>
                <c:pt idx="252">
                  <c:v>110.24182076813646</c:v>
                </c:pt>
                <c:pt idx="253">
                  <c:v>109.30888575458383</c:v>
                </c:pt>
                <c:pt idx="254">
                  <c:v>108.54341736694668</c:v>
                </c:pt>
                <c:pt idx="255">
                  <c:v>108.24022346368706</c:v>
                </c:pt>
                <c:pt idx="256">
                  <c:v>108.69565217391296</c:v>
                </c:pt>
                <c:pt idx="257">
                  <c:v>110.24182076813646</c:v>
                </c:pt>
                <c:pt idx="258">
                  <c:v>110.08522727272718</c:v>
                </c:pt>
                <c:pt idx="259">
                  <c:v>109.4632768361581</c:v>
                </c:pt>
                <c:pt idx="260">
                  <c:v>109.92907801418431</c:v>
                </c:pt>
                <c:pt idx="261">
                  <c:v>111.51079136690637</c:v>
                </c:pt>
                <c:pt idx="262">
                  <c:v>112.64534883720921</c:v>
                </c:pt>
                <c:pt idx="263">
                  <c:v>112.9737609329445</c:v>
                </c:pt>
                <c:pt idx="264">
                  <c:v>112.48185776487654</c:v>
                </c:pt>
                <c:pt idx="265">
                  <c:v>113.97058823529402</c:v>
                </c:pt>
                <c:pt idx="266">
                  <c:v>112.80931586608432</c:v>
                </c:pt>
                <c:pt idx="267">
                  <c:v>113.30409356725137</c:v>
                </c:pt>
                <c:pt idx="268">
                  <c:v>113.30409356725137</c:v>
                </c:pt>
                <c:pt idx="269">
                  <c:v>112.31884057971004</c:v>
                </c:pt>
                <c:pt idx="270">
                  <c:v>111.51079136690637</c:v>
                </c:pt>
                <c:pt idx="271">
                  <c:v>110.55634807417965</c:v>
                </c:pt>
                <c:pt idx="272">
                  <c:v>109.77337110481578</c:v>
                </c:pt>
                <c:pt idx="273">
                  <c:v>109.30888575458384</c:v>
                </c:pt>
                <c:pt idx="274">
                  <c:v>109.00140646976081</c:v>
                </c:pt>
                <c:pt idx="275">
                  <c:v>109.77337110481579</c:v>
                </c:pt>
                <c:pt idx="276">
                  <c:v>108.24022346368707</c:v>
                </c:pt>
                <c:pt idx="277">
                  <c:v>108.24022346368707</c:v>
                </c:pt>
                <c:pt idx="278">
                  <c:v>109.00140646976082</c:v>
                </c:pt>
                <c:pt idx="279">
                  <c:v>108.84831460674151</c:v>
                </c:pt>
                <c:pt idx="280">
                  <c:v>109.15492957746473</c:v>
                </c:pt>
                <c:pt idx="281">
                  <c:v>110.24182076813648</c:v>
                </c:pt>
                <c:pt idx="282">
                  <c:v>109.46327683615812</c:v>
                </c:pt>
                <c:pt idx="283">
                  <c:v>108.24022346368707</c:v>
                </c:pt>
                <c:pt idx="284">
                  <c:v>108.24022346368707</c:v>
                </c:pt>
                <c:pt idx="285">
                  <c:v>109.46327683615813</c:v>
                </c:pt>
                <c:pt idx="286">
                  <c:v>108.69565217391298</c:v>
                </c:pt>
                <c:pt idx="287">
                  <c:v>109.61810466760953</c:v>
                </c:pt>
                <c:pt idx="288">
                  <c:v>108.5434173669467</c:v>
                </c:pt>
                <c:pt idx="289">
                  <c:v>109.00140646976081</c:v>
                </c:pt>
                <c:pt idx="290">
                  <c:v>110.24182076813648</c:v>
                </c:pt>
                <c:pt idx="291">
                  <c:v>109.15492957746473</c:v>
                </c:pt>
                <c:pt idx="292">
                  <c:v>109.00140646976084</c:v>
                </c:pt>
                <c:pt idx="293">
                  <c:v>108.24022346368709</c:v>
                </c:pt>
                <c:pt idx="294">
                  <c:v>108.39160839160833</c:v>
                </c:pt>
                <c:pt idx="295">
                  <c:v>107.48959778085985</c:v>
                </c:pt>
                <c:pt idx="296">
                  <c:v>107.04419889502756</c:v>
                </c:pt>
                <c:pt idx="297">
                  <c:v>107.34072022160659</c:v>
                </c:pt>
                <c:pt idx="298">
                  <c:v>108.24022346368707</c:v>
                </c:pt>
                <c:pt idx="299">
                  <c:v>108.84831460674148</c:v>
                </c:pt>
                <c:pt idx="300">
                  <c:v>109.30888575458383</c:v>
                </c:pt>
                <c:pt idx="301">
                  <c:v>111.83261183261173</c:v>
                </c:pt>
                <c:pt idx="302">
                  <c:v>111.19081779053074</c:v>
                </c:pt>
                <c:pt idx="303">
                  <c:v>111.35057471264356</c:v>
                </c:pt>
                <c:pt idx="304">
                  <c:v>111.03151862464171</c:v>
                </c:pt>
                <c:pt idx="305">
                  <c:v>111.03151862464171</c:v>
                </c:pt>
                <c:pt idx="306">
                  <c:v>110.87267525035753</c:v>
                </c:pt>
                <c:pt idx="307">
                  <c:v>110.39886039886029</c:v>
                </c:pt>
                <c:pt idx="308">
                  <c:v>110.55634807417962</c:v>
                </c:pt>
                <c:pt idx="309">
                  <c:v>110.71428571428558</c:v>
                </c:pt>
                <c:pt idx="310">
                  <c:v>110.87267525035752</c:v>
                </c:pt>
                <c:pt idx="311">
                  <c:v>110.71428571428558</c:v>
                </c:pt>
                <c:pt idx="312">
                  <c:v>111.99421965317907</c:v>
                </c:pt>
                <c:pt idx="313">
                  <c:v>111.19081779053073</c:v>
                </c:pt>
                <c:pt idx="314">
                  <c:v>112.31884057971001</c:v>
                </c:pt>
                <c:pt idx="315">
                  <c:v>113.46998535871144</c:v>
                </c:pt>
                <c:pt idx="316">
                  <c:v>115.15601783060907</c:v>
                </c:pt>
                <c:pt idx="317">
                  <c:v>112.97376093294447</c:v>
                </c:pt>
                <c:pt idx="318">
                  <c:v>114.13843888070679</c:v>
                </c:pt>
                <c:pt idx="319">
                  <c:v>112.48185776487649</c:v>
                </c:pt>
                <c:pt idx="320">
                  <c:v>112.80931586608428</c:v>
                </c:pt>
                <c:pt idx="321">
                  <c:v>113.13868613138672</c:v>
                </c:pt>
                <c:pt idx="322">
                  <c:v>114.13843888070677</c:v>
                </c:pt>
                <c:pt idx="323">
                  <c:v>112.97376093294446</c:v>
                </c:pt>
                <c:pt idx="324">
                  <c:v>111.67146974063387</c:v>
                </c:pt>
                <c:pt idx="325">
                  <c:v>111.51079136690633</c:v>
                </c:pt>
                <c:pt idx="326">
                  <c:v>111.67146974063385</c:v>
                </c:pt>
                <c:pt idx="327">
                  <c:v>111.51079136690632</c:v>
                </c:pt>
                <c:pt idx="328">
                  <c:v>110.5563480741796</c:v>
                </c:pt>
                <c:pt idx="329">
                  <c:v>111.5107913669063</c:v>
                </c:pt>
                <c:pt idx="330">
                  <c:v>112.80931586608426</c:v>
                </c:pt>
                <c:pt idx="331">
                  <c:v>111.83261183261168</c:v>
                </c:pt>
                <c:pt idx="332">
                  <c:v>111.19081779053069</c:v>
                </c:pt>
                <c:pt idx="333">
                  <c:v>110.87267525035749</c:v>
                </c:pt>
                <c:pt idx="334">
                  <c:v>109.92907801418424</c:v>
                </c:pt>
                <c:pt idx="335">
                  <c:v>109.77337110481571</c:v>
                </c:pt>
                <c:pt idx="336">
                  <c:v>109.77337110481571</c:v>
                </c:pt>
                <c:pt idx="337">
                  <c:v>110.24182076813639</c:v>
                </c:pt>
                <c:pt idx="338">
                  <c:v>110.24182076813639</c:v>
                </c:pt>
                <c:pt idx="339">
                  <c:v>109.77337110481571</c:v>
                </c:pt>
                <c:pt idx="340">
                  <c:v>109.77337110481571</c:v>
                </c:pt>
                <c:pt idx="341">
                  <c:v>109.46327683615803</c:v>
                </c:pt>
                <c:pt idx="342">
                  <c:v>109.61810466760944</c:v>
                </c:pt>
                <c:pt idx="343">
                  <c:v>109.61810466760944</c:v>
                </c:pt>
                <c:pt idx="344">
                  <c:v>109.30888575458376</c:v>
                </c:pt>
                <c:pt idx="345">
                  <c:v>109.61810466760944</c:v>
                </c:pt>
                <c:pt idx="346">
                  <c:v>109.15492957746463</c:v>
                </c:pt>
                <c:pt idx="347">
                  <c:v>109.46327683615802</c:v>
                </c:pt>
                <c:pt idx="348">
                  <c:v>109.30888575458374</c:v>
                </c:pt>
                <c:pt idx="349">
                  <c:v>109.30888575458374</c:v>
                </c:pt>
                <c:pt idx="350">
                  <c:v>109.46327683615802</c:v>
                </c:pt>
                <c:pt idx="351">
                  <c:v>109.46327683615802</c:v>
                </c:pt>
                <c:pt idx="352">
                  <c:v>109.00140646976072</c:v>
                </c:pt>
                <c:pt idx="353">
                  <c:v>109.15492957746461</c:v>
                </c:pt>
                <c:pt idx="354">
                  <c:v>108.54341736694661</c:v>
                </c:pt>
                <c:pt idx="355">
                  <c:v>108.39160839160822</c:v>
                </c:pt>
                <c:pt idx="356">
                  <c:v>107.63888888888872</c:v>
                </c:pt>
                <c:pt idx="357">
                  <c:v>107.78859527120984</c:v>
                </c:pt>
                <c:pt idx="358">
                  <c:v>107.04419889502746</c:v>
                </c:pt>
                <c:pt idx="359">
                  <c:v>108.39160839160823</c:v>
                </c:pt>
                <c:pt idx="360">
                  <c:v>107.9387186629525</c:v>
                </c:pt>
                <c:pt idx="361">
                  <c:v>108.240223463687</c:v>
                </c:pt>
                <c:pt idx="362">
                  <c:v>109.30888575458377</c:v>
                </c:pt>
                <c:pt idx="363">
                  <c:v>108.84831460674143</c:v>
                </c:pt>
                <c:pt idx="364">
                  <c:v>110.24182076813641</c:v>
                </c:pt>
                <c:pt idx="365">
                  <c:v>110.5563480741796</c:v>
                </c:pt>
                <c:pt idx="366">
                  <c:v>109.92907801418426</c:v>
                </c:pt>
                <c:pt idx="367">
                  <c:v>110.24182076813641</c:v>
                </c:pt>
                <c:pt idx="368">
                  <c:v>111.99421965317903</c:v>
                </c:pt>
                <c:pt idx="369">
                  <c:v>112.48185776487648</c:v>
                </c:pt>
                <c:pt idx="370">
                  <c:v>113.3040935672513</c:v>
                </c:pt>
                <c:pt idx="371">
                  <c:v>114.30678466076679</c:v>
                </c:pt>
                <c:pt idx="372">
                  <c:v>113.97058823529395</c:v>
                </c:pt>
                <c:pt idx="373">
                  <c:v>115.32738095238078</c:v>
                </c:pt>
                <c:pt idx="374">
                  <c:v>114.81481481481464</c:v>
                </c:pt>
                <c:pt idx="375">
                  <c:v>116.19190404797584</c:v>
                </c:pt>
                <c:pt idx="376">
                  <c:v>117.42424242424227</c:v>
                </c:pt>
                <c:pt idx="377">
                  <c:v>116.19190404797585</c:v>
                </c:pt>
                <c:pt idx="378">
                  <c:v>116.71686746987936</c:v>
                </c:pt>
                <c:pt idx="379">
                  <c:v>115.67164179104461</c:v>
                </c:pt>
                <c:pt idx="380">
                  <c:v>115.84454409566501</c:v>
                </c:pt>
                <c:pt idx="381">
                  <c:v>115.84454409566501</c:v>
                </c:pt>
                <c:pt idx="382">
                  <c:v>116.01796407185616</c:v>
                </c:pt>
                <c:pt idx="383">
                  <c:v>117.24659606656566</c:v>
                </c:pt>
                <c:pt idx="384">
                  <c:v>117.60242792109241</c:v>
                </c:pt>
                <c:pt idx="385">
                  <c:v>118.14024390243888</c:v>
                </c:pt>
                <c:pt idx="386">
                  <c:v>117.96042617960411</c:v>
                </c:pt>
                <c:pt idx="387">
                  <c:v>117.96042617960411</c:v>
                </c:pt>
                <c:pt idx="388">
                  <c:v>118.86503067484648</c:v>
                </c:pt>
                <c:pt idx="389">
                  <c:v>118.68300153139342</c:v>
                </c:pt>
                <c:pt idx="390">
                  <c:v>118.14024390243888</c:v>
                </c:pt>
                <c:pt idx="391">
                  <c:v>117.0694864048337</c:v>
                </c:pt>
                <c:pt idx="392">
                  <c:v>116.36636636636624</c:v>
                </c:pt>
                <c:pt idx="393">
                  <c:v>115.84454409566504</c:v>
                </c:pt>
                <c:pt idx="394">
                  <c:v>114.98516320474765</c:v>
                </c:pt>
                <c:pt idx="395">
                  <c:v>114.64497041420107</c:v>
                </c:pt>
                <c:pt idx="396">
                  <c:v>114.8148148148147</c:v>
                </c:pt>
                <c:pt idx="397">
                  <c:v>115.15601783060909</c:v>
                </c:pt>
                <c:pt idx="398">
                  <c:v>115.84454409566506</c:v>
                </c:pt>
                <c:pt idx="399">
                  <c:v>116.1919040479759</c:v>
                </c:pt>
                <c:pt idx="400">
                  <c:v>116.89291101055795</c:v>
                </c:pt>
                <c:pt idx="401">
                  <c:v>115.84454409566506</c:v>
                </c:pt>
                <c:pt idx="402">
                  <c:v>115.67164179104466</c:v>
                </c:pt>
                <c:pt idx="403">
                  <c:v>115.49925484351704</c:v>
                </c:pt>
                <c:pt idx="404">
                  <c:v>115.67164179104468</c:v>
                </c:pt>
                <c:pt idx="405">
                  <c:v>116.01796407185618</c:v>
                </c:pt>
                <c:pt idx="406">
                  <c:v>117.06948640483374</c:v>
                </c:pt>
                <c:pt idx="407">
                  <c:v>117.78115501519747</c:v>
                </c:pt>
                <c:pt idx="408">
                  <c:v>117.06948640483373</c:v>
                </c:pt>
                <c:pt idx="409">
                  <c:v>116.71686746987942</c:v>
                </c:pt>
                <c:pt idx="410">
                  <c:v>116.01796407185618</c:v>
                </c:pt>
                <c:pt idx="411">
                  <c:v>116.36636636636626</c:v>
                </c:pt>
                <c:pt idx="412">
                  <c:v>116.19190404797591</c:v>
                </c:pt>
                <c:pt idx="413">
                  <c:v>115.67164179104468</c:v>
                </c:pt>
                <c:pt idx="414">
                  <c:v>115.15601783060912</c:v>
                </c:pt>
                <c:pt idx="415">
                  <c:v>114.81481481481472</c:v>
                </c:pt>
                <c:pt idx="416">
                  <c:v>114.30678466076687</c:v>
                </c:pt>
                <c:pt idx="417">
                  <c:v>114.30678466076687</c:v>
                </c:pt>
                <c:pt idx="418">
                  <c:v>114.6449704142011</c:v>
                </c:pt>
                <c:pt idx="419">
                  <c:v>114.98516320474769</c:v>
                </c:pt>
                <c:pt idx="420">
                  <c:v>115.32738095238086</c:v>
                </c:pt>
                <c:pt idx="421">
                  <c:v>114.81481481481472</c:v>
                </c:pt>
              </c:numCache>
            </c:numRef>
          </c:val>
          <c:smooth val="0"/>
          <c:extLst>
            <c:ext xmlns:c16="http://schemas.microsoft.com/office/drawing/2014/chart" uri="{C3380CC4-5D6E-409C-BE32-E72D297353CC}">
              <c16:uniqueId val="{00000001-114A-48E5-A809-EEEA508F8B5A}"/>
            </c:ext>
          </c:extLst>
        </c:ser>
        <c:ser>
          <c:idx val="2"/>
          <c:order val="2"/>
          <c:tx>
            <c:strRef>
              <c:f>Sheet1!$D$1</c:f>
              <c:strCache>
                <c:ptCount val="1"/>
                <c:pt idx="0">
                  <c:v> EUR/AMD </c:v>
                </c:pt>
              </c:strCache>
            </c:strRef>
          </c:tx>
          <c:spPr>
            <a:ln w="28575" cap="rnd">
              <a:solidFill>
                <a:srgbClr val="C0000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Sheet1!$D$2:$D$423</c:f>
              <c:numCache>
                <c:formatCode>0</c:formatCode>
                <c:ptCount val="422"/>
                <c:pt idx="0">
                  <c:v>100</c:v>
                </c:pt>
                <c:pt idx="1">
                  <c:v>100.34377172054927</c:v>
                </c:pt>
                <c:pt idx="2">
                  <c:v>100.44566464205796</c:v>
                </c:pt>
                <c:pt idx="3">
                  <c:v>100.27219312571567</c:v>
                </c:pt>
                <c:pt idx="4">
                  <c:v>100.10307153164297</c:v>
                </c:pt>
                <c:pt idx="5">
                  <c:v>100.08994153800032</c:v>
                </c:pt>
                <c:pt idx="6">
                  <c:v>99.820600986694572</c:v>
                </c:pt>
                <c:pt idx="7">
                  <c:v>100.08431545221188</c:v>
                </c:pt>
                <c:pt idx="8">
                  <c:v>100.48345529449388</c:v>
                </c:pt>
                <c:pt idx="9">
                  <c:v>100.43999849573164</c:v>
                </c:pt>
                <c:pt idx="10">
                  <c:v>100.54965740531588</c:v>
                </c:pt>
                <c:pt idx="11">
                  <c:v>100.66714409558631</c:v>
                </c:pt>
                <c:pt idx="12">
                  <c:v>101.08434418939125</c:v>
                </c:pt>
                <c:pt idx="13">
                  <c:v>101.44911021214369</c:v>
                </c:pt>
                <c:pt idx="14">
                  <c:v>101.26831857735988</c:v>
                </c:pt>
                <c:pt idx="15">
                  <c:v>101.20500189465712</c:v>
                </c:pt>
                <c:pt idx="16">
                  <c:v>101.17049888253347</c:v>
                </c:pt>
                <c:pt idx="17">
                  <c:v>100.74118778643233</c:v>
                </c:pt>
                <c:pt idx="18">
                  <c:v>100.91628724188099</c:v>
                </c:pt>
                <c:pt idx="19">
                  <c:v>101.20691941870825</c:v>
                </c:pt>
                <c:pt idx="20">
                  <c:v>101.40096434944385</c:v>
                </c:pt>
                <c:pt idx="21">
                  <c:v>101.90781440781448</c:v>
                </c:pt>
                <c:pt idx="22">
                  <c:v>101.84563758389268</c:v>
                </c:pt>
                <c:pt idx="23">
                  <c:v>102.18464246087927</c:v>
                </c:pt>
                <c:pt idx="24">
                  <c:v>102.06748958611998</c:v>
                </c:pt>
                <c:pt idx="25">
                  <c:v>102.4531522718991</c:v>
                </c:pt>
                <c:pt idx="26">
                  <c:v>102.81600677535472</c:v>
                </c:pt>
                <c:pt idx="27">
                  <c:v>102.83580078162611</c:v>
                </c:pt>
                <c:pt idx="28">
                  <c:v>103.04608677199691</c:v>
                </c:pt>
                <c:pt idx="29">
                  <c:v>103.30715971067197</c:v>
                </c:pt>
                <c:pt idx="30">
                  <c:v>103.38113762604276</c:v>
                </c:pt>
                <c:pt idx="31">
                  <c:v>103.30915772169044</c:v>
                </c:pt>
                <c:pt idx="32">
                  <c:v>103.20935175345384</c:v>
                </c:pt>
                <c:pt idx="33">
                  <c:v>103.22730259343723</c:v>
                </c:pt>
                <c:pt idx="34">
                  <c:v>102.54165706826392</c:v>
                </c:pt>
                <c:pt idx="35">
                  <c:v>102.10846252365576</c:v>
                </c:pt>
                <c:pt idx="36">
                  <c:v>101.05757042586607</c:v>
                </c:pt>
                <c:pt idx="37">
                  <c:v>100.7070002450935</c:v>
                </c:pt>
                <c:pt idx="38">
                  <c:v>100.23832310608201</c:v>
                </c:pt>
                <c:pt idx="39">
                  <c:v>99.934519466427275</c:v>
                </c:pt>
                <c:pt idx="40">
                  <c:v>99.67345263197187</c:v>
                </c:pt>
                <c:pt idx="41">
                  <c:v>98.56077939331324</c:v>
                </c:pt>
                <c:pt idx="42">
                  <c:v>97.527843710060324</c:v>
                </c:pt>
                <c:pt idx="43">
                  <c:v>97.631232636350418</c:v>
                </c:pt>
                <c:pt idx="44">
                  <c:v>97.811796158283187</c:v>
                </c:pt>
                <c:pt idx="45">
                  <c:v>98.104613576256284</c:v>
                </c:pt>
                <c:pt idx="46">
                  <c:v>98.084797737747706</c:v>
                </c:pt>
                <c:pt idx="47">
                  <c:v>97.433558907757742</c:v>
                </c:pt>
                <c:pt idx="48">
                  <c:v>98.137056770163568</c:v>
                </c:pt>
                <c:pt idx="49">
                  <c:v>98.931342951864195</c:v>
                </c:pt>
                <c:pt idx="50">
                  <c:v>100.33246304400915</c:v>
                </c:pt>
                <c:pt idx="51">
                  <c:v>100.952524947082</c:v>
                </c:pt>
                <c:pt idx="52">
                  <c:v>101.01934678593722</c:v>
                </c:pt>
                <c:pt idx="53">
                  <c:v>99.380453589834261</c:v>
                </c:pt>
                <c:pt idx="54">
                  <c:v>99.334250753152105</c:v>
                </c:pt>
                <c:pt idx="55">
                  <c:v>98.131648081127267</c:v>
                </c:pt>
                <c:pt idx="56">
                  <c:v>97.435336178906297</c:v>
                </c:pt>
                <c:pt idx="57">
                  <c:v>96.359634881119916</c:v>
                </c:pt>
                <c:pt idx="58">
                  <c:v>96.514590297226519</c:v>
                </c:pt>
                <c:pt idx="59">
                  <c:v>96.755846178926603</c:v>
                </c:pt>
                <c:pt idx="60">
                  <c:v>96.834777564265295</c:v>
                </c:pt>
                <c:pt idx="61">
                  <c:v>98.2164527635789</c:v>
                </c:pt>
                <c:pt idx="62">
                  <c:v>98.484457391496775</c:v>
                </c:pt>
                <c:pt idx="63">
                  <c:v>98.361138732368488</c:v>
                </c:pt>
                <c:pt idx="64">
                  <c:v>99.023042841517963</c:v>
                </c:pt>
                <c:pt idx="65">
                  <c:v>99.547140274697682</c:v>
                </c:pt>
                <c:pt idx="66">
                  <c:v>99.360119047619108</c:v>
                </c:pt>
                <c:pt idx="67">
                  <c:v>100.40224051727387</c:v>
                </c:pt>
                <c:pt idx="68">
                  <c:v>100.53830227743281</c:v>
                </c:pt>
                <c:pt idx="69">
                  <c:v>100.49668874172194</c:v>
                </c:pt>
                <c:pt idx="70">
                  <c:v>101.40096434944388</c:v>
                </c:pt>
                <c:pt idx="71">
                  <c:v>102.04604069156565</c:v>
                </c:pt>
                <c:pt idx="72">
                  <c:v>101.76608432242955</c:v>
                </c:pt>
                <c:pt idx="73">
                  <c:v>102.53968863378967</c:v>
                </c:pt>
                <c:pt idx="74">
                  <c:v>102.53968863378967</c:v>
                </c:pt>
                <c:pt idx="75">
                  <c:v>103.35113381317244</c:v>
                </c:pt>
                <c:pt idx="76">
                  <c:v>102.68358323721654</c:v>
                </c:pt>
                <c:pt idx="77">
                  <c:v>102.3804960325067</c:v>
                </c:pt>
                <c:pt idx="78">
                  <c:v>102.6105999193193</c:v>
                </c:pt>
                <c:pt idx="79">
                  <c:v>102.57710181664564</c:v>
                </c:pt>
                <c:pt idx="80">
                  <c:v>101.75832968205296</c:v>
                </c:pt>
                <c:pt idx="81">
                  <c:v>102.45118723387942</c:v>
                </c:pt>
                <c:pt idx="82">
                  <c:v>102.76260100038486</c:v>
                </c:pt>
                <c:pt idx="83">
                  <c:v>102.3804960325067</c:v>
                </c:pt>
                <c:pt idx="84">
                  <c:v>101.7971147066111</c:v>
                </c:pt>
                <c:pt idx="85">
                  <c:v>101.51080367153806</c:v>
                </c:pt>
                <c:pt idx="86">
                  <c:v>101.34901811972307</c:v>
                </c:pt>
                <c:pt idx="87">
                  <c:v>101.03845499082611</c:v>
                </c:pt>
                <c:pt idx="88">
                  <c:v>101.09008327024989</c:v>
                </c:pt>
                <c:pt idx="89">
                  <c:v>101.27983921427361</c:v>
                </c:pt>
                <c:pt idx="90">
                  <c:v>101.73701051348478</c:v>
                </c:pt>
                <c:pt idx="91">
                  <c:v>100.68991517436389</c:v>
                </c:pt>
                <c:pt idx="92">
                  <c:v>100.86674094076334</c:v>
                </c:pt>
                <c:pt idx="93">
                  <c:v>101.15325619709516</c:v>
                </c:pt>
                <c:pt idx="94">
                  <c:v>101.75639120661417</c:v>
                </c:pt>
                <c:pt idx="95">
                  <c:v>101.70408027265293</c:v>
                </c:pt>
                <c:pt idx="96">
                  <c:v>101.44140380196374</c:v>
                </c:pt>
                <c:pt idx="97">
                  <c:v>100.70700024509352</c:v>
                </c:pt>
                <c:pt idx="98">
                  <c:v>100.09369261327448</c:v>
                </c:pt>
                <c:pt idx="99">
                  <c:v>99.511904318342829</c:v>
                </c:pt>
                <c:pt idx="100">
                  <c:v>99.050585966473932</c:v>
                </c:pt>
                <c:pt idx="101">
                  <c:v>98.755754404777434</c:v>
                </c:pt>
                <c:pt idx="102">
                  <c:v>98.942337970252225</c:v>
                </c:pt>
                <c:pt idx="103">
                  <c:v>97.831501831501953</c:v>
                </c:pt>
                <c:pt idx="104">
                  <c:v>98.250777125830126</c:v>
                </c:pt>
                <c:pt idx="105">
                  <c:v>98.526238125980015</c:v>
                </c:pt>
                <c:pt idx="106">
                  <c:v>97.759882869692646</c:v>
                </c:pt>
                <c:pt idx="107">
                  <c:v>97.444223507306248</c:v>
                </c:pt>
                <c:pt idx="108">
                  <c:v>97.915788315949754</c:v>
                </c:pt>
                <c:pt idx="109">
                  <c:v>98.628113517605698</c:v>
                </c:pt>
                <c:pt idx="110">
                  <c:v>97.960680751173854</c:v>
                </c:pt>
                <c:pt idx="111">
                  <c:v>99.008359437267288</c:v>
                </c:pt>
                <c:pt idx="112">
                  <c:v>98.942337970252225</c:v>
                </c:pt>
                <c:pt idx="113">
                  <c:v>99.321321656347166</c:v>
                </c:pt>
                <c:pt idx="114">
                  <c:v>99.454467593885681</c:v>
                </c:pt>
                <c:pt idx="115">
                  <c:v>98.7119546134941</c:v>
                </c:pt>
                <c:pt idx="116">
                  <c:v>98.420945958395635</c:v>
                </c:pt>
                <c:pt idx="117">
                  <c:v>98.852616774002627</c:v>
                </c:pt>
                <c:pt idx="118">
                  <c:v>98.792283933492499</c:v>
                </c:pt>
                <c:pt idx="119">
                  <c:v>98.218258711041756</c:v>
                </c:pt>
                <c:pt idx="120">
                  <c:v>98.837983864998989</c:v>
                </c:pt>
                <c:pt idx="121">
                  <c:v>98.779495524817037</c:v>
                </c:pt>
                <c:pt idx="122">
                  <c:v>97.92655874750227</c:v>
                </c:pt>
                <c:pt idx="123">
                  <c:v>98.317688201730292</c:v>
                </c:pt>
                <c:pt idx="124">
                  <c:v>97.640155738753833</c:v>
                </c:pt>
                <c:pt idx="125">
                  <c:v>97.66693483507656</c:v>
                </c:pt>
                <c:pt idx="126">
                  <c:v>97.550998045912053</c:v>
                </c:pt>
                <c:pt idx="127">
                  <c:v>96.905046986684198</c:v>
                </c:pt>
                <c:pt idx="128">
                  <c:v>97.187147483716146</c:v>
                </c:pt>
                <c:pt idx="129">
                  <c:v>96.99478854569567</c:v>
                </c:pt>
                <c:pt idx="130">
                  <c:v>96.827756226661464</c:v>
                </c:pt>
                <c:pt idx="131">
                  <c:v>96.481468102015867</c:v>
                </c:pt>
                <c:pt idx="132">
                  <c:v>97.061762942234765</c:v>
                </c:pt>
                <c:pt idx="133">
                  <c:v>96.984222089075416</c:v>
                </c:pt>
                <c:pt idx="134">
                  <c:v>96.582649260478192</c:v>
                </c:pt>
                <c:pt idx="135">
                  <c:v>96.490182264853161</c:v>
                </c:pt>
                <c:pt idx="136">
                  <c:v>95.563188779161408</c:v>
                </c:pt>
                <c:pt idx="137">
                  <c:v>94.973596714257894</c:v>
                </c:pt>
                <c:pt idx="138">
                  <c:v>94.912844933278961</c:v>
                </c:pt>
                <c:pt idx="139">
                  <c:v>94.090292578957673</c:v>
                </c:pt>
                <c:pt idx="140">
                  <c:v>93.994263492231198</c:v>
                </c:pt>
                <c:pt idx="141">
                  <c:v>93.837397231396352</c:v>
                </c:pt>
                <c:pt idx="142">
                  <c:v>93.669554238417675</c:v>
                </c:pt>
                <c:pt idx="143">
                  <c:v>92.823132798109441</c:v>
                </c:pt>
                <c:pt idx="144">
                  <c:v>93.620302860347834</c:v>
                </c:pt>
                <c:pt idx="145">
                  <c:v>93.25581801358274</c:v>
                </c:pt>
                <c:pt idx="146">
                  <c:v>92.795719472577971</c:v>
                </c:pt>
                <c:pt idx="147">
                  <c:v>92.837652293307016</c:v>
                </c:pt>
                <c:pt idx="148">
                  <c:v>93.193991311478371</c:v>
                </c:pt>
                <c:pt idx="149">
                  <c:v>93.600616808018614</c:v>
                </c:pt>
                <c:pt idx="150">
                  <c:v>93.36176460306929</c:v>
                </c:pt>
                <c:pt idx="151">
                  <c:v>93.6137399228883</c:v>
                </c:pt>
                <c:pt idx="152">
                  <c:v>93.034921187843011</c:v>
                </c:pt>
                <c:pt idx="153">
                  <c:v>93.399311080414876</c:v>
                </c:pt>
                <c:pt idx="154">
                  <c:v>92.978241949521447</c:v>
                </c:pt>
                <c:pt idx="155">
                  <c:v>92.694269947593227</c:v>
                </c:pt>
                <c:pt idx="156">
                  <c:v>92.381660642327304</c:v>
                </c:pt>
                <c:pt idx="157">
                  <c:v>93.106273204232238</c:v>
                </c:pt>
                <c:pt idx="158">
                  <c:v>93.231402939225873</c:v>
                </c:pt>
                <c:pt idx="159">
                  <c:v>93.026819923371775</c:v>
                </c:pt>
                <c:pt idx="160">
                  <c:v>92.978241949521461</c:v>
                </c:pt>
                <c:pt idx="161">
                  <c:v>92.786048046691931</c:v>
                </c:pt>
                <c:pt idx="162">
                  <c:v>92.750603392891392</c:v>
                </c:pt>
                <c:pt idx="163">
                  <c:v>92.218980370491991</c:v>
                </c:pt>
                <c:pt idx="164">
                  <c:v>92.009301524416642</c:v>
                </c:pt>
                <c:pt idx="165">
                  <c:v>91.621069964494737</c:v>
                </c:pt>
                <c:pt idx="166">
                  <c:v>92.333753954123651</c:v>
                </c:pt>
                <c:pt idx="167">
                  <c:v>92.679795263295006</c:v>
                </c:pt>
                <c:pt idx="168">
                  <c:v>92.346524212091495</c:v>
                </c:pt>
                <c:pt idx="169">
                  <c:v>92.535296665223186</c:v>
                </c:pt>
                <c:pt idx="170">
                  <c:v>92.755435160102948</c:v>
                </c:pt>
                <c:pt idx="171">
                  <c:v>92.884468247896081</c:v>
                </c:pt>
                <c:pt idx="172">
                  <c:v>92.400837239876282</c:v>
                </c:pt>
                <c:pt idx="173">
                  <c:v>92.254019792404421</c:v>
                </c:pt>
                <c:pt idx="174">
                  <c:v>92.633185349611679</c:v>
                </c:pt>
                <c:pt idx="175">
                  <c:v>92.639611515782306</c:v>
                </c:pt>
                <c:pt idx="176">
                  <c:v>92.744161819602525</c:v>
                </c:pt>
                <c:pt idx="177">
                  <c:v>93.451599923021874</c:v>
                </c:pt>
                <c:pt idx="178">
                  <c:v>92.900622630352487</c:v>
                </c:pt>
                <c:pt idx="179">
                  <c:v>93.781382773271673</c:v>
                </c:pt>
                <c:pt idx="180">
                  <c:v>93.939713692800254</c:v>
                </c:pt>
                <c:pt idx="181">
                  <c:v>94.531554171238596</c:v>
                </c:pt>
                <c:pt idx="182">
                  <c:v>94.53322714804014</c:v>
                </c:pt>
                <c:pt idx="183">
                  <c:v>94.449650782424328</c:v>
                </c:pt>
                <c:pt idx="184">
                  <c:v>93.707348736031577</c:v>
                </c:pt>
                <c:pt idx="185">
                  <c:v>93.42054636398629</c:v>
                </c:pt>
                <c:pt idx="186">
                  <c:v>93.07058352063855</c:v>
                </c:pt>
                <c:pt idx="187">
                  <c:v>93.296538233136687</c:v>
                </c:pt>
                <c:pt idx="188">
                  <c:v>92.996047981336858</c:v>
                </c:pt>
                <c:pt idx="189">
                  <c:v>92.52888496249733</c:v>
                </c:pt>
                <c:pt idx="190">
                  <c:v>92.681403338307391</c:v>
                </c:pt>
                <c:pt idx="191">
                  <c:v>92.503247034375406</c:v>
                </c:pt>
                <c:pt idx="192">
                  <c:v>92.250833290157829</c:v>
                </c:pt>
                <c:pt idx="193">
                  <c:v>92.426418424376806</c:v>
                </c:pt>
                <c:pt idx="194">
                  <c:v>92.298653949164688</c:v>
                </c:pt>
                <c:pt idx="195">
                  <c:v>92.665325098882931</c:v>
                </c:pt>
                <c:pt idx="196">
                  <c:v>92.766711241555527</c:v>
                </c:pt>
                <c:pt idx="197">
                  <c:v>92.694269947593241</c:v>
                </c:pt>
                <c:pt idx="198">
                  <c:v>92.269955606225636</c:v>
                </c:pt>
                <c:pt idx="199">
                  <c:v>91.712308775303612</c:v>
                </c:pt>
                <c:pt idx="200">
                  <c:v>91.234542597526939</c:v>
                </c:pt>
                <c:pt idx="201">
                  <c:v>91.345315252150542</c:v>
                </c:pt>
                <c:pt idx="202">
                  <c:v>91.270397266125713</c:v>
                </c:pt>
                <c:pt idx="203">
                  <c:v>91.713883451804676</c:v>
                </c:pt>
                <c:pt idx="204">
                  <c:v>91.740661227994977</c:v>
                </c:pt>
                <c:pt idx="205">
                  <c:v>92.305033783200116</c:v>
                </c:pt>
                <c:pt idx="206">
                  <c:v>92.364089085627469</c:v>
                </c:pt>
                <c:pt idx="207">
                  <c:v>92.72323288432176</c:v>
                </c:pt>
                <c:pt idx="208">
                  <c:v>92.93133144278795</c:v>
                </c:pt>
                <c:pt idx="209">
                  <c:v>92.520871583469145</c:v>
                </c:pt>
                <c:pt idx="210">
                  <c:v>92.718404471368444</c:v>
                </c:pt>
                <c:pt idx="211">
                  <c:v>91.729633191372557</c:v>
                </c:pt>
                <c:pt idx="212">
                  <c:v>91.281315150893874</c:v>
                </c:pt>
                <c:pt idx="213">
                  <c:v>91.11782065059802</c:v>
                </c:pt>
                <c:pt idx="214">
                  <c:v>91.564530229528557</c:v>
                </c:pt>
                <c:pt idx="215">
                  <c:v>91.5488371295869</c:v>
                </c:pt>
                <c:pt idx="216">
                  <c:v>91.265718972116034</c:v>
                </c:pt>
                <c:pt idx="217">
                  <c:v>91.060347766791793</c:v>
                </c:pt>
                <c:pt idx="218">
                  <c:v>90.710865061305</c:v>
                </c:pt>
                <c:pt idx="219">
                  <c:v>90.498780157224289</c:v>
                </c:pt>
                <c:pt idx="220">
                  <c:v>90.09732319058152</c:v>
                </c:pt>
                <c:pt idx="221">
                  <c:v>90.158151467584958</c:v>
                </c:pt>
                <c:pt idx="222">
                  <c:v>89.516020914331776</c:v>
                </c:pt>
                <c:pt idx="223">
                  <c:v>89.008864893688028</c:v>
                </c:pt>
                <c:pt idx="224">
                  <c:v>87.735492666261607</c:v>
                </c:pt>
                <c:pt idx="225">
                  <c:v>87.7023610153352</c:v>
                </c:pt>
                <c:pt idx="226">
                  <c:v>88.317185278264702</c:v>
                </c:pt>
                <c:pt idx="227">
                  <c:v>88.153942634584368</c:v>
                </c:pt>
                <c:pt idx="228">
                  <c:v>88.02610329257449</c:v>
                </c:pt>
                <c:pt idx="229">
                  <c:v>87.940600253535592</c:v>
                </c:pt>
                <c:pt idx="230">
                  <c:v>87.029343239324263</c:v>
                </c:pt>
                <c:pt idx="231">
                  <c:v>86.488236913262497</c:v>
                </c:pt>
                <c:pt idx="232">
                  <c:v>85.858488443115789</c:v>
                </c:pt>
                <c:pt idx="233">
                  <c:v>86.188201884600574</c:v>
                </c:pt>
                <c:pt idx="234">
                  <c:v>85.638246705358085</c:v>
                </c:pt>
                <c:pt idx="235">
                  <c:v>85.469702545722271</c:v>
                </c:pt>
                <c:pt idx="236">
                  <c:v>85.068161549242021</c:v>
                </c:pt>
                <c:pt idx="237">
                  <c:v>84.660982026817194</c:v>
                </c:pt>
                <c:pt idx="238">
                  <c:v>84.11968503937014</c:v>
                </c:pt>
                <c:pt idx="239">
                  <c:v>83.678232944309599</c:v>
                </c:pt>
                <c:pt idx="240">
                  <c:v>83.379120879120933</c:v>
                </c:pt>
                <c:pt idx="241">
                  <c:v>83.436426116838547</c:v>
                </c:pt>
                <c:pt idx="242">
                  <c:v>83.497725602988822</c:v>
                </c:pt>
                <c:pt idx="243">
                  <c:v>84.12498425097651</c:v>
                </c:pt>
                <c:pt idx="244">
                  <c:v>83.847675258217521</c:v>
                </c:pt>
                <c:pt idx="245">
                  <c:v>83.884544112566417</c:v>
                </c:pt>
                <c:pt idx="246">
                  <c:v>83.860838985179669</c:v>
                </c:pt>
                <c:pt idx="247">
                  <c:v>83.846359112813417</c:v>
                </c:pt>
                <c:pt idx="248">
                  <c:v>83.341394536064868</c:v>
                </c:pt>
                <c:pt idx="249">
                  <c:v>83.48598043199658</c:v>
                </c:pt>
                <c:pt idx="250">
                  <c:v>83.317995351811788</c:v>
                </c:pt>
                <c:pt idx="251">
                  <c:v>83.496420420796042</c:v>
                </c:pt>
                <c:pt idx="252">
                  <c:v>83.876640914515519</c:v>
                </c:pt>
                <c:pt idx="253">
                  <c:v>83.587881822734204</c:v>
                </c:pt>
                <c:pt idx="254">
                  <c:v>83.159746547724779</c:v>
                </c:pt>
                <c:pt idx="255">
                  <c:v>83.551273227804629</c:v>
                </c:pt>
                <c:pt idx="256">
                  <c:v>84.205880034681257</c:v>
                </c:pt>
                <c:pt idx="257">
                  <c:v>84.798069596139285</c:v>
                </c:pt>
                <c:pt idx="258">
                  <c:v>84.868128376231425</c:v>
                </c:pt>
                <c:pt idx="259">
                  <c:v>84.845211811236325</c:v>
                </c:pt>
                <c:pt idx="260">
                  <c:v>84.789993333121771</c:v>
                </c:pt>
                <c:pt idx="261">
                  <c:v>84.639518301378629</c:v>
                </c:pt>
                <c:pt idx="262">
                  <c:v>84.869476794992067</c:v>
                </c:pt>
                <c:pt idx="263">
                  <c:v>84.991010199048603</c:v>
                </c:pt>
                <c:pt idx="264">
                  <c:v>85.049199121103186</c:v>
                </c:pt>
                <c:pt idx="265">
                  <c:v>85.080356147364824</c:v>
                </c:pt>
                <c:pt idx="266">
                  <c:v>85.127812838656297</c:v>
                </c:pt>
                <c:pt idx="267">
                  <c:v>85.25825193130315</c:v>
                </c:pt>
                <c:pt idx="268">
                  <c:v>85.386361456568366</c:v>
                </c:pt>
                <c:pt idx="269">
                  <c:v>85.610795909863185</c:v>
                </c:pt>
                <c:pt idx="270">
                  <c:v>85.573765239262485</c:v>
                </c:pt>
                <c:pt idx="271">
                  <c:v>85.102044067742668</c:v>
                </c:pt>
                <c:pt idx="272">
                  <c:v>84.417472659460202</c:v>
                </c:pt>
                <c:pt idx="273">
                  <c:v>84.240407513129099</c:v>
                </c:pt>
                <c:pt idx="274">
                  <c:v>84.041599144102378</c:v>
                </c:pt>
                <c:pt idx="275">
                  <c:v>84.146187775677447</c:v>
                </c:pt>
                <c:pt idx="276">
                  <c:v>83.908262645303225</c:v>
                </c:pt>
                <c:pt idx="277">
                  <c:v>83.712328981805129</c:v>
                </c:pt>
                <c:pt idx="278">
                  <c:v>84.438823901359527</c:v>
                </c:pt>
                <c:pt idx="279">
                  <c:v>84.394798792915552</c:v>
                </c:pt>
                <c:pt idx="280">
                  <c:v>83.934632306725391</c:v>
                </c:pt>
                <c:pt idx="281">
                  <c:v>84.015162239104171</c:v>
                </c:pt>
                <c:pt idx="282">
                  <c:v>83.62583170254409</c:v>
                </c:pt>
                <c:pt idx="283">
                  <c:v>83.414276121617249</c:v>
                </c:pt>
                <c:pt idx="284">
                  <c:v>82.94925150630479</c:v>
                </c:pt>
                <c:pt idx="285">
                  <c:v>83.436426116838547</c:v>
                </c:pt>
                <c:pt idx="286">
                  <c:v>83.974217890268889</c:v>
                </c:pt>
                <c:pt idx="287">
                  <c:v>84.358812381554074</c:v>
                </c:pt>
                <c:pt idx="288">
                  <c:v>83.928038337654229</c:v>
                </c:pt>
                <c:pt idx="289">
                  <c:v>84.557787592407962</c:v>
                </c:pt>
                <c:pt idx="290">
                  <c:v>85.21744679493321</c:v>
                </c:pt>
                <c:pt idx="291">
                  <c:v>85.416400153511631</c:v>
                </c:pt>
                <c:pt idx="292">
                  <c:v>85.341343004585383</c:v>
                </c:pt>
                <c:pt idx="293">
                  <c:v>84.833084521805475</c:v>
                </c:pt>
                <c:pt idx="294">
                  <c:v>85.102044067742668</c:v>
                </c:pt>
                <c:pt idx="295">
                  <c:v>84.988305675327425</c:v>
                </c:pt>
                <c:pt idx="296">
                  <c:v>84.850602830683272</c:v>
                </c:pt>
                <c:pt idx="297">
                  <c:v>85.007240956761208</c:v>
                </c:pt>
                <c:pt idx="298">
                  <c:v>84.815573445116698</c:v>
                </c:pt>
                <c:pt idx="299">
                  <c:v>85.084421790379182</c:v>
                </c:pt>
                <c:pt idx="300">
                  <c:v>85.060033759036983</c:v>
                </c:pt>
                <c:pt idx="301">
                  <c:v>85.066806809676308</c:v>
                </c:pt>
                <c:pt idx="302">
                  <c:v>85.443726406040113</c:v>
                </c:pt>
                <c:pt idx="303">
                  <c:v>85.551836250941008</c:v>
                </c:pt>
                <c:pt idx="304">
                  <c:v>85.551836250941008</c:v>
                </c:pt>
                <c:pt idx="305">
                  <c:v>85.586105236172585</c:v>
                </c:pt>
                <c:pt idx="306">
                  <c:v>85.74822615340166</c:v>
                </c:pt>
                <c:pt idx="307">
                  <c:v>85.745473224605163</c:v>
                </c:pt>
                <c:pt idx="308">
                  <c:v>85.516225605558546</c:v>
                </c:pt>
                <c:pt idx="309">
                  <c:v>85.054616095028877</c:v>
                </c:pt>
                <c:pt idx="310">
                  <c:v>85.229684234040221</c:v>
                </c:pt>
                <c:pt idx="311">
                  <c:v>84.509627098264474</c:v>
                </c:pt>
                <c:pt idx="312">
                  <c:v>83.767465930653842</c:v>
                </c:pt>
                <c:pt idx="313">
                  <c:v>83.77929044198379</c:v>
                </c:pt>
                <c:pt idx="314">
                  <c:v>84.308216799772751</c:v>
                </c:pt>
                <c:pt idx="315">
                  <c:v>84.991010199048546</c:v>
                </c:pt>
                <c:pt idx="316">
                  <c:v>86.446246217086667</c:v>
                </c:pt>
                <c:pt idx="317">
                  <c:v>86.027185466726834</c:v>
                </c:pt>
                <c:pt idx="318">
                  <c:v>85.562799340050333</c:v>
                </c:pt>
                <c:pt idx="319">
                  <c:v>85.398647460391075</c:v>
                </c:pt>
                <c:pt idx="320">
                  <c:v>84.963972705148819</c:v>
                </c:pt>
                <c:pt idx="321">
                  <c:v>84.88296333963676</c:v>
                </c:pt>
                <c:pt idx="322">
                  <c:v>85.201135674865228</c:v>
                </c:pt>
                <c:pt idx="323">
                  <c:v>84.923448703477021</c:v>
                </c:pt>
                <c:pt idx="324">
                  <c:v>84.889708219439342</c:v>
                </c:pt>
                <c:pt idx="325">
                  <c:v>84.841168996188074</c:v>
                </c:pt>
                <c:pt idx="326">
                  <c:v>85.087132434929458</c:v>
                </c:pt>
                <c:pt idx="327">
                  <c:v>85.165816326530617</c:v>
                </c:pt>
                <c:pt idx="328">
                  <c:v>84.659640225057458</c:v>
                </c:pt>
                <c:pt idx="329">
                  <c:v>84.838474000190601</c:v>
                </c:pt>
                <c:pt idx="330">
                  <c:v>85.137310530594036</c:v>
                </c:pt>
                <c:pt idx="331">
                  <c:v>85.430061094584659</c:v>
                </c:pt>
                <c:pt idx="332">
                  <c:v>85.402743580724589</c:v>
                </c:pt>
                <c:pt idx="333">
                  <c:v>85.031598720132436</c:v>
                </c:pt>
                <c:pt idx="334">
                  <c:v>84.695883807953322</c:v>
                </c:pt>
                <c:pt idx="335">
                  <c:v>84.078638774771377</c:v>
                </c:pt>
                <c:pt idx="336">
                  <c:v>84.109088618756687</c:v>
                </c:pt>
                <c:pt idx="337">
                  <c:v>84.282941761206757</c:v>
                </c:pt>
                <c:pt idx="338">
                  <c:v>84.630131343378181</c:v>
                </c:pt>
                <c:pt idx="339">
                  <c:v>84.429481404207579</c:v>
                </c:pt>
                <c:pt idx="340">
                  <c:v>84.195261888624444</c:v>
                </c:pt>
                <c:pt idx="341">
                  <c:v>83.825306404281037</c:v>
                </c:pt>
                <c:pt idx="342">
                  <c:v>84.00723441063144</c:v>
                </c:pt>
                <c:pt idx="343">
                  <c:v>84.176686575161142</c:v>
                </c:pt>
                <c:pt idx="344">
                  <c:v>83.926719668164537</c:v>
                </c:pt>
                <c:pt idx="345">
                  <c:v>84.023091564028761</c:v>
                </c:pt>
                <c:pt idx="346">
                  <c:v>83.722825661039806</c:v>
                </c:pt>
                <c:pt idx="347">
                  <c:v>83.800320040161921</c:v>
                </c:pt>
                <c:pt idx="348">
                  <c:v>84.114386495338891</c:v>
                </c:pt>
                <c:pt idx="349">
                  <c:v>84.183319674714767</c:v>
                </c:pt>
                <c:pt idx="350">
                  <c:v>83.891131248723966</c:v>
                </c:pt>
                <c:pt idx="351">
                  <c:v>84.236422128303815</c:v>
                </c:pt>
                <c:pt idx="352">
                  <c:v>84.178013111447328</c:v>
                </c:pt>
                <c:pt idx="353">
                  <c:v>84.769809404408633</c:v>
                </c:pt>
                <c:pt idx="354">
                  <c:v>84.47888660445993</c:v>
                </c:pt>
                <c:pt idx="355">
                  <c:v>84.413470503642614</c:v>
                </c:pt>
                <c:pt idx="356">
                  <c:v>84.345491867993061</c:v>
                </c:pt>
                <c:pt idx="357">
                  <c:v>84.565819678619505</c:v>
                </c:pt>
                <c:pt idx="358">
                  <c:v>84.765773771740541</c:v>
                </c:pt>
                <c:pt idx="359">
                  <c:v>85.304545019004166</c:v>
                </c:pt>
                <c:pt idx="360">
                  <c:v>85.443726406040099</c:v>
                </c:pt>
                <c:pt idx="361">
                  <c:v>85.577878176167175</c:v>
                </c:pt>
                <c:pt idx="362">
                  <c:v>86.945764698222575</c:v>
                </c:pt>
                <c:pt idx="363">
                  <c:v>87.258233141662345</c:v>
                </c:pt>
                <c:pt idx="364">
                  <c:v>87.465409113982119</c:v>
                </c:pt>
                <c:pt idx="365">
                  <c:v>87.605989536352197</c:v>
                </c:pt>
                <c:pt idx="366">
                  <c:v>87.375273988288058</c:v>
                </c:pt>
                <c:pt idx="367">
                  <c:v>88.052222075695667</c:v>
                </c:pt>
                <c:pt idx="368">
                  <c:v>89.570058354014378</c:v>
                </c:pt>
                <c:pt idx="369">
                  <c:v>90.06693982160624</c:v>
                </c:pt>
                <c:pt idx="370">
                  <c:v>90.552475885334587</c:v>
                </c:pt>
                <c:pt idx="371">
                  <c:v>90.584723918057293</c:v>
                </c:pt>
                <c:pt idx="372">
                  <c:v>90.902283788843164</c:v>
                </c:pt>
                <c:pt idx="373">
                  <c:v>91.204944764116348</c:v>
                </c:pt>
                <c:pt idx="374">
                  <c:v>91.047930728847106</c:v>
                </c:pt>
                <c:pt idx="375">
                  <c:v>91.195602069212796</c:v>
                </c:pt>
                <c:pt idx="376">
                  <c:v>91.141141141141162</c:v>
                </c:pt>
                <c:pt idx="377">
                  <c:v>90.883724095688592</c:v>
                </c:pt>
                <c:pt idx="378">
                  <c:v>90.886816851561989</c:v>
                </c:pt>
                <c:pt idx="379">
                  <c:v>90.91311377755089</c:v>
                </c:pt>
                <c:pt idx="380">
                  <c:v>91.376567391415932</c:v>
                </c:pt>
                <c:pt idx="381">
                  <c:v>91.044826998466007</c:v>
                </c:pt>
                <c:pt idx="382">
                  <c:v>91.343753206334029</c:v>
                </c:pt>
                <c:pt idx="383">
                  <c:v>92.001377884946621</c:v>
                </c:pt>
                <c:pt idx="384">
                  <c:v>92.1744232196166</c:v>
                </c:pt>
                <c:pt idx="385">
                  <c:v>93.055991080450184</c:v>
                </c:pt>
                <c:pt idx="386">
                  <c:v>93.487582477203929</c:v>
                </c:pt>
                <c:pt idx="387">
                  <c:v>93.895129111075974</c:v>
                </c:pt>
                <c:pt idx="388">
                  <c:v>93.830803822372133</c:v>
                </c:pt>
                <c:pt idx="389">
                  <c:v>94.020734691003824</c:v>
                </c:pt>
                <c:pt idx="390">
                  <c:v>93.710636655497282</c:v>
                </c:pt>
                <c:pt idx="391">
                  <c:v>92.884468247895953</c:v>
                </c:pt>
                <c:pt idx="392">
                  <c:v>92.362492002835765</c:v>
                </c:pt>
                <c:pt idx="393">
                  <c:v>91.985534699500619</c:v>
                </c:pt>
                <c:pt idx="394">
                  <c:v>91.572378797229661</c:v>
                </c:pt>
                <c:pt idx="395">
                  <c:v>91.501790088562288</c:v>
                </c:pt>
                <c:pt idx="396">
                  <c:v>91.500222686628533</c:v>
                </c:pt>
                <c:pt idx="397">
                  <c:v>91.822666872947948</c:v>
                </c:pt>
                <c:pt idx="398">
                  <c:v>92.445613610010227</c:v>
                </c:pt>
                <c:pt idx="399">
                  <c:v>92.876393163284831</c:v>
                </c:pt>
                <c:pt idx="400">
                  <c:v>92.882853118642302</c:v>
                </c:pt>
                <c:pt idx="401">
                  <c:v>92.525679444319366</c:v>
                </c:pt>
                <c:pt idx="402">
                  <c:v>92.365686223651693</c:v>
                </c:pt>
                <c:pt idx="403">
                  <c:v>92.050526460907491</c:v>
                </c:pt>
                <c:pt idx="404">
                  <c:v>92.207837044709137</c:v>
                </c:pt>
                <c:pt idx="405">
                  <c:v>92.840879464673662</c:v>
                </c:pt>
                <c:pt idx="406">
                  <c:v>93.081936360784852</c:v>
                </c:pt>
                <c:pt idx="407">
                  <c:v>93.360132832299229</c:v>
                </c:pt>
                <c:pt idx="408">
                  <c:v>92.86831948259676</c:v>
                </c:pt>
                <c:pt idx="409">
                  <c:v>92.740941368474054</c:v>
                </c:pt>
                <c:pt idx="410">
                  <c:v>92.346524212091367</c:v>
                </c:pt>
                <c:pt idx="411">
                  <c:v>92.02832382888549</c:v>
                </c:pt>
                <c:pt idx="412">
                  <c:v>92.025152898613129</c:v>
                </c:pt>
                <c:pt idx="413">
                  <c:v>91.737510089820873</c:v>
                </c:pt>
                <c:pt idx="414">
                  <c:v>91.605357479720809</c:v>
                </c:pt>
                <c:pt idx="415">
                  <c:v>91.569239208694754</c:v>
                </c:pt>
                <c:pt idx="416">
                  <c:v>91.326574227632548</c:v>
                </c:pt>
                <c:pt idx="417">
                  <c:v>91.144251441831898</c:v>
                </c:pt>
                <c:pt idx="418">
                  <c:v>91.267278350163167</c:v>
                </c:pt>
                <c:pt idx="419">
                  <c:v>91.175366128426575</c:v>
                </c:pt>
                <c:pt idx="420">
                  <c:v>91.589650383223855</c:v>
                </c:pt>
                <c:pt idx="421">
                  <c:v>91.54099259665476</c:v>
                </c:pt>
              </c:numCache>
            </c:numRef>
          </c:val>
          <c:smooth val="0"/>
          <c:extLst>
            <c:ext xmlns:c16="http://schemas.microsoft.com/office/drawing/2014/chart" uri="{C3380CC4-5D6E-409C-BE32-E72D297353CC}">
              <c16:uniqueId val="{00000002-114A-48E5-A809-EEEA508F8B5A}"/>
            </c:ext>
          </c:extLst>
        </c:ser>
        <c:dLbls>
          <c:showLegendKey val="0"/>
          <c:showVal val="0"/>
          <c:showCatName val="0"/>
          <c:showSerName val="0"/>
          <c:showPercent val="0"/>
          <c:showBubbleSize val="0"/>
        </c:dLbls>
        <c:smooth val="0"/>
        <c:axId val="327170304"/>
        <c:axId val="328212480"/>
      </c:lineChart>
      <c:dateAx>
        <c:axId val="3271703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8212480"/>
        <c:crosses val="autoZero"/>
        <c:auto val="1"/>
        <c:lblOffset val="100"/>
        <c:baseTimeUnit val="days"/>
      </c:dateAx>
      <c:valAx>
        <c:axId val="328212480"/>
        <c:scaling>
          <c:orientation val="minMax"/>
          <c:max val="128"/>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20</a:t>
                </a:r>
                <a:r>
                  <a:rPr lang="hy-AM" sz="900"/>
                  <a:t>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170304"/>
        <c:crosses val="autoZero"/>
        <c:crossBetween val="between"/>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06257770410277"/>
          <c:y val="6.6066066066066062E-2"/>
          <c:w val="0.78392660669738268"/>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Sheet1!$A$2:$A$56</c:f>
              <c:strCache>
                <c:ptCount val="19"/>
                <c:pt idx="0">
                  <c:v>2020-M1</c:v>
                </c:pt>
                <c:pt idx="1">
                  <c:v>2020-M2</c:v>
                </c:pt>
                <c:pt idx="2">
                  <c:v>2020-M3</c:v>
                </c:pt>
                <c:pt idx="3">
                  <c:v>2020-M4</c:v>
                </c:pt>
                <c:pt idx="4">
                  <c:v>2020-M5</c:v>
                </c:pt>
                <c:pt idx="5">
                  <c:v>2020-M6</c:v>
                </c:pt>
                <c:pt idx="6">
                  <c:v>2020-M7</c:v>
                </c:pt>
                <c:pt idx="7">
                  <c:v>2020-M8</c:v>
                </c:pt>
                <c:pt idx="8">
                  <c:v>2020-M9</c:v>
                </c:pt>
                <c:pt idx="9">
                  <c:v>2020-M10</c:v>
                </c:pt>
                <c:pt idx="10">
                  <c:v>2020-M11</c:v>
                </c:pt>
                <c:pt idx="11">
                  <c:v>2020-M12</c:v>
                </c:pt>
                <c:pt idx="12">
                  <c:v>2021-M1</c:v>
                </c:pt>
                <c:pt idx="13">
                  <c:v>2021-M2</c:v>
                </c:pt>
                <c:pt idx="14">
                  <c:v>2021-M3</c:v>
                </c:pt>
                <c:pt idx="15">
                  <c:v>2021-M4</c:v>
                </c:pt>
                <c:pt idx="16">
                  <c:v>2021-M5</c:v>
                </c:pt>
                <c:pt idx="17">
                  <c:v>2021-M6</c:v>
                </c:pt>
                <c:pt idx="18">
                  <c:v>2021-M7</c:v>
                </c:pt>
              </c:strCache>
            </c:strRef>
          </c:cat>
          <c:val>
            <c:numRef>
              <c:f>Sheet1!$B$2:$B$56</c:f>
              <c:numCache>
                <c:formatCode>_(* #,##0.0_);_(* \(#,##0.0\);_(* "-"??_);_(@_)</c:formatCode>
                <c:ptCount val="19"/>
                <c:pt idx="0">
                  <c:v>-2.6246542068686409</c:v>
                </c:pt>
                <c:pt idx="1">
                  <c:v>-1.4553084915558543</c:v>
                </c:pt>
                <c:pt idx="2">
                  <c:v>-0.39762329711045652</c:v>
                </c:pt>
                <c:pt idx="3">
                  <c:v>0.76205314050565676</c:v>
                </c:pt>
                <c:pt idx="4">
                  <c:v>1.2758480875794191</c:v>
                </c:pt>
                <c:pt idx="5">
                  <c:v>1.5440919000124325</c:v>
                </c:pt>
                <c:pt idx="6">
                  <c:v>1.7990829349974149</c:v>
                </c:pt>
                <c:pt idx="7">
                  <c:v>1.8717880749399285</c:v>
                </c:pt>
                <c:pt idx="8">
                  <c:v>2.0254611983534261</c:v>
                </c:pt>
                <c:pt idx="9">
                  <c:v>2.1875515931979663</c:v>
                </c:pt>
                <c:pt idx="10">
                  <c:v>2.1124378234122361</c:v>
                </c:pt>
                <c:pt idx="11">
                  <c:v>1.7121083243293072</c:v>
                </c:pt>
                <c:pt idx="12">
                  <c:v>-2.9309866962305904</c:v>
                </c:pt>
                <c:pt idx="13">
                  <c:v>-3.9324106192258625</c:v>
                </c:pt>
                <c:pt idx="14">
                  <c:v>-4.6861886723977335</c:v>
                </c:pt>
                <c:pt idx="15">
                  <c:v>-5.3713382968353329</c:v>
                </c:pt>
                <c:pt idx="16">
                  <c:v>-6.1213868204019519</c:v>
                </c:pt>
                <c:pt idx="17">
                  <c:v>-6.0946850875436667</c:v>
                </c:pt>
                <c:pt idx="18">
                  <c:v>-5.0379182724951619</c:v>
                </c:pt>
              </c:numCache>
            </c:numRef>
          </c:val>
          <c:smooth val="0"/>
          <c:extLst>
            <c:ext xmlns:c16="http://schemas.microsoft.com/office/drawing/2014/chart" uri="{C3380CC4-5D6E-409C-BE32-E72D297353CC}">
              <c16:uniqueId val="{00000000-D341-42B5-A3FD-1A8B54567CB7}"/>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Sheet1!$A$2:$A$56</c:f>
              <c:strCache>
                <c:ptCount val="19"/>
                <c:pt idx="0">
                  <c:v>2020-M1</c:v>
                </c:pt>
                <c:pt idx="1">
                  <c:v>2020-M2</c:v>
                </c:pt>
                <c:pt idx="2">
                  <c:v>2020-M3</c:v>
                </c:pt>
                <c:pt idx="3">
                  <c:v>2020-M4</c:v>
                </c:pt>
                <c:pt idx="4">
                  <c:v>2020-M5</c:v>
                </c:pt>
                <c:pt idx="5">
                  <c:v>2020-M6</c:v>
                </c:pt>
                <c:pt idx="6">
                  <c:v>2020-M7</c:v>
                </c:pt>
                <c:pt idx="7">
                  <c:v>2020-M8</c:v>
                </c:pt>
                <c:pt idx="8">
                  <c:v>2020-M9</c:v>
                </c:pt>
                <c:pt idx="9">
                  <c:v>2020-M10</c:v>
                </c:pt>
                <c:pt idx="10">
                  <c:v>2020-M11</c:v>
                </c:pt>
                <c:pt idx="11">
                  <c:v>2020-M12</c:v>
                </c:pt>
                <c:pt idx="12">
                  <c:v>2021-M1</c:v>
                </c:pt>
                <c:pt idx="13">
                  <c:v>2021-M2</c:v>
                </c:pt>
                <c:pt idx="14">
                  <c:v>2021-M3</c:v>
                </c:pt>
                <c:pt idx="15">
                  <c:v>2021-M4</c:v>
                </c:pt>
                <c:pt idx="16">
                  <c:v>2021-M5</c:v>
                </c:pt>
                <c:pt idx="17">
                  <c:v>2021-M6</c:v>
                </c:pt>
                <c:pt idx="18">
                  <c:v>2021-M7</c:v>
                </c:pt>
              </c:strCache>
            </c:strRef>
          </c:cat>
          <c:val>
            <c:numRef>
              <c:f>Sheet1!$C$2:$C$56</c:f>
              <c:numCache>
                <c:formatCode>_(* #,##0.0_);_(* \(#,##0.0\);_(* "-"??_);_(@_)</c:formatCode>
                <c:ptCount val="19"/>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-5.2792525294905772</c:v>
                </c:pt>
                <c:pt idx="16">
                  <c:v>-5.9333546940083437</c:v>
                </c:pt>
                <c:pt idx="17">
                  <c:v>-5.8884005859635096</c:v>
                </c:pt>
                <c:pt idx="18">
                  <c:v>-5.1104865416414214</c:v>
                </c:pt>
              </c:numCache>
            </c:numRef>
          </c:val>
          <c:smooth val="0"/>
          <c:extLst>
            <c:ext xmlns:c16="http://schemas.microsoft.com/office/drawing/2014/chart" uri="{C3380CC4-5D6E-409C-BE32-E72D297353CC}">
              <c16:uniqueId val="{00000001-D341-42B5-A3FD-1A8B54567CB7}"/>
            </c:ext>
          </c:extLst>
        </c:ser>
        <c:dLbls>
          <c:showLegendKey val="0"/>
          <c:showVal val="0"/>
          <c:showCatName val="0"/>
          <c:showSerName val="0"/>
          <c:showPercent val="0"/>
          <c:showBubbleSize val="0"/>
        </c:dLbls>
        <c:smooth val="0"/>
        <c:axId val="328374528"/>
        <c:axId val="328388608"/>
      </c:lineChart>
      <c:catAx>
        <c:axId val="328374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88608"/>
        <c:crosses val="autoZero"/>
        <c:auto val="1"/>
        <c:lblAlgn val="ctr"/>
        <c:lblOffset val="100"/>
        <c:noMultiLvlLbl val="0"/>
      </c:catAx>
      <c:valAx>
        <c:axId val="328388608"/>
        <c:scaling>
          <c:orientation val="minMax"/>
          <c:max val="5.3"/>
          <c:min val="-6.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32"/>
          <c:w val="0.84290099330804158"/>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Sheet1!$C$2:$C$57</c:f>
              <c:numCache>
                <c:formatCode>0.0</c:formatCode>
                <c:ptCount val="20"/>
                <c:pt idx="0">
                  <c:v>1.3982565421665469</c:v>
                </c:pt>
                <c:pt idx="1">
                  <c:v>2.0768222170414887</c:v>
                </c:pt>
                <c:pt idx="2">
                  <c:v>1.1926305800832313</c:v>
                </c:pt>
                <c:pt idx="3">
                  <c:v>2.2618855829164728</c:v>
                </c:pt>
                <c:pt idx="4">
                  <c:v>1.8984840000000003</c:v>
                </c:pt>
                <c:pt idx="5">
                  <c:v>-0.89628000000000019</c:v>
                </c:pt>
                <c:pt idx="6">
                  <c:v>2.1592199999999999</c:v>
                </c:pt>
                <c:pt idx="7">
                  <c:v>0.65184000000000009</c:v>
                </c:pt>
                <c:pt idx="8">
                  <c:v>1.4224399999999999</c:v>
                </c:pt>
                <c:pt idx="9">
                  <c:v>1.9020999999999999</c:v>
                </c:pt>
                <c:pt idx="10">
                  <c:v>-0.57889999999999997</c:v>
                </c:pt>
                <c:pt idx="11">
                  <c:v>-0.13645500000000002</c:v>
                </c:pt>
                <c:pt idx="12">
                  <c:v>-1.1761594</c:v>
                </c:pt>
                <c:pt idx="13">
                  <c:v>0.78459999999999996</c:v>
                </c:pt>
                <c:pt idx="14">
                  <c:v>0.34734000000000004</c:v>
                </c:pt>
                <c:pt idx="15">
                  <c:v>1.937962</c:v>
                </c:pt>
                <c:pt idx="16">
                  <c:v>2.7530960000000007</c:v>
                </c:pt>
                <c:pt idx="17">
                  <c:v>3.2739520000000004</c:v>
                </c:pt>
                <c:pt idx="18">
                  <c:v>5.0225400000000002</c:v>
                </c:pt>
                <c:pt idx="19">
                  <c:v>5.6178039999999996</c:v>
                </c:pt>
              </c:numCache>
            </c:numRef>
          </c:val>
          <c:extLst>
            <c:ext xmlns:c16="http://schemas.microsoft.com/office/drawing/2014/chart" uri="{C3380CC4-5D6E-409C-BE32-E72D297353CC}">
              <c16:uniqueId val="{00000000-6543-40F3-81D5-2FE687D7BB6D}"/>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Sheet1!$D$2:$D$57</c:f>
              <c:numCache>
                <c:formatCode>0.0</c:formatCode>
                <c:ptCount val="20"/>
                <c:pt idx="0">
                  <c:v>9.6798629569375266E-2</c:v>
                </c:pt>
                <c:pt idx="1">
                  <c:v>0.16059772633100894</c:v>
                </c:pt>
                <c:pt idx="2">
                  <c:v>0.16719763289255724</c:v>
                </c:pt>
                <c:pt idx="3">
                  <c:v>0.17599750830795499</c:v>
                </c:pt>
                <c:pt idx="4">
                  <c:v>0.15984000000000001</c:v>
                </c:pt>
                <c:pt idx="5">
                  <c:v>0.19872000000000001</c:v>
                </c:pt>
                <c:pt idx="6">
                  <c:v>0.21600000000000003</c:v>
                </c:pt>
                <c:pt idx="7">
                  <c:v>0.16847999999999999</c:v>
                </c:pt>
                <c:pt idx="8">
                  <c:v>0.19976000000000002</c:v>
                </c:pt>
                <c:pt idx="9">
                  <c:v>0.18160000000000001</c:v>
                </c:pt>
                <c:pt idx="10">
                  <c:v>0.21338000000000001</c:v>
                </c:pt>
                <c:pt idx="11">
                  <c:v>0.20702399999999999</c:v>
                </c:pt>
                <c:pt idx="12">
                  <c:v>0.45172999999999996</c:v>
                </c:pt>
                <c:pt idx="13">
                  <c:v>0.46287</c:v>
                </c:pt>
                <c:pt idx="14">
                  <c:v>0.44492000000000004</c:v>
                </c:pt>
                <c:pt idx="15">
                  <c:v>0.43368000000000001</c:v>
                </c:pt>
                <c:pt idx="16">
                  <c:v>0.41001639999999995</c:v>
                </c:pt>
                <c:pt idx="17">
                  <c:v>0.39218960000000003</c:v>
                </c:pt>
                <c:pt idx="18">
                  <c:v>0.41001639999999995</c:v>
                </c:pt>
                <c:pt idx="19">
                  <c:v>0.41447310000000004</c:v>
                </c:pt>
              </c:numCache>
            </c:numRef>
          </c:val>
          <c:extLst>
            <c:ext xmlns:c16="http://schemas.microsoft.com/office/drawing/2014/chart" uri="{C3380CC4-5D6E-409C-BE32-E72D297353CC}">
              <c16:uniqueId val="{00000001-6543-40F3-81D5-2FE687D7BB6D}"/>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Sheet1!$E$2:$E$57</c:f>
              <c:numCache>
                <c:formatCode>0.0</c:formatCode>
                <c:ptCount val="20"/>
                <c:pt idx="0">
                  <c:v>-0.74167100978775335</c:v>
                </c:pt>
                <c:pt idx="1">
                  <c:v>-0.62300364822171272</c:v>
                </c:pt>
                <c:pt idx="2">
                  <c:v>-0.14833420195755065</c:v>
                </c:pt>
                <c:pt idx="3">
                  <c:v>0.36024020475405161</c:v>
                </c:pt>
                <c:pt idx="4">
                  <c:v>1.0925</c:v>
                </c:pt>
                <c:pt idx="5">
                  <c:v>1.15805</c:v>
                </c:pt>
                <c:pt idx="6">
                  <c:v>0.85215000000000007</c:v>
                </c:pt>
                <c:pt idx="7">
                  <c:v>0.69920000000000004</c:v>
                </c:pt>
                <c:pt idx="8">
                  <c:v>0.20015999999999998</c:v>
                </c:pt>
                <c:pt idx="9">
                  <c:v>0.42255999999999994</c:v>
                </c:pt>
                <c:pt idx="10">
                  <c:v>0.53376000000000001</c:v>
                </c:pt>
                <c:pt idx="11">
                  <c:v>0.31135999999999997</c:v>
                </c:pt>
                <c:pt idx="12">
                  <c:v>0.27799999999999997</c:v>
                </c:pt>
                <c:pt idx="13">
                  <c:v>-4.2020000000000009E-2</c:v>
                </c:pt>
                <c:pt idx="14">
                  <c:v>0.11119999999999999</c:v>
                </c:pt>
                <c:pt idx="15">
                  <c:v>0.71433999999999997</c:v>
                </c:pt>
                <c:pt idx="16">
                  <c:v>1.8656400000000002</c:v>
                </c:pt>
                <c:pt idx="17">
                  <c:v>2.10995</c:v>
                </c:pt>
                <c:pt idx="18">
                  <c:v>2.1321600000000003</c:v>
                </c:pt>
                <c:pt idx="19">
                  <c:v>2.0877400000000002</c:v>
                </c:pt>
              </c:numCache>
            </c:numRef>
          </c:val>
          <c:extLst>
            <c:ext xmlns:c16="http://schemas.microsoft.com/office/drawing/2014/chart" uri="{C3380CC4-5D6E-409C-BE32-E72D297353CC}">
              <c16:uniqueId val="{00000002-6543-40F3-81D5-2FE687D7BB6D}"/>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Sheet1!$F$2:$F$57</c:f>
              <c:numCache>
                <c:formatCode>0.0</c:formatCode>
                <c:ptCount val="20"/>
                <c:pt idx="0">
                  <c:v>-0.86539100949568792</c:v>
                </c:pt>
                <c:pt idx="1">
                  <c:v>-0.46597977434383187</c:v>
                </c:pt>
                <c:pt idx="2">
                  <c:v>-0.16642134797993996</c:v>
                </c:pt>
                <c:pt idx="3">
                  <c:v>-0.16642134797993996</c:v>
                </c:pt>
                <c:pt idx="4">
                  <c:v>0.59543999999999997</c:v>
                </c:pt>
                <c:pt idx="5">
                  <c:v>0.46311999999999998</c:v>
                </c:pt>
                <c:pt idx="6">
                  <c:v>0.23155999999999999</c:v>
                </c:pt>
                <c:pt idx="7">
                  <c:v>0.26463999999999999</c:v>
                </c:pt>
                <c:pt idx="8">
                  <c:v>3.1870000000000002E-2</c:v>
                </c:pt>
                <c:pt idx="9">
                  <c:v>3.1870000000000002E-2</c:v>
                </c:pt>
                <c:pt idx="10">
                  <c:v>0.35057000000000005</c:v>
                </c:pt>
                <c:pt idx="11">
                  <c:v>0.33782200000000001</c:v>
                </c:pt>
                <c:pt idx="12">
                  <c:v>0.39837499999999998</c:v>
                </c:pt>
                <c:pt idx="13">
                  <c:v>0.46240999999999999</c:v>
                </c:pt>
                <c:pt idx="14">
                  <c:v>0.44618000000000002</c:v>
                </c:pt>
                <c:pt idx="15">
                  <c:v>0.56912000000000007</c:v>
                </c:pt>
                <c:pt idx="16">
                  <c:v>0.79486000000000023</c:v>
                </c:pt>
                <c:pt idx="17">
                  <c:v>0.75873000000000002</c:v>
                </c:pt>
                <c:pt idx="18">
                  <c:v>0.65034000000000003</c:v>
                </c:pt>
                <c:pt idx="19">
                  <c:v>0.65034000000000003</c:v>
                </c:pt>
              </c:numCache>
            </c:numRef>
          </c:val>
          <c:extLst>
            <c:ext xmlns:c16="http://schemas.microsoft.com/office/drawing/2014/chart" uri="{C3380CC4-5D6E-409C-BE32-E72D297353CC}">
              <c16:uniqueId val="{00000003-6543-40F3-81D5-2FE687D7BB6D}"/>
            </c:ext>
          </c:extLst>
        </c:ser>
        <c:dLbls>
          <c:showLegendKey val="0"/>
          <c:showVal val="0"/>
          <c:showCatName val="0"/>
          <c:showSerName val="0"/>
          <c:showPercent val="0"/>
          <c:showBubbleSize val="0"/>
        </c:dLbls>
        <c:gapWidth val="100"/>
        <c:overlap val="100"/>
        <c:axId val="328884992"/>
        <c:axId val="32888652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6543-40F3-81D5-2FE687D7BB6D}"/>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6543-40F3-81D5-2FE687D7BB6D}"/>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6543-40F3-81D5-2FE687D7BB6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43-40F3-81D5-2FE687D7BB6D}"/>
                </c:ext>
              </c:extLst>
            </c:dLbl>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43-40F3-81D5-2FE687D7BB6D}"/>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43-40F3-81D5-2FE687D7BB6D}"/>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43-40F3-81D5-2FE687D7BB6D}"/>
                </c:ext>
              </c:extLst>
            </c:dLbl>
            <c:dLbl>
              <c:idx val="15"/>
              <c:layout>
                <c:manualLayout>
                  <c:x val="-9.8950020999580002E-2"/>
                  <c:y val="-6.8697883258499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43-40F3-81D5-2FE687D7BB6D}"/>
                </c:ext>
              </c:extLst>
            </c:dLbl>
            <c:dLbl>
              <c:idx val="16"/>
              <c:layout>
                <c:manualLayout>
                  <c:x val="-8.8198236035279293E-2"/>
                  <c:y val="-0.102629890955740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43-40F3-81D5-2FE687D7BB6D}"/>
                </c:ext>
              </c:extLst>
            </c:dLbl>
            <c:dLbl>
              <c:idx val="19"/>
              <c:layout>
                <c:manualLayout>
                  <c:x val="-2.5199496010079953E-2"/>
                  <c:y val="-5.7729313662604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43-40F3-81D5-2FE687D7BB6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Sheet1!$B$2:$B$57</c:f>
              <c:numCache>
                <c:formatCode>0.0</c:formatCode>
                <c:ptCount val="20"/>
                <c:pt idx="0">
                  <c:v>-0.11200684754751911</c:v>
                </c:pt>
                <c:pt idx="1">
                  <c:v>1.1484365208069529</c:v>
                </c:pt>
                <c:pt idx="2">
                  <c:v>1.045072663038298</c:v>
                </c:pt>
                <c:pt idx="3">
                  <c:v>2.6317019479985393</c:v>
                </c:pt>
                <c:pt idx="4">
                  <c:v>3.746264</c:v>
                </c:pt>
                <c:pt idx="5">
                  <c:v>0.92360999999999982</c:v>
                </c:pt>
                <c:pt idx="6">
                  <c:v>3.4589300000000001</c:v>
                </c:pt>
                <c:pt idx="7">
                  <c:v>1.78416</c:v>
                </c:pt>
                <c:pt idx="8">
                  <c:v>1.8542299999999998</c:v>
                </c:pt>
                <c:pt idx="9">
                  <c:v>2.5381299999999998</c:v>
                </c:pt>
                <c:pt idx="10">
                  <c:v>0.5188100000000001</c:v>
                </c:pt>
                <c:pt idx="11">
                  <c:v>0.71975100000000003</c:v>
                </c:pt>
                <c:pt idx="12">
                  <c:v>-5.8054400000000055E-2</c:v>
                </c:pt>
                <c:pt idx="13">
                  <c:v>1.6678599999999999</c:v>
                </c:pt>
                <c:pt idx="14">
                  <c:v>1.3506399999999998</c:v>
                </c:pt>
                <c:pt idx="15">
                  <c:v>3.6551020000000003</c:v>
                </c:pt>
                <c:pt idx="16">
                  <c:v>5.8236124000000009</c:v>
                </c:pt>
                <c:pt idx="17">
                  <c:v>6.5348216000000008</c:v>
                </c:pt>
                <c:pt idx="18">
                  <c:v>8.2150563999999999</c:v>
                </c:pt>
                <c:pt idx="19">
                  <c:v>8.7703571</c:v>
                </c:pt>
              </c:numCache>
            </c:numRef>
          </c:val>
          <c:smooth val="0"/>
          <c:extLst>
            <c:ext xmlns:c16="http://schemas.microsoft.com/office/drawing/2014/chart" uri="{C3380CC4-5D6E-409C-BE32-E72D297353CC}">
              <c16:uniqueId val="{0000000B-6543-40F3-81D5-2FE687D7BB6D}"/>
            </c:ext>
          </c:extLst>
        </c:ser>
        <c:dLbls>
          <c:showLegendKey val="0"/>
          <c:showVal val="0"/>
          <c:showCatName val="0"/>
          <c:showSerName val="0"/>
          <c:showPercent val="0"/>
          <c:showBubbleSize val="0"/>
        </c:dLbls>
        <c:marker val="1"/>
        <c:smooth val="0"/>
        <c:axId val="328884992"/>
        <c:axId val="328886528"/>
      </c:lineChart>
      <c:catAx>
        <c:axId val="328884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8886528"/>
        <c:crosses val="autoZero"/>
        <c:auto val="1"/>
        <c:lblAlgn val="ctr"/>
        <c:lblOffset val="100"/>
        <c:noMultiLvlLbl val="0"/>
      </c:catAx>
      <c:valAx>
        <c:axId val="3288865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8884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908"/>
          <c:y val="0"/>
        </c:manualLayout>
      </c:layout>
      <c:overlay val="0"/>
      <c:spPr>
        <a:noFill/>
        <a:ln>
          <a:noFill/>
        </a:ln>
        <a:effectLst/>
      </c:spPr>
    </c:title>
    <c:autoTitleDeleted val="0"/>
    <c:plotArea>
      <c:layout>
        <c:manualLayout>
          <c:layoutTarget val="inner"/>
          <c:xMode val="edge"/>
          <c:yMode val="edge"/>
          <c:x val="0.11270836908098351"/>
          <c:y val="0.12480519374330552"/>
          <c:w val="0.84290099330804158"/>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Sheet1!$C$2:$C$57</c:f>
              <c:numCache>
                <c:formatCode>0.0</c:formatCode>
                <c:ptCount val="20"/>
                <c:pt idx="0">
                  <c:v>1.1515053876665682</c:v>
                </c:pt>
                <c:pt idx="1">
                  <c:v>1.7437081584665173</c:v>
                </c:pt>
                <c:pt idx="2">
                  <c:v>1.5421947156248681</c:v>
                </c:pt>
                <c:pt idx="3">
                  <c:v>1.6861328890831888</c:v>
                </c:pt>
                <c:pt idx="4">
                  <c:v>1.7110799999999999</c:v>
                </c:pt>
                <c:pt idx="5">
                  <c:v>0.75369000000000019</c:v>
                </c:pt>
                <c:pt idx="6">
                  <c:v>0.97775999999999996</c:v>
                </c:pt>
                <c:pt idx="7">
                  <c:v>0.93701999999999996</c:v>
                </c:pt>
                <c:pt idx="8">
                  <c:v>0.99239999999999995</c:v>
                </c:pt>
                <c:pt idx="9">
                  <c:v>1.4472499999999999</c:v>
                </c:pt>
                <c:pt idx="10">
                  <c:v>1.0130749999999999</c:v>
                </c:pt>
                <c:pt idx="11">
                  <c:v>0.76497500000000007</c:v>
                </c:pt>
                <c:pt idx="12">
                  <c:v>-1.2156899999999999</c:v>
                </c:pt>
                <c:pt idx="13">
                  <c:v>-0.43004000000000003</c:v>
                </c:pt>
                <c:pt idx="14">
                  <c:v>-0.12404999999999999</c:v>
                </c:pt>
                <c:pt idx="15">
                  <c:v>0.11768999999999999</c:v>
                </c:pt>
                <c:pt idx="16">
                  <c:v>2.6414839999999997</c:v>
                </c:pt>
                <c:pt idx="17">
                  <c:v>2.8647079999999998</c:v>
                </c:pt>
                <c:pt idx="18">
                  <c:v>3.1623399999999999</c:v>
                </c:pt>
                <c:pt idx="19">
                  <c:v>3.459972</c:v>
                </c:pt>
              </c:numCache>
            </c:numRef>
          </c:val>
          <c:extLst>
            <c:ext xmlns:c16="http://schemas.microsoft.com/office/drawing/2014/chart" uri="{C3380CC4-5D6E-409C-BE32-E72D297353CC}">
              <c16:uniqueId val="{00000000-14F7-4A85-B9E3-9B5A56B286B9}"/>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Sheet1!$D$2:$D$57</c:f>
              <c:numCache>
                <c:formatCode>0.0</c:formatCode>
                <c:ptCount val="20"/>
                <c:pt idx="0">
                  <c:v>7.4798941030880875E-2</c:v>
                </c:pt>
                <c:pt idx="1">
                  <c:v>0.11175841777555143</c:v>
                </c:pt>
                <c:pt idx="2">
                  <c:v>0.12539822466941794</c:v>
                </c:pt>
                <c:pt idx="3">
                  <c:v>0.14079800664636402</c:v>
                </c:pt>
                <c:pt idx="4">
                  <c:v>0.16416</c:v>
                </c:pt>
                <c:pt idx="5">
                  <c:v>0.16632000000000002</c:v>
                </c:pt>
                <c:pt idx="6">
                  <c:v>0.18576000000000001</c:v>
                </c:pt>
                <c:pt idx="7">
                  <c:v>0.18144000000000002</c:v>
                </c:pt>
                <c:pt idx="8">
                  <c:v>0.18613999999999997</c:v>
                </c:pt>
                <c:pt idx="9">
                  <c:v>0.19068000000000002</c:v>
                </c:pt>
                <c:pt idx="10">
                  <c:v>0.19295000000000001</c:v>
                </c:pt>
                <c:pt idx="11">
                  <c:v>0.19295000000000001</c:v>
                </c:pt>
                <c:pt idx="12">
                  <c:v>0.36093000000000003</c:v>
                </c:pt>
                <c:pt idx="13">
                  <c:v>0.40240499999999996</c:v>
                </c:pt>
                <c:pt idx="14">
                  <c:v>0.41283000000000003</c:v>
                </c:pt>
                <c:pt idx="15">
                  <c:v>0.41283000000000003</c:v>
                </c:pt>
                <c:pt idx="16">
                  <c:v>0.42338649999999994</c:v>
                </c:pt>
                <c:pt idx="17">
                  <c:v>0.40555969999999997</c:v>
                </c:pt>
                <c:pt idx="18">
                  <c:v>0.40555969999999997</c:v>
                </c:pt>
                <c:pt idx="19">
                  <c:v>0.41001639999999995</c:v>
                </c:pt>
              </c:numCache>
            </c:numRef>
          </c:val>
          <c:extLst>
            <c:ext xmlns:c16="http://schemas.microsoft.com/office/drawing/2014/chart" uri="{C3380CC4-5D6E-409C-BE32-E72D297353CC}">
              <c16:uniqueId val="{00000001-14F7-4A85-B9E3-9B5A56B286B9}"/>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Sheet1!$E$2:$E$57</c:f>
              <c:numCache>
                <c:formatCode>0.0</c:formatCode>
                <c:ptCount val="20"/>
                <c:pt idx="0">
                  <c:v>-0.74167100978775335</c:v>
                </c:pt>
                <c:pt idx="1">
                  <c:v>-0.65690860866915302</c:v>
                </c:pt>
                <c:pt idx="2">
                  <c:v>-0.55095560727090254</c:v>
                </c:pt>
                <c:pt idx="3">
                  <c:v>-0.38143080503370169</c:v>
                </c:pt>
                <c:pt idx="4">
                  <c:v>0.96140000000000014</c:v>
                </c:pt>
                <c:pt idx="5">
                  <c:v>1.0378750000000001</c:v>
                </c:pt>
                <c:pt idx="6">
                  <c:v>1.0488000000000002</c:v>
                </c:pt>
                <c:pt idx="7">
                  <c:v>0.98325000000000007</c:v>
                </c:pt>
                <c:pt idx="8">
                  <c:v>0.17791999999999997</c:v>
                </c:pt>
                <c:pt idx="9">
                  <c:v>0.26688000000000001</c:v>
                </c:pt>
                <c:pt idx="10">
                  <c:v>0.34472000000000003</c:v>
                </c:pt>
                <c:pt idx="11">
                  <c:v>0.32247999999999999</c:v>
                </c:pt>
                <c:pt idx="12">
                  <c:v>0.36695999999999995</c:v>
                </c:pt>
                <c:pt idx="13">
                  <c:v>0.19959500000000002</c:v>
                </c:pt>
                <c:pt idx="14">
                  <c:v>0.16808000000000003</c:v>
                </c:pt>
                <c:pt idx="15">
                  <c:v>0.21010000000000001</c:v>
                </c:pt>
                <c:pt idx="16">
                  <c:v>1.5324900000000001</c:v>
                </c:pt>
                <c:pt idx="17">
                  <c:v>1.7545900000000001</c:v>
                </c:pt>
                <c:pt idx="18">
                  <c:v>1.8212199999999998</c:v>
                </c:pt>
                <c:pt idx="19">
                  <c:v>1.8434300000000001</c:v>
                </c:pt>
              </c:numCache>
            </c:numRef>
          </c:val>
          <c:extLst>
            <c:ext xmlns:c16="http://schemas.microsoft.com/office/drawing/2014/chart" uri="{C3380CC4-5D6E-409C-BE32-E72D297353CC}">
              <c16:uniqueId val="{00000002-14F7-4A85-B9E3-9B5A56B286B9}"/>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Sheet1!$F$2:$F$57</c:f>
              <c:numCache>
                <c:formatCode>0.0</c:formatCode>
                <c:ptCount val="20"/>
                <c:pt idx="0">
                  <c:v>-0.83210673989969985</c:v>
                </c:pt>
                <c:pt idx="1">
                  <c:v>-0.73225393111173587</c:v>
                </c:pt>
                <c:pt idx="2">
                  <c:v>-0.47929348218222706</c:v>
                </c:pt>
                <c:pt idx="3">
                  <c:v>-0.43269550474784396</c:v>
                </c:pt>
                <c:pt idx="4">
                  <c:v>0.46311999999999998</c:v>
                </c:pt>
                <c:pt idx="5">
                  <c:v>0.47965999999999992</c:v>
                </c:pt>
                <c:pt idx="6">
                  <c:v>0.43003999999999998</c:v>
                </c:pt>
                <c:pt idx="7">
                  <c:v>0.39695999999999998</c:v>
                </c:pt>
                <c:pt idx="8">
                  <c:v>0.12748000000000001</c:v>
                </c:pt>
                <c:pt idx="9">
                  <c:v>6.3740000000000005E-2</c:v>
                </c:pt>
                <c:pt idx="10">
                  <c:v>9.5610000000000001E-2</c:v>
                </c:pt>
                <c:pt idx="11">
                  <c:v>0.14660200000000001</c:v>
                </c:pt>
                <c:pt idx="12">
                  <c:v>0.43024500000000004</c:v>
                </c:pt>
                <c:pt idx="13">
                  <c:v>0.39837499999999998</c:v>
                </c:pt>
                <c:pt idx="14">
                  <c:v>0.41431000000000007</c:v>
                </c:pt>
                <c:pt idx="15">
                  <c:v>0.49797999999999992</c:v>
                </c:pt>
                <c:pt idx="16">
                  <c:v>0.61421000000000003</c:v>
                </c:pt>
                <c:pt idx="17">
                  <c:v>0.72260000000000002</c:v>
                </c:pt>
                <c:pt idx="18">
                  <c:v>0.68647000000000002</c:v>
                </c:pt>
                <c:pt idx="19">
                  <c:v>0.68647000000000002</c:v>
                </c:pt>
              </c:numCache>
            </c:numRef>
          </c:val>
          <c:extLst>
            <c:ext xmlns:c16="http://schemas.microsoft.com/office/drawing/2014/chart" uri="{C3380CC4-5D6E-409C-BE32-E72D297353CC}">
              <c16:uniqueId val="{00000003-14F7-4A85-B9E3-9B5A56B286B9}"/>
            </c:ext>
          </c:extLst>
        </c:ser>
        <c:dLbls>
          <c:showLegendKey val="0"/>
          <c:showVal val="0"/>
          <c:showCatName val="0"/>
          <c:showSerName val="0"/>
          <c:showPercent val="0"/>
          <c:showBubbleSize val="0"/>
        </c:dLbls>
        <c:gapWidth val="100"/>
        <c:overlap val="100"/>
        <c:axId val="329685248"/>
        <c:axId val="32969113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14F7-4A85-B9E3-9B5A56B286B9}"/>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14F7-4A85-B9E3-9B5A56B286B9}"/>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14F7-4A85-B9E3-9B5A56B286B9}"/>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F7-4A85-B9E3-9B5A56B286B9}"/>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F7-4A85-B9E3-9B5A56B286B9}"/>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F7-4A85-B9E3-9B5A56B286B9}"/>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F7-4A85-B9E3-9B5A56B286B9}"/>
                </c:ext>
              </c:extLst>
            </c:dLbl>
            <c:dLbl>
              <c:idx val="16"/>
              <c:layout>
                <c:manualLayout>
                  <c:x val="-8.3998320033599333E-2"/>
                  <c:y val="-6.4143681847338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F7-4A85-B9E3-9B5A56B286B9}"/>
                </c:ext>
              </c:extLst>
            </c:dLbl>
            <c:dLbl>
              <c:idx val="19"/>
              <c:layout>
                <c:manualLayout>
                  <c:x val="-1.6799664006719867E-2"/>
                  <c:y val="-4.490057729313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F7-4A85-B9E3-9B5A56B286B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Sheet1!$B$2:$B$57</c:f>
              <c:numCache>
                <c:formatCode>0.0</c:formatCode>
                <c:ptCount val="20"/>
                <c:pt idx="0">
                  <c:v>-0.34747342099000411</c:v>
                </c:pt>
                <c:pt idx="1">
                  <c:v>0.46630403646117979</c:v>
                </c:pt>
                <c:pt idx="2">
                  <c:v>0.63734385084115641</c:v>
                </c:pt>
                <c:pt idx="3">
                  <c:v>1.0128045859480073</c:v>
                </c:pt>
                <c:pt idx="4">
                  <c:v>3.29976</c:v>
                </c:pt>
                <c:pt idx="5">
                  <c:v>2.4375450000000001</c:v>
                </c:pt>
                <c:pt idx="6">
                  <c:v>2.64236</c:v>
                </c:pt>
                <c:pt idx="7">
                  <c:v>2.4986700000000002</c:v>
                </c:pt>
                <c:pt idx="8">
                  <c:v>1.4839399999999998</c:v>
                </c:pt>
                <c:pt idx="9">
                  <c:v>1.9685499999999998</c:v>
                </c:pt>
                <c:pt idx="10">
                  <c:v>1.646355</c:v>
                </c:pt>
                <c:pt idx="11">
                  <c:v>1.4270070000000001</c:v>
                </c:pt>
                <c:pt idx="12">
                  <c:v>-5.7554999999999967E-2</c:v>
                </c:pt>
                <c:pt idx="13">
                  <c:v>0.53033499999999989</c:v>
                </c:pt>
                <c:pt idx="14">
                  <c:v>0.87117000000000011</c:v>
                </c:pt>
                <c:pt idx="15">
                  <c:v>1.2385999999999999</c:v>
                </c:pt>
                <c:pt idx="16">
                  <c:v>5.2115704999999997</c:v>
                </c:pt>
                <c:pt idx="17">
                  <c:v>5.7474577</c:v>
                </c:pt>
                <c:pt idx="18">
                  <c:v>6.0755897000000001</c:v>
                </c:pt>
                <c:pt idx="19">
                  <c:v>6.3998884</c:v>
                </c:pt>
              </c:numCache>
            </c:numRef>
          </c:val>
          <c:smooth val="0"/>
          <c:extLst>
            <c:ext xmlns:c16="http://schemas.microsoft.com/office/drawing/2014/chart" uri="{C3380CC4-5D6E-409C-BE32-E72D297353CC}">
              <c16:uniqueId val="{0000000A-14F7-4A85-B9E3-9B5A56B286B9}"/>
            </c:ext>
          </c:extLst>
        </c:ser>
        <c:dLbls>
          <c:showLegendKey val="0"/>
          <c:showVal val="0"/>
          <c:showCatName val="0"/>
          <c:showSerName val="0"/>
          <c:showPercent val="0"/>
          <c:showBubbleSize val="0"/>
        </c:dLbls>
        <c:marker val="1"/>
        <c:smooth val="0"/>
        <c:axId val="329685248"/>
        <c:axId val="329691136"/>
      </c:lineChart>
      <c:catAx>
        <c:axId val="329685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9691136"/>
        <c:crosses val="autoZero"/>
        <c:auto val="1"/>
        <c:lblAlgn val="ctr"/>
        <c:lblOffset val="100"/>
        <c:noMultiLvlLbl val="0"/>
      </c:catAx>
      <c:valAx>
        <c:axId val="3296911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96852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58"/>
          <c:h val="1.90308418654875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3681-48B6-9B35-4AFE782A9ADE}"/>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3681-48B6-9B35-4AFE782A9ADE}"/>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3681-48B6-9B35-4AFE782A9ADE}"/>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3681-48B6-9B35-4AFE782A9ADE}"/>
            </c:ext>
          </c:extLst>
        </c:ser>
        <c:dLbls>
          <c:showLegendKey val="0"/>
          <c:showVal val="0"/>
          <c:showCatName val="0"/>
          <c:showSerName val="0"/>
          <c:showPercent val="0"/>
          <c:showBubbleSize val="0"/>
        </c:dLbls>
        <c:gapWidth val="100"/>
        <c:overlap val="100"/>
        <c:axId val="330651904"/>
        <c:axId val="33066598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3681-48B6-9B35-4AFE782A9ADE}"/>
            </c:ext>
          </c:extLst>
        </c:ser>
        <c:dLbls>
          <c:showLegendKey val="0"/>
          <c:showVal val="0"/>
          <c:showCatName val="0"/>
          <c:showSerName val="0"/>
          <c:showPercent val="0"/>
          <c:showBubbleSize val="0"/>
        </c:dLbls>
        <c:marker val="1"/>
        <c:smooth val="0"/>
        <c:axId val="330651904"/>
        <c:axId val="330665984"/>
      </c:lineChart>
      <c:catAx>
        <c:axId val="330651904"/>
        <c:scaling>
          <c:orientation val="minMax"/>
        </c:scaling>
        <c:delete val="1"/>
        <c:axPos val="b"/>
        <c:numFmt formatCode="General" sourceLinked="1"/>
        <c:majorTickMark val="out"/>
        <c:minorTickMark val="none"/>
        <c:tickLblPos val="none"/>
        <c:crossAx val="330665984"/>
        <c:crosses val="autoZero"/>
        <c:auto val="1"/>
        <c:lblAlgn val="ctr"/>
        <c:lblOffset val="100"/>
        <c:noMultiLvlLbl val="0"/>
      </c:catAx>
      <c:valAx>
        <c:axId val="330665984"/>
        <c:scaling>
          <c:orientation val="minMax"/>
        </c:scaling>
        <c:delete val="1"/>
        <c:axPos val="l"/>
        <c:numFmt formatCode="General" sourceLinked="1"/>
        <c:majorTickMark val="none"/>
        <c:minorTickMark val="none"/>
        <c:tickLblPos val="none"/>
        <c:crossAx val="330651904"/>
        <c:crosses val="autoZero"/>
        <c:crossBetween val="between"/>
      </c:valAx>
      <c:spPr>
        <a:noFill/>
        <a:ln>
          <a:noFill/>
        </a:ln>
        <a:effectLst/>
      </c:spPr>
    </c:plotArea>
    <c:legend>
      <c:legendPos val="b"/>
      <c:layout>
        <c:manualLayout>
          <c:xMode val="edge"/>
          <c:yMode val="edge"/>
          <c:x val="2.4091860941327401E-2"/>
          <c:y val="0.10991302557768538"/>
          <c:w val="0.95949541633383117"/>
          <c:h val="0.876928860454944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1100"/>
              <a:t>Գնաճի կանխատեսումները և նպատակային միջակայքը</a:t>
            </a:r>
            <a:r>
              <a:rPr lang="en-US" sz="1100"/>
              <a:t>, %</a:t>
            </a:r>
          </a:p>
        </c:rich>
      </c:tx>
      <c:layout>
        <c:manualLayout>
          <c:xMode val="edge"/>
          <c:yMode val="edge"/>
          <c:x val="0.21738990489660437"/>
          <c:y val="1.2091606196284284E-2"/>
        </c:manualLayout>
      </c:layout>
      <c:overlay val="0"/>
      <c:spPr>
        <a:noFill/>
        <a:ln>
          <a:noFill/>
        </a:ln>
        <a:effectLst/>
      </c:spPr>
    </c:title>
    <c:autoTitleDeleted val="0"/>
    <c:plotArea>
      <c:layout>
        <c:manualLayout>
          <c:layoutTarget val="inner"/>
          <c:xMode val="edge"/>
          <c:yMode val="edge"/>
          <c:x val="4.286978223573859E-2"/>
          <c:y val="0.15820767267105321"/>
          <c:w val="0.93497959351939874"/>
          <c:h val="0.6595433789954338"/>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DF-4A6D-9D68-4E3D567C2B39}"/>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DF-4A6D-9D68-4E3D567C2B39}"/>
                </c:ext>
              </c:extLst>
            </c:dLbl>
            <c:dLbl>
              <c:idx val="4"/>
              <c:layout>
                <c:manualLayout>
                  <c:x val="-6.3274013945259652E-2"/>
                  <c:y val="-1.59364892678623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DF-4A6D-9D68-4E3D567C2B39}"/>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6"/>
                <c:pt idx="0">
                  <c:v>2017</c:v>
                </c:pt>
                <c:pt idx="1">
                  <c:v>2018</c:v>
                </c:pt>
                <c:pt idx="2">
                  <c:v>2019</c:v>
                </c:pt>
                <c:pt idx="3">
                  <c:v>2020</c:v>
                </c:pt>
                <c:pt idx="4">
                  <c:v>2021</c:v>
                </c:pt>
                <c:pt idx="5">
                  <c:v>2022</c:v>
                </c:pt>
              </c:numCache>
            </c:numRef>
          </c:cat>
          <c:val>
            <c:numRef>
              <c:f>Sheet1!$B$2:$B$9</c:f>
              <c:numCache>
                <c:formatCode>0.0</c:formatCode>
                <c:ptCount val="6"/>
                <c:pt idx="0">
                  <c:v>2.6391820853362873</c:v>
                </c:pt>
                <c:pt idx="1">
                  <c:v>1.7710353790077846</c:v>
                </c:pt>
                <c:pt idx="2">
                  <c:v>0.74073867036182151</c:v>
                </c:pt>
                <c:pt idx="3">
                  <c:v>3.7</c:v>
                </c:pt>
                <c:pt idx="4">
                  <c:v>7.4</c:v>
                </c:pt>
                <c:pt idx="5">
                  <c:v>5.3</c:v>
                </c:pt>
              </c:numCache>
            </c:numRef>
          </c:val>
          <c:smooth val="0"/>
          <c:extLst>
            <c:ext xmlns:c16="http://schemas.microsoft.com/office/drawing/2014/chart" uri="{C3380CC4-5D6E-409C-BE32-E72D297353CC}">
              <c16:uniqueId val="{00000003-BCDF-4A6D-9D68-4E3D567C2B39}"/>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DF-4A6D-9D68-4E3D567C2B39}"/>
                </c:ext>
              </c:extLst>
            </c:dLbl>
            <c:dLbl>
              <c:idx val="2"/>
              <c:layout>
                <c:manualLayout>
                  <c:x val="-3.1735803463552259E-2"/>
                  <c:y val="-6.4261437908497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DF-4A6D-9D68-4E3D567C2B39}"/>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Sheet1!$A$2:$A$9</c:f>
              <c:numCache>
                <c:formatCode>General</c:formatCode>
                <c:ptCount val="6"/>
                <c:pt idx="0">
                  <c:v>2017</c:v>
                </c:pt>
                <c:pt idx="1">
                  <c:v>2018</c:v>
                </c:pt>
                <c:pt idx="2">
                  <c:v>2019</c:v>
                </c:pt>
                <c:pt idx="3">
                  <c:v>2020</c:v>
                </c:pt>
                <c:pt idx="4">
                  <c:v>2021</c:v>
                </c:pt>
                <c:pt idx="5">
                  <c:v>2022</c:v>
                </c:pt>
              </c:numCache>
            </c:numRef>
          </c:cat>
          <c:val>
            <c:numRef>
              <c:f>Sheet1!$C$2:$C$9</c:f>
              <c:numCache>
                <c:formatCode>0.0</c:formatCode>
                <c:ptCount val="6"/>
                <c:pt idx="0">
                  <c:v>0.96505083976387596</c:v>
                </c:pt>
                <c:pt idx="1">
                  <c:v>2.5490680730946309</c:v>
                </c:pt>
                <c:pt idx="2">
                  <c:v>1.4309835696169273</c:v>
                </c:pt>
                <c:pt idx="3">
                  <c:v>1.2</c:v>
                </c:pt>
                <c:pt idx="4">
                  <c:v>7</c:v>
                </c:pt>
                <c:pt idx="5">
                  <c:v>5.6</c:v>
                </c:pt>
              </c:numCache>
            </c:numRef>
          </c:val>
          <c:smooth val="0"/>
          <c:extLst>
            <c:ext xmlns:c16="http://schemas.microsoft.com/office/drawing/2014/chart" uri="{C3380CC4-5D6E-409C-BE32-E72D297353CC}">
              <c16:uniqueId val="{00000006-BCDF-4A6D-9D68-4E3D567C2B39}"/>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Sheet1!$D$2:$D$9</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7-BCDF-4A6D-9D68-4E3D567C2B39}"/>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Sheet1!$E$2:$E$9</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8-BCDF-4A6D-9D68-4E3D567C2B39}"/>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Sheet1!$F$2:$F$9</c:f>
              <c:numCache>
                <c:formatCode>General</c:formatCode>
                <c:ptCount val="6"/>
                <c:pt idx="0">
                  <c:v>2.5</c:v>
                </c:pt>
                <c:pt idx="1">
                  <c:v>2.5</c:v>
                </c:pt>
                <c:pt idx="2">
                  <c:v>2.5</c:v>
                </c:pt>
                <c:pt idx="3">
                  <c:v>2.5</c:v>
                </c:pt>
                <c:pt idx="4">
                  <c:v>2.5</c:v>
                </c:pt>
                <c:pt idx="5">
                  <c:v>2.5</c:v>
                </c:pt>
              </c:numCache>
            </c:numRef>
          </c:val>
          <c:smooth val="0"/>
          <c:extLst>
            <c:ext xmlns:c16="http://schemas.microsoft.com/office/drawing/2014/chart" uri="{C3380CC4-5D6E-409C-BE32-E72D297353CC}">
              <c16:uniqueId val="{00000009-BCDF-4A6D-9D68-4E3D567C2B39}"/>
            </c:ext>
          </c:extLst>
        </c:ser>
        <c:dLbls>
          <c:showLegendKey val="0"/>
          <c:showVal val="0"/>
          <c:showCatName val="0"/>
          <c:showSerName val="0"/>
          <c:showPercent val="0"/>
          <c:showBubbleSize val="0"/>
        </c:dLbls>
        <c:marker val="1"/>
        <c:smooth val="0"/>
        <c:axId val="331113216"/>
        <c:axId val="331114752"/>
      </c:lineChart>
      <c:catAx>
        <c:axId val="3311132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1114752"/>
        <c:crosses val="autoZero"/>
        <c:auto val="1"/>
        <c:lblAlgn val="ctr"/>
        <c:lblOffset val="100"/>
        <c:noMultiLvlLbl val="0"/>
      </c:catAx>
      <c:valAx>
        <c:axId val="33111475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111321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30210629128467448"/>
          <c:y val="0.9088850537518427"/>
          <c:w val="0.39578741743065565"/>
          <c:h val="8.19825261568332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Sheet1!$B$2:$B$668</c:f>
              <c:numCache>
                <c:formatCode>0</c:formatCode>
                <c:ptCount val="667"/>
                <c:pt idx="0">
                  <c:v>100</c:v>
                </c:pt>
                <c:pt idx="1">
                  <c:v>100</c:v>
                </c:pt>
                <c:pt idx="2">
                  <c:v>99</c:v>
                </c:pt>
                <c:pt idx="3">
                  <c:v>99</c:v>
                </c:pt>
                <c:pt idx="4">
                  <c:v>99</c:v>
                </c:pt>
                <c:pt idx="5">
                  <c:v>100</c:v>
                </c:pt>
                <c:pt idx="6">
                  <c:v>99</c:v>
                </c:pt>
                <c:pt idx="7">
                  <c:v>99</c:v>
                </c:pt>
                <c:pt idx="8">
                  <c:v>99</c:v>
                </c:pt>
                <c:pt idx="9">
                  <c:v>100</c:v>
                </c:pt>
                <c:pt idx="10">
                  <c:v>100</c:v>
                </c:pt>
                <c:pt idx="11">
                  <c:v>99</c:v>
                </c:pt>
                <c:pt idx="12">
                  <c:v>99</c:v>
                </c:pt>
                <c:pt idx="13">
                  <c:v>99</c:v>
                </c:pt>
                <c:pt idx="14">
                  <c:v>99</c:v>
                </c:pt>
                <c:pt idx="15">
                  <c:v>98</c:v>
                </c:pt>
                <c:pt idx="16">
                  <c:v>98</c:v>
                </c:pt>
                <c:pt idx="17">
                  <c:v>98</c:v>
                </c:pt>
                <c:pt idx="18">
                  <c:v>98</c:v>
                </c:pt>
                <c:pt idx="19">
                  <c:v>98</c:v>
                </c:pt>
                <c:pt idx="20">
                  <c:v>99</c:v>
                </c:pt>
                <c:pt idx="21">
                  <c:v>99</c:v>
                </c:pt>
                <c:pt idx="22">
                  <c:v>99</c:v>
                </c:pt>
                <c:pt idx="23">
                  <c:v>99</c:v>
                </c:pt>
                <c:pt idx="24">
                  <c:v>99</c:v>
                </c:pt>
                <c:pt idx="25">
                  <c:v>100</c:v>
                </c:pt>
                <c:pt idx="26">
                  <c:v>100</c:v>
                </c:pt>
                <c:pt idx="27">
                  <c:v>99</c:v>
                </c:pt>
                <c:pt idx="28">
                  <c:v>100</c:v>
                </c:pt>
                <c:pt idx="29">
                  <c:v>99</c:v>
                </c:pt>
                <c:pt idx="30">
                  <c:v>99</c:v>
                </c:pt>
                <c:pt idx="31">
                  <c:v>99</c:v>
                </c:pt>
                <c:pt idx="32">
                  <c:v>99</c:v>
                </c:pt>
                <c:pt idx="33">
                  <c:v>99</c:v>
                </c:pt>
                <c:pt idx="34">
                  <c:v>99</c:v>
                </c:pt>
                <c:pt idx="35">
                  <c:v>99</c:v>
                </c:pt>
                <c:pt idx="36">
                  <c:v>99</c:v>
                </c:pt>
                <c:pt idx="37">
                  <c:v>99</c:v>
                </c:pt>
                <c:pt idx="38">
                  <c:v>99</c:v>
                </c:pt>
                <c:pt idx="39">
                  <c:v>99</c:v>
                </c:pt>
                <c:pt idx="40">
                  <c:v>100</c:v>
                </c:pt>
                <c:pt idx="41">
                  <c:v>101</c:v>
                </c:pt>
                <c:pt idx="42">
                  <c:v>100</c:v>
                </c:pt>
                <c:pt idx="43">
                  <c:v>100</c:v>
                </c:pt>
                <c:pt idx="44">
                  <c:v>100</c:v>
                </c:pt>
                <c:pt idx="45">
                  <c:v>100</c:v>
                </c:pt>
                <c:pt idx="46">
                  <c:v>99</c:v>
                </c:pt>
                <c:pt idx="47">
                  <c:v>99</c:v>
                </c:pt>
                <c:pt idx="48">
                  <c:v>99</c:v>
                </c:pt>
                <c:pt idx="49">
                  <c:v>98</c:v>
                </c:pt>
                <c:pt idx="50">
                  <c:v>99</c:v>
                </c:pt>
                <c:pt idx="51">
                  <c:v>100</c:v>
                </c:pt>
                <c:pt idx="52">
                  <c:v>100</c:v>
                </c:pt>
                <c:pt idx="53">
                  <c:v>100</c:v>
                </c:pt>
                <c:pt idx="54">
                  <c:v>100</c:v>
                </c:pt>
                <c:pt idx="55">
                  <c:v>101</c:v>
                </c:pt>
                <c:pt idx="56">
                  <c:v>101</c:v>
                </c:pt>
                <c:pt idx="57">
                  <c:v>100</c:v>
                </c:pt>
                <c:pt idx="58">
                  <c:v>100</c:v>
                </c:pt>
                <c:pt idx="59">
                  <c:v>100</c:v>
                </c:pt>
                <c:pt idx="60">
                  <c:v>100</c:v>
                </c:pt>
                <c:pt idx="61">
                  <c:v>100</c:v>
                </c:pt>
                <c:pt idx="62">
                  <c:v>100</c:v>
                </c:pt>
                <c:pt idx="63">
                  <c:v>100</c:v>
                </c:pt>
                <c:pt idx="64">
                  <c:v>99</c:v>
                </c:pt>
                <c:pt idx="65">
                  <c:v>100</c:v>
                </c:pt>
                <c:pt idx="66">
                  <c:v>100</c:v>
                </c:pt>
                <c:pt idx="67">
                  <c:v>100</c:v>
                </c:pt>
                <c:pt idx="68">
                  <c:v>100</c:v>
                </c:pt>
                <c:pt idx="69">
                  <c:v>100</c:v>
                </c:pt>
                <c:pt idx="70">
                  <c:v>100</c:v>
                </c:pt>
                <c:pt idx="71">
                  <c:v>100</c:v>
                </c:pt>
                <c:pt idx="72">
                  <c:v>100</c:v>
                </c:pt>
                <c:pt idx="73">
                  <c:v>100</c:v>
                </c:pt>
                <c:pt idx="74">
                  <c:v>101</c:v>
                </c:pt>
                <c:pt idx="75">
                  <c:v>101</c:v>
                </c:pt>
                <c:pt idx="76">
                  <c:v>101</c:v>
                </c:pt>
                <c:pt idx="77">
                  <c:v>101</c:v>
                </c:pt>
                <c:pt idx="78">
                  <c:v>101</c:v>
                </c:pt>
                <c:pt idx="79">
                  <c:v>101</c:v>
                </c:pt>
                <c:pt idx="80">
                  <c:v>101</c:v>
                </c:pt>
                <c:pt idx="81">
                  <c:v>102</c:v>
                </c:pt>
                <c:pt idx="82">
                  <c:v>102</c:v>
                </c:pt>
                <c:pt idx="83">
                  <c:v>102</c:v>
                </c:pt>
                <c:pt idx="84">
                  <c:v>102</c:v>
                </c:pt>
                <c:pt idx="85">
                  <c:v>102</c:v>
                </c:pt>
                <c:pt idx="86">
                  <c:v>102</c:v>
                </c:pt>
                <c:pt idx="87">
                  <c:v>102</c:v>
                </c:pt>
                <c:pt idx="88">
                  <c:v>103</c:v>
                </c:pt>
                <c:pt idx="89">
                  <c:v>103</c:v>
                </c:pt>
                <c:pt idx="90">
                  <c:v>102</c:v>
                </c:pt>
                <c:pt idx="91">
                  <c:v>102</c:v>
                </c:pt>
                <c:pt idx="92">
                  <c:v>103</c:v>
                </c:pt>
                <c:pt idx="93">
                  <c:v>102</c:v>
                </c:pt>
                <c:pt idx="94">
                  <c:v>102</c:v>
                </c:pt>
                <c:pt idx="95">
                  <c:v>103</c:v>
                </c:pt>
                <c:pt idx="96">
                  <c:v>103</c:v>
                </c:pt>
                <c:pt idx="97">
                  <c:v>102</c:v>
                </c:pt>
                <c:pt idx="98">
                  <c:v>102</c:v>
                </c:pt>
                <c:pt idx="99">
                  <c:v>102</c:v>
                </c:pt>
                <c:pt idx="100">
                  <c:v>102</c:v>
                </c:pt>
                <c:pt idx="101">
                  <c:v>102</c:v>
                </c:pt>
                <c:pt idx="102">
                  <c:v>102</c:v>
                </c:pt>
                <c:pt idx="103">
                  <c:v>102</c:v>
                </c:pt>
                <c:pt idx="104">
                  <c:v>101</c:v>
                </c:pt>
                <c:pt idx="105">
                  <c:v>102</c:v>
                </c:pt>
                <c:pt idx="106">
                  <c:v>102</c:v>
                </c:pt>
                <c:pt idx="107">
                  <c:v>102</c:v>
                </c:pt>
                <c:pt idx="108">
                  <c:v>102</c:v>
                </c:pt>
                <c:pt idx="109">
                  <c:v>101</c:v>
                </c:pt>
                <c:pt idx="110">
                  <c:v>101</c:v>
                </c:pt>
                <c:pt idx="111">
                  <c:v>100</c:v>
                </c:pt>
                <c:pt idx="112">
                  <c:v>101</c:v>
                </c:pt>
                <c:pt idx="113">
                  <c:v>100</c:v>
                </c:pt>
                <c:pt idx="114">
                  <c:v>101</c:v>
                </c:pt>
                <c:pt idx="115">
                  <c:v>100</c:v>
                </c:pt>
                <c:pt idx="116">
                  <c:v>100</c:v>
                </c:pt>
                <c:pt idx="117">
                  <c:v>100</c:v>
                </c:pt>
                <c:pt idx="118">
                  <c:v>100</c:v>
                </c:pt>
                <c:pt idx="119">
                  <c:v>100</c:v>
                </c:pt>
                <c:pt idx="120">
                  <c:v>100</c:v>
                </c:pt>
                <c:pt idx="121">
                  <c:v>100</c:v>
                </c:pt>
                <c:pt idx="122">
                  <c:v>100</c:v>
                </c:pt>
                <c:pt idx="123">
                  <c:v>101</c:v>
                </c:pt>
                <c:pt idx="124">
                  <c:v>100</c:v>
                </c:pt>
                <c:pt idx="125">
                  <c:v>100</c:v>
                </c:pt>
                <c:pt idx="126">
                  <c:v>100</c:v>
                </c:pt>
                <c:pt idx="127">
                  <c:v>100</c:v>
                </c:pt>
                <c:pt idx="128">
                  <c:v>100</c:v>
                </c:pt>
                <c:pt idx="129">
                  <c:v>100</c:v>
                </c:pt>
                <c:pt idx="130">
                  <c:v>100</c:v>
                </c:pt>
                <c:pt idx="131">
                  <c:v>100</c:v>
                </c:pt>
                <c:pt idx="132">
                  <c:v>100</c:v>
                </c:pt>
                <c:pt idx="133">
                  <c:v>100</c:v>
                </c:pt>
                <c:pt idx="134">
                  <c:v>100</c:v>
                </c:pt>
                <c:pt idx="135">
                  <c:v>101</c:v>
                </c:pt>
                <c:pt idx="136">
                  <c:v>101</c:v>
                </c:pt>
                <c:pt idx="137">
                  <c:v>101</c:v>
                </c:pt>
                <c:pt idx="138">
                  <c:v>101</c:v>
                </c:pt>
                <c:pt idx="139">
                  <c:v>101</c:v>
                </c:pt>
                <c:pt idx="140">
                  <c:v>102</c:v>
                </c:pt>
                <c:pt idx="141">
                  <c:v>102</c:v>
                </c:pt>
                <c:pt idx="142">
                  <c:v>103</c:v>
                </c:pt>
                <c:pt idx="143">
                  <c:v>103</c:v>
                </c:pt>
                <c:pt idx="144">
                  <c:v>103</c:v>
                </c:pt>
                <c:pt idx="145">
                  <c:v>102</c:v>
                </c:pt>
                <c:pt idx="146">
                  <c:v>103</c:v>
                </c:pt>
                <c:pt idx="147">
                  <c:v>103</c:v>
                </c:pt>
                <c:pt idx="148">
                  <c:v>103</c:v>
                </c:pt>
                <c:pt idx="149">
                  <c:v>104</c:v>
                </c:pt>
                <c:pt idx="150">
                  <c:v>103</c:v>
                </c:pt>
                <c:pt idx="151">
                  <c:v>103</c:v>
                </c:pt>
                <c:pt idx="152">
                  <c:v>104</c:v>
                </c:pt>
                <c:pt idx="153">
                  <c:v>104</c:v>
                </c:pt>
                <c:pt idx="154">
                  <c:v>104</c:v>
                </c:pt>
                <c:pt idx="155">
                  <c:v>104</c:v>
                </c:pt>
                <c:pt idx="156">
                  <c:v>105</c:v>
                </c:pt>
                <c:pt idx="157">
                  <c:v>105</c:v>
                </c:pt>
                <c:pt idx="158">
                  <c:v>105</c:v>
                </c:pt>
                <c:pt idx="159">
                  <c:v>105</c:v>
                </c:pt>
                <c:pt idx="160">
                  <c:v>105</c:v>
                </c:pt>
                <c:pt idx="161">
                  <c:v>105</c:v>
                </c:pt>
                <c:pt idx="162">
                  <c:v>106</c:v>
                </c:pt>
                <c:pt idx="163">
                  <c:v>105</c:v>
                </c:pt>
                <c:pt idx="164">
                  <c:v>104</c:v>
                </c:pt>
                <c:pt idx="165">
                  <c:v>104</c:v>
                </c:pt>
                <c:pt idx="166">
                  <c:v>104</c:v>
                </c:pt>
                <c:pt idx="167">
                  <c:v>104</c:v>
                </c:pt>
                <c:pt idx="168">
                  <c:v>104</c:v>
                </c:pt>
                <c:pt idx="169">
                  <c:v>104</c:v>
                </c:pt>
                <c:pt idx="170">
                  <c:v>103</c:v>
                </c:pt>
                <c:pt idx="171">
                  <c:v>103</c:v>
                </c:pt>
                <c:pt idx="172">
                  <c:v>103</c:v>
                </c:pt>
                <c:pt idx="173">
                  <c:v>103</c:v>
                </c:pt>
                <c:pt idx="174">
                  <c:v>104</c:v>
                </c:pt>
                <c:pt idx="175">
                  <c:v>104</c:v>
                </c:pt>
                <c:pt idx="176">
                  <c:v>104</c:v>
                </c:pt>
                <c:pt idx="177">
                  <c:v>104</c:v>
                </c:pt>
                <c:pt idx="178">
                  <c:v>104</c:v>
                </c:pt>
                <c:pt idx="179">
                  <c:v>104</c:v>
                </c:pt>
                <c:pt idx="180">
                  <c:v>104</c:v>
                </c:pt>
                <c:pt idx="181">
                  <c:v>104</c:v>
                </c:pt>
                <c:pt idx="182">
                  <c:v>105</c:v>
                </c:pt>
                <c:pt idx="183">
                  <c:v>105</c:v>
                </c:pt>
                <c:pt idx="184">
                  <c:v>105</c:v>
                </c:pt>
                <c:pt idx="185">
                  <c:v>104</c:v>
                </c:pt>
                <c:pt idx="186">
                  <c:v>104</c:v>
                </c:pt>
                <c:pt idx="187">
                  <c:v>104</c:v>
                </c:pt>
                <c:pt idx="188">
                  <c:v>105</c:v>
                </c:pt>
                <c:pt idx="189">
                  <c:v>104</c:v>
                </c:pt>
                <c:pt idx="190">
                  <c:v>104</c:v>
                </c:pt>
                <c:pt idx="191">
                  <c:v>104</c:v>
                </c:pt>
                <c:pt idx="192">
                  <c:v>104</c:v>
                </c:pt>
                <c:pt idx="193">
                  <c:v>104</c:v>
                </c:pt>
                <c:pt idx="194">
                  <c:v>104</c:v>
                </c:pt>
                <c:pt idx="195">
                  <c:v>103</c:v>
                </c:pt>
                <c:pt idx="196">
                  <c:v>103</c:v>
                </c:pt>
                <c:pt idx="197">
                  <c:v>103</c:v>
                </c:pt>
                <c:pt idx="198">
                  <c:v>103</c:v>
                </c:pt>
                <c:pt idx="199">
                  <c:v>103</c:v>
                </c:pt>
                <c:pt idx="200">
                  <c:v>103</c:v>
                </c:pt>
                <c:pt idx="201">
                  <c:v>103</c:v>
                </c:pt>
                <c:pt idx="202">
                  <c:v>103</c:v>
                </c:pt>
                <c:pt idx="203">
                  <c:v>103</c:v>
                </c:pt>
                <c:pt idx="204">
                  <c:v>103</c:v>
                </c:pt>
                <c:pt idx="205">
                  <c:v>103</c:v>
                </c:pt>
                <c:pt idx="206">
                  <c:v>103</c:v>
                </c:pt>
                <c:pt idx="207">
                  <c:v>103</c:v>
                </c:pt>
                <c:pt idx="208">
                  <c:v>103</c:v>
                </c:pt>
                <c:pt idx="209">
                  <c:v>103</c:v>
                </c:pt>
                <c:pt idx="210">
                  <c:v>103</c:v>
                </c:pt>
                <c:pt idx="211">
                  <c:v>104</c:v>
                </c:pt>
                <c:pt idx="212">
                  <c:v>104</c:v>
                </c:pt>
                <c:pt idx="213">
                  <c:v>105</c:v>
                </c:pt>
                <c:pt idx="214">
                  <c:v>105</c:v>
                </c:pt>
                <c:pt idx="215">
                  <c:v>105</c:v>
                </c:pt>
                <c:pt idx="216">
                  <c:v>104</c:v>
                </c:pt>
                <c:pt idx="217">
                  <c:v>105</c:v>
                </c:pt>
                <c:pt idx="218">
                  <c:v>105</c:v>
                </c:pt>
                <c:pt idx="219">
                  <c:v>105</c:v>
                </c:pt>
                <c:pt idx="220">
                  <c:v>105</c:v>
                </c:pt>
                <c:pt idx="221">
                  <c:v>105</c:v>
                </c:pt>
                <c:pt idx="222">
                  <c:v>105</c:v>
                </c:pt>
                <c:pt idx="223">
                  <c:v>105</c:v>
                </c:pt>
                <c:pt idx="224">
                  <c:v>106</c:v>
                </c:pt>
                <c:pt idx="225">
                  <c:v>106</c:v>
                </c:pt>
                <c:pt idx="226">
                  <c:v>105</c:v>
                </c:pt>
                <c:pt idx="227">
                  <c:v>105</c:v>
                </c:pt>
                <c:pt idx="228">
                  <c:v>105</c:v>
                </c:pt>
                <c:pt idx="229">
                  <c:v>105</c:v>
                </c:pt>
                <c:pt idx="230">
                  <c:v>104</c:v>
                </c:pt>
                <c:pt idx="231">
                  <c:v>104</c:v>
                </c:pt>
                <c:pt idx="232">
                  <c:v>104</c:v>
                </c:pt>
                <c:pt idx="233">
                  <c:v>104</c:v>
                </c:pt>
                <c:pt idx="234">
                  <c:v>104</c:v>
                </c:pt>
                <c:pt idx="235">
                  <c:v>103</c:v>
                </c:pt>
                <c:pt idx="236">
                  <c:v>103</c:v>
                </c:pt>
                <c:pt idx="237">
                  <c:v>103</c:v>
                </c:pt>
                <c:pt idx="238">
                  <c:v>103</c:v>
                </c:pt>
                <c:pt idx="239">
                  <c:v>103</c:v>
                </c:pt>
                <c:pt idx="240">
                  <c:v>103</c:v>
                </c:pt>
                <c:pt idx="241">
                  <c:v>103</c:v>
                </c:pt>
                <c:pt idx="242">
                  <c:v>103</c:v>
                </c:pt>
                <c:pt idx="243">
                  <c:v>103</c:v>
                </c:pt>
                <c:pt idx="244">
                  <c:v>103</c:v>
                </c:pt>
                <c:pt idx="245">
                  <c:v>103</c:v>
                </c:pt>
                <c:pt idx="246">
                  <c:v>103</c:v>
                </c:pt>
                <c:pt idx="247">
                  <c:v>103</c:v>
                </c:pt>
                <c:pt idx="248">
                  <c:v>103</c:v>
                </c:pt>
                <c:pt idx="249">
                  <c:v>103</c:v>
                </c:pt>
                <c:pt idx="250">
                  <c:v>103</c:v>
                </c:pt>
                <c:pt idx="251">
                  <c:v>103</c:v>
                </c:pt>
                <c:pt idx="252">
                  <c:v>103</c:v>
                </c:pt>
                <c:pt idx="253">
                  <c:v>103</c:v>
                </c:pt>
                <c:pt idx="254">
                  <c:v>103</c:v>
                </c:pt>
                <c:pt idx="255">
                  <c:v>103</c:v>
                </c:pt>
                <c:pt idx="256">
                  <c:v>104</c:v>
                </c:pt>
                <c:pt idx="257">
                  <c:v>103</c:v>
                </c:pt>
                <c:pt idx="258">
                  <c:v>104</c:v>
                </c:pt>
                <c:pt idx="259">
                  <c:v>104</c:v>
                </c:pt>
                <c:pt idx="260">
                  <c:v>105</c:v>
                </c:pt>
                <c:pt idx="261">
                  <c:v>105</c:v>
                </c:pt>
                <c:pt idx="262">
                  <c:v>105</c:v>
                </c:pt>
                <c:pt idx="263">
                  <c:v>105</c:v>
                </c:pt>
                <c:pt idx="264">
                  <c:v>105</c:v>
                </c:pt>
                <c:pt idx="265">
                  <c:v>105</c:v>
                </c:pt>
                <c:pt idx="266">
                  <c:v>106</c:v>
                </c:pt>
                <c:pt idx="267">
                  <c:v>106</c:v>
                </c:pt>
                <c:pt idx="268">
                  <c:v>105</c:v>
                </c:pt>
                <c:pt idx="269">
                  <c:v>106</c:v>
                </c:pt>
                <c:pt idx="270">
                  <c:v>106</c:v>
                </c:pt>
                <c:pt idx="271">
                  <c:v>105</c:v>
                </c:pt>
                <c:pt idx="272">
                  <c:v>106</c:v>
                </c:pt>
                <c:pt idx="273">
                  <c:v>106</c:v>
                </c:pt>
                <c:pt idx="274">
                  <c:v>106</c:v>
                </c:pt>
                <c:pt idx="275">
                  <c:v>107</c:v>
                </c:pt>
                <c:pt idx="276">
                  <c:v>107</c:v>
                </c:pt>
                <c:pt idx="277">
                  <c:v>107</c:v>
                </c:pt>
                <c:pt idx="278">
                  <c:v>107</c:v>
                </c:pt>
                <c:pt idx="279">
                  <c:v>108</c:v>
                </c:pt>
                <c:pt idx="280">
                  <c:v>108</c:v>
                </c:pt>
                <c:pt idx="281">
                  <c:v>108</c:v>
                </c:pt>
                <c:pt idx="282">
                  <c:v>108</c:v>
                </c:pt>
                <c:pt idx="283">
                  <c:v>107</c:v>
                </c:pt>
                <c:pt idx="284">
                  <c:v>108</c:v>
                </c:pt>
                <c:pt idx="285">
                  <c:v>109</c:v>
                </c:pt>
                <c:pt idx="286">
                  <c:v>109</c:v>
                </c:pt>
                <c:pt idx="287">
                  <c:v>111</c:v>
                </c:pt>
                <c:pt idx="288">
                  <c:v>110</c:v>
                </c:pt>
                <c:pt idx="289">
                  <c:v>112</c:v>
                </c:pt>
                <c:pt idx="290">
                  <c:v>113</c:v>
                </c:pt>
                <c:pt idx="291">
                  <c:v>113</c:v>
                </c:pt>
                <c:pt idx="292">
                  <c:v>114</c:v>
                </c:pt>
                <c:pt idx="293">
                  <c:v>115</c:v>
                </c:pt>
                <c:pt idx="294">
                  <c:v>119</c:v>
                </c:pt>
                <c:pt idx="295">
                  <c:v>118</c:v>
                </c:pt>
                <c:pt idx="296">
                  <c:v>118</c:v>
                </c:pt>
                <c:pt idx="297">
                  <c:v>119</c:v>
                </c:pt>
                <c:pt idx="298">
                  <c:v>118</c:v>
                </c:pt>
                <c:pt idx="299">
                  <c:v>117</c:v>
                </c:pt>
                <c:pt idx="300">
                  <c:v>116</c:v>
                </c:pt>
                <c:pt idx="301">
                  <c:v>117</c:v>
                </c:pt>
                <c:pt idx="302">
                  <c:v>118</c:v>
                </c:pt>
                <c:pt idx="303">
                  <c:v>118</c:v>
                </c:pt>
                <c:pt idx="304">
                  <c:v>119</c:v>
                </c:pt>
                <c:pt idx="305">
                  <c:v>119</c:v>
                </c:pt>
                <c:pt idx="306">
                  <c:v>120</c:v>
                </c:pt>
                <c:pt idx="307">
                  <c:v>119</c:v>
                </c:pt>
                <c:pt idx="308">
                  <c:v>119</c:v>
                </c:pt>
                <c:pt idx="309">
                  <c:v>118</c:v>
                </c:pt>
                <c:pt idx="310">
                  <c:v>117</c:v>
                </c:pt>
                <c:pt idx="311">
                  <c:v>117</c:v>
                </c:pt>
                <c:pt idx="312">
                  <c:v>117</c:v>
                </c:pt>
                <c:pt idx="313">
                  <c:v>119</c:v>
                </c:pt>
                <c:pt idx="314">
                  <c:v>118</c:v>
                </c:pt>
                <c:pt idx="315">
                  <c:v>118</c:v>
                </c:pt>
                <c:pt idx="316">
                  <c:v>119</c:v>
                </c:pt>
                <c:pt idx="317">
                  <c:v>120</c:v>
                </c:pt>
                <c:pt idx="318">
                  <c:v>120</c:v>
                </c:pt>
                <c:pt idx="319">
                  <c:v>120</c:v>
                </c:pt>
                <c:pt idx="320">
                  <c:v>120</c:v>
                </c:pt>
                <c:pt idx="321">
                  <c:v>119</c:v>
                </c:pt>
                <c:pt idx="322">
                  <c:v>118</c:v>
                </c:pt>
                <c:pt idx="323">
                  <c:v>119</c:v>
                </c:pt>
                <c:pt idx="324">
                  <c:v>119</c:v>
                </c:pt>
                <c:pt idx="325">
                  <c:v>119</c:v>
                </c:pt>
                <c:pt idx="326">
                  <c:v>119</c:v>
                </c:pt>
                <c:pt idx="327">
                  <c:v>120</c:v>
                </c:pt>
                <c:pt idx="328">
                  <c:v>120</c:v>
                </c:pt>
                <c:pt idx="329">
                  <c:v>119</c:v>
                </c:pt>
                <c:pt idx="330">
                  <c:v>119</c:v>
                </c:pt>
                <c:pt idx="331">
                  <c:v>119</c:v>
                </c:pt>
                <c:pt idx="332">
                  <c:v>120</c:v>
                </c:pt>
                <c:pt idx="333">
                  <c:v>119</c:v>
                </c:pt>
                <c:pt idx="334">
                  <c:v>120</c:v>
                </c:pt>
                <c:pt idx="335">
                  <c:v>118</c:v>
                </c:pt>
                <c:pt idx="336">
                  <c:v>118</c:v>
                </c:pt>
                <c:pt idx="337">
                  <c:v>117</c:v>
                </c:pt>
                <c:pt idx="338">
                  <c:v>117</c:v>
                </c:pt>
                <c:pt idx="339">
                  <c:v>117</c:v>
                </c:pt>
                <c:pt idx="340">
                  <c:v>115</c:v>
                </c:pt>
                <c:pt idx="341">
                  <c:v>116</c:v>
                </c:pt>
                <c:pt idx="342">
                  <c:v>115</c:v>
                </c:pt>
                <c:pt idx="343">
                  <c:v>113</c:v>
                </c:pt>
                <c:pt idx="344">
                  <c:v>113</c:v>
                </c:pt>
                <c:pt idx="345">
                  <c:v>113</c:v>
                </c:pt>
                <c:pt idx="346">
                  <c:v>112</c:v>
                </c:pt>
                <c:pt idx="347">
                  <c:v>112</c:v>
                </c:pt>
                <c:pt idx="348">
                  <c:v>112</c:v>
                </c:pt>
                <c:pt idx="349">
                  <c:v>112</c:v>
                </c:pt>
                <c:pt idx="350">
                  <c:v>114</c:v>
                </c:pt>
                <c:pt idx="351">
                  <c:v>114</c:v>
                </c:pt>
                <c:pt idx="352">
                  <c:v>113</c:v>
                </c:pt>
                <c:pt idx="353">
                  <c:v>114</c:v>
                </c:pt>
                <c:pt idx="354">
                  <c:v>114</c:v>
                </c:pt>
                <c:pt idx="355">
                  <c:v>115</c:v>
                </c:pt>
                <c:pt idx="356">
                  <c:v>115</c:v>
                </c:pt>
                <c:pt idx="357">
                  <c:v>115</c:v>
                </c:pt>
                <c:pt idx="358">
                  <c:v>114</c:v>
                </c:pt>
                <c:pt idx="359">
                  <c:v>115</c:v>
                </c:pt>
                <c:pt idx="360">
                  <c:v>115</c:v>
                </c:pt>
                <c:pt idx="361">
                  <c:v>116</c:v>
                </c:pt>
                <c:pt idx="362">
                  <c:v>116</c:v>
                </c:pt>
                <c:pt idx="363">
                  <c:v>116</c:v>
                </c:pt>
                <c:pt idx="364">
                  <c:v>115</c:v>
                </c:pt>
                <c:pt idx="365">
                  <c:v>115</c:v>
                </c:pt>
                <c:pt idx="366">
                  <c:v>115</c:v>
                </c:pt>
                <c:pt idx="367">
                  <c:v>115</c:v>
                </c:pt>
                <c:pt idx="368">
                  <c:v>115</c:v>
                </c:pt>
                <c:pt idx="369">
                  <c:v>115</c:v>
                </c:pt>
                <c:pt idx="370">
                  <c:v>115</c:v>
                </c:pt>
                <c:pt idx="371">
                  <c:v>114</c:v>
                </c:pt>
                <c:pt idx="372">
                  <c:v>115</c:v>
                </c:pt>
                <c:pt idx="373">
                  <c:v>114</c:v>
                </c:pt>
                <c:pt idx="374">
                  <c:v>114</c:v>
                </c:pt>
                <c:pt idx="375">
                  <c:v>114</c:v>
                </c:pt>
                <c:pt idx="376">
                  <c:v>114</c:v>
                </c:pt>
                <c:pt idx="377">
                  <c:v>114</c:v>
                </c:pt>
                <c:pt idx="378">
                  <c:v>113</c:v>
                </c:pt>
                <c:pt idx="379">
                  <c:v>113</c:v>
                </c:pt>
                <c:pt idx="380">
                  <c:v>113</c:v>
                </c:pt>
                <c:pt idx="381">
                  <c:v>113</c:v>
                </c:pt>
                <c:pt idx="382">
                  <c:v>113</c:v>
                </c:pt>
                <c:pt idx="383">
                  <c:v>113</c:v>
                </c:pt>
                <c:pt idx="384">
                  <c:v>113</c:v>
                </c:pt>
                <c:pt idx="385">
                  <c:v>113</c:v>
                </c:pt>
                <c:pt idx="386">
                  <c:v>113</c:v>
                </c:pt>
                <c:pt idx="387">
                  <c:v>114</c:v>
                </c:pt>
                <c:pt idx="388">
                  <c:v>114</c:v>
                </c:pt>
                <c:pt idx="389">
                  <c:v>114</c:v>
                </c:pt>
                <c:pt idx="390">
                  <c:v>115</c:v>
                </c:pt>
                <c:pt idx="391">
                  <c:v>115</c:v>
                </c:pt>
                <c:pt idx="392">
                  <c:v>115</c:v>
                </c:pt>
                <c:pt idx="393">
                  <c:v>116</c:v>
                </c:pt>
                <c:pt idx="394">
                  <c:v>116</c:v>
                </c:pt>
                <c:pt idx="395">
                  <c:v>116</c:v>
                </c:pt>
                <c:pt idx="396">
                  <c:v>116</c:v>
                </c:pt>
                <c:pt idx="397">
                  <c:v>116</c:v>
                </c:pt>
                <c:pt idx="398">
                  <c:v>116</c:v>
                </c:pt>
                <c:pt idx="399">
                  <c:v>116</c:v>
                </c:pt>
                <c:pt idx="400">
                  <c:v>116</c:v>
                </c:pt>
                <c:pt idx="401">
                  <c:v>116</c:v>
                </c:pt>
                <c:pt idx="402">
                  <c:v>116</c:v>
                </c:pt>
                <c:pt idx="403">
                  <c:v>116</c:v>
                </c:pt>
                <c:pt idx="404">
                  <c:v>116</c:v>
                </c:pt>
                <c:pt idx="405">
                  <c:v>116</c:v>
                </c:pt>
                <c:pt idx="406">
                  <c:v>118</c:v>
                </c:pt>
                <c:pt idx="407">
                  <c:v>117</c:v>
                </c:pt>
                <c:pt idx="408">
                  <c:v>118</c:v>
                </c:pt>
                <c:pt idx="409">
                  <c:v>117</c:v>
                </c:pt>
                <c:pt idx="410">
                  <c:v>117</c:v>
                </c:pt>
                <c:pt idx="411">
                  <c:v>117</c:v>
                </c:pt>
                <c:pt idx="412">
                  <c:v>117</c:v>
                </c:pt>
                <c:pt idx="413">
                  <c:v>116</c:v>
                </c:pt>
                <c:pt idx="414">
                  <c:v>118</c:v>
                </c:pt>
                <c:pt idx="415">
                  <c:v>117</c:v>
                </c:pt>
                <c:pt idx="416">
                  <c:v>117</c:v>
                </c:pt>
                <c:pt idx="417">
                  <c:v>118</c:v>
                </c:pt>
                <c:pt idx="418">
                  <c:v>118</c:v>
                </c:pt>
                <c:pt idx="419">
                  <c:v>118</c:v>
                </c:pt>
                <c:pt idx="420">
                  <c:v>118</c:v>
                </c:pt>
                <c:pt idx="421">
                  <c:v>118</c:v>
                </c:pt>
                <c:pt idx="422">
                  <c:v>116</c:v>
                </c:pt>
                <c:pt idx="423">
                  <c:v>115</c:v>
                </c:pt>
                <c:pt idx="424">
                  <c:v>115</c:v>
                </c:pt>
                <c:pt idx="425">
                  <c:v>115</c:v>
                </c:pt>
                <c:pt idx="426">
                  <c:v>114</c:v>
                </c:pt>
                <c:pt idx="427">
                  <c:v>114</c:v>
                </c:pt>
                <c:pt idx="428">
                  <c:v>115</c:v>
                </c:pt>
                <c:pt idx="429">
                  <c:v>115</c:v>
                </c:pt>
                <c:pt idx="430">
                  <c:v>116</c:v>
                </c:pt>
                <c:pt idx="431">
                  <c:v>116</c:v>
                </c:pt>
                <c:pt idx="432">
                  <c:v>115</c:v>
                </c:pt>
                <c:pt idx="433">
                  <c:v>116</c:v>
                </c:pt>
                <c:pt idx="434">
                  <c:v>116</c:v>
                </c:pt>
                <c:pt idx="435">
                  <c:v>117</c:v>
                </c:pt>
                <c:pt idx="436">
                  <c:v>116</c:v>
                </c:pt>
                <c:pt idx="437">
                  <c:v>116</c:v>
                </c:pt>
                <c:pt idx="438">
                  <c:v>116</c:v>
                </c:pt>
                <c:pt idx="439">
                  <c:v>115</c:v>
                </c:pt>
                <c:pt idx="440">
                  <c:v>116</c:v>
                </c:pt>
                <c:pt idx="441">
                  <c:v>116</c:v>
                </c:pt>
                <c:pt idx="442">
                  <c:v>116</c:v>
                </c:pt>
                <c:pt idx="443">
                  <c:v>116</c:v>
                </c:pt>
                <c:pt idx="444">
                  <c:v>116</c:v>
                </c:pt>
                <c:pt idx="445">
                  <c:v>117</c:v>
                </c:pt>
                <c:pt idx="446">
                  <c:v>116</c:v>
                </c:pt>
                <c:pt idx="447">
                  <c:v>116</c:v>
                </c:pt>
                <c:pt idx="448">
                  <c:v>115</c:v>
                </c:pt>
                <c:pt idx="449">
                  <c:v>115</c:v>
                </c:pt>
                <c:pt idx="450">
                  <c:v>115</c:v>
                </c:pt>
                <c:pt idx="451">
                  <c:v>115</c:v>
                </c:pt>
                <c:pt idx="452">
                  <c:v>115</c:v>
                </c:pt>
                <c:pt idx="453" formatCode="0.000">
                  <c:v>114.667</c:v>
                </c:pt>
                <c:pt idx="454" formatCode="0.000">
                  <c:v>113.428</c:v>
                </c:pt>
                <c:pt idx="455" formatCode="0.000">
                  <c:v>112.524</c:v>
                </c:pt>
                <c:pt idx="456" formatCode="0.000">
                  <c:v>111.875</c:v>
                </c:pt>
                <c:pt idx="457" formatCode="0.000">
                  <c:v>111.367</c:v>
                </c:pt>
                <c:pt idx="458" formatCode="0.000">
                  <c:v>111.248</c:v>
                </c:pt>
                <c:pt idx="459" formatCode="0.000">
                  <c:v>111.30500000000001</c:v>
                </c:pt>
                <c:pt idx="460" formatCode="0.000">
                  <c:v>111.497</c:v>
                </c:pt>
                <c:pt idx="461" formatCode="0.000">
                  <c:v>111.248</c:v>
                </c:pt>
                <c:pt idx="462" formatCode="0.000">
                  <c:v>110.834</c:v>
                </c:pt>
                <c:pt idx="463" formatCode="0.000">
                  <c:v>110.66</c:v>
                </c:pt>
                <c:pt idx="464" formatCode="0.000">
                  <c:v>110.607</c:v>
                </c:pt>
                <c:pt idx="465" formatCode="0.000">
                  <c:v>110.19199999999999</c:v>
                </c:pt>
                <c:pt idx="466" formatCode="0.000">
                  <c:v>110.509</c:v>
                </c:pt>
                <c:pt idx="467" formatCode="0.000">
                  <c:v>111.071</c:v>
                </c:pt>
                <c:pt idx="468" formatCode="0.000">
                  <c:v>110.786</c:v>
                </c:pt>
                <c:pt idx="469" formatCode="0.000">
                  <c:v>110.294</c:v>
                </c:pt>
                <c:pt idx="470" formatCode="0.000">
                  <c:v>110.325</c:v>
                </c:pt>
                <c:pt idx="471" formatCode="0.000">
                  <c:v>110.49</c:v>
                </c:pt>
                <c:pt idx="472" formatCode="0.000">
                  <c:v>110.48399999999999</c:v>
                </c:pt>
                <c:pt idx="473" formatCode="0.000">
                  <c:v>109.703</c:v>
                </c:pt>
                <c:pt idx="474" formatCode="0.000">
                  <c:v>109.752</c:v>
                </c:pt>
                <c:pt idx="475" formatCode="0.000">
                  <c:v>108.913</c:v>
                </c:pt>
                <c:pt idx="476" formatCode="0.000">
                  <c:v>108.839</c:v>
                </c:pt>
                <c:pt idx="477" formatCode="0.000">
                  <c:v>108.73399999999999</c:v>
                </c:pt>
                <c:pt idx="478" formatCode="0.000">
                  <c:v>108.42</c:v>
                </c:pt>
                <c:pt idx="479" formatCode="0.000">
                  <c:v>108.715</c:v>
                </c:pt>
                <c:pt idx="480" formatCode="0.000">
                  <c:v>108.273</c:v>
                </c:pt>
                <c:pt idx="481" formatCode="0.000">
                  <c:v>108.52</c:v>
                </c:pt>
                <c:pt idx="482" formatCode="0.000">
                  <c:v>108.715</c:v>
                </c:pt>
                <c:pt idx="483" formatCode="0.000">
                  <c:v>108.224</c:v>
                </c:pt>
                <c:pt idx="484" formatCode="0.000">
                  <c:v>107.931</c:v>
                </c:pt>
                <c:pt idx="485" formatCode="0.000">
                  <c:v>107.571</c:v>
                </c:pt>
                <c:pt idx="486" formatCode="0.000">
                  <c:v>107.601</c:v>
                </c:pt>
                <c:pt idx="487" formatCode="0.000">
                  <c:v>108.282</c:v>
                </c:pt>
                <c:pt idx="488" formatCode="0.000">
                  <c:v>108.492</c:v>
                </c:pt>
                <c:pt idx="489" formatCode="0.000">
                  <c:v>108.124</c:v>
                </c:pt>
                <c:pt idx="490" formatCode="0.000">
                  <c:v>107.941</c:v>
                </c:pt>
                <c:pt idx="491" formatCode="0.000">
                  <c:v>107.83</c:v>
                </c:pt>
                <c:pt idx="492" formatCode="0.000">
                  <c:v>107.767</c:v>
                </c:pt>
                <c:pt idx="493" formatCode="0.000">
                  <c:v>107.453</c:v>
                </c:pt>
                <c:pt idx="494" formatCode="0.000">
                  <c:v>107.38200000000001</c:v>
                </c:pt>
                <c:pt idx="495" formatCode="0.000">
                  <c:v>108.265</c:v>
                </c:pt>
                <c:pt idx="496" formatCode="0.000">
                  <c:v>109.163</c:v>
                </c:pt>
                <c:pt idx="497" formatCode="0.000">
                  <c:v>108.05500000000001</c:v>
                </c:pt>
                <c:pt idx="498" formatCode="0.000">
                  <c:v>108.36499999999999</c:v>
                </c:pt>
                <c:pt idx="499" formatCode="0.000">
                  <c:v>107.657</c:v>
                </c:pt>
                <c:pt idx="500" formatCode="0.000">
                  <c:v>108.425</c:v>
                </c:pt>
                <c:pt idx="501" formatCode="0.000">
                  <c:v>108.282</c:v>
                </c:pt>
                <c:pt idx="502" formatCode="0.000">
                  <c:v>108.175</c:v>
                </c:pt>
                <c:pt idx="503" formatCode="0.000">
                  <c:v>107.51900000000001</c:v>
                </c:pt>
                <c:pt idx="504" formatCode="0.000">
                  <c:v>107.8</c:v>
                </c:pt>
                <c:pt idx="505" formatCode="0.000">
                  <c:v>108.732</c:v>
                </c:pt>
                <c:pt idx="506" formatCode="0.000">
                  <c:v>109.136</c:v>
                </c:pt>
                <c:pt idx="507" formatCode="0.000">
                  <c:v>108.476</c:v>
                </c:pt>
                <c:pt idx="508" formatCode="0.000">
                  <c:v>109.389</c:v>
                </c:pt>
                <c:pt idx="509" formatCode="0.000">
                  <c:v>109.119</c:v>
                </c:pt>
                <c:pt idx="510" formatCode="0.000">
                  <c:v>108.675</c:v>
                </c:pt>
                <c:pt idx="511" formatCode="0.000">
                  <c:v>108.373</c:v>
                </c:pt>
                <c:pt idx="512" formatCode="0.000">
                  <c:v>108.435</c:v>
                </c:pt>
                <c:pt idx="513" formatCode="0.000">
                  <c:v>108.816</c:v>
                </c:pt>
                <c:pt idx="514" formatCode="0.000">
                  <c:v>108.1</c:v>
                </c:pt>
                <c:pt idx="515" formatCode="0.000">
                  <c:v>107.898</c:v>
                </c:pt>
                <c:pt idx="516" formatCode="0.000">
                  <c:v>107.715</c:v>
                </c:pt>
                <c:pt idx="517" formatCode="0.000">
                  <c:v>107.514</c:v>
                </c:pt>
                <c:pt idx="518" formatCode="0.000">
                  <c:v>107.40600000000001</c:v>
                </c:pt>
                <c:pt idx="519" formatCode="0.000">
                  <c:v>107.206</c:v>
                </c:pt>
                <c:pt idx="520" formatCode="0.000">
                  <c:v>106.864</c:v>
                </c:pt>
                <c:pt idx="521" formatCode="0.000">
                  <c:v>107.49299999999999</c:v>
                </c:pt>
                <c:pt idx="522" formatCode="0.000">
                  <c:v>107.46</c:v>
                </c:pt>
                <c:pt idx="523" formatCode="0.000">
                  <c:v>107.53400000000001</c:v>
                </c:pt>
                <c:pt idx="524" formatCode="0.000">
                  <c:v>107.41</c:v>
                </c:pt>
                <c:pt idx="525" formatCode="0.000">
                  <c:v>107.666</c:v>
                </c:pt>
                <c:pt idx="526" formatCode="0.000">
                  <c:v>107.491</c:v>
                </c:pt>
                <c:pt idx="527" formatCode="0.000">
                  <c:v>107.29</c:v>
                </c:pt>
                <c:pt idx="528" formatCode="0.000">
                  <c:v>109.29900000000001</c:v>
                </c:pt>
                <c:pt idx="529" formatCode="0.000">
                  <c:v>109.71899999999999</c:v>
                </c:pt>
                <c:pt idx="530" formatCode="0.000">
                  <c:v>109.568</c:v>
                </c:pt>
                <c:pt idx="531" formatCode="0.000">
                  <c:v>109.42</c:v>
                </c:pt>
                <c:pt idx="532" formatCode="0.000">
                  <c:v>109.73399999999999</c:v>
                </c:pt>
                <c:pt idx="533" formatCode="0.000">
                  <c:v>110.447</c:v>
                </c:pt>
                <c:pt idx="534" formatCode="0.000">
                  <c:v>110.934</c:v>
                </c:pt>
                <c:pt idx="535" formatCode="0.000">
                  <c:v>111.22199999999999</c:v>
                </c:pt>
                <c:pt idx="536" formatCode="0.000">
                  <c:v>110.062</c:v>
                </c:pt>
                <c:pt idx="537" formatCode="0.000">
                  <c:v>109.18</c:v>
                </c:pt>
                <c:pt idx="538" formatCode="0.000">
                  <c:v>109.624</c:v>
                </c:pt>
                <c:pt idx="539" formatCode="0.000">
                  <c:v>109.551</c:v>
                </c:pt>
                <c:pt idx="540" formatCode="0.000">
                  <c:v>109.705</c:v>
                </c:pt>
                <c:pt idx="541" formatCode="0.000">
                  <c:v>109.14400000000001</c:v>
                </c:pt>
                <c:pt idx="542" formatCode="0.000">
                  <c:v>109.249</c:v>
                </c:pt>
                <c:pt idx="543" formatCode="0.000">
                  <c:v>108.72499999999999</c:v>
                </c:pt>
                <c:pt idx="544" formatCode="0.000">
                  <c:v>109.742</c:v>
                </c:pt>
                <c:pt idx="545" formatCode="0.000">
                  <c:v>110.46599999999999</c:v>
                </c:pt>
                <c:pt idx="546" formatCode="0.000">
                  <c:v>110.893</c:v>
                </c:pt>
                <c:pt idx="547" formatCode="0.000">
                  <c:v>110.81399999999999</c:v>
                </c:pt>
                <c:pt idx="548" formatCode="0.000">
                  <c:v>111.194</c:v>
                </c:pt>
                <c:pt idx="549" formatCode="0.000">
                  <c:v>111.51900000000001</c:v>
                </c:pt>
                <c:pt idx="550" formatCode="0.000">
                  <c:v>111.733</c:v>
                </c:pt>
                <c:pt idx="551" formatCode="0.000">
                  <c:v>110.92100000000001</c:v>
                </c:pt>
                <c:pt idx="552" formatCode="0.000">
                  <c:v>110.645</c:v>
                </c:pt>
                <c:pt idx="553" formatCode="0.000">
                  <c:v>110.788</c:v>
                </c:pt>
                <c:pt idx="554" formatCode="0.000">
                  <c:v>110.56</c:v>
                </c:pt>
                <c:pt idx="555" formatCode="0.000">
                  <c:v>110.253</c:v>
                </c:pt>
                <c:pt idx="556" formatCode="0.000">
                  <c:v>110.37</c:v>
                </c:pt>
                <c:pt idx="557" formatCode="0.000">
                  <c:v>110.12</c:v>
                </c:pt>
                <c:pt idx="558" formatCode="0.000">
                  <c:v>110.556</c:v>
                </c:pt>
                <c:pt idx="559" formatCode="0.000">
                  <c:v>110.753</c:v>
                </c:pt>
                <c:pt idx="560" formatCode="0.000">
                  <c:v>110.265</c:v>
                </c:pt>
                <c:pt idx="561" formatCode="0.000">
                  <c:v>110.035</c:v>
                </c:pt>
                <c:pt idx="562" formatCode="0.000">
                  <c:v>109.48</c:v>
                </c:pt>
                <c:pt idx="563" formatCode="0.000">
                  <c:v>109.447</c:v>
                </c:pt>
                <c:pt idx="564" formatCode="0.000">
                  <c:v>109.098</c:v>
                </c:pt>
                <c:pt idx="565" formatCode="0.000">
                  <c:v>109.539</c:v>
                </c:pt>
                <c:pt idx="566" formatCode="0.000">
                  <c:v>109.518</c:v>
                </c:pt>
                <c:pt idx="567" formatCode="0.000">
                  <c:v>109.43899999999999</c:v>
                </c:pt>
                <c:pt idx="568" formatCode="0.000">
                  <c:v>109.449</c:v>
                </c:pt>
                <c:pt idx="569" formatCode="0.000">
                  <c:v>109.149</c:v>
                </c:pt>
                <c:pt idx="570" formatCode="0.000">
                  <c:v>109.172</c:v>
                </c:pt>
                <c:pt idx="571" formatCode="0.000">
                  <c:v>108.405</c:v>
                </c:pt>
                <c:pt idx="572" formatCode="0.000">
                  <c:v>108.749</c:v>
                </c:pt>
                <c:pt idx="573" formatCode="0.000">
                  <c:v>109.533</c:v>
                </c:pt>
                <c:pt idx="574" formatCode="0.000">
                  <c:v>109.18</c:v>
                </c:pt>
                <c:pt idx="575" formatCode="0.000">
                  <c:v>109.27</c:v>
                </c:pt>
                <c:pt idx="576" formatCode="0.000">
                  <c:v>109.19199999999999</c:v>
                </c:pt>
                <c:pt idx="577" formatCode="0.000">
                  <c:v>108.395</c:v>
                </c:pt>
                <c:pt idx="578" formatCode="0.000">
                  <c:v>107.627</c:v>
                </c:pt>
                <c:pt idx="579" formatCode="0.000">
                  <c:v>107.86799999999999</c:v>
                </c:pt>
                <c:pt idx="580" formatCode="0.000">
                  <c:v>108.11499999999999</c:v>
                </c:pt>
                <c:pt idx="581" formatCode="0.000">
                  <c:v>108.673</c:v>
                </c:pt>
                <c:pt idx="582" formatCode="0.000">
                  <c:v>108.556</c:v>
                </c:pt>
                <c:pt idx="583" formatCode="0.000">
                  <c:v>108.119</c:v>
                </c:pt>
                <c:pt idx="584" formatCode="0.000">
                  <c:v>107.92</c:v>
                </c:pt>
                <c:pt idx="585" formatCode="0.000">
                  <c:v>107.81</c:v>
                </c:pt>
                <c:pt idx="586" formatCode="0.000">
                  <c:v>108.256</c:v>
                </c:pt>
                <c:pt idx="587" formatCode="0.000">
                  <c:v>108.036</c:v>
                </c:pt>
                <c:pt idx="588" formatCode="0.000">
                  <c:v>108.038</c:v>
                </c:pt>
                <c:pt idx="589">
                  <c:v>107.98</c:v>
                </c:pt>
                <c:pt idx="590">
                  <c:v>107.73</c:v>
                </c:pt>
                <c:pt idx="591">
                  <c:v>107.464</c:v>
                </c:pt>
                <c:pt idx="592">
                  <c:v>107.75</c:v>
                </c:pt>
                <c:pt idx="593">
                  <c:v>107.136</c:v>
                </c:pt>
                <c:pt idx="594">
                  <c:v>107.675</c:v>
                </c:pt>
                <c:pt idx="595">
                  <c:v>107.11199999999999</c:v>
                </c:pt>
                <c:pt idx="596">
                  <c:v>106.971</c:v>
                </c:pt>
                <c:pt idx="597">
                  <c:v>106.93600000000001</c:v>
                </c:pt>
                <c:pt idx="598">
                  <c:v>107.063</c:v>
                </c:pt>
                <c:pt idx="599">
                  <c:v>106.672</c:v>
                </c:pt>
                <c:pt idx="600">
                  <c:v>107.24</c:v>
                </c:pt>
                <c:pt idx="601">
                  <c:v>107.325</c:v>
                </c:pt>
                <c:pt idx="602">
                  <c:v>107.60899999999999</c:v>
                </c:pt>
                <c:pt idx="603">
                  <c:v>108.422</c:v>
                </c:pt>
                <c:pt idx="604">
                  <c:v>108.974</c:v>
                </c:pt>
                <c:pt idx="605">
                  <c:v>109.8</c:v>
                </c:pt>
                <c:pt idx="606">
                  <c:v>109.48099999999999</c:v>
                </c:pt>
                <c:pt idx="607">
                  <c:v>109.033</c:v>
                </c:pt>
                <c:pt idx="608">
                  <c:v>108.71899999999999</c:v>
                </c:pt>
                <c:pt idx="609">
                  <c:v>108.27500000000001</c:v>
                </c:pt>
                <c:pt idx="610">
                  <c:v>108.282</c:v>
                </c:pt>
                <c:pt idx="611">
                  <c:v>108.371</c:v>
                </c:pt>
                <c:pt idx="612">
                  <c:v>108.42400000000001</c:v>
                </c:pt>
                <c:pt idx="613">
                  <c:v>108.768</c:v>
                </c:pt>
                <c:pt idx="614">
                  <c:v>109.249</c:v>
                </c:pt>
                <c:pt idx="615">
                  <c:v>108.85599999999999</c:v>
                </c:pt>
                <c:pt idx="616">
                  <c:v>109.91200000000001</c:v>
                </c:pt>
                <c:pt idx="617">
                  <c:v>110.233</c:v>
                </c:pt>
                <c:pt idx="618">
                  <c:v>110.313</c:v>
                </c:pt>
                <c:pt idx="619">
                  <c:v>109.858</c:v>
                </c:pt>
                <c:pt idx="620">
                  <c:v>110.18899999999999</c:v>
                </c:pt>
                <c:pt idx="621">
                  <c:v>110.77413647466987</c:v>
                </c:pt>
                <c:pt idx="622">
                  <c:v>110.15214943762869</c:v>
                </c:pt>
                <c:pt idx="623">
                  <c:v>110.55105402063313</c:v>
                </c:pt>
                <c:pt idx="624">
                  <c:v>110.42036287604765</c:v>
                </c:pt>
                <c:pt idx="625">
                  <c:v>111.27245365480698</c:v>
                </c:pt>
                <c:pt idx="626">
                  <c:v>111.20720165618225</c:v>
                </c:pt>
                <c:pt idx="627">
                  <c:v>110.84280745319612</c:v>
                </c:pt>
                <c:pt idx="628">
                  <c:v>110.86244337366472</c:v>
                </c:pt>
                <c:pt idx="629">
                  <c:v>111.08284193336526</c:v>
                </c:pt>
                <c:pt idx="630">
                  <c:v>110.93122391604918</c:v>
                </c:pt>
                <c:pt idx="631">
                  <c:v>111.04736165380177</c:v>
                </c:pt>
                <c:pt idx="632">
                  <c:v>110.60576291975961</c:v>
                </c:pt>
                <c:pt idx="633">
                  <c:v>110.05916297638099</c:v>
                </c:pt>
                <c:pt idx="634">
                  <c:v>110.37167664902996</c:v>
                </c:pt>
                <c:pt idx="635">
                  <c:v>110.13470250959134</c:v>
                </c:pt>
                <c:pt idx="636">
                  <c:v>110.21616882705175</c:v>
                </c:pt>
                <c:pt idx="637">
                  <c:v>110.41062219477767</c:v>
                </c:pt>
                <c:pt idx="638">
                  <c:v>110.63118189050149</c:v>
                </c:pt>
                <c:pt idx="639">
                  <c:v>111.23685216587563</c:v>
                </c:pt>
                <c:pt idx="640">
                  <c:v>111.42500651662982</c:v>
                </c:pt>
                <c:pt idx="641">
                  <c:v>111.34372504225598</c:v>
                </c:pt>
                <c:pt idx="642">
                  <c:v>110.91942690535267</c:v>
                </c:pt>
                <c:pt idx="643">
                  <c:v>111.0966459435469</c:v>
                </c:pt>
                <c:pt idx="644">
                  <c:v>110.8545881706906</c:v>
                </c:pt>
                <c:pt idx="645">
                  <c:v>111.19732166527473</c:v>
                </c:pt>
                <c:pt idx="646">
                  <c:v>111.30015946075723</c:v>
                </c:pt>
                <c:pt idx="647">
                  <c:v>111.84519267957029</c:v>
                </c:pt>
                <c:pt idx="648">
                  <c:v>112.23433106763028</c:v>
                </c:pt>
                <c:pt idx="649">
                  <c:v>112.17397813188974</c:v>
                </c:pt>
                <c:pt idx="650">
                  <c:v>111.79723933043924</c:v>
                </c:pt>
                <c:pt idx="651">
                  <c:v>111.24476163896537</c:v>
                </c:pt>
                <c:pt idx="652">
                  <c:v>111.11439899859728</c:v>
                </c:pt>
                <c:pt idx="653">
                  <c:v>111.32985956735212</c:v>
                </c:pt>
                <c:pt idx="654">
                  <c:v>110.58035562702096</c:v>
                </c:pt>
                <c:pt idx="655">
                  <c:v>110.36778360551652</c:v>
                </c:pt>
                <c:pt idx="656">
                  <c:v>109.98179409852195</c:v>
                </c:pt>
                <c:pt idx="657">
                  <c:v>109.71955162438414</c:v>
                </c:pt>
                <c:pt idx="658">
                  <c:v>109.64265931986611</c:v>
                </c:pt>
                <c:pt idx="659">
                  <c:v>109.46430061220916</c:v>
                </c:pt>
                <c:pt idx="660">
                  <c:v>109.47579011265826</c:v>
                </c:pt>
                <c:pt idx="661">
                  <c:v>109.95474068347531</c:v>
                </c:pt>
                <c:pt idx="662">
                  <c:v>110.55300697793555</c:v>
                </c:pt>
                <c:pt idx="663">
                  <c:v>110.36973009294364</c:v>
                </c:pt>
                <c:pt idx="664">
                  <c:v>110.27248975348448</c:v>
                </c:pt>
                <c:pt idx="665">
                  <c:v>110.06690585152219</c:v>
                </c:pt>
                <c:pt idx="666">
                  <c:v>110.08433130453133</c:v>
                </c:pt>
              </c:numCache>
            </c:numRef>
          </c:val>
          <c:smooth val="0"/>
          <c:extLst>
            <c:ext xmlns:c16="http://schemas.microsoft.com/office/drawing/2014/chart" uri="{C3380CC4-5D6E-409C-BE32-E72D297353CC}">
              <c16:uniqueId val="{00000000-40A6-45E8-8A87-6F6B9B0A27B1}"/>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Sheet1!$C$2:$C$668</c:f>
              <c:numCache>
                <c:formatCode>0</c:formatCode>
                <c:ptCount val="66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101</c:v>
                </c:pt>
                <c:pt idx="17">
                  <c:v>101</c:v>
                </c:pt>
                <c:pt idx="18">
                  <c:v>101</c:v>
                </c:pt>
                <c:pt idx="19">
                  <c:v>101</c:v>
                </c:pt>
                <c:pt idx="20">
                  <c:v>101</c:v>
                </c:pt>
                <c:pt idx="21">
                  <c:v>101</c:v>
                </c:pt>
                <c:pt idx="22">
                  <c:v>101</c:v>
                </c:pt>
                <c:pt idx="23">
                  <c:v>101</c:v>
                </c:pt>
                <c:pt idx="24">
                  <c:v>101</c:v>
                </c:pt>
                <c:pt idx="25">
                  <c:v>101</c:v>
                </c:pt>
                <c:pt idx="26">
                  <c:v>101</c:v>
                </c:pt>
                <c:pt idx="27">
                  <c:v>101</c:v>
                </c:pt>
                <c:pt idx="28">
                  <c:v>101</c:v>
                </c:pt>
                <c:pt idx="29">
                  <c:v>101</c:v>
                </c:pt>
                <c:pt idx="30">
                  <c:v>101</c:v>
                </c:pt>
                <c:pt idx="31">
                  <c:v>101</c:v>
                </c:pt>
                <c:pt idx="32">
                  <c:v>101</c:v>
                </c:pt>
                <c:pt idx="33">
                  <c:v>101</c:v>
                </c:pt>
                <c:pt idx="34">
                  <c:v>101</c:v>
                </c:pt>
                <c:pt idx="35">
                  <c:v>101</c:v>
                </c:pt>
                <c:pt idx="36">
                  <c:v>101</c:v>
                </c:pt>
                <c:pt idx="37">
                  <c:v>101</c:v>
                </c:pt>
                <c:pt idx="38">
                  <c:v>101</c:v>
                </c:pt>
                <c:pt idx="39">
                  <c:v>101</c:v>
                </c:pt>
                <c:pt idx="40">
                  <c:v>101</c:v>
                </c:pt>
                <c:pt idx="41">
                  <c:v>101</c:v>
                </c:pt>
                <c:pt idx="42">
                  <c:v>101</c:v>
                </c:pt>
                <c:pt idx="43">
                  <c:v>101</c:v>
                </c:pt>
                <c:pt idx="44">
                  <c:v>101</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101</c:v>
                </c:pt>
                <c:pt idx="60">
                  <c:v>101</c:v>
                </c:pt>
                <c:pt idx="61">
                  <c:v>101</c:v>
                </c:pt>
                <c:pt idx="62">
                  <c:v>101</c:v>
                </c:pt>
                <c:pt idx="63">
                  <c:v>100</c:v>
                </c:pt>
                <c:pt idx="64">
                  <c:v>100</c:v>
                </c:pt>
                <c:pt idx="65">
                  <c:v>100</c:v>
                </c:pt>
                <c:pt idx="66">
                  <c:v>100</c:v>
                </c:pt>
                <c:pt idx="67">
                  <c:v>100</c:v>
                </c:pt>
                <c:pt idx="68">
                  <c:v>100</c:v>
                </c:pt>
                <c:pt idx="69">
                  <c:v>100</c:v>
                </c:pt>
                <c:pt idx="70">
                  <c:v>100</c:v>
                </c:pt>
                <c:pt idx="71">
                  <c:v>100</c:v>
                </c:pt>
                <c:pt idx="72">
                  <c:v>100</c:v>
                </c:pt>
                <c:pt idx="73">
                  <c:v>99</c:v>
                </c:pt>
                <c:pt idx="74">
                  <c:v>99</c:v>
                </c:pt>
                <c:pt idx="75">
                  <c:v>99</c:v>
                </c:pt>
                <c:pt idx="76">
                  <c:v>99</c:v>
                </c:pt>
                <c:pt idx="77">
                  <c:v>99</c:v>
                </c:pt>
                <c:pt idx="78">
                  <c:v>99</c:v>
                </c:pt>
                <c:pt idx="79">
                  <c:v>99</c:v>
                </c:pt>
                <c:pt idx="80">
                  <c:v>99</c:v>
                </c:pt>
                <c:pt idx="81">
                  <c:v>99</c:v>
                </c:pt>
                <c:pt idx="82">
                  <c:v>100</c:v>
                </c:pt>
                <c:pt idx="83">
                  <c:v>100</c:v>
                </c:pt>
                <c:pt idx="84">
                  <c:v>99</c:v>
                </c:pt>
                <c:pt idx="85">
                  <c:v>99</c:v>
                </c:pt>
                <c:pt idx="86">
                  <c:v>99</c:v>
                </c:pt>
                <c:pt idx="87">
                  <c:v>99</c:v>
                </c:pt>
                <c:pt idx="88">
                  <c:v>99</c:v>
                </c:pt>
                <c:pt idx="89">
                  <c:v>99</c:v>
                </c:pt>
                <c:pt idx="90">
                  <c:v>99</c:v>
                </c:pt>
                <c:pt idx="91">
                  <c:v>99</c:v>
                </c:pt>
                <c:pt idx="92">
                  <c:v>99</c:v>
                </c:pt>
                <c:pt idx="93">
                  <c:v>99</c:v>
                </c:pt>
                <c:pt idx="94">
                  <c:v>99</c:v>
                </c:pt>
                <c:pt idx="95">
                  <c:v>99</c:v>
                </c:pt>
                <c:pt idx="96">
                  <c:v>99</c:v>
                </c:pt>
                <c:pt idx="97">
                  <c:v>99</c:v>
                </c:pt>
                <c:pt idx="98">
                  <c:v>99</c:v>
                </c:pt>
                <c:pt idx="99">
                  <c:v>99</c:v>
                </c:pt>
                <c:pt idx="100">
                  <c:v>99</c:v>
                </c:pt>
                <c:pt idx="101">
                  <c:v>99</c:v>
                </c:pt>
                <c:pt idx="102">
                  <c:v>99</c:v>
                </c:pt>
                <c:pt idx="103">
                  <c:v>99</c:v>
                </c:pt>
                <c:pt idx="104">
                  <c:v>99</c:v>
                </c:pt>
                <c:pt idx="105">
                  <c:v>99</c:v>
                </c:pt>
                <c:pt idx="106">
                  <c:v>99</c:v>
                </c:pt>
                <c:pt idx="107">
                  <c:v>99</c:v>
                </c:pt>
                <c:pt idx="108">
                  <c:v>99</c:v>
                </c:pt>
                <c:pt idx="109">
                  <c:v>99</c:v>
                </c:pt>
                <c:pt idx="110">
                  <c:v>99</c:v>
                </c:pt>
                <c:pt idx="111">
                  <c:v>99</c:v>
                </c:pt>
                <c:pt idx="112">
                  <c:v>99</c:v>
                </c:pt>
                <c:pt idx="113">
                  <c:v>99</c:v>
                </c:pt>
                <c:pt idx="114">
                  <c:v>98</c:v>
                </c:pt>
                <c:pt idx="115">
                  <c:v>99</c:v>
                </c:pt>
                <c:pt idx="116">
                  <c:v>99</c:v>
                </c:pt>
                <c:pt idx="117">
                  <c:v>99</c:v>
                </c:pt>
                <c:pt idx="118">
                  <c:v>98</c:v>
                </c:pt>
                <c:pt idx="119">
                  <c:v>98</c:v>
                </c:pt>
                <c:pt idx="120">
                  <c:v>98</c:v>
                </c:pt>
                <c:pt idx="121">
                  <c:v>98</c:v>
                </c:pt>
                <c:pt idx="122">
                  <c:v>98</c:v>
                </c:pt>
                <c:pt idx="123">
                  <c:v>98</c:v>
                </c:pt>
                <c:pt idx="124">
                  <c:v>98</c:v>
                </c:pt>
                <c:pt idx="125">
                  <c:v>98</c:v>
                </c:pt>
                <c:pt idx="126">
                  <c:v>98</c:v>
                </c:pt>
                <c:pt idx="127">
                  <c:v>98</c:v>
                </c:pt>
                <c:pt idx="128">
                  <c:v>98</c:v>
                </c:pt>
                <c:pt idx="129">
                  <c:v>98</c:v>
                </c:pt>
                <c:pt idx="130">
                  <c:v>98</c:v>
                </c:pt>
                <c:pt idx="131">
                  <c:v>98</c:v>
                </c:pt>
                <c:pt idx="132">
                  <c:v>98</c:v>
                </c:pt>
                <c:pt idx="133">
                  <c:v>98</c:v>
                </c:pt>
                <c:pt idx="134">
                  <c:v>98</c:v>
                </c:pt>
                <c:pt idx="135">
                  <c:v>98</c:v>
                </c:pt>
                <c:pt idx="136">
                  <c:v>98</c:v>
                </c:pt>
                <c:pt idx="137">
                  <c:v>98</c:v>
                </c:pt>
                <c:pt idx="138">
                  <c:v>98</c:v>
                </c:pt>
                <c:pt idx="139">
                  <c:v>98</c:v>
                </c:pt>
                <c:pt idx="140">
                  <c:v>98</c:v>
                </c:pt>
                <c:pt idx="141">
                  <c:v>98</c:v>
                </c:pt>
                <c:pt idx="142">
                  <c:v>98</c:v>
                </c:pt>
                <c:pt idx="143">
                  <c:v>98</c:v>
                </c:pt>
                <c:pt idx="144">
                  <c:v>98</c:v>
                </c:pt>
                <c:pt idx="145">
                  <c:v>98</c:v>
                </c:pt>
                <c:pt idx="146">
                  <c:v>98</c:v>
                </c:pt>
                <c:pt idx="147">
                  <c:v>98</c:v>
                </c:pt>
                <c:pt idx="148">
                  <c:v>98</c:v>
                </c:pt>
                <c:pt idx="149">
                  <c:v>98</c:v>
                </c:pt>
                <c:pt idx="150">
                  <c:v>98</c:v>
                </c:pt>
                <c:pt idx="151">
                  <c:v>98</c:v>
                </c:pt>
                <c:pt idx="152">
                  <c:v>98</c:v>
                </c:pt>
                <c:pt idx="153">
                  <c:v>98</c:v>
                </c:pt>
                <c:pt idx="154">
                  <c:v>98</c:v>
                </c:pt>
                <c:pt idx="155">
                  <c:v>98</c:v>
                </c:pt>
                <c:pt idx="156">
                  <c:v>98</c:v>
                </c:pt>
                <c:pt idx="157">
                  <c:v>98</c:v>
                </c:pt>
                <c:pt idx="158">
                  <c:v>98</c:v>
                </c:pt>
                <c:pt idx="159">
                  <c:v>98</c:v>
                </c:pt>
                <c:pt idx="160">
                  <c:v>98</c:v>
                </c:pt>
                <c:pt idx="161">
                  <c:v>98</c:v>
                </c:pt>
                <c:pt idx="162">
                  <c:v>98</c:v>
                </c:pt>
                <c:pt idx="163">
                  <c:v>98</c:v>
                </c:pt>
                <c:pt idx="164">
                  <c:v>98</c:v>
                </c:pt>
                <c:pt idx="165">
                  <c:v>98</c:v>
                </c:pt>
                <c:pt idx="166">
                  <c:v>98</c:v>
                </c:pt>
                <c:pt idx="167">
                  <c:v>98</c:v>
                </c:pt>
                <c:pt idx="168">
                  <c:v>98</c:v>
                </c:pt>
                <c:pt idx="169">
                  <c:v>98</c:v>
                </c:pt>
                <c:pt idx="170">
                  <c:v>98</c:v>
                </c:pt>
                <c:pt idx="171">
                  <c:v>98</c:v>
                </c:pt>
                <c:pt idx="172">
                  <c:v>98</c:v>
                </c:pt>
                <c:pt idx="173">
                  <c:v>98</c:v>
                </c:pt>
                <c:pt idx="174">
                  <c:v>98</c:v>
                </c:pt>
                <c:pt idx="175">
                  <c:v>98</c:v>
                </c:pt>
                <c:pt idx="176">
                  <c:v>98</c:v>
                </c:pt>
                <c:pt idx="177">
                  <c:v>98</c:v>
                </c:pt>
                <c:pt idx="178">
                  <c:v>98</c:v>
                </c:pt>
                <c:pt idx="179">
                  <c:v>98</c:v>
                </c:pt>
                <c:pt idx="180">
                  <c:v>98</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98</c:v>
                </c:pt>
                <c:pt idx="195">
                  <c:v>98</c:v>
                </c:pt>
                <c:pt idx="196">
                  <c:v>98</c:v>
                </c:pt>
                <c:pt idx="197">
                  <c:v>98</c:v>
                </c:pt>
                <c:pt idx="198">
                  <c:v>98</c:v>
                </c:pt>
                <c:pt idx="199">
                  <c:v>98</c:v>
                </c:pt>
                <c:pt idx="200">
                  <c:v>98</c:v>
                </c:pt>
                <c:pt idx="201">
                  <c:v>98</c:v>
                </c:pt>
                <c:pt idx="202">
                  <c:v>98</c:v>
                </c:pt>
                <c:pt idx="203">
                  <c:v>98</c:v>
                </c:pt>
                <c:pt idx="204">
                  <c:v>98</c:v>
                </c:pt>
                <c:pt idx="205">
                  <c:v>98</c:v>
                </c:pt>
                <c:pt idx="206">
                  <c:v>98</c:v>
                </c:pt>
                <c:pt idx="207">
                  <c:v>98</c:v>
                </c:pt>
                <c:pt idx="208">
                  <c:v>98</c:v>
                </c:pt>
                <c:pt idx="209">
                  <c:v>98</c:v>
                </c:pt>
                <c:pt idx="210">
                  <c:v>99</c:v>
                </c:pt>
                <c:pt idx="211">
                  <c:v>99</c:v>
                </c:pt>
                <c:pt idx="212">
                  <c:v>99</c:v>
                </c:pt>
                <c:pt idx="213">
                  <c:v>99</c:v>
                </c:pt>
                <c:pt idx="214">
                  <c:v>99</c:v>
                </c:pt>
                <c:pt idx="215">
                  <c:v>99</c:v>
                </c:pt>
                <c:pt idx="216">
                  <c:v>99</c:v>
                </c:pt>
                <c:pt idx="217">
                  <c:v>99</c:v>
                </c:pt>
                <c:pt idx="218">
                  <c:v>98</c:v>
                </c:pt>
                <c:pt idx="219">
                  <c:v>98</c:v>
                </c:pt>
                <c:pt idx="220">
                  <c:v>98</c:v>
                </c:pt>
                <c:pt idx="221">
                  <c:v>98</c:v>
                </c:pt>
                <c:pt idx="222">
                  <c:v>98</c:v>
                </c:pt>
                <c:pt idx="223">
                  <c:v>98</c:v>
                </c:pt>
                <c:pt idx="224">
                  <c:v>98</c:v>
                </c:pt>
                <c:pt idx="225">
                  <c:v>99</c:v>
                </c:pt>
                <c:pt idx="226">
                  <c:v>99</c:v>
                </c:pt>
                <c:pt idx="227">
                  <c:v>99</c:v>
                </c:pt>
                <c:pt idx="228">
                  <c:v>99</c:v>
                </c:pt>
                <c:pt idx="229">
                  <c:v>99</c:v>
                </c:pt>
                <c:pt idx="230">
                  <c:v>99</c:v>
                </c:pt>
                <c:pt idx="231">
                  <c:v>99</c:v>
                </c:pt>
                <c:pt idx="232">
                  <c:v>99</c:v>
                </c:pt>
                <c:pt idx="233">
                  <c:v>99</c:v>
                </c:pt>
                <c:pt idx="234">
                  <c:v>99</c:v>
                </c:pt>
                <c:pt idx="235">
                  <c:v>99</c:v>
                </c:pt>
                <c:pt idx="236">
                  <c:v>99</c:v>
                </c:pt>
                <c:pt idx="237">
                  <c:v>99</c:v>
                </c:pt>
                <c:pt idx="238">
                  <c:v>99</c:v>
                </c:pt>
                <c:pt idx="239">
                  <c:v>99</c:v>
                </c:pt>
                <c:pt idx="240">
                  <c:v>99</c:v>
                </c:pt>
                <c:pt idx="241">
                  <c:v>99</c:v>
                </c:pt>
                <c:pt idx="242">
                  <c:v>99</c:v>
                </c:pt>
                <c:pt idx="243">
                  <c:v>99</c:v>
                </c:pt>
                <c:pt idx="244">
                  <c:v>99</c:v>
                </c:pt>
                <c:pt idx="245">
                  <c:v>99</c:v>
                </c:pt>
                <c:pt idx="246">
                  <c:v>99</c:v>
                </c:pt>
                <c:pt idx="247">
                  <c:v>99</c:v>
                </c:pt>
                <c:pt idx="248">
                  <c:v>99</c:v>
                </c:pt>
                <c:pt idx="249">
                  <c:v>99</c:v>
                </c:pt>
                <c:pt idx="250">
                  <c:v>99</c:v>
                </c:pt>
                <c:pt idx="251">
                  <c:v>99</c:v>
                </c:pt>
                <c:pt idx="252">
                  <c:v>99</c:v>
                </c:pt>
                <c:pt idx="253">
                  <c:v>99</c:v>
                </c:pt>
                <c:pt idx="254">
                  <c:v>99</c:v>
                </c:pt>
                <c:pt idx="255">
                  <c:v>99</c:v>
                </c:pt>
                <c:pt idx="256">
                  <c:v>99</c:v>
                </c:pt>
                <c:pt idx="257">
                  <c:v>99</c:v>
                </c:pt>
                <c:pt idx="258">
                  <c:v>99</c:v>
                </c:pt>
                <c:pt idx="259">
                  <c:v>99</c:v>
                </c:pt>
                <c:pt idx="260">
                  <c:v>99</c:v>
                </c:pt>
                <c:pt idx="261">
                  <c:v>99</c:v>
                </c:pt>
                <c:pt idx="262">
                  <c:v>99</c:v>
                </c:pt>
                <c:pt idx="263">
                  <c:v>99</c:v>
                </c:pt>
                <c:pt idx="264">
                  <c:v>99</c:v>
                </c:pt>
                <c:pt idx="265">
                  <c:v>99</c:v>
                </c:pt>
                <c:pt idx="266">
                  <c:v>99</c:v>
                </c:pt>
                <c:pt idx="267">
                  <c:v>99</c:v>
                </c:pt>
                <c:pt idx="268">
                  <c:v>99</c:v>
                </c:pt>
                <c:pt idx="269">
                  <c:v>99</c:v>
                </c:pt>
                <c:pt idx="270">
                  <c:v>99</c:v>
                </c:pt>
                <c:pt idx="271">
                  <c:v>99</c:v>
                </c:pt>
                <c:pt idx="272">
                  <c:v>99</c:v>
                </c:pt>
                <c:pt idx="273">
                  <c:v>99</c:v>
                </c:pt>
                <c:pt idx="274">
                  <c:v>99</c:v>
                </c:pt>
                <c:pt idx="275">
                  <c:v>99</c:v>
                </c:pt>
                <c:pt idx="276">
                  <c:v>99</c:v>
                </c:pt>
                <c:pt idx="277">
                  <c:v>99</c:v>
                </c:pt>
                <c:pt idx="278">
                  <c:v>99</c:v>
                </c:pt>
                <c:pt idx="279">
                  <c:v>99</c:v>
                </c:pt>
                <c:pt idx="280">
                  <c:v>99</c:v>
                </c:pt>
                <c:pt idx="281">
                  <c:v>99</c:v>
                </c:pt>
                <c:pt idx="282">
                  <c:v>99</c:v>
                </c:pt>
                <c:pt idx="283">
                  <c:v>99</c:v>
                </c:pt>
                <c:pt idx="284">
                  <c:v>99</c:v>
                </c:pt>
                <c:pt idx="285">
                  <c:v>99</c:v>
                </c:pt>
                <c:pt idx="286">
                  <c:v>99</c:v>
                </c:pt>
                <c:pt idx="287">
                  <c:v>99</c:v>
                </c:pt>
                <c:pt idx="288">
                  <c:v>99</c:v>
                </c:pt>
                <c:pt idx="289">
                  <c:v>100</c:v>
                </c:pt>
                <c:pt idx="290">
                  <c:v>100</c:v>
                </c:pt>
                <c:pt idx="291">
                  <c:v>100</c:v>
                </c:pt>
                <c:pt idx="292">
                  <c:v>101</c:v>
                </c:pt>
                <c:pt idx="293">
                  <c:v>101</c:v>
                </c:pt>
                <c:pt idx="294">
                  <c:v>101</c:v>
                </c:pt>
                <c:pt idx="295">
                  <c:v>101</c:v>
                </c:pt>
                <c:pt idx="296">
                  <c:v>102</c:v>
                </c:pt>
                <c:pt idx="297">
                  <c:v>102</c:v>
                </c:pt>
                <c:pt idx="298">
                  <c:v>102</c:v>
                </c:pt>
                <c:pt idx="299">
                  <c:v>102</c:v>
                </c:pt>
                <c:pt idx="300">
                  <c:v>102</c:v>
                </c:pt>
                <c:pt idx="301">
                  <c:v>103</c:v>
                </c:pt>
                <c:pt idx="302">
                  <c:v>103</c:v>
                </c:pt>
                <c:pt idx="303">
                  <c:v>103</c:v>
                </c:pt>
                <c:pt idx="304">
                  <c:v>104</c:v>
                </c:pt>
                <c:pt idx="305">
                  <c:v>104</c:v>
                </c:pt>
                <c:pt idx="306">
                  <c:v>104</c:v>
                </c:pt>
                <c:pt idx="307">
                  <c:v>104</c:v>
                </c:pt>
                <c:pt idx="308">
                  <c:v>104</c:v>
                </c:pt>
                <c:pt idx="309">
                  <c:v>103</c:v>
                </c:pt>
                <c:pt idx="310">
                  <c:v>103</c:v>
                </c:pt>
                <c:pt idx="311">
                  <c:v>102</c:v>
                </c:pt>
                <c:pt idx="312">
                  <c:v>100</c:v>
                </c:pt>
                <c:pt idx="313">
                  <c:v>100</c:v>
                </c:pt>
                <c:pt idx="314">
                  <c:v>100</c:v>
                </c:pt>
                <c:pt idx="315">
                  <c:v>100</c:v>
                </c:pt>
                <c:pt idx="316">
                  <c:v>100</c:v>
                </c:pt>
                <c:pt idx="317">
                  <c:v>100</c:v>
                </c:pt>
                <c:pt idx="318">
                  <c:v>99</c:v>
                </c:pt>
                <c:pt idx="319">
                  <c:v>99</c:v>
                </c:pt>
                <c:pt idx="320">
                  <c:v>99</c:v>
                </c:pt>
                <c:pt idx="321">
                  <c:v>99</c:v>
                </c:pt>
                <c:pt idx="322">
                  <c:v>99</c:v>
                </c:pt>
                <c:pt idx="323">
                  <c:v>99</c:v>
                </c:pt>
                <c:pt idx="324">
                  <c:v>99</c:v>
                </c:pt>
                <c:pt idx="325">
                  <c:v>99</c:v>
                </c:pt>
                <c:pt idx="326">
                  <c:v>99</c:v>
                </c:pt>
                <c:pt idx="327">
                  <c:v>100</c:v>
                </c:pt>
                <c:pt idx="328">
                  <c:v>100</c:v>
                </c:pt>
                <c:pt idx="329">
                  <c:v>100</c:v>
                </c:pt>
                <c:pt idx="330">
                  <c:v>100</c:v>
                </c:pt>
                <c:pt idx="331">
                  <c:v>101</c:v>
                </c:pt>
                <c:pt idx="332">
                  <c:v>101</c:v>
                </c:pt>
                <c:pt idx="333">
                  <c:v>101</c:v>
                </c:pt>
                <c:pt idx="334">
                  <c:v>101</c:v>
                </c:pt>
                <c:pt idx="335">
                  <c:v>100</c:v>
                </c:pt>
                <c:pt idx="336">
                  <c:v>100</c:v>
                </c:pt>
                <c:pt idx="337">
                  <c:v>100</c:v>
                </c:pt>
                <c:pt idx="338">
                  <c:v>99</c:v>
                </c:pt>
                <c:pt idx="339">
                  <c:v>100</c:v>
                </c:pt>
                <c:pt idx="340">
                  <c:v>100</c:v>
                </c:pt>
                <c:pt idx="341">
                  <c:v>100</c:v>
                </c:pt>
                <c:pt idx="342">
                  <c:v>100</c:v>
                </c:pt>
                <c:pt idx="343">
                  <c:v>100</c:v>
                </c:pt>
                <c:pt idx="344">
                  <c:v>100</c:v>
                </c:pt>
                <c:pt idx="345">
                  <c:v>100</c:v>
                </c:pt>
                <c:pt idx="346">
                  <c:v>100</c:v>
                </c:pt>
                <c:pt idx="347">
                  <c:v>99</c:v>
                </c:pt>
                <c:pt idx="348">
                  <c:v>99</c:v>
                </c:pt>
                <c:pt idx="349">
                  <c:v>99</c:v>
                </c:pt>
                <c:pt idx="350">
                  <c:v>99</c:v>
                </c:pt>
                <c:pt idx="351">
                  <c:v>99</c:v>
                </c:pt>
                <c:pt idx="352">
                  <c:v>99</c:v>
                </c:pt>
                <c:pt idx="353">
                  <c:v>99</c:v>
                </c:pt>
                <c:pt idx="354">
                  <c:v>99</c:v>
                </c:pt>
                <c:pt idx="355">
                  <c:v>99</c:v>
                </c:pt>
                <c:pt idx="356">
                  <c:v>99</c:v>
                </c:pt>
                <c:pt idx="357">
                  <c:v>99</c:v>
                </c:pt>
                <c:pt idx="358">
                  <c:v>99</c:v>
                </c:pt>
                <c:pt idx="359">
                  <c:v>99</c:v>
                </c:pt>
                <c:pt idx="360">
                  <c:v>99</c:v>
                </c:pt>
                <c:pt idx="361">
                  <c:v>99</c:v>
                </c:pt>
                <c:pt idx="362">
                  <c:v>99</c:v>
                </c:pt>
                <c:pt idx="363">
                  <c:v>100</c:v>
                </c:pt>
                <c:pt idx="364">
                  <c:v>100</c:v>
                </c:pt>
                <c:pt idx="365">
                  <c:v>100</c:v>
                </c:pt>
                <c:pt idx="366">
                  <c:v>100</c:v>
                </c:pt>
                <c:pt idx="367">
                  <c:v>100</c:v>
                </c:pt>
                <c:pt idx="368">
                  <c:v>100</c:v>
                </c:pt>
                <c:pt idx="369">
                  <c:v>100</c:v>
                </c:pt>
                <c:pt idx="370">
                  <c:v>100</c:v>
                </c:pt>
                <c:pt idx="371">
                  <c:v>100</c:v>
                </c:pt>
                <c:pt idx="372">
                  <c:v>100</c:v>
                </c:pt>
                <c:pt idx="373">
                  <c:v>100</c:v>
                </c:pt>
                <c:pt idx="374">
                  <c:v>100</c:v>
                </c:pt>
                <c:pt idx="375">
                  <c:v>100</c:v>
                </c:pt>
                <c:pt idx="376">
                  <c:v>100</c:v>
                </c:pt>
                <c:pt idx="377">
                  <c:v>100</c:v>
                </c:pt>
                <c:pt idx="378">
                  <c:v>100</c:v>
                </c:pt>
                <c:pt idx="379">
                  <c:v>100</c:v>
                </c:pt>
                <c:pt idx="380">
                  <c:v>100</c:v>
                </c:pt>
                <c:pt idx="381">
                  <c:v>100</c:v>
                </c:pt>
                <c:pt idx="382">
                  <c:v>100</c:v>
                </c:pt>
                <c:pt idx="383">
                  <c:v>100</c:v>
                </c:pt>
                <c:pt idx="384">
                  <c:v>100</c:v>
                </c:pt>
                <c:pt idx="385">
                  <c:v>100</c:v>
                </c:pt>
                <c:pt idx="386">
                  <c:v>100</c:v>
                </c:pt>
                <c:pt idx="387">
                  <c:v>100</c:v>
                </c:pt>
                <c:pt idx="388">
                  <c:v>100</c:v>
                </c:pt>
                <c:pt idx="389">
                  <c:v>100</c:v>
                </c:pt>
                <c:pt idx="390">
                  <c:v>100</c:v>
                </c:pt>
                <c:pt idx="391">
                  <c:v>100</c:v>
                </c:pt>
                <c:pt idx="392">
                  <c:v>100</c:v>
                </c:pt>
                <c:pt idx="393">
                  <c:v>100</c:v>
                </c:pt>
                <c:pt idx="394">
                  <c:v>100</c:v>
                </c:pt>
                <c:pt idx="395">
                  <c:v>100</c:v>
                </c:pt>
                <c:pt idx="396">
                  <c:v>100</c:v>
                </c:pt>
                <c:pt idx="397">
                  <c:v>100</c:v>
                </c:pt>
                <c:pt idx="398">
                  <c:v>100</c:v>
                </c:pt>
                <c:pt idx="399">
                  <c:v>100</c:v>
                </c:pt>
                <c:pt idx="400">
                  <c:v>100</c:v>
                </c:pt>
                <c:pt idx="401">
                  <c:v>100</c:v>
                </c:pt>
                <c:pt idx="402">
                  <c:v>100</c:v>
                </c:pt>
                <c:pt idx="403">
                  <c:v>100</c:v>
                </c:pt>
                <c:pt idx="404">
                  <c:v>100</c:v>
                </c:pt>
                <c:pt idx="405">
                  <c:v>101</c:v>
                </c:pt>
                <c:pt idx="406">
                  <c:v>101</c:v>
                </c:pt>
                <c:pt idx="407">
                  <c:v>101</c:v>
                </c:pt>
                <c:pt idx="408">
                  <c:v>101</c:v>
                </c:pt>
                <c:pt idx="409">
                  <c:v>101</c:v>
                </c:pt>
                <c:pt idx="410">
                  <c:v>101</c:v>
                </c:pt>
                <c:pt idx="411">
                  <c:v>101</c:v>
                </c:pt>
                <c:pt idx="412">
                  <c:v>101</c:v>
                </c:pt>
                <c:pt idx="413">
                  <c:v>101</c:v>
                </c:pt>
                <c:pt idx="414">
                  <c:v>101</c:v>
                </c:pt>
                <c:pt idx="415">
                  <c:v>101</c:v>
                </c:pt>
                <c:pt idx="416">
                  <c:v>101</c:v>
                </c:pt>
                <c:pt idx="417">
                  <c:v>101</c:v>
                </c:pt>
                <c:pt idx="418">
                  <c:v>100</c:v>
                </c:pt>
                <c:pt idx="419">
                  <c:v>100</c:v>
                </c:pt>
                <c:pt idx="420">
                  <c:v>100</c:v>
                </c:pt>
                <c:pt idx="421">
                  <c:v>100</c:v>
                </c:pt>
                <c:pt idx="422">
                  <c:v>100</c:v>
                </c:pt>
                <c:pt idx="423">
                  <c:v>100</c:v>
                </c:pt>
                <c:pt idx="424">
                  <c:v>100</c:v>
                </c:pt>
                <c:pt idx="425">
                  <c:v>100</c:v>
                </c:pt>
                <c:pt idx="426">
                  <c:v>100</c:v>
                </c:pt>
                <c:pt idx="427">
                  <c:v>100</c:v>
                </c:pt>
                <c:pt idx="428">
                  <c:v>101</c:v>
                </c:pt>
                <c:pt idx="429">
                  <c:v>101</c:v>
                </c:pt>
                <c:pt idx="430">
                  <c:v>101</c:v>
                </c:pt>
                <c:pt idx="431">
                  <c:v>101</c:v>
                </c:pt>
                <c:pt idx="432">
                  <c:v>101</c:v>
                </c:pt>
                <c:pt idx="433">
                  <c:v>101</c:v>
                </c:pt>
                <c:pt idx="434">
                  <c:v>101</c:v>
                </c:pt>
                <c:pt idx="435">
                  <c:v>101</c:v>
                </c:pt>
                <c:pt idx="436">
                  <c:v>101</c:v>
                </c:pt>
                <c:pt idx="437">
                  <c:v>101</c:v>
                </c:pt>
                <c:pt idx="438">
                  <c:v>101</c:v>
                </c:pt>
                <c:pt idx="439">
                  <c:v>101</c:v>
                </c:pt>
                <c:pt idx="440">
                  <c:v>102</c:v>
                </c:pt>
                <c:pt idx="441">
                  <c:v>102</c:v>
                </c:pt>
                <c:pt idx="442">
                  <c:v>102</c:v>
                </c:pt>
                <c:pt idx="443">
                  <c:v>102</c:v>
                </c:pt>
                <c:pt idx="444">
                  <c:v>102</c:v>
                </c:pt>
                <c:pt idx="445">
                  <c:v>102</c:v>
                </c:pt>
                <c:pt idx="446">
                  <c:v>102</c:v>
                </c:pt>
                <c:pt idx="447">
                  <c:v>102</c:v>
                </c:pt>
                <c:pt idx="448">
                  <c:v>102</c:v>
                </c:pt>
                <c:pt idx="449">
                  <c:v>102</c:v>
                </c:pt>
                <c:pt idx="450">
                  <c:v>102</c:v>
                </c:pt>
                <c:pt idx="451">
                  <c:v>102</c:v>
                </c:pt>
                <c:pt idx="452">
                  <c:v>102</c:v>
                </c:pt>
                <c:pt idx="453">
                  <c:v>102</c:v>
                </c:pt>
                <c:pt idx="454">
                  <c:v>102</c:v>
                </c:pt>
                <c:pt idx="455">
                  <c:v>102</c:v>
                </c:pt>
                <c:pt idx="456">
                  <c:v>102</c:v>
                </c:pt>
                <c:pt idx="457">
                  <c:v>102</c:v>
                </c:pt>
                <c:pt idx="458">
                  <c:v>102</c:v>
                </c:pt>
                <c:pt idx="459">
                  <c:v>102</c:v>
                </c:pt>
                <c:pt idx="460">
                  <c:v>102</c:v>
                </c:pt>
                <c:pt idx="461">
                  <c:v>102</c:v>
                </c:pt>
                <c:pt idx="462">
                  <c:v>103</c:v>
                </c:pt>
                <c:pt idx="463">
                  <c:v>103</c:v>
                </c:pt>
                <c:pt idx="464">
                  <c:v>103</c:v>
                </c:pt>
                <c:pt idx="465">
                  <c:v>103</c:v>
                </c:pt>
                <c:pt idx="466">
                  <c:v>104</c:v>
                </c:pt>
                <c:pt idx="467">
                  <c:v>104</c:v>
                </c:pt>
                <c:pt idx="468">
                  <c:v>106</c:v>
                </c:pt>
                <c:pt idx="469">
                  <c:v>106</c:v>
                </c:pt>
                <c:pt idx="470">
                  <c:v>105</c:v>
                </c:pt>
                <c:pt idx="471">
                  <c:v>105</c:v>
                </c:pt>
                <c:pt idx="472">
                  <c:v>105</c:v>
                </c:pt>
                <c:pt idx="473">
                  <c:v>105</c:v>
                </c:pt>
                <c:pt idx="474">
                  <c:v>105</c:v>
                </c:pt>
                <c:pt idx="475">
                  <c:v>105</c:v>
                </c:pt>
                <c:pt idx="476">
                  <c:v>106</c:v>
                </c:pt>
                <c:pt idx="477">
                  <c:v>106</c:v>
                </c:pt>
                <c:pt idx="478">
                  <c:v>106</c:v>
                </c:pt>
                <c:pt idx="479">
                  <c:v>106</c:v>
                </c:pt>
                <c:pt idx="480">
                  <c:v>107</c:v>
                </c:pt>
                <c:pt idx="481">
                  <c:v>107</c:v>
                </c:pt>
                <c:pt idx="482">
                  <c:v>108</c:v>
                </c:pt>
                <c:pt idx="483">
                  <c:v>108</c:v>
                </c:pt>
                <c:pt idx="484">
                  <c:v>108</c:v>
                </c:pt>
                <c:pt idx="485">
                  <c:v>108</c:v>
                </c:pt>
                <c:pt idx="486">
                  <c:v>108</c:v>
                </c:pt>
                <c:pt idx="487">
                  <c:v>108</c:v>
                </c:pt>
                <c:pt idx="488">
                  <c:v>108</c:v>
                </c:pt>
                <c:pt idx="489">
                  <c:v>108</c:v>
                </c:pt>
                <c:pt idx="490">
                  <c:v>108</c:v>
                </c:pt>
                <c:pt idx="491">
                  <c:v>108</c:v>
                </c:pt>
                <c:pt idx="492">
                  <c:v>108</c:v>
                </c:pt>
                <c:pt idx="493">
                  <c:v>108</c:v>
                </c:pt>
                <c:pt idx="494">
                  <c:v>108</c:v>
                </c:pt>
                <c:pt idx="495">
                  <c:v>108</c:v>
                </c:pt>
                <c:pt idx="496">
                  <c:v>108</c:v>
                </c:pt>
                <c:pt idx="497">
                  <c:v>108</c:v>
                </c:pt>
                <c:pt idx="498">
                  <c:v>109</c:v>
                </c:pt>
                <c:pt idx="499">
                  <c:v>108</c:v>
                </c:pt>
                <c:pt idx="500">
                  <c:v>108</c:v>
                </c:pt>
                <c:pt idx="501">
                  <c:v>108</c:v>
                </c:pt>
                <c:pt idx="502">
                  <c:v>107</c:v>
                </c:pt>
                <c:pt idx="503">
                  <c:v>107</c:v>
                </c:pt>
                <c:pt idx="504">
                  <c:v>107</c:v>
                </c:pt>
                <c:pt idx="505">
                  <c:v>107</c:v>
                </c:pt>
                <c:pt idx="506">
                  <c:v>107</c:v>
                </c:pt>
                <c:pt idx="507">
                  <c:v>107</c:v>
                </c:pt>
                <c:pt idx="508">
                  <c:v>107</c:v>
                </c:pt>
                <c:pt idx="509">
                  <c:v>107</c:v>
                </c:pt>
                <c:pt idx="510">
                  <c:v>107</c:v>
                </c:pt>
                <c:pt idx="511">
                  <c:v>107</c:v>
                </c:pt>
                <c:pt idx="512">
                  <c:v>107</c:v>
                </c:pt>
                <c:pt idx="513">
                  <c:v>107</c:v>
                </c:pt>
                <c:pt idx="514">
                  <c:v>108</c:v>
                </c:pt>
                <c:pt idx="515">
                  <c:v>108</c:v>
                </c:pt>
                <c:pt idx="516">
                  <c:v>108</c:v>
                </c:pt>
                <c:pt idx="517">
                  <c:v>108</c:v>
                </c:pt>
                <c:pt idx="518">
                  <c:v>108</c:v>
                </c:pt>
                <c:pt idx="519">
                  <c:v>108</c:v>
                </c:pt>
                <c:pt idx="520">
                  <c:v>108</c:v>
                </c:pt>
                <c:pt idx="521">
                  <c:v>108</c:v>
                </c:pt>
                <c:pt idx="522">
                  <c:v>108</c:v>
                </c:pt>
                <c:pt idx="523">
                  <c:v>108</c:v>
                </c:pt>
                <c:pt idx="524">
                  <c:v>108</c:v>
                </c:pt>
                <c:pt idx="525">
                  <c:v>108</c:v>
                </c:pt>
                <c:pt idx="526">
                  <c:v>109</c:v>
                </c:pt>
                <c:pt idx="527">
                  <c:v>109</c:v>
                </c:pt>
                <c:pt idx="528">
                  <c:v>109</c:v>
                </c:pt>
                <c:pt idx="529">
                  <c:v>109</c:v>
                </c:pt>
                <c:pt idx="530">
                  <c:v>109</c:v>
                </c:pt>
                <c:pt idx="531">
                  <c:v>109</c:v>
                </c:pt>
                <c:pt idx="532">
                  <c:v>109</c:v>
                </c:pt>
                <c:pt idx="533">
                  <c:v>108</c:v>
                </c:pt>
                <c:pt idx="534">
                  <c:v>108</c:v>
                </c:pt>
                <c:pt idx="535">
                  <c:v>108</c:v>
                </c:pt>
                <c:pt idx="536">
                  <c:v>109</c:v>
                </c:pt>
                <c:pt idx="537">
                  <c:v>109</c:v>
                </c:pt>
                <c:pt idx="538">
                  <c:v>109</c:v>
                </c:pt>
                <c:pt idx="539">
                  <c:v>109</c:v>
                </c:pt>
                <c:pt idx="540">
                  <c:v>109</c:v>
                </c:pt>
                <c:pt idx="541">
                  <c:v>109</c:v>
                </c:pt>
                <c:pt idx="542">
                  <c:v>109</c:v>
                </c:pt>
                <c:pt idx="543">
                  <c:v>109</c:v>
                </c:pt>
                <c:pt idx="544">
                  <c:v>109</c:v>
                </c:pt>
                <c:pt idx="545">
                  <c:v>109</c:v>
                </c:pt>
                <c:pt idx="546">
                  <c:v>109</c:v>
                </c:pt>
                <c:pt idx="547">
                  <c:v>109</c:v>
                </c:pt>
                <c:pt idx="548">
                  <c:v>109</c:v>
                </c:pt>
                <c:pt idx="549">
                  <c:v>109</c:v>
                </c:pt>
                <c:pt idx="550">
                  <c:v>110</c:v>
                </c:pt>
                <c:pt idx="551">
                  <c:v>110</c:v>
                </c:pt>
                <c:pt idx="552">
                  <c:v>110</c:v>
                </c:pt>
                <c:pt idx="553">
                  <c:v>110</c:v>
                </c:pt>
                <c:pt idx="554">
                  <c:v>110</c:v>
                </c:pt>
                <c:pt idx="555">
                  <c:v>110</c:v>
                </c:pt>
                <c:pt idx="556">
                  <c:v>111</c:v>
                </c:pt>
                <c:pt idx="557">
                  <c:v>111</c:v>
                </c:pt>
                <c:pt idx="558">
                  <c:v>110</c:v>
                </c:pt>
                <c:pt idx="559">
                  <c:v>109</c:v>
                </c:pt>
                <c:pt idx="560">
                  <c:v>107</c:v>
                </c:pt>
                <c:pt idx="561">
                  <c:v>107</c:v>
                </c:pt>
                <c:pt idx="562">
                  <c:v>108</c:v>
                </c:pt>
                <c:pt idx="563">
                  <c:v>108</c:v>
                </c:pt>
                <c:pt idx="564">
                  <c:v>108</c:v>
                </c:pt>
                <c:pt idx="565">
                  <c:v>108</c:v>
                </c:pt>
                <c:pt idx="566">
                  <c:v>108</c:v>
                </c:pt>
                <c:pt idx="567">
                  <c:v>108</c:v>
                </c:pt>
                <c:pt idx="568">
                  <c:v>108</c:v>
                </c:pt>
                <c:pt idx="569">
                  <c:v>107</c:v>
                </c:pt>
                <c:pt idx="570">
                  <c:v>107</c:v>
                </c:pt>
                <c:pt idx="571">
                  <c:v>107</c:v>
                </c:pt>
                <c:pt idx="572">
                  <c:v>107</c:v>
                </c:pt>
                <c:pt idx="573">
                  <c:v>107</c:v>
                </c:pt>
                <c:pt idx="574">
                  <c:v>107</c:v>
                </c:pt>
                <c:pt idx="575">
                  <c:v>108</c:v>
                </c:pt>
                <c:pt idx="576">
                  <c:v>108</c:v>
                </c:pt>
                <c:pt idx="577">
                  <c:v>108</c:v>
                </c:pt>
                <c:pt idx="578">
                  <c:v>108</c:v>
                </c:pt>
                <c:pt idx="579">
                  <c:v>108</c:v>
                </c:pt>
                <c:pt idx="580">
                  <c:v>108</c:v>
                </c:pt>
                <c:pt idx="581">
                  <c:v>108</c:v>
                </c:pt>
                <c:pt idx="582">
                  <c:v>108</c:v>
                </c:pt>
                <c:pt idx="583">
                  <c:v>108</c:v>
                </c:pt>
                <c:pt idx="584">
                  <c:v>108</c:v>
                </c:pt>
                <c:pt idx="585">
                  <c:v>108</c:v>
                </c:pt>
                <c:pt idx="586">
                  <c:v>107.5</c:v>
                </c:pt>
                <c:pt idx="587">
                  <c:v>108</c:v>
                </c:pt>
                <c:pt idx="588">
                  <c:v>107</c:v>
                </c:pt>
                <c:pt idx="589">
                  <c:v>107</c:v>
                </c:pt>
                <c:pt idx="590">
                  <c:v>108</c:v>
                </c:pt>
                <c:pt idx="591">
                  <c:v>107</c:v>
                </c:pt>
                <c:pt idx="592">
                  <c:v>107</c:v>
                </c:pt>
                <c:pt idx="593">
                  <c:v>107</c:v>
                </c:pt>
                <c:pt idx="594">
                  <c:v>107</c:v>
                </c:pt>
                <c:pt idx="595">
                  <c:v>107</c:v>
                </c:pt>
                <c:pt idx="596">
                  <c:v>107</c:v>
                </c:pt>
                <c:pt idx="597">
                  <c:v>107</c:v>
                </c:pt>
                <c:pt idx="598">
                  <c:v>107</c:v>
                </c:pt>
                <c:pt idx="599">
                  <c:v>107</c:v>
                </c:pt>
                <c:pt idx="600">
                  <c:v>107</c:v>
                </c:pt>
                <c:pt idx="601">
                  <c:v>107</c:v>
                </c:pt>
                <c:pt idx="602">
                  <c:v>106</c:v>
                </c:pt>
                <c:pt idx="603">
                  <c:v>106</c:v>
                </c:pt>
                <c:pt idx="604">
                  <c:v>106</c:v>
                </c:pt>
                <c:pt idx="605">
                  <c:v>106</c:v>
                </c:pt>
                <c:pt idx="606">
                  <c:v>106</c:v>
                </c:pt>
                <c:pt idx="607">
                  <c:v>106</c:v>
                </c:pt>
                <c:pt idx="608">
                  <c:v>106</c:v>
                </c:pt>
                <c:pt idx="609">
                  <c:v>105</c:v>
                </c:pt>
                <c:pt idx="610">
                  <c:v>103</c:v>
                </c:pt>
                <c:pt idx="611">
                  <c:v>103</c:v>
                </c:pt>
                <c:pt idx="612">
                  <c:v>102</c:v>
                </c:pt>
                <c:pt idx="613">
                  <c:v>102</c:v>
                </c:pt>
                <c:pt idx="614">
                  <c:v>102</c:v>
                </c:pt>
                <c:pt idx="615">
                  <c:v>102</c:v>
                </c:pt>
                <c:pt idx="616">
                  <c:v>102</c:v>
                </c:pt>
                <c:pt idx="617">
                  <c:v>102</c:v>
                </c:pt>
                <c:pt idx="618">
                  <c:v>102</c:v>
                </c:pt>
                <c:pt idx="619">
                  <c:v>102</c:v>
                </c:pt>
                <c:pt idx="620">
                  <c:v>102</c:v>
                </c:pt>
                <c:pt idx="621">
                  <c:v>101.94243792325057</c:v>
                </c:pt>
                <c:pt idx="622">
                  <c:v>102.05556788603941</c:v>
                </c:pt>
                <c:pt idx="623">
                  <c:v>102.0905861456483</c:v>
                </c:pt>
                <c:pt idx="624">
                  <c:v>102.22676745220097</c:v>
                </c:pt>
                <c:pt idx="625">
                  <c:v>102.61459495648292</c:v>
                </c:pt>
                <c:pt idx="626">
                  <c:v>102.98230683090705</c:v>
                </c:pt>
                <c:pt idx="627">
                  <c:v>103.73845806755952</c:v>
                </c:pt>
                <c:pt idx="628">
                  <c:v>104.41303001527598</c:v>
                </c:pt>
                <c:pt idx="629">
                  <c:v>104.62901824500432</c:v>
                </c:pt>
                <c:pt idx="630">
                  <c:v>104.82417309127082</c:v>
                </c:pt>
                <c:pt idx="631">
                  <c:v>104.87633739736252</c:v>
                </c:pt>
                <c:pt idx="632">
                  <c:v>104.86763974125061</c:v>
                </c:pt>
                <c:pt idx="633">
                  <c:v>104.42596415889007</c:v>
                </c:pt>
                <c:pt idx="634">
                  <c:v>104.02221125370185</c:v>
                </c:pt>
                <c:pt idx="635">
                  <c:v>103.6067105020586</c:v>
                </c:pt>
                <c:pt idx="636">
                  <c:v>103.02845619538425</c:v>
                </c:pt>
                <c:pt idx="637">
                  <c:v>102.74174283973186</c:v>
                </c:pt>
                <c:pt idx="638">
                  <c:v>102.5230769230769</c:v>
                </c:pt>
                <c:pt idx="639">
                  <c:v>102.67500304494335</c:v>
                </c:pt>
                <c:pt idx="640">
                  <c:v>102.95296057318487</c:v>
                </c:pt>
                <c:pt idx="641">
                  <c:v>103.08935268221099</c:v>
                </c:pt>
                <c:pt idx="642">
                  <c:v>102.99908363369784</c:v>
                </c:pt>
                <c:pt idx="643">
                  <c:v>102.85665480427045</c:v>
                </c:pt>
                <c:pt idx="644">
                  <c:v>102.75009141510583</c:v>
                </c:pt>
                <c:pt idx="645">
                  <c:v>102.69584991472426</c:v>
                </c:pt>
                <c:pt idx="646">
                  <c:v>102.77514528386229</c:v>
                </c:pt>
                <c:pt idx="647">
                  <c:v>102.99698623442207</c:v>
                </c:pt>
                <c:pt idx="648">
                  <c:v>103.07884815260142</c:v>
                </c:pt>
                <c:pt idx="649">
                  <c:v>103.20083246618104</c:v>
                </c:pt>
                <c:pt idx="650">
                  <c:v>103.10616438356162</c:v>
                </c:pt>
                <c:pt idx="651">
                  <c:v>103.01796407185626</c:v>
                </c:pt>
                <c:pt idx="652">
                  <c:v>102.74591695782885</c:v>
                </c:pt>
                <c:pt idx="653">
                  <c:v>102.58337727659917</c:v>
                </c:pt>
                <c:pt idx="654">
                  <c:v>102.44831986388768</c:v>
                </c:pt>
                <c:pt idx="655">
                  <c:v>102.49399177288291</c:v>
                </c:pt>
                <c:pt idx="656">
                  <c:v>102.57089552238804</c:v>
                </c:pt>
                <c:pt idx="657">
                  <c:v>102.47115072933548</c:v>
                </c:pt>
                <c:pt idx="658">
                  <c:v>102.48360821817886</c:v>
                </c:pt>
                <c:pt idx="659">
                  <c:v>102.46077180188392</c:v>
                </c:pt>
                <c:pt idx="660">
                  <c:v>102.49606873632163</c:v>
                </c:pt>
                <c:pt idx="661">
                  <c:v>102.46077180188394</c:v>
                </c:pt>
                <c:pt idx="662">
                  <c:v>102.45869626868695</c:v>
                </c:pt>
                <c:pt idx="663">
                  <c:v>102.56049638055845</c:v>
                </c:pt>
                <c:pt idx="664">
                  <c:v>102.62708734909202</c:v>
                </c:pt>
                <c:pt idx="665">
                  <c:v>102.829470602586</c:v>
                </c:pt>
                <c:pt idx="666">
                  <c:v>103.18398988147453</c:v>
                </c:pt>
              </c:numCache>
            </c:numRef>
          </c:val>
          <c:smooth val="0"/>
          <c:extLst>
            <c:ext xmlns:c16="http://schemas.microsoft.com/office/drawing/2014/chart" uri="{C3380CC4-5D6E-409C-BE32-E72D297353CC}">
              <c16:uniqueId val="{00000001-40A6-45E8-8A87-6F6B9B0A27B1}"/>
            </c:ext>
          </c:extLst>
        </c:ser>
        <c:ser>
          <c:idx val="3"/>
          <c:order val="2"/>
          <c:tx>
            <c:strRef>
              <c:f>Sheet1!$D$1</c:f>
              <c:strCache>
                <c:ptCount val="1"/>
                <c:pt idx="0">
                  <c:v>Ռուսական ռուբլի</c:v>
                </c:pt>
              </c:strCache>
            </c:strRef>
          </c:tx>
          <c:spPr>
            <a:ln w="28575" cap="rnd">
              <a:solidFill>
                <a:srgbClr val="C00000"/>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Sheet1!$D$2:$D$668</c:f>
              <c:numCache>
                <c:formatCode>0</c:formatCode>
                <c:ptCount val="667"/>
                <c:pt idx="0">
                  <c:v>100</c:v>
                </c:pt>
                <c:pt idx="1">
                  <c:v>100</c:v>
                </c:pt>
                <c:pt idx="2">
                  <c:v>100</c:v>
                </c:pt>
                <c:pt idx="3">
                  <c:v>100</c:v>
                </c:pt>
                <c:pt idx="4">
                  <c:v>100</c:v>
                </c:pt>
                <c:pt idx="5">
                  <c:v>100</c:v>
                </c:pt>
                <c:pt idx="6">
                  <c:v>99</c:v>
                </c:pt>
                <c:pt idx="7">
                  <c:v>99</c:v>
                </c:pt>
                <c:pt idx="8">
                  <c:v>99</c:v>
                </c:pt>
                <c:pt idx="9">
                  <c:v>99</c:v>
                </c:pt>
                <c:pt idx="10">
                  <c:v>99</c:v>
                </c:pt>
                <c:pt idx="11">
                  <c:v>99</c:v>
                </c:pt>
                <c:pt idx="12">
                  <c:v>98</c:v>
                </c:pt>
                <c:pt idx="13">
                  <c:v>99</c:v>
                </c:pt>
                <c:pt idx="14">
                  <c:v>99</c:v>
                </c:pt>
                <c:pt idx="15">
                  <c:v>98</c:v>
                </c:pt>
                <c:pt idx="16">
                  <c:v>97</c:v>
                </c:pt>
                <c:pt idx="17">
                  <c:v>98</c:v>
                </c:pt>
                <c:pt idx="18">
                  <c:v>98</c:v>
                </c:pt>
                <c:pt idx="19">
                  <c:v>98</c:v>
                </c:pt>
                <c:pt idx="20">
                  <c:v>98</c:v>
                </c:pt>
                <c:pt idx="21">
                  <c:v>98</c:v>
                </c:pt>
                <c:pt idx="22">
                  <c:v>98</c:v>
                </c:pt>
                <c:pt idx="23">
                  <c:v>98</c:v>
                </c:pt>
                <c:pt idx="24">
                  <c:v>98</c:v>
                </c:pt>
                <c:pt idx="25">
                  <c:v>98</c:v>
                </c:pt>
                <c:pt idx="26">
                  <c:v>100</c:v>
                </c:pt>
                <c:pt idx="27">
                  <c:v>99</c:v>
                </c:pt>
                <c:pt idx="28">
                  <c:v>99</c:v>
                </c:pt>
                <c:pt idx="29">
                  <c:v>99</c:v>
                </c:pt>
                <c:pt idx="30">
                  <c:v>98</c:v>
                </c:pt>
                <c:pt idx="31">
                  <c:v>98</c:v>
                </c:pt>
                <c:pt idx="32">
                  <c:v>98</c:v>
                </c:pt>
                <c:pt idx="33">
                  <c:v>97</c:v>
                </c:pt>
                <c:pt idx="34">
                  <c:v>98</c:v>
                </c:pt>
                <c:pt idx="35">
                  <c:v>98</c:v>
                </c:pt>
                <c:pt idx="36">
                  <c:v>98</c:v>
                </c:pt>
                <c:pt idx="37">
                  <c:v>98</c:v>
                </c:pt>
                <c:pt idx="38">
                  <c:v>98</c:v>
                </c:pt>
                <c:pt idx="39">
                  <c:v>98</c:v>
                </c:pt>
                <c:pt idx="40">
                  <c:v>98</c:v>
                </c:pt>
                <c:pt idx="41">
                  <c:v>98</c:v>
                </c:pt>
                <c:pt idx="42">
                  <c:v>98</c:v>
                </c:pt>
                <c:pt idx="43">
                  <c:v>98</c:v>
                </c:pt>
                <c:pt idx="44">
                  <c:v>98</c:v>
                </c:pt>
                <c:pt idx="45">
                  <c:v>98</c:v>
                </c:pt>
                <c:pt idx="46">
                  <c:v>97</c:v>
                </c:pt>
                <c:pt idx="47">
                  <c:v>96</c:v>
                </c:pt>
                <c:pt idx="48">
                  <c:v>96</c:v>
                </c:pt>
                <c:pt idx="49">
                  <c:v>96</c:v>
                </c:pt>
                <c:pt idx="50">
                  <c:v>95</c:v>
                </c:pt>
                <c:pt idx="51">
                  <c:v>96</c:v>
                </c:pt>
                <c:pt idx="52">
                  <c:v>96</c:v>
                </c:pt>
                <c:pt idx="53">
                  <c:v>96</c:v>
                </c:pt>
                <c:pt idx="54">
                  <c:v>97</c:v>
                </c:pt>
                <c:pt idx="55">
                  <c:v>97</c:v>
                </c:pt>
                <c:pt idx="56">
                  <c:v>96</c:v>
                </c:pt>
                <c:pt idx="57">
                  <c:v>97</c:v>
                </c:pt>
                <c:pt idx="58">
                  <c:v>98</c:v>
                </c:pt>
                <c:pt idx="59">
                  <c:v>97</c:v>
                </c:pt>
                <c:pt idx="60">
                  <c:v>97</c:v>
                </c:pt>
                <c:pt idx="61">
                  <c:v>98</c:v>
                </c:pt>
                <c:pt idx="62">
                  <c:v>98</c:v>
                </c:pt>
                <c:pt idx="63">
                  <c:v>96</c:v>
                </c:pt>
                <c:pt idx="64">
                  <c:v>96</c:v>
                </c:pt>
                <c:pt idx="65">
                  <c:v>96</c:v>
                </c:pt>
                <c:pt idx="66">
                  <c:v>96</c:v>
                </c:pt>
                <c:pt idx="67">
                  <c:v>96</c:v>
                </c:pt>
                <c:pt idx="68">
                  <c:v>96</c:v>
                </c:pt>
                <c:pt idx="69">
                  <c:v>95</c:v>
                </c:pt>
                <c:pt idx="70">
                  <c:v>95</c:v>
                </c:pt>
                <c:pt idx="71">
                  <c:v>95</c:v>
                </c:pt>
                <c:pt idx="72">
                  <c:v>95</c:v>
                </c:pt>
                <c:pt idx="73">
                  <c:v>95</c:v>
                </c:pt>
                <c:pt idx="74">
                  <c:v>97</c:v>
                </c:pt>
                <c:pt idx="75">
                  <c:v>97</c:v>
                </c:pt>
                <c:pt idx="76">
                  <c:v>96</c:v>
                </c:pt>
                <c:pt idx="77">
                  <c:v>96</c:v>
                </c:pt>
                <c:pt idx="78">
                  <c:v>97</c:v>
                </c:pt>
                <c:pt idx="79">
                  <c:v>97</c:v>
                </c:pt>
                <c:pt idx="80">
                  <c:v>97</c:v>
                </c:pt>
                <c:pt idx="81">
                  <c:v>97</c:v>
                </c:pt>
                <c:pt idx="82">
                  <c:v>97</c:v>
                </c:pt>
                <c:pt idx="83">
                  <c:v>97</c:v>
                </c:pt>
                <c:pt idx="84">
                  <c:v>97</c:v>
                </c:pt>
                <c:pt idx="85">
                  <c:v>97</c:v>
                </c:pt>
                <c:pt idx="86">
                  <c:v>97</c:v>
                </c:pt>
                <c:pt idx="87">
                  <c:v>96</c:v>
                </c:pt>
                <c:pt idx="88">
                  <c:v>96</c:v>
                </c:pt>
                <c:pt idx="89">
                  <c:v>96</c:v>
                </c:pt>
                <c:pt idx="90">
                  <c:v>96</c:v>
                </c:pt>
                <c:pt idx="91">
                  <c:v>96</c:v>
                </c:pt>
                <c:pt idx="92">
                  <c:v>96</c:v>
                </c:pt>
                <c:pt idx="93">
                  <c:v>96</c:v>
                </c:pt>
                <c:pt idx="94">
                  <c:v>96</c:v>
                </c:pt>
                <c:pt idx="95">
                  <c:v>97</c:v>
                </c:pt>
                <c:pt idx="96">
                  <c:v>97</c:v>
                </c:pt>
                <c:pt idx="97">
                  <c:v>98</c:v>
                </c:pt>
                <c:pt idx="98">
                  <c:v>97</c:v>
                </c:pt>
                <c:pt idx="99">
                  <c:v>97</c:v>
                </c:pt>
                <c:pt idx="100">
                  <c:v>97</c:v>
                </c:pt>
                <c:pt idx="101">
                  <c:v>97</c:v>
                </c:pt>
                <c:pt idx="102">
                  <c:v>97</c:v>
                </c:pt>
                <c:pt idx="103">
                  <c:v>96</c:v>
                </c:pt>
                <c:pt idx="104">
                  <c:v>96</c:v>
                </c:pt>
                <c:pt idx="105">
                  <c:v>96</c:v>
                </c:pt>
                <c:pt idx="106">
                  <c:v>96</c:v>
                </c:pt>
                <c:pt idx="107">
                  <c:v>96</c:v>
                </c:pt>
                <c:pt idx="108">
                  <c:v>96</c:v>
                </c:pt>
                <c:pt idx="109">
                  <c:v>96</c:v>
                </c:pt>
                <c:pt idx="110">
                  <c:v>95</c:v>
                </c:pt>
                <c:pt idx="111">
                  <c:v>94</c:v>
                </c:pt>
                <c:pt idx="112">
                  <c:v>94</c:v>
                </c:pt>
                <c:pt idx="113">
                  <c:v>94</c:v>
                </c:pt>
                <c:pt idx="114">
                  <c:v>93</c:v>
                </c:pt>
                <c:pt idx="115">
                  <c:v>94</c:v>
                </c:pt>
                <c:pt idx="116">
                  <c:v>94</c:v>
                </c:pt>
                <c:pt idx="117">
                  <c:v>94</c:v>
                </c:pt>
                <c:pt idx="118">
                  <c:v>94</c:v>
                </c:pt>
                <c:pt idx="119">
                  <c:v>94</c:v>
                </c:pt>
                <c:pt idx="120">
                  <c:v>95</c:v>
                </c:pt>
                <c:pt idx="121">
                  <c:v>95</c:v>
                </c:pt>
                <c:pt idx="122">
                  <c:v>95</c:v>
                </c:pt>
                <c:pt idx="123">
                  <c:v>95</c:v>
                </c:pt>
                <c:pt idx="124">
                  <c:v>95</c:v>
                </c:pt>
                <c:pt idx="125">
                  <c:v>94</c:v>
                </c:pt>
                <c:pt idx="126">
                  <c:v>94</c:v>
                </c:pt>
                <c:pt idx="127">
                  <c:v>93</c:v>
                </c:pt>
                <c:pt idx="128">
                  <c:v>94</c:v>
                </c:pt>
                <c:pt idx="129">
                  <c:v>94</c:v>
                </c:pt>
                <c:pt idx="130">
                  <c:v>94</c:v>
                </c:pt>
                <c:pt idx="131">
                  <c:v>94</c:v>
                </c:pt>
                <c:pt idx="132">
                  <c:v>94</c:v>
                </c:pt>
                <c:pt idx="133">
                  <c:v>94</c:v>
                </c:pt>
                <c:pt idx="134">
                  <c:v>94</c:v>
                </c:pt>
                <c:pt idx="135">
                  <c:v>94</c:v>
                </c:pt>
                <c:pt idx="136">
                  <c:v>94</c:v>
                </c:pt>
                <c:pt idx="137">
                  <c:v>95</c:v>
                </c:pt>
                <c:pt idx="138">
                  <c:v>94</c:v>
                </c:pt>
                <c:pt idx="139">
                  <c:v>95</c:v>
                </c:pt>
                <c:pt idx="140">
                  <c:v>95</c:v>
                </c:pt>
                <c:pt idx="141">
                  <c:v>97</c:v>
                </c:pt>
                <c:pt idx="142">
                  <c:v>97</c:v>
                </c:pt>
                <c:pt idx="143">
                  <c:v>97</c:v>
                </c:pt>
                <c:pt idx="144">
                  <c:v>97</c:v>
                </c:pt>
                <c:pt idx="145">
                  <c:v>97</c:v>
                </c:pt>
                <c:pt idx="146">
                  <c:v>98</c:v>
                </c:pt>
                <c:pt idx="147">
                  <c:v>98</c:v>
                </c:pt>
                <c:pt idx="148">
                  <c:v>98</c:v>
                </c:pt>
                <c:pt idx="149">
                  <c:v>97</c:v>
                </c:pt>
                <c:pt idx="150">
                  <c:v>99</c:v>
                </c:pt>
                <c:pt idx="151">
                  <c:v>98</c:v>
                </c:pt>
                <c:pt idx="152">
                  <c:v>100</c:v>
                </c:pt>
                <c:pt idx="153">
                  <c:v>99</c:v>
                </c:pt>
                <c:pt idx="154">
                  <c:v>99</c:v>
                </c:pt>
                <c:pt idx="155">
                  <c:v>98</c:v>
                </c:pt>
                <c:pt idx="156">
                  <c:v>98</c:v>
                </c:pt>
                <c:pt idx="157">
                  <c:v>98</c:v>
                </c:pt>
                <c:pt idx="158">
                  <c:v>99</c:v>
                </c:pt>
                <c:pt idx="159">
                  <c:v>99</c:v>
                </c:pt>
                <c:pt idx="160">
                  <c:v>99</c:v>
                </c:pt>
                <c:pt idx="161">
                  <c:v>99</c:v>
                </c:pt>
                <c:pt idx="162">
                  <c:v>99</c:v>
                </c:pt>
                <c:pt idx="163">
                  <c:v>100</c:v>
                </c:pt>
                <c:pt idx="164">
                  <c:v>99</c:v>
                </c:pt>
                <c:pt idx="165">
                  <c:v>98</c:v>
                </c:pt>
                <c:pt idx="166">
                  <c:v>98</c:v>
                </c:pt>
                <c:pt idx="167">
                  <c:v>98</c:v>
                </c:pt>
                <c:pt idx="168">
                  <c:v>98</c:v>
                </c:pt>
                <c:pt idx="169">
                  <c:v>98</c:v>
                </c:pt>
                <c:pt idx="170">
                  <c:v>97</c:v>
                </c:pt>
                <c:pt idx="171">
                  <c:v>96</c:v>
                </c:pt>
                <c:pt idx="172">
                  <c:v>96</c:v>
                </c:pt>
                <c:pt idx="173">
                  <c:v>96</c:v>
                </c:pt>
                <c:pt idx="174">
                  <c:v>96</c:v>
                </c:pt>
                <c:pt idx="175">
                  <c:v>96</c:v>
                </c:pt>
                <c:pt idx="176">
                  <c:v>95</c:v>
                </c:pt>
                <c:pt idx="177">
                  <c:v>95</c:v>
                </c:pt>
                <c:pt idx="178">
                  <c:v>95</c:v>
                </c:pt>
                <c:pt idx="179">
                  <c:v>96</c:v>
                </c:pt>
                <c:pt idx="180">
                  <c:v>96</c:v>
                </c:pt>
                <c:pt idx="181">
                  <c:v>96</c:v>
                </c:pt>
                <c:pt idx="182">
                  <c:v>97</c:v>
                </c:pt>
                <c:pt idx="183">
                  <c:v>97</c:v>
                </c:pt>
                <c:pt idx="184">
                  <c:v>97</c:v>
                </c:pt>
                <c:pt idx="185">
                  <c:v>97</c:v>
                </c:pt>
                <c:pt idx="186">
                  <c:v>97</c:v>
                </c:pt>
                <c:pt idx="187">
                  <c:v>97</c:v>
                </c:pt>
                <c:pt idx="188">
                  <c:v>97</c:v>
                </c:pt>
                <c:pt idx="189">
                  <c:v>97</c:v>
                </c:pt>
                <c:pt idx="190">
                  <c:v>97</c:v>
                </c:pt>
                <c:pt idx="191">
                  <c:v>96</c:v>
                </c:pt>
                <c:pt idx="192">
                  <c:v>96</c:v>
                </c:pt>
                <c:pt idx="193">
                  <c:v>96</c:v>
                </c:pt>
                <c:pt idx="194">
                  <c:v>96</c:v>
                </c:pt>
                <c:pt idx="195">
                  <c:v>95</c:v>
                </c:pt>
                <c:pt idx="196">
                  <c:v>95</c:v>
                </c:pt>
                <c:pt idx="197">
                  <c:v>95</c:v>
                </c:pt>
                <c:pt idx="198">
                  <c:v>95</c:v>
                </c:pt>
                <c:pt idx="199">
                  <c:v>95</c:v>
                </c:pt>
                <c:pt idx="200">
                  <c:v>95</c:v>
                </c:pt>
                <c:pt idx="201">
                  <c:v>95</c:v>
                </c:pt>
                <c:pt idx="202">
                  <c:v>95</c:v>
                </c:pt>
                <c:pt idx="203">
                  <c:v>95</c:v>
                </c:pt>
                <c:pt idx="204">
                  <c:v>95</c:v>
                </c:pt>
                <c:pt idx="205">
                  <c:v>95</c:v>
                </c:pt>
                <c:pt idx="206">
                  <c:v>95</c:v>
                </c:pt>
                <c:pt idx="207">
                  <c:v>95</c:v>
                </c:pt>
                <c:pt idx="208">
                  <c:v>94</c:v>
                </c:pt>
                <c:pt idx="209">
                  <c:v>95</c:v>
                </c:pt>
                <c:pt idx="210">
                  <c:v>95</c:v>
                </c:pt>
                <c:pt idx="211">
                  <c:v>95</c:v>
                </c:pt>
                <c:pt idx="212">
                  <c:v>95</c:v>
                </c:pt>
                <c:pt idx="213">
                  <c:v>95</c:v>
                </c:pt>
                <c:pt idx="214">
                  <c:v>96</c:v>
                </c:pt>
                <c:pt idx="215">
                  <c:v>96</c:v>
                </c:pt>
                <c:pt idx="216">
                  <c:v>95</c:v>
                </c:pt>
                <c:pt idx="217">
                  <c:v>95</c:v>
                </c:pt>
                <c:pt idx="218">
                  <c:v>95</c:v>
                </c:pt>
                <c:pt idx="219">
                  <c:v>95</c:v>
                </c:pt>
                <c:pt idx="220">
                  <c:v>95</c:v>
                </c:pt>
                <c:pt idx="221">
                  <c:v>95</c:v>
                </c:pt>
                <c:pt idx="222">
                  <c:v>95</c:v>
                </c:pt>
                <c:pt idx="223">
                  <c:v>95</c:v>
                </c:pt>
                <c:pt idx="224">
                  <c:v>95</c:v>
                </c:pt>
                <c:pt idx="225">
                  <c:v>95</c:v>
                </c:pt>
                <c:pt idx="226">
                  <c:v>95</c:v>
                </c:pt>
                <c:pt idx="227">
                  <c:v>96</c:v>
                </c:pt>
                <c:pt idx="228">
                  <c:v>96</c:v>
                </c:pt>
                <c:pt idx="229">
                  <c:v>95</c:v>
                </c:pt>
                <c:pt idx="230">
                  <c:v>95</c:v>
                </c:pt>
                <c:pt idx="231">
                  <c:v>95</c:v>
                </c:pt>
                <c:pt idx="232">
                  <c:v>95</c:v>
                </c:pt>
                <c:pt idx="233">
                  <c:v>95</c:v>
                </c:pt>
                <c:pt idx="234">
                  <c:v>95</c:v>
                </c:pt>
                <c:pt idx="235">
                  <c:v>94</c:v>
                </c:pt>
                <c:pt idx="236">
                  <c:v>93</c:v>
                </c:pt>
                <c:pt idx="237">
                  <c:v>94</c:v>
                </c:pt>
                <c:pt idx="238">
                  <c:v>93</c:v>
                </c:pt>
                <c:pt idx="239">
                  <c:v>93</c:v>
                </c:pt>
                <c:pt idx="240">
                  <c:v>93</c:v>
                </c:pt>
                <c:pt idx="241">
                  <c:v>93</c:v>
                </c:pt>
                <c:pt idx="242">
                  <c:v>93</c:v>
                </c:pt>
                <c:pt idx="243">
                  <c:v>93</c:v>
                </c:pt>
                <c:pt idx="244">
                  <c:v>92</c:v>
                </c:pt>
                <c:pt idx="245">
                  <c:v>92</c:v>
                </c:pt>
                <c:pt idx="246">
                  <c:v>92</c:v>
                </c:pt>
                <c:pt idx="247">
                  <c:v>92</c:v>
                </c:pt>
                <c:pt idx="248">
                  <c:v>91</c:v>
                </c:pt>
                <c:pt idx="249">
                  <c:v>91</c:v>
                </c:pt>
                <c:pt idx="250">
                  <c:v>91</c:v>
                </c:pt>
                <c:pt idx="251">
                  <c:v>91</c:v>
                </c:pt>
                <c:pt idx="252">
                  <c:v>92</c:v>
                </c:pt>
                <c:pt idx="253">
                  <c:v>92</c:v>
                </c:pt>
                <c:pt idx="254">
                  <c:v>92</c:v>
                </c:pt>
                <c:pt idx="255">
                  <c:v>92</c:v>
                </c:pt>
                <c:pt idx="256">
                  <c:v>92</c:v>
                </c:pt>
                <c:pt idx="257">
                  <c:v>92</c:v>
                </c:pt>
                <c:pt idx="258">
                  <c:v>92</c:v>
                </c:pt>
                <c:pt idx="259">
                  <c:v>92</c:v>
                </c:pt>
                <c:pt idx="260">
                  <c:v>93</c:v>
                </c:pt>
                <c:pt idx="261">
                  <c:v>94</c:v>
                </c:pt>
                <c:pt idx="262">
                  <c:v>94</c:v>
                </c:pt>
                <c:pt idx="263">
                  <c:v>95</c:v>
                </c:pt>
                <c:pt idx="264">
                  <c:v>94</c:v>
                </c:pt>
                <c:pt idx="265">
                  <c:v>93</c:v>
                </c:pt>
                <c:pt idx="266">
                  <c:v>94</c:v>
                </c:pt>
                <c:pt idx="267">
                  <c:v>95</c:v>
                </c:pt>
                <c:pt idx="268">
                  <c:v>95</c:v>
                </c:pt>
                <c:pt idx="269">
                  <c:v>95</c:v>
                </c:pt>
                <c:pt idx="270">
                  <c:v>94</c:v>
                </c:pt>
                <c:pt idx="271">
                  <c:v>95</c:v>
                </c:pt>
                <c:pt idx="272">
                  <c:v>95</c:v>
                </c:pt>
                <c:pt idx="273">
                  <c:v>94</c:v>
                </c:pt>
                <c:pt idx="274">
                  <c:v>95</c:v>
                </c:pt>
                <c:pt idx="275">
                  <c:v>95</c:v>
                </c:pt>
                <c:pt idx="276">
                  <c:v>95</c:v>
                </c:pt>
                <c:pt idx="277">
                  <c:v>96</c:v>
                </c:pt>
                <c:pt idx="278">
                  <c:v>96</c:v>
                </c:pt>
                <c:pt idx="279">
                  <c:v>98</c:v>
                </c:pt>
                <c:pt idx="280">
                  <c:v>98</c:v>
                </c:pt>
                <c:pt idx="281">
                  <c:v>98</c:v>
                </c:pt>
                <c:pt idx="282">
                  <c:v>101</c:v>
                </c:pt>
                <c:pt idx="283">
                  <c:v>99</c:v>
                </c:pt>
                <c:pt idx="284">
                  <c:v>99</c:v>
                </c:pt>
                <c:pt idx="285">
                  <c:v>98</c:v>
                </c:pt>
                <c:pt idx="286">
                  <c:v>99</c:v>
                </c:pt>
                <c:pt idx="287">
                  <c:v>102</c:v>
                </c:pt>
                <c:pt idx="288">
                  <c:v>110</c:v>
                </c:pt>
                <c:pt idx="289">
                  <c:v>107</c:v>
                </c:pt>
                <c:pt idx="290">
                  <c:v>107</c:v>
                </c:pt>
                <c:pt idx="291">
                  <c:v>111</c:v>
                </c:pt>
                <c:pt idx="292">
                  <c:v>108</c:v>
                </c:pt>
                <c:pt idx="293">
                  <c:v>111</c:v>
                </c:pt>
                <c:pt idx="294">
                  <c:v>112</c:v>
                </c:pt>
                <c:pt idx="295">
                  <c:v>116</c:v>
                </c:pt>
                <c:pt idx="296">
                  <c:v>119</c:v>
                </c:pt>
                <c:pt idx="297">
                  <c:v>116</c:v>
                </c:pt>
                <c:pt idx="298">
                  <c:v>120</c:v>
                </c:pt>
                <c:pt idx="299">
                  <c:v>117</c:v>
                </c:pt>
                <c:pt idx="300">
                  <c:v>116</c:v>
                </c:pt>
                <c:pt idx="301">
                  <c:v>117</c:v>
                </c:pt>
                <c:pt idx="302">
                  <c:v>116</c:v>
                </c:pt>
                <c:pt idx="303">
                  <c:v>118</c:v>
                </c:pt>
                <c:pt idx="304">
                  <c:v>116</c:v>
                </c:pt>
                <c:pt idx="305">
                  <c:v>118</c:v>
                </c:pt>
                <c:pt idx="306">
                  <c:v>117</c:v>
                </c:pt>
                <c:pt idx="307">
                  <c:v>114</c:v>
                </c:pt>
                <c:pt idx="308">
                  <c:v>114</c:v>
                </c:pt>
                <c:pt idx="309">
                  <c:v>112</c:v>
                </c:pt>
                <c:pt idx="310">
                  <c:v>113</c:v>
                </c:pt>
                <c:pt idx="311">
                  <c:v>110</c:v>
                </c:pt>
                <c:pt idx="312">
                  <c:v>110</c:v>
                </c:pt>
                <c:pt idx="313">
                  <c:v>109</c:v>
                </c:pt>
                <c:pt idx="314">
                  <c:v>110</c:v>
                </c:pt>
                <c:pt idx="315">
                  <c:v>110</c:v>
                </c:pt>
                <c:pt idx="316">
                  <c:v>111</c:v>
                </c:pt>
                <c:pt idx="317">
                  <c:v>111</c:v>
                </c:pt>
                <c:pt idx="318">
                  <c:v>114</c:v>
                </c:pt>
                <c:pt idx="319">
                  <c:v>114</c:v>
                </c:pt>
                <c:pt idx="320">
                  <c:v>112</c:v>
                </c:pt>
                <c:pt idx="321">
                  <c:v>111</c:v>
                </c:pt>
                <c:pt idx="322">
                  <c:v>110</c:v>
                </c:pt>
                <c:pt idx="323">
                  <c:v>110</c:v>
                </c:pt>
                <c:pt idx="324">
                  <c:v>109</c:v>
                </c:pt>
                <c:pt idx="325">
                  <c:v>112</c:v>
                </c:pt>
                <c:pt idx="326">
                  <c:v>110</c:v>
                </c:pt>
                <c:pt idx="327">
                  <c:v>111</c:v>
                </c:pt>
                <c:pt idx="328">
                  <c:v>110</c:v>
                </c:pt>
                <c:pt idx="329">
                  <c:v>110</c:v>
                </c:pt>
                <c:pt idx="330">
                  <c:v>110</c:v>
                </c:pt>
                <c:pt idx="331">
                  <c:v>110</c:v>
                </c:pt>
                <c:pt idx="332">
                  <c:v>109</c:v>
                </c:pt>
                <c:pt idx="333">
                  <c:v>110</c:v>
                </c:pt>
                <c:pt idx="334">
                  <c:v>109</c:v>
                </c:pt>
                <c:pt idx="335">
                  <c:v>109</c:v>
                </c:pt>
                <c:pt idx="336">
                  <c:v>108</c:v>
                </c:pt>
                <c:pt idx="337">
                  <c:v>107</c:v>
                </c:pt>
                <c:pt idx="338">
                  <c:v>106</c:v>
                </c:pt>
                <c:pt idx="339">
                  <c:v>107</c:v>
                </c:pt>
                <c:pt idx="340">
                  <c:v>107</c:v>
                </c:pt>
                <c:pt idx="341">
                  <c:v>106</c:v>
                </c:pt>
                <c:pt idx="342">
                  <c:v>106</c:v>
                </c:pt>
                <c:pt idx="343">
                  <c:v>104</c:v>
                </c:pt>
                <c:pt idx="344">
                  <c:v>102</c:v>
                </c:pt>
                <c:pt idx="345">
                  <c:v>102</c:v>
                </c:pt>
                <c:pt idx="346">
                  <c:v>103</c:v>
                </c:pt>
                <c:pt idx="347">
                  <c:v>102</c:v>
                </c:pt>
                <c:pt idx="348">
                  <c:v>102</c:v>
                </c:pt>
                <c:pt idx="349">
                  <c:v>103</c:v>
                </c:pt>
                <c:pt idx="350">
                  <c:v>103</c:v>
                </c:pt>
                <c:pt idx="351">
                  <c:v>103</c:v>
                </c:pt>
                <c:pt idx="352">
                  <c:v>104</c:v>
                </c:pt>
                <c:pt idx="353">
                  <c:v>105</c:v>
                </c:pt>
                <c:pt idx="354">
                  <c:v>104</c:v>
                </c:pt>
                <c:pt idx="355">
                  <c:v>104</c:v>
                </c:pt>
                <c:pt idx="356">
                  <c:v>103</c:v>
                </c:pt>
                <c:pt idx="357">
                  <c:v>103</c:v>
                </c:pt>
                <c:pt idx="358">
                  <c:v>103</c:v>
                </c:pt>
                <c:pt idx="359">
                  <c:v>103</c:v>
                </c:pt>
                <c:pt idx="360">
                  <c:v>103</c:v>
                </c:pt>
                <c:pt idx="361">
                  <c:v>103</c:v>
                </c:pt>
                <c:pt idx="362">
                  <c:v>103</c:v>
                </c:pt>
                <c:pt idx="363">
                  <c:v>104</c:v>
                </c:pt>
                <c:pt idx="364">
                  <c:v>106</c:v>
                </c:pt>
                <c:pt idx="365">
                  <c:v>106</c:v>
                </c:pt>
                <c:pt idx="366">
                  <c:v>105</c:v>
                </c:pt>
                <c:pt idx="367">
                  <c:v>106</c:v>
                </c:pt>
                <c:pt idx="368">
                  <c:v>107</c:v>
                </c:pt>
                <c:pt idx="369">
                  <c:v>108</c:v>
                </c:pt>
                <c:pt idx="370">
                  <c:v>106</c:v>
                </c:pt>
                <c:pt idx="371">
                  <c:v>106</c:v>
                </c:pt>
                <c:pt idx="372">
                  <c:v>106</c:v>
                </c:pt>
                <c:pt idx="373">
                  <c:v>106</c:v>
                </c:pt>
                <c:pt idx="374">
                  <c:v>106</c:v>
                </c:pt>
                <c:pt idx="375">
                  <c:v>106</c:v>
                </c:pt>
                <c:pt idx="376">
                  <c:v>106</c:v>
                </c:pt>
                <c:pt idx="377">
                  <c:v>107</c:v>
                </c:pt>
                <c:pt idx="378">
                  <c:v>107</c:v>
                </c:pt>
                <c:pt idx="379">
                  <c:v>106</c:v>
                </c:pt>
                <c:pt idx="380">
                  <c:v>106</c:v>
                </c:pt>
                <c:pt idx="381">
                  <c:v>106</c:v>
                </c:pt>
                <c:pt idx="382">
                  <c:v>106</c:v>
                </c:pt>
                <c:pt idx="383">
                  <c:v>107</c:v>
                </c:pt>
                <c:pt idx="384">
                  <c:v>108</c:v>
                </c:pt>
                <c:pt idx="385">
                  <c:v>108</c:v>
                </c:pt>
                <c:pt idx="386">
                  <c:v>110</c:v>
                </c:pt>
                <c:pt idx="387">
                  <c:v>110</c:v>
                </c:pt>
                <c:pt idx="388">
                  <c:v>110</c:v>
                </c:pt>
                <c:pt idx="389">
                  <c:v>110</c:v>
                </c:pt>
                <c:pt idx="390">
                  <c:v>109</c:v>
                </c:pt>
                <c:pt idx="391">
                  <c:v>109</c:v>
                </c:pt>
                <c:pt idx="392">
                  <c:v>110</c:v>
                </c:pt>
                <c:pt idx="393">
                  <c:v>110</c:v>
                </c:pt>
                <c:pt idx="394">
                  <c:v>109</c:v>
                </c:pt>
                <c:pt idx="395">
                  <c:v>109</c:v>
                </c:pt>
                <c:pt idx="396">
                  <c:v>110</c:v>
                </c:pt>
                <c:pt idx="397">
                  <c:v>109</c:v>
                </c:pt>
                <c:pt idx="398">
                  <c:v>109</c:v>
                </c:pt>
                <c:pt idx="399">
                  <c:v>109</c:v>
                </c:pt>
                <c:pt idx="400">
                  <c:v>109</c:v>
                </c:pt>
                <c:pt idx="401">
                  <c:v>110</c:v>
                </c:pt>
                <c:pt idx="402">
                  <c:v>111</c:v>
                </c:pt>
                <c:pt idx="403">
                  <c:v>111</c:v>
                </c:pt>
                <c:pt idx="404">
                  <c:v>111</c:v>
                </c:pt>
                <c:pt idx="405">
                  <c:v>113</c:v>
                </c:pt>
                <c:pt idx="406">
                  <c:v>112</c:v>
                </c:pt>
                <c:pt idx="407">
                  <c:v>111</c:v>
                </c:pt>
                <c:pt idx="408">
                  <c:v>110</c:v>
                </c:pt>
                <c:pt idx="409">
                  <c:v>110</c:v>
                </c:pt>
                <c:pt idx="410">
                  <c:v>110</c:v>
                </c:pt>
                <c:pt idx="411">
                  <c:v>112</c:v>
                </c:pt>
                <c:pt idx="412">
                  <c:v>112</c:v>
                </c:pt>
                <c:pt idx="413">
                  <c:v>113</c:v>
                </c:pt>
                <c:pt idx="414">
                  <c:v>114</c:v>
                </c:pt>
                <c:pt idx="415">
                  <c:v>113</c:v>
                </c:pt>
                <c:pt idx="416">
                  <c:v>112</c:v>
                </c:pt>
                <c:pt idx="417">
                  <c:v>112</c:v>
                </c:pt>
                <c:pt idx="418">
                  <c:v>112</c:v>
                </c:pt>
                <c:pt idx="419">
                  <c:v>112</c:v>
                </c:pt>
                <c:pt idx="420">
                  <c:v>111</c:v>
                </c:pt>
                <c:pt idx="421">
                  <c:v>112</c:v>
                </c:pt>
                <c:pt idx="422">
                  <c:v>112</c:v>
                </c:pt>
                <c:pt idx="423">
                  <c:v>113</c:v>
                </c:pt>
                <c:pt idx="424">
                  <c:v>114</c:v>
                </c:pt>
                <c:pt idx="425">
                  <c:v>115</c:v>
                </c:pt>
                <c:pt idx="426">
                  <c:v>115</c:v>
                </c:pt>
                <c:pt idx="427">
                  <c:v>118</c:v>
                </c:pt>
                <c:pt idx="428">
                  <c:v>118</c:v>
                </c:pt>
                <c:pt idx="429">
                  <c:v>117</c:v>
                </c:pt>
                <c:pt idx="430">
                  <c:v>115</c:v>
                </c:pt>
                <c:pt idx="431">
                  <c:v>117</c:v>
                </c:pt>
                <c:pt idx="432">
                  <c:v>117</c:v>
                </c:pt>
                <c:pt idx="433">
                  <c:v>117</c:v>
                </c:pt>
                <c:pt idx="434">
                  <c:v>117</c:v>
                </c:pt>
                <c:pt idx="435">
                  <c:v>116</c:v>
                </c:pt>
                <c:pt idx="436">
                  <c:v>115</c:v>
                </c:pt>
                <c:pt idx="437">
                  <c:v>115</c:v>
                </c:pt>
                <c:pt idx="438">
                  <c:v>115</c:v>
                </c:pt>
                <c:pt idx="439">
                  <c:v>115</c:v>
                </c:pt>
                <c:pt idx="440">
                  <c:v>116</c:v>
                </c:pt>
                <c:pt idx="441">
                  <c:v>117</c:v>
                </c:pt>
                <c:pt idx="442">
                  <c:v>116</c:v>
                </c:pt>
                <c:pt idx="443">
                  <c:v>116</c:v>
                </c:pt>
                <c:pt idx="444">
                  <c:v>115</c:v>
                </c:pt>
                <c:pt idx="445">
                  <c:v>115</c:v>
                </c:pt>
                <c:pt idx="446">
                  <c:v>114</c:v>
                </c:pt>
                <c:pt idx="447">
                  <c:v>114</c:v>
                </c:pt>
                <c:pt idx="448">
                  <c:v>114</c:v>
                </c:pt>
                <c:pt idx="449">
                  <c:v>116</c:v>
                </c:pt>
                <c:pt idx="450">
                  <c:v>118</c:v>
                </c:pt>
                <c:pt idx="451">
                  <c:v>118</c:v>
                </c:pt>
                <c:pt idx="452">
                  <c:v>120</c:v>
                </c:pt>
                <c:pt idx="453">
                  <c:v>119</c:v>
                </c:pt>
                <c:pt idx="454">
                  <c:v>118</c:v>
                </c:pt>
                <c:pt idx="455">
                  <c:v>116</c:v>
                </c:pt>
                <c:pt idx="456">
                  <c:v>116</c:v>
                </c:pt>
                <c:pt idx="457">
                  <c:v>115</c:v>
                </c:pt>
                <c:pt idx="458">
                  <c:v>114</c:v>
                </c:pt>
                <c:pt idx="459">
                  <c:v>113</c:v>
                </c:pt>
                <c:pt idx="460">
                  <c:v>115</c:v>
                </c:pt>
                <c:pt idx="461">
                  <c:v>115</c:v>
                </c:pt>
                <c:pt idx="462">
                  <c:v>115</c:v>
                </c:pt>
                <c:pt idx="463">
                  <c:v>114</c:v>
                </c:pt>
                <c:pt idx="464">
                  <c:v>113</c:v>
                </c:pt>
                <c:pt idx="465">
                  <c:v>114</c:v>
                </c:pt>
                <c:pt idx="466">
                  <c:v>114</c:v>
                </c:pt>
                <c:pt idx="467">
                  <c:v>113</c:v>
                </c:pt>
                <c:pt idx="468">
                  <c:v>113</c:v>
                </c:pt>
                <c:pt idx="469">
                  <c:v>112</c:v>
                </c:pt>
                <c:pt idx="470">
                  <c:v>113</c:v>
                </c:pt>
                <c:pt idx="471">
                  <c:v>113</c:v>
                </c:pt>
                <c:pt idx="472">
                  <c:v>114</c:v>
                </c:pt>
                <c:pt idx="473">
                  <c:v>113</c:v>
                </c:pt>
                <c:pt idx="474">
                  <c:v>113</c:v>
                </c:pt>
                <c:pt idx="475">
                  <c:v>112</c:v>
                </c:pt>
                <c:pt idx="476">
                  <c:v>111</c:v>
                </c:pt>
                <c:pt idx="477">
                  <c:v>111</c:v>
                </c:pt>
                <c:pt idx="478">
                  <c:v>109</c:v>
                </c:pt>
                <c:pt idx="479">
                  <c:v>109</c:v>
                </c:pt>
                <c:pt idx="480">
                  <c:v>110</c:v>
                </c:pt>
                <c:pt idx="481">
                  <c:v>109</c:v>
                </c:pt>
                <c:pt idx="482">
                  <c:v>109</c:v>
                </c:pt>
                <c:pt idx="483">
                  <c:v>109</c:v>
                </c:pt>
                <c:pt idx="484">
                  <c:v>109</c:v>
                </c:pt>
                <c:pt idx="485">
                  <c:v>109</c:v>
                </c:pt>
                <c:pt idx="486">
                  <c:v>110</c:v>
                </c:pt>
                <c:pt idx="487">
                  <c:v>112</c:v>
                </c:pt>
                <c:pt idx="488">
                  <c:v>113</c:v>
                </c:pt>
                <c:pt idx="489">
                  <c:v>112</c:v>
                </c:pt>
                <c:pt idx="490">
                  <c:v>111</c:v>
                </c:pt>
                <c:pt idx="491">
                  <c:v>110</c:v>
                </c:pt>
                <c:pt idx="492">
                  <c:v>110</c:v>
                </c:pt>
                <c:pt idx="493">
                  <c:v>110</c:v>
                </c:pt>
                <c:pt idx="494">
                  <c:v>111</c:v>
                </c:pt>
                <c:pt idx="495">
                  <c:v>111</c:v>
                </c:pt>
                <c:pt idx="496">
                  <c:v>111</c:v>
                </c:pt>
                <c:pt idx="497">
                  <c:v>110</c:v>
                </c:pt>
                <c:pt idx="498">
                  <c:v>110</c:v>
                </c:pt>
                <c:pt idx="499">
                  <c:v>109</c:v>
                </c:pt>
                <c:pt idx="500">
                  <c:v>109</c:v>
                </c:pt>
                <c:pt idx="501">
                  <c:v>111</c:v>
                </c:pt>
                <c:pt idx="502">
                  <c:v>110</c:v>
                </c:pt>
                <c:pt idx="503">
                  <c:v>109</c:v>
                </c:pt>
                <c:pt idx="504">
                  <c:v>110</c:v>
                </c:pt>
                <c:pt idx="505">
                  <c:v>111</c:v>
                </c:pt>
                <c:pt idx="506">
                  <c:v>112</c:v>
                </c:pt>
                <c:pt idx="507">
                  <c:v>113</c:v>
                </c:pt>
                <c:pt idx="508">
                  <c:v>112</c:v>
                </c:pt>
                <c:pt idx="509">
                  <c:v>114</c:v>
                </c:pt>
                <c:pt idx="510">
                  <c:v>113</c:v>
                </c:pt>
                <c:pt idx="511">
                  <c:v>113</c:v>
                </c:pt>
                <c:pt idx="512">
                  <c:v>113</c:v>
                </c:pt>
                <c:pt idx="513">
                  <c:v>112</c:v>
                </c:pt>
                <c:pt idx="514">
                  <c:v>112</c:v>
                </c:pt>
                <c:pt idx="515">
                  <c:v>111</c:v>
                </c:pt>
                <c:pt idx="516">
                  <c:v>110</c:v>
                </c:pt>
                <c:pt idx="517">
                  <c:v>110</c:v>
                </c:pt>
                <c:pt idx="518">
                  <c:v>110</c:v>
                </c:pt>
                <c:pt idx="519">
                  <c:v>111</c:v>
                </c:pt>
                <c:pt idx="520">
                  <c:v>109</c:v>
                </c:pt>
                <c:pt idx="521">
                  <c:v>109</c:v>
                </c:pt>
                <c:pt idx="522">
                  <c:v>110</c:v>
                </c:pt>
                <c:pt idx="523">
                  <c:v>110</c:v>
                </c:pt>
                <c:pt idx="524">
                  <c:v>110</c:v>
                </c:pt>
                <c:pt idx="525">
                  <c:v>111</c:v>
                </c:pt>
                <c:pt idx="526">
                  <c:v>111</c:v>
                </c:pt>
                <c:pt idx="527">
                  <c:v>110</c:v>
                </c:pt>
                <c:pt idx="528">
                  <c:v>110</c:v>
                </c:pt>
                <c:pt idx="529">
                  <c:v>111</c:v>
                </c:pt>
                <c:pt idx="530">
                  <c:v>110</c:v>
                </c:pt>
                <c:pt idx="531">
                  <c:v>111</c:v>
                </c:pt>
                <c:pt idx="532">
                  <c:v>110</c:v>
                </c:pt>
                <c:pt idx="533">
                  <c:v>110</c:v>
                </c:pt>
                <c:pt idx="534">
                  <c:v>111</c:v>
                </c:pt>
                <c:pt idx="535">
                  <c:v>110</c:v>
                </c:pt>
                <c:pt idx="536">
                  <c:v>110</c:v>
                </c:pt>
                <c:pt idx="537">
                  <c:v>110</c:v>
                </c:pt>
                <c:pt idx="538">
                  <c:v>110</c:v>
                </c:pt>
                <c:pt idx="539">
                  <c:v>109</c:v>
                </c:pt>
                <c:pt idx="540">
                  <c:v>109</c:v>
                </c:pt>
                <c:pt idx="541">
                  <c:v>109</c:v>
                </c:pt>
                <c:pt idx="542">
                  <c:v>110</c:v>
                </c:pt>
                <c:pt idx="543">
                  <c:v>111</c:v>
                </c:pt>
                <c:pt idx="544">
                  <c:v>111</c:v>
                </c:pt>
                <c:pt idx="545">
                  <c:v>114</c:v>
                </c:pt>
                <c:pt idx="546">
                  <c:v>113</c:v>
                </c:pt>
                <c:pt idx="547">
                  <c:v>113</c:v>
                </c:pt>
                <c:pt idx="548">
                  <c:v>113</c:v>
                </c:pt>
                <c:pt idx="549">
                  <c:v>113</c:v>
                </c:pt>
                <c:pt idx="550">
                  <c:v>113</c:v>
                </c:pt>
                <c:pt idx="551">
                  <c:v>113</c:v>
                </c:pt>
                <c:pt idx="552">
                  <c:v>113</c:v>
                </c:pt>
                <c:pt idx="553">
                  <c:v>114</c:v>
                </c:pt>
                <c:pt idx="554">
                  <c:v>114</c:v>
                </c:pt>
                <c:pt idx="555">
                  <c:v>114</c:v>
                </c:pt>
                <c:pt idx="556">
                  <c:v>116</c:v>
                </c:pt>
                <c:pt idx="557">
                  <c:v>115</c:v>
                </c:pt>
                <c:pt idx="558">
                  <c:v>115</c:v>
                </c:pt>
                <c:pt idx="559">
                  <c:v>115</c:v>
                </c:pt>
                <c:pt idx="560">
                  <c:v>115</c:v>
                </c:pt>
                <c:pt idx="561">
                  <c:v>113</c:v>
                </c:pt>
                <c:pt idx="562">
                  <c:v>114</c:v>
                </c:pt>
                <c:pt idx="563">
                  <c:v>113</c:v>
                </c:pt>
                <c:pt idx="564">
                  <c:v>113</c:v>
                </c:pt>
                <c:pt idx="565">
                  <c:v>114</c:v>
                </c:pt>
                <c:pt idx="566">
                  <c:v>115</c:v>
                </c:pt>
                <c:pt idx="567">
                  <c:v>113</c:v>
                </c:pt>
                <c:pt idx="568">
                  <c:v>112</c:v>
                </c:pt>
                <c:pt idx="569">
                  <c:v>112</c:v>
                </c:pt>
                <c:pt idx="570">
                  <c:v>112</c:v>
                </c:pt>
                <c:pt idx="571">
                  <c:v>111</c:v>
                </c:pt>
                <c:pt idx="572">
                  <c:v>111</c:v>
                </c:pt>
                <c:pt idx="573">
                  <c:v>112</c:v>
                </c:pt>
                <c:pt idx="574">
                  <c:v>113</c:v>
                </c:pt>
                <c:pt idx="575">
                  <c:v>112</c:v>
                </c:pt>
                <c:pt idx="576">
                  <c:v>111</c:v>
                </c:pt>
                <c:pt idx="577">
                  <c:v>111</c:v>
                </c:pt>
                <c:pt idx="578">
                  <c:v>110</c:v>
                </c:pt>
                <c:pt idx="579">
                  <c:v>110</c:v>
                </c:pt>
                <c:pt idx="580">
                  <c:v>110</c:v>
                </c:pt>
                <c:pt idx="581">
                  <c:v>111</c:v>
                </c:pt>
                <c:pt idx="582">
                  <c:v>111</c:v>
                </c:pt>
                <c:pt idx="583">
                  <c:v>110</c:v>
                </c:pt>
                <c:pt idx="584">
                  <c:v>110</c:v>
                </c:pt>
                <c:pt idx="585">
                  <c:v>110</c:v>
                </c:pt>
                <c:pt idx="586">
                  <c:v>110</c:v>
                </c:pt>
                <c:pt idx="587">
                  <c:v>109.79</c:v>
                </c:pt>
                <c:pt idx="588">
                  <c:v>109.29</c:v>
                </c:pt>
                <c:pt idx="589">
                  <c:v>109.62</c:v>
                </c:pt>
                <c:pt idx="590">
                  <c:v>109.49</c:v>
                </c:pt>
                <c:pt idx="591">
                  <c:v>109.45</c:v>
                </c:pt>
                <c:pt idx="592">
                  <c:v>109.62</c:v>
                </c:pt>
                <c:pt idx="593">
                  <c:v>109.62</c:v>
                </c:pt>
                <c:pt idx="594">
                  <c:v>109.06</c:v>
                </c:pt>
                <c:pt idx="595">
                  <c:v>109.18</c:v>
                </c:pt>
                <c:pt idx="596">
                  <c:v>108.57</c:v>
                </c:pt>
                <c:pt idx="597">
                  <c:v>108.37</c:v>
                </c:pt>
                <c:pt idx="598">
                  <c:v>107.57</c:v>
                </c:pt>
                <c:pt idx="599">
                  <c:v>107.65</c:v>
                </c:pt>
                <c:pt idx="600">
                  <c:v>106.77</c:v>
                </c:pt>
                <c:pt idx="601">
                  <c:v>107.78</c:v>
                </c:pt>
                <c:pt idx="602">
                  <c:v>107.06</c:v>
                </c:pt>
                <c:pt idx="603">
                  <c:v>107.19</c:v>
                </c:pt>
                <c:pt idx="604">
                  <c:v>108.09</c:v>
                </c:pt>
                <c:pt idx="605">
                  <c:v>107.55</c:v>
                </c:pt>
                <c:pt idx="606">
                  <c:v>108.83</c:v>
                </c:pt>
                <c:pt idx="607">
                  <c:v>109.1</c:v>
                </c:pt>
                <c:pt idx="608">
                  <c:v>108.26</c:v>
                </c:pt>
                <c:pt idx="609">
                  <c:v>107.69</c:v>
                </c:pt>
                <c:pt idx="610">
                  <c:v>107.57</c:v>
                </c:pt>
                <c:pt idx="611">
                  <c:v>107.49</c:v>
                </c:pt>
                <c:pt idx="612">
                  <c:v>107.95</c:v>
                </c:pt>
                <c:pt idx="613">
                  <c:v>109.02</c:v>
                </c:pt>
                <c:pt idx="614">
                  <c:v>108.69</c:v>
                </c:pt>
                <c:pt idx="615">
                  <c:v>109.91</c:v>
                </c:pt>
                <c:pt idx="616">
                  <c:v>109.44</c:v>
                </c:pt>
                <c:pt idx="617">
                  <c:v>110.67</c:v>
                </c:pt>
                <c:pt idx="618">
                  <c:v>111.88</c:v>
                </c:pt>
                <c:pt idx="619">
                  <c:v>110.79</c:v>
                </c:pt>
                <c:pt idx="620">
                  <c:v>111.32</c:v>
                </c:pt>
                <c:pt idx="621">
                  <c:v>111.49360165232541</c:v>
                </c:pt>
                <c:pt idx="622">
                  <c:v>111.84952995963985</c:v>
                </c:pt>
                <c:pt idx="623">
                  <c:v>111.43332649271042</c:v>
                </c:pt>
                <c:pt idx="624">
                  <c:v>111.84802019329409</c:v>
                </c:pt>
                <c:pt idx="625">
                  <c:v>110.99864473167771</c:v>
                </c:pt>
                <c:pt idx="626">
                  <c:v>111.43392592453128</c:v>
                </c:pt>
                <c:pt idx="627">
                  <c:v>111.95697891825503</c:v>
                </c:pt>
                <c:pt idx="628">
                  <c:v>112.43474977407615</c:v>
                </c:pt>
                <c:pt idx="629">
                  <c:v>112.36583369721166</c:v>
                </c:pt>
                <c:pt idx="630">
                  <c:v>112.52162502970512</c:v>
                </c:pt>
                <c:pt idx="631">
                  <c:v>112.37055754378588</c:v>
                </c:pt>
                <c:pt idx="632">
                  <c:v>112.74162586670441</c:v>
                </c:pt>
                <c:pt idx="633">
                  <c:v>113.27783094482623</c:v>
                </c:pt>
                <c:pt idx="634">
                  <c:v>113.29022103911764</c:v>
                </c:pt>
                <c:pt idx="635">
                  <c:v>113.43631851952244</c:v>
                </c:pt>
                <c:pt idx="636">
                  <c:v>113.58606296881167</c:v>
                </c:pt>
                <c:pt idx="637">
                  <c:v>113.28541955594442</c:v>
                </c:pt>
                <c:pt idx="638">
                  <c:v>113.37718277945616</c:v>
                </c:pt>
                <c:pt idx="639">
                  <c:v>112.79779701117064</c:v>
                </c:pt>
                <c:pt idx="640">
                  <c:v>112.44283617918336</c:v>
                </c:pt>
                <c:pt idx="641">
                  <c:v>112.09101215582614</c:v>
                </c:pt>
                <c:pt idx="642">
                  <c:v>112.92184776402125</c:v>
                </c:pt>
                <c:pt idx="643">
                  <c:v>112.56671866976399</c:v>
                </c:pt>
                <c:pt idx="644">
                  <c:v>113.16891486261132</c:v>
                </c:pt>
                <c:pt idx="645">
                  <c:v>113.13167777574495</c:v>
                </c:pt>
                <c:pt idx="646">
                  <c:v>112.62638949600387</c:v>
                </c:pt>
                <c:pt idx="647">
                  <c:v>112.24239272753867</c:v>
                </c:pt>
                <c:pt idx="648">
                  <c:v>111.72420725911159</c:v>
                </c:pt>
                <c:pt idx="649">
                  <c:v>111.57602313888442</c:v>
                </c:pt>
                <c:pt idx="650">
                  <c:v>111.75012344080623</c:v>
                </c:pt>
                <c:pt idx="651">
                  <c:v>112.37589139633282</c:v>
                </c:pt>
                <c:pt idx="652">
                  <c:v>112.07312251809689</c:v>
                </c:pt>
                <c:pt idx="653">
                  <c:v>111.62818120460889</c:v>
                </c:pt>
                <c:pt idx="654">
                  <c:v>112.65961835641728</c:v>
                </c:pt>
                <c:pt idx="655">
                  <c:v>112.72935547066311</c:v>
                </c:pt>
                <c:pt idx="656">
                  <c:v>113.15639675859035</c:v>
                </c:pt>
                <c:pt idx="657">
                  <c:v>113.56489128885475</c:v>
                </c:pt>
                <c:pt idx="658">
                  <c:v>113.70233641345959</c:v>
                </c:pt>
                <c:pt idx="659">
                  <c:v>113.9287061638091</c:v>
                </c:pt>
                <c:pt idx="660">
                  <c:v>113.51432915276759</c:v>
                </c:pt>
                <c:pt idx="661">
                  <c:v>113.070699003451</c:v>
                </c:pt>
                <c:pt idx="662">
                  <c:v>113.27860524632116</c:v>
                </c:pt>
                <c:pt idx="663">
                  <c:v>113.54170490374614</c:v>
                </c:pt>
                <c:pt idx="664">
                  <c:v>113.21746802408592</c:v>
                </c:pt>
                <c:pt idx="665">
                  <c:v>114.06954631806741</c:v>
                </c:pt>
                <c:pt idx="666">
                  <c:v>113.64853426744914</c:v>
                </c:pt>
              </c:numCache>
            </c:numRef>
          </c:val>
          <c:smooth val="0"/>
          <c:extLst>
            <c:ext xmlns:c16="http://schemas.microsoft.com/office/drawing/2014/chart" uri="{C3380CC4-5D6E-409C-BE32-E72D297353CC}">
              <c16:uniqueId val="{00000002-40A6-45E8-8A87-6F6B9B0A27B1}"/>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Sheet1!$E$2:$E$668</c:f>
              <c:numCache>
                <c:formatCode>0</c:formatCode>
                <c:ptCount val="667"/>
                <c:pt idx="0" formatCode="General">
                  <c:v>100</c:v>
                </c:pt>
                <c:pt idx="1">
                  <c:v>99</c:v>
                </c:pt>
                <c:pt idx="2">
                  <c:v>100</c:v>
                </c:pt>
                <c:pt idx="3">
                  <c:v>100</c:v>
                </c:pt>
                <c:pt idx="4">
                  <c:v>100</c:v>
                </c:pt>
                <c:pt idx="5">
                  <c:v>100</c:v>
                </c:pt>
                <c:pt idx="6">
                  <c:v>100</c:v>
                </c:pt>
                <c:pt idx="7">
                  <c:v>100</c:v>
                </c:pt>
                <c:pt idx="8">
                  <c:v>101</c:v>
                </c:pt>
                <c:pt idx="9">
                  <c:v>101</c:v>
                </c:pt>
                <c:pt idx="10">
                  <c:v>101</c:v>
                </c:pt>
                <c:pt idx="11">
                  <c:v>100</c:v>
                </c:pt>
                <c:pt idx="12">
                  <c:v>101</c:v>
                </c:pt>
                <c:pt idx="13">
                  <c:v>100</c:v>
                </c:pt>
                <c:pt idx="14">
                  <c:v>100</c:v>
                </c:pt>
                <c:pt idx="15">
                  <c:v>100</c:v>
                </c:pt>
                <c:pt idx="16">
                  <c:v>100</c:v>
                </c:pt>
                <c:pt idx="17">
                  <c:v>100</c:v>
                </c:pt>
                <c:pt idx="18">
                  <c:v>100</c:v>
                </c:pt>
                <c:pt idx="19">
                  <c:v>100</c:v>
                </c:pt>
                <c:pt idx="20">
                  <c:v>101</c:v>
                </c:pt>
                <c:pt idx="21">
                  <c:v>101</c:v>
                </c:pt>
                <c:pt idx="22">
                  <c:v>101</c:v>
                </c:pt>
                <c:pt idx="23">
                  <c:v>101</c:v>
                </c:pt>
                <c:pt idx="24">
                  <c:v>101</c:v>
                </c:pt>
                <c:pt idx="25">
                  <c:v>102</c:v>
                </c:pt>
                <c:pt idx="26">
                  <c:v>101</c:v>
                </c:pt>
                <c:pt idx="27">
                  <c:v>101</c:v>
                </c:pt>
                <c:pt idx="28">
                  <c:v>101</c:v>
                </c:pt>
                <c:pt idx="29">
                  <c:v>101</c:v>
                </c:pt>
                <c:pt idx="30">
                  <c:v>101</c:v>
                </c:pt>
                <c:pt idx="31">
                  <c:v>101</c:v>
                </c:pt>
                <c:pt idx="32">
                  <c:v>101</c:v>
                </c:pt>
                <c:pt idx="33">
                  <c:v>101</c:v>
                </c:pt>
                <c:pt idx="34">
                  <c:v>100</c:v>
                </c:pt>
                <c:pt idx="35">
                  <c:v>101</c:v>
                </c:pt>
                <c:pt idx="36">
                  <c:v>101</c:v>
                </c:pt>
                <c:pt idx="37">
                  <c:v>101</c:v>
                </c:pt>
                <c:pt idx="38">
                  <c:v>101</c:v>
                </c:pt>
                <c:pt idx="39">
                  <c:v>101</c:v>
                </c:pt>
                <c:pt idx="40">
                  <c:v>101</c:v>
                </c:pt>
                <c:pt idx="41">
                  <c:v>102</c:v>
                </c:pt>
                <c:pt idx="42">
                  <c:v>102</c:v>
                </c:pt>
                <c:pt idx="43">
                  <c:v>101</c:v>
                </c:pt>
                <c:pt idx="44">
                  <c:v>101</c:v>
                </c:pt>
                <c:pt idx="45">
                  <c:v>101</c:v>
                </c:pt>
                <c:pt idx="46">
                  <c:v>101</c:v>
                </c:pt>
                <c:pt idx="47">
                  <c:v>101</c:v>
                </c:pt>
                <c:pt idx="48">
                  <c:v>100</c:v>
                </c:pt>
                <c:pt idx="49">
                  <c:v>100</c:v>
                </c:pt>
                <c:pt idx="50">
                  <c:v>101</c:v>
                </c:pt>
                <c:pt idx="51">
                  <c:v>101</c:v>
                </c:pt>
                <c:pt idx="52">
                  <c:v>101</c:v>
                </c:pt>
                <c:pt idx="53">
                  <c:v>101</c:v>
                </c:pt>
                <c:pt idx="54">
                  <c:v>101</c:v>
                </c:pt>
                <c:pt idx="55">
                  <c:v>101</c:v>
                </c:pt>
                <c:pt idx="56">
                  <c:v>101</c:v>
                </c:pt>
                <c:pt idx="57">
                  <c:v>101</c:v>
                </c:pt>
                <c:pt idx="58">
                  <c:v>102</c:v>
                </c:pt>
                <c:pt idx="59">
                  <c:v>101</c:v>
                </c:pt>
                <c:pt idx="60">
                  <c:v>102</c:v>
                </c:pt>
                <c:pt idx="61">
                  <c:v>102</c:v>
                </c:pt>
                <c:pt idx="62">
                  <c:v>101</c:v>
                </c:pt>
                <c:pt idx="63">
                  <c:v>101</c:v>
                </c:pt>
                <c:pt idx="64">
                  <c:v>101</c:v>
                </c:pt>
                <c:pt idx="65">
                  <c:v>101</c:v>
                </c:pt>
                <c:pt idx="66">
                  <c:v>101</c:v>
                </c:pt>
                <c:pt idx="67">
                  <c:v>101</c:v>
                </c:pt>
                <c:pt idx="68">
                  <c:v>101</c:v>
                </c:pt>
                <c:pt idx="69">
                  <c:v>101</c:v>
                </c:pt>
                <c:pt idx="70">
                  <c:v>102</c:v>
                </c:pt>
                <c:pt idx="71">
                  <c:v>102</c:v>
                </c:pt>
                <c:pt idx="72">
                  <c:v>102</c:v>
                </c:pt>
                <c:pt idx="73">
                  <c:v>102</c:v>
                </c:pt>
                <c:pt idx="74">
                  <c:v>103</c:v>
                </c:pt>
                <c:pt idx="75">
                  <c:v>102</c:v>
                </c:pt>
                <c:pt idx="76">
                  <c:v>102</c:v>
                </c:pt>
                <c:pt idx="77">
                  <c:v>102</c:v>
                </c:pt>
                <c:pt idx="78">
                  <c:v>102</c:v>
                </c:pt>
                <c:pt idx="79">
                  <c:v>102</c:v>
                </c:pt>
                <c:pt idx="80">
                  <c:v>102</c:v>
                </c:pt>
                <c:pt idx="81">
                  <c:v>102</c:v>
                </c:pt>
                <c:pt idx="82">
                  <c:v>102</c:v>
                </c:pt>
                <c:pt idx="83">
                  <c:v>102</c:v>
                </c:pt>
                <c:pt idx="84">
                  <c:v>102</c:v>
                </c:pt>
                <c:pt idx="85">
                  <c:v>102</c:v>
                </c:pt>
                <c:pt idx="86">
                  <c:v>102</c:v>
                </c:pt>
                <c:pt idx="87">
                  <c:v>102</c:v>
                </c:pt>
                <c:pt idx="88">
                  <c:v>102</c:v>
                </c:pt>
                <c:pt idx="89">
                  <c:v>102</c:v>
                </c:pt>
                <c:pt idx="90">
                  <c:v>103</c:v>
                </c:pt>
                <c:pt idx="91">
                  <c:v>103</c:v>
                </c:pt>
                <c:pt idx="92">
                  <c:v>102</c:v>
                </c:pt>
                <c:pt idx="93">
                  <c:v>102</c:v>
                </c:pt>
                <c:pt idx="94">
                  <c:v>102</c:v>
                </c:pt>
                <c:pt idx="95">
                  <c:v>103</c:v>
                </c:pt>
                <c:pt idx="96">
                  <c:v>103</c:v>
                </c:pt>
                <c:pt idx="97">
                  <c:v>102</c:v>
                </c:pt>
                <c:pt idx="98">
                  <c:v>102</c:v>
                </c:pt>
                <c:pt idx="99">
                  <c:v>102</c:v>
                </c:pt>
                <c:pt idx="100">
                  <c:v>102</c:v>
                </c:pt>
                <c:pt idx="101">
                  <c:v>102</c:v>
                </c:pt>
                <c:pt idx="102">
                  <c:v>101</c:v>
                </c:pt>
                <c:pt idx="103">
                  <c:v>101</c:v>
                </c:pt>
                <c:pt idx="104">
                  <c:v>101</c:v>
                </c:pt>
                <c:pt idx="105">
                  <c:v>102</c:v>
                </c:pt>
                <c:pt idx="106">
                  <c:v>102</c:v>
                </c:pt>
                <c:pt idx="107">
                  <c:v>102</c:v>
                </c:pt>
                <c:pt idx="108">
                  <c:v>102</c:v>
                </c:pt>
                <c:pt idx="109">
                  <c:v>102</c:v>
                </c:pt>
                <c:pt idx="110">
                  <c:v>101</c:v>
                </c:pt>
                <c:pt idx="111">
                  <c:v>101</c:v>
                </c:pt>
                <c:pt idx="112">
                  <c:v>100</c:v>
                </c:pt>
                <c:pt idx="113">
                  <c:v>100</c:v>
                </c:pt>
                <c:pt idx="114">
                  <c:v>100</c:v>
                </c:pt>
                <c:pt idx="115">
                  <c:v>100</c:v>
                </c:pt>
                <c:pt idx="116">
                  <c:v>100</c:v>
                </c:pt>
                <c:pt idx="117">
                  <c:v>100</c:v>
                </c:pt>
                <c:pt idx="118">
                  <c:v>101</c:v>
                </c:pt>
                <c:pt idx="119">
                  <c:v>101</c:v>
                </c:pt>
                <c:pt idx="120">
                  <c:v>101</c:v>
                </c:pt>
                <c:pt idx="121">
                  <c:v>101</c:v>
                </c:pt>
                <c:pt idx="122">
                  <c:v>102</c:v>
                </c:pt>
                <c:pt idx="123">
                  <c:v>102</c:v>
                </c:pt>
                <c:pt idx="124">
                  <c:v>101</c:v>
                </c:pt>
                <c:pt idx="125">
                  <c:v>101</c:v>
                </c:pt>
                <c:pt idx="126">
                  <c:v>101</c:v>
                </c:pt>
                <c:pt idx="127">
                  <c:v>101</c:v>
                </c:pt>
                <c:pt idx="128">
                  <c:v>102</c:v>
                </c:pt>
                <c:pt idx="129">
                  <c:v>101</c:v>
                </c:pt>
                <c:pt idx="130">
                  <c:v>101</c:v>
                </c:pt>
                <c:pt idx="131">
                  <c:v>101</c:v>
                </c:pt>
                <c:pt idx="132">
                  <c:v>102</c:v>
                </c:pt>
                <c:pt idx="133">
                  <c:v>102</c:v>
                </c:pt>
                <c:pt idx="134">
                  <c:v>102</c:v>
                </c:pt>
                <c:pt idx="135">
                  <c:v>102</c:v>
                </c:pt>
                <c:pt idx="136">
                  <c:v>102</c:v>
                </c:pt>
                <c:pt idx="137">
                  <c:v>102</c:v>
                </c:pt>
                <c:pt idx="138">
                  <c:v>102</c:v>
                </c:pt>
                <c:pt idx="139">
                  <c:v>103</c:v>
                </c:pt>
                <c:pt idx="140">
                  <c:v>103</c:v>
                </c:pt>
                <c:pt idx="141">
                  <c:v>102</c:v>
                </c:pt>
                <c:pt idx="142">
                  <c:v>102</c:v>
                </c:pt>
                <c:pt idx="143">
                  <c:v>102</c:v>
                </c:pt>
                <c:pt idx="144">
                  <c:v>102</c:v>
                </c:pt>
                <c:pt idx="145">
                  <c:v>102</c:v>
                </c:pt>
                <c:pt idx="146">
                  <c:v>102</c:v>
                </c:pt>
                <c:pt idx="147">
                  <c:v>102</c:v>
                </c:pt>
                <c:pt idx="148">
                  <c:v>102</c:v>
                </c:pt>
                <c:pt idx="149">
                  <c:v>102</c:v>
                </c:pt>
                <c:pt idx="150">
                  <c:v>103</c:v>
                </c:pt>
                <c:pt idx="151">
                  <c:v>103</c:v>
                </c:pt>
                <c:pt idx="152">
                  <c:v>103</c:v>
                </c:pt>
                <c:pt idx="153">
                  <c:v>103</c:v>
                </c:pt>
                <c:pt idx="154">
                  <c:v>103</c:v>
                </c:pt>
                <c:pt idx="155">
                  <c:v>103</c:v>
                </c:pt>
                <c:pt idx="156">
                  <c:v>102</c:v>
                </c:pt>
                <c:pt idx="157">
                  <c:v>103</c:v>
                </c:pt>
                <c:pt idx="158">
                  <c:v>103</c:v>
                </c:pt>
                <c:pt idx="159">
                  <c:v>103</c:v>
                </c:pt>
                <c:pt idx="160">
                  <c:v>103</c:v>
                </c:pt>
                <c:pt idx="161">
                  <c:v>104</c:v>
                </c:pt>
                <c:pt idx="162">
                  <c:v>104</c:v>
                </c:pt>
                <c:pt idx="163">
                  <c:v>104</c:v>
                </c:pt>
                <c:pt idx="164">
                  <c:v>103</c:v>
                </c:pt>
                <c:pt idx="165">
                  <c:v>103</c:v>
                </c:pt>
                <c:pt idx="166">
                  <c:v>103</c:v>
                </c:pt>
                <c:pt idx="167">
                  <c:v>103</c:v>
                </c:pt>
                <c:pt idx="168">
                  <c:v>103</c:v>
                </c:pt>
                <c:pt idx="169">
                  <c:v>103</c:v>
                </c:pt>
                <c:pt idx="170">
                  <c:v>103</c:v>
                </c:pt>
                <c:pt idx="171">
                  <c:v>103</c:v>
                </c:pt>
                <c:pt idx="172">
                  <c:v>103</c:v>
                </c:pt>
                <c:pt idx="173">
                  <c:v>102</c:v>
                </c:pt>
                <c:pt idx="174">
                  <c:v>103</c:v>
                </c:pt>
                <c:pt idx="175">
                  <c:v>102</c:v>
                </c:pt>
                <c:pt idx="176">
                  <c:v>103</c:v>
                </c:pt>
                <c:pt idx="177">
                  <c:v>103</c:v>
                </c:pt>
                <c:pt idx="178">
                  <c:v>103</c:v>
                </c:pt>
                <c:pt idx="179">
                  <c:v>103</c:v>
                </c:pt>
                <c:pt idx="180">
                  <c:v>103</c:v>
                </c:pt>
                <c:pt idx="181">
                  <c:v>103</c:v>
                </c:pt>
                <c:pt idx="182">
                  <c:v>104</c:v>
                </c:pt>
                <c:pt idx="183">
                  <c:v>103</c:v>
                </c:pt>
                <c:pt idx="184">
                  <c:v>103</c:v>
                </c:pt>
                <c:pt idx="185">
                  <c:v>103</c:v>
                </c:pt>
                <c:pt idx="186">
                  <c:v>103</c:v>
                </c:pt>
                <c:pt idx="187">
                  <c:v>103</c:v>
                </c:pt>
                <c:pt idx="188">
                  <c:v>104</c:v>
                </c:pt>
                <c:pt idx="189">
                  <c:v>103</c:v>
                </c:pt>
                <c:pt idx="190">
                  <c:v>103</c:v>
                </c:pt>
                <c:pt idx="191">
                  <c:v>103</c:v>
                </c:pt>
                <c:pt idx="192">
                  <c:v>103</c:v>
                </c:pt>
                <c:pt idx="193">
                  <c:v>103</c:v>
                </c:pt>
                <c:pt idx="194">
                  <c:v>102</c:v>
                </c:pt>
                <c:pt idx="195">
                  <c:v>102</c:v>
                </c:pt>
                <c:pt idx="196">
                  <c:v>102</c:v>
                </c:pt>
                <c:pt idx="197">
                  <c:v>102</c:v>
                </c:pt>
                <c:pt idx="198">
                  <c:v>102</c:v>
                </c:pt>
                <c:pt idx="199">
                  <c:v>102</c:v>
                </c:pt>
                <c:pt idx="200">
                  <c:v>102</c:v>
                </c:pt>
                <c:pt idx="201">
                  <c:v>102</c:v>
                </c:pt>
                <c:pt idx="202">
                  <c:v>102</c:v>
                </c:pt>
                <c:pt idx="203">
                  <c:v>102</c:v>
                </c:pt>
                <c:pt idx="204">
                  <c:v>102</c:v>
                </c:pt>
                <c:pt idx="205">
                  <c:v>102</c:v>
                </c:pt>
                <c:pt idx="206">
                  <c:v>102</c:v>
                </c:pt>
                <c:pt idx="207">
                  <c:v>102</c:v>
                </c:pt>
                <c:pt idx="208">
                  <c:v>102</c:v>
                </c:pt>
                <c:pt idx="209">
                  <c:v>102</c:v>
                </c:pt>
                <c:pt idx="210">
                  <c:v>103</c:v>
                </c:pt>
                <c:pt idx="211">
                  <c:v>103</c:v>
                </c:pt>
                <c:pt idx="212">
                  <c:v>103</c:v>
                </c:pt>
                <c:pt idx="213">
                  <c:v>103</c:v>
                </c:pt>
                <c:pt idx="214">
                  <c:v>103</c:v>
                </c:pt>
                <c:pt idx="215">
                  <c:v>103</c:v>
                </c:pt>
                <c:pt idx="216">
                  <c:v>103</c:v>
                </c:pt>
                <c:pt idx="217">
                  <c:v>102</c:v>
                </c:pt>
                <c:pt idx="218">
                  <c:v>102</c:v>
                </c:pt>
                <c:pt idx="219">
                  <c:v>102</c:v>
                </c:pt>
                <c:pt idx="220">
                  <c:v>103</c:v>
                </c:pt>
                <c:pt idx="221">
                  <c:v>103</c:v>
                </c:pt>
                <c:pt idx="222">
                  <c:v>103</c:v>
                </c:pt>
                <c:pt idx="223">
                  <c:v>103</c:v>
                </c:pt>
                <c:pt idx="224">
                  <c:v>103</c:v>
                </c:pt>
                <c:pt idx="225">
                  <c:v>103</c:v>
                </c:pt>
                <c:pt idx="226">
                  <c:v>103</c:v>
                </c:pt>
                <c:pt idx="227">
                  <c:v>102</c:v>
                </c:pt>
                <c:pt idx="228">
                  <c:v>102</c:v>
                </c:pt>
                <c:pt idx="229">
                  <c:v>102</c:v>
                </c:pt>
                <c:pt idx="230">
                  <c:v>102</c:v>
                </c:pt>
                <c:pt idx="231">
                  <c:v>102</c:v>
                </c:pt>
                <c:pt idx="232">
                  <c:v>102</c:v>
                </c:pt>
                <c:pt idx="233">
                  <c:v>102</c:v>
                </c:pt>
                <c:pt idx="234">
                  <c:v>102</c:v>
                </c:pt>
                <c:pt idx="235">
                  <c:v>102</c:v>
                </c:pt>
                <c:pt idx="236">
                  <c:v>102</c:v>
                </c:pt>
                <c:pt idx="237">
                  <c:v>102</c:v>
                </c:pt>
                <c:pt idx="238">
                  <c:v>101</c:v>
                </c:pt>
                <c:pt idx="239">
                  <c:v>102</c:v>
                </c:pt>
                <c:pt idx="240">
                  <c:v>102</c:v>
                </c:pt>
                <c:pt idx="241">
                  <c:v>102</c:v>
                </c:pt>
                <c:pt idx="242">
                  <c:v>102</c:v>
                </c:pt>
                <c:pt idx="243">
                  <c:v>102</c:v>
                </c:pt>
                <c:pt idx="244">
                  <c:v>102</c:v>
                </c:pt>
                <c:pt idx="245">
                  <c:v>101</c:v>
                </c:pt>
                <c:pt idx="246">
                  <c:v>101</c:v>
                </c:pt>
                <c:pt idx="247">
                  <c:v>102</c:v>
                </c:pt>
                <c:pt idx="248">
                  <c:v>102</c:v>
                </c:pt>
                <c:pt idx="249">
                  <c:v>102</c:v>
                </c:pt>
                <c:pt idx="250">
                  <c:v>102</c:v>
                </c:pt>
                <c:pt idx="251">
                  <c:v>102</c:v>
                </c:pt>
                <c:pt idx="252">
                  <c:v>102</c:v>
                </c:pt>
                <c:pt idx="253">
                  <c:v>102</c:v>
                </c:pt>
                <c:pt idx="254">
                  <c:v>102</c:v>
                </c:pt>
                <c:pt idx="255">
                  <c:v>102</c:v>
                </c:pt>
                <c:pt idx="256">
                  <c:v>102</c:v>
                </c:pt>
                <c:pt idx="257">
                  <c:v>102</c:v>
                </c:pt>
                <c:pt idx="258">
                  <c:v>102</c:v>
                </c:pt>
                <c:pt idx="259">
                  <c:v>102</c:v>
                </c:pt>
                <c:pt idx="260">
                  <c:v>102</c:v>
                </c:pt>
                <c:pt idx="261">
                  <c:v>102</c:v>
                </c:pt>
                <c:pt idx="262">
                  <c:v>102</c:v>
                </c:pt>
                <c:pt idx="263">
                  <c:v>102</c:v>
                </c:pt>
                <c:pt idx="264">
                  <c:v>102</c:v>
                </c:pt>
                <c:pt idx="265">
                  <c:v>103</c:v>
                </c:pt>
                <c:pt idx="266">
                  <c:v>103</c:v>
                </c:pt>
                <c:pt idx="267">
                  <c:v>103</c:v>
                </c:pt>
                <c:pt idx="268">
                  <c:v>103</c:v>
                </c:pt>
                <c:pt idx="269">
                  <c:v>103</c:v>
                </c:pt>
                <c:pt idx="270">
                  <c:v>104</c:v>
                </c:pt>
                <c:pt idx="271">
                  <c:v>104</c:v>
                </c:pt>
                <c:pt idx="272">
                  <c:v>104</c:v>
                </c:pt>
                <c:pt idx="273">
                  <c:v>104</c:v>
                </c:pt>
                <c:pt idx="274">
                  <c:v>104</c:v>
                </c:pt>
                <c:pt idx="275">
                  <c:v>104</c:v>
                </c:pt>
                <c:pt idx="276">
                  <c:v>105</c:v>
                </c:pt>
                <c:pt idx="277">
                  <c:v>104</c:v>
                </c:pt>
                <c:pt idx="278">
                  <c:v>104</c:v>
                </c:pt>
                <c:pt idx="279">
                  <c:v>104</c:v>
                </c:pt>
                <c:pt idx="280">
                  <c:v>104</c:v>
                </c:pt>
                <c:pt idx="281">
                  <c:v>103</c:v>
                </c:pt>
                <c:pt idx="282">
                  <c:v>103</c:v>
                </c:pt>
                <c:pt idx="283">
                  <c:v>102</c:v>
                </c:pt>
                <c:pt idx="284">
                  <c:v>102</c:v>
                </c:pt>
                <c:pt idx="285">
                  <c:v>102</c:v>
                </c:pt>
                <c:pt idx="286">
                  <c:v>101</c:v>
                </c:pt>
                <c:pt idx="287">
                  <c:v>100</c:v>
                </c:pt>
                <c:pt idx="288">
                  <c:v>99</c:v>
                </c:pt>
                <c:pt idx="289">
                  <c:v>101</c:v>
                </c:pt>
                <c:pt idx="290">
                  <c:v>101</c:v>
                </c:pt>
                <c:pt idx="291">
                  <c:v>102</c:v>
                </c:pt>
                <c:pt idx="292">
                  <c:v>103</c:v>
                </c:pt>
                <c:pt idx="293">
                  <c:v>103</c:v>
                </c:pt>
                <c:pt idx="294">
                  <c:v>105</c:v>
                </c:pt>
                <c:pt idx="295">
                  <c:v>106</c:v>
                </c:pt>
                <c:pt idx="296">
                  <c:v>109</c:v>
                </c:pt>
                <c:pt idx="297">
                  <c:v>108</c:v>
                </c:pt>
                <c:pt idx="298">
                  <c:v>108</c:v>
                </c:pt>
                <c:pt idx="299">
                  <c:v>107</c:v>
                </c:pt>
                <c:pt idx="300">
                  <c:v>106</c:v>
                </c:pt>
                <c:pt idx="301">
                  <c:v>104</c:v>
                </c:pt>
                <c:pt idx="302">
                  <c:v>103</c:v>
                </c:pt>
                <c:pt idx="303">
                  <c:v>104</c:v>
                </c:pt>
                <c:pt idx="304">
                  <c:v>104</c:v>
                </c:pt>
                <c:pt idx="305">
                  <c:v>104</c:v>
                </c:pt>
                <c:pt idx="306">
                  <c:v>105</c:v>
                </c:pt>
                <c:pt idx="307">
                  <c:v>105</c:v>
                </c:pt>
                <c:pt idx="308">
                  <c:v>106</c:v>
                </c:pt>
                <c:pt idx="309">
                  <c:v>105</c:v>
                </c:pt>
                <c:pt idx="310">
                  <c:v>105</c:v>
                </c:pt>
                <c:pt idx="311">
                  <c:v>104</c:v>
                </c:pt>
                <c:pt idx="312">
                  <c:v>104</c:v>
                </c:pt>
                <c:pt idx="313">
                  <c:v>104</c:v>
                </c:pt>
                <c:pt idx="314">
                  <c:v>104</c:v>
                </c:pt>
                <c:pt idx="315">
                  <c:v>105</c:v>
                </c:pt>
                <c:pt idx="316">
                  <c:v>105</c:v>
                </c:pt>
                <c:pt idx="317">
                  <c:v>105</c:v>
                </c:pt>
                <c:pt idx="318">
                  <c:v>105</c:v>
                </c:pt>
                <c:pt idx="319">
                  <c:v>105</c:v>
                </c:pt>
                <c:pt idx="320">
                  <c:v>105</c:v>
                </c:pt>
                <c:pt idx="321">
                  <c:v>105</c:v>
                </c:pt>
                <c:pt idx="322">
                  <c:v>105</c:v>
                </c:pt>
                <c:pt idx="323">
                  <c:v>104</c:v>
                </c:pt>
                <c:pt idx="324">
                  <c:v>104</c:v>
                </c:pt>
                <c:pt idx="325">
                  <c:v>104</c:v>
                </c:pt>
                <c:pt idx="326">
                  <c:v>104</c:v>
                </c:pt>
                <c:pt idx="327">
                  <c:v>105</c:v>
                </c:pt>
                <c:pt idx="328">
                  <c:v>105</c:v>
                </c:pt>
                <c:pt idx="329">
                  <c:v>104</c:v>
                </c:pt>
                <c:pt idx="330">
                  <c:v>105</c:v>
                </c:pt>
                <c:pt idx="331">
                  <c:v>105</c:v>
                </c:pt>
                <c:pt idx="332">
                  <c:v>105</c:v>
                </c:pt>
                <c:pt idx="333">
                  <c:v>105</c:v>
                </c:pt>
                <c:pt idx="334">
                  <c:v>105</c:v>
                </c:pt>
                <c:pt idx="335">
                  <c:v>104</c:v>
                </c:pt>
                <c:pt idx="336">
                  <c:v>104</c:v>
                </c:pt>
                <c:pt idx="337">
                  <c:v>104</c:v>
                </c:pt>
                <c:pt idx="338">
                  <c:v>104</c:v>
                </c:pt>
                <c:pt idx="339">
                  <c:v>105</c:v>
                </c:pt>
                <c:pt idx="340">
                  <c:v>105</c:v>
                </c:pt>
                <c:pt idx="341">
                  <c:v>104</c:v>
                </c:pt>
                <c:pt idx="342">
                  <c:v>104</c:v>
                </c:pt>
                <c:pt idx="343">
                  <c:v>102</c:v>
                </c:pt>
                <c:pt idx="344">
                  <c:v>102</c:v>
                </c:pt>
                <c:pt idx="345">
                  <c:v>102</c:v>
                </c:pt>
                <c:pt idx="346">
                  <c:v>101</c:v>
                </c:pt>
                <c:pt idx="347">
                  <c:v>102</c:v>
                </c:pt>
                <c:pt idx="348">
                  <c:v>101</c:v>
                </c:pt>
                <c:pt idx="349">
                  <c:v>101</c:v>
                </c:pt>
                <c:pt idx="350">
                  <c:v>100</c:v>
                </c:pt>
                <c:pt idx="351">
                  <c:v>101</c:v>
                </c:pt>
                <c:pt idx="352">
                  <c:v>102</c:v>
                </c:pt>
                <c:pt idx="353">
                  <c:v>102</c:v>
                </c:pt>
                <c:pt idx="354">
                  <c:v>102</c:v>
                </c:pt>
                <c:pt idx="355">
                  <c:v>102</c:v>
                </c:pt>
                <c:pt idx="356">
                  <c:v>102</c:v>
                </c:pt>
                <c:pt idx="357">
                  <c:v>102</c:v>
                </c:pt>
                <c:pt idx="358">
                  <c:v>102</c:v>
                </c:pt>
                <c:pt idx="359">
                  <c:v>101</c:v>
                </c:pt>
                <c:pt idx="360">
                  <c:v>102</c:v>
                </c:pt>
                <c:pt idx="361">
                  <c:v>102</c:v>
                </c:pt>
                <c:pt idx="362">
                  <c:v>102</c:v>
                </c:pt>
                <c:pt idx="363">
                  <c:v>102</c:v>
                </c:pt>
                <c:pt idx="364">
                  <c:v>102</c:v>
                </c:pt>
                <c:pt idx="365">
                  <c:v>102</c:v>
                </c:pt>
                <c:pt idx="366">
                  <c:v>102</c:v>
                </c:pt>
                <c:pt idx="367">
                  <c:v>102</c:v>
                </c:pt>
                <c:pt idx="368">
                  <c:v>101</c:v>
                </c:pt>
                <c:pt idx="369">
                  <c:v>101</c:v>
                </c:pt>
                <c:pt idx="370">
                  <c:v>101</c:v>
                </c:pt>
                <c:pt idx="371">
                  <c:v>101</c:v>
                </c:pt>
                <c:pt idx="372">
                  <c:v>101</c:v>
                </c:pt>
                <c:pt idx="373">
                  <c:v>101</c:v>
                </c:pt>
                <c:pt idx="374">
                  <c:v>101</c:v>
                </c:pt>
                <c:pt idx="375">
                  <c:v>101</c:v>
                </c:pt>
                <c:pt idx="376">
                  <c:v>101</c:v>
                </c:pt>
                <c:pt idx="377">
                  <c:v>100</c:v>
                </c:pt>
                <c:pt idx="378">
                  <c:v>100</c:v>
                </c:pt>
                <c:pt idx="379">
                  <c:v>100</c:v>
                </c:pt>
                <c:pt idx="380">
                  <c:v>99</c:v>
                </c:pt>
                <c:pt idx="381">
                  <c:v>99</c:v>
                </c:pt>
                <c:pt idx="382">
                  <c:v>99</c:v>
                </c:pt>
                <c:pt idx="383">
                  <c:v>98</c:v>
                </c:pt>
                <c:pt idx="384">
                  <c:v>98</c:v>
                </c:pt>
                <c:pt idx="385">
                  <c:v>98</c:v>
                </c:pt>
                <c:pt idx="386">
                  <c:v>97</c:v>
                </c:pt>
                <c:pt idx="387">
                  <c:v>98</c:v>
                </c:pt>
                <c:pt idx="388">
                  <c:v>98</c:v>
                </c:pt>
                <c:pt idx="389">
                  <c:v>98</c:v>
                </c:pt>
                <c:pt idx="390">
                  <c:v>97</c:v>
                </c:pt>
                <c:pt idx="391">
                  <c:v>97</c:v>
                </c:pt>
                <c:pt idx="392">
                  <c:v>98</c:v>
                </c:pt>
                <c:pt idx="393">
                  <c:v>98</c:v>
                </c:pt>
                <c:pt idx="394">
                  <c:v>98</c:v>
                </c:pt>
                <c:pt idx="395">
                  <c:v>98</c:v>
                </c:pt>
                <c:pt idx="396">
                  <c:v>98</c:v>
                </c:pt>
                <c:pt idx="397">
                  <c:v>97</c:v>
                </c:pt>
                <c:pt idx="398">
                  <c:v>97</c:v>
                </c:pt>
                <c:pt idx="399">
                  <c:v>97</c:v>
                </c:pt>
                <c:pt idx="400">
                  <c:v>97</c:v>
                </c:pt>
                <c:pt idx="401">
                  <c:v>97</c:v>
                </c:pt>
                <c:pt idx="402">
                  <c:v>98</c:v>
                </c:pt>
                <c:pt idx="403">
                  <c:v>98</c:v>
                </c:pt>
                <c:pt idx="404">
                  <c:v>97</c:v>
                </c:pt>
                <c:pt idx="405">
                  <c:v>97</c:v>
                </c:pt>
                <c:pt idx="406">
                  <c:v>97</c:v>
                </c:pt>
                <c:pt idx="407">
                  <c:v>97</c:v>
                </c:pt>
                <c:pt idx="408">
                  <c:v>96</c:v>
                </c:pt>
                <c:pt idx="409">
                  <c:v>97</c:v>
                </c:pt>
                <c:pt idx="410">
                  <c:v>97</c:v>
                </c:pt>
                <c:pt idx="411">
                  <c:v>97</c:v>
                </c:pt>
                <c:pt idx="412">
                  <c:v>97</c:v>
                </c:pt>
                <c:pt idx="413">
                  <c:v>97</c:v>
                </c:pt>
                <c:pt idx="414">
                  <c:v>98</c:v>
                </c:pt>
                <c:pt idx="415">
                  <c:v>98</c:v>
                </c:pt>
                <c:pt idx="416">
                  <c:v>98</c:v>
                </c:pt>
                <c:pt idx="417">
                  <c:v>98</c:v>
                </c:pt>
                <c:pt idx="418">
                  <c:v>97</c:v>
                </c:pt>
                <c:pt idx="419">
                  <c:v>97</c:v>
                </c:pt>
                <c:pt idx="420">
                  <c:v>98</c:v>
                </c:pt>
                <c:pt idx="421">
                  <c:v>97</c:v>
                </c:pt>
                <c:pt idx="422">
                  <c:v>97</c:v>
                </c:pt>
                <c:pt idx="423">
                  <c:v>98</c:v>
                </c:pt>
                <c:pt idx="424">
                  <c:v>99</c:v>
                </c:pt>
                <c:pt idx="425">
                  <c:v>99</c:v>
                </c:pt>
                <c:pt idx="426">
                  <c:v>99</c:v>
                </c:pt>
                <c:pt idx="427">
                  <c:v>99</c:v>
                </c:pt>
                <c:pt idx="428">
                  <c:v>98</c:v>
                </c:pt>
                <c:pt idx="429">
                  <c:v>98</c:v>
                </c:pt>
                <c:pt idx="430">
                  <c:v>98</c:v>
                </c:pt>
                <c:pt idx="431">
                  <c:v>98</c:v>
                </c:pt>
                <c:pt idx="432">
                  <c:v>98</c:v>
                </c:pt>
                <c:pt idx="433">
                  <c:v>98</c:v>
                </c:pt>
                <c:pt idx="434">
                  <c:v>98</c:v>
                </c:pt>
                <c:pt idx="435">
                  <c:v>98</c:v>
                </c:pt>
                <c:pt idx="436">
                  <c:v>97</c:v>
                </c:pt>
                <c:pt idx="437">
                  <c:v>98</c:v>
                </c:pt>
                <c:pt idx="438">
                  <c:v>98</c:v>
                </c:pt>
                <c:pt idx="439">
                  <c:v>98</c:v>
                </c:pt>
                <c:pt idx="440">
                  <c:v>98</c:v>
                </c:pt>
                <c:pt idx="441">
                  <c:v>98</c:v>
                </c:pt>
                <c:pt idx="442">
                  <c:v>98</c:v>
                </c:pt>
                <c:pt idx="443">
                  <c:v>97</c:v>
                </c:pt>
                <c:pt idx="444">
                  <c:v>97</c:v>
                </c:pt>
                <c:pt idx="445">
                  <c:v>97</c:v>
                </c:pt>
                <c:pt idx="446">
                  <c:v>97</c:v>
                </c:pt>
                <c:pt idx="447">
                  <c:v>97</c:v>
                </c:pt>
                <c:pt idx="448">
                  <c:v>97</c:v>
                </c:pt>
                <c:pt idx="449">
                  <c:v>98</c:v>
                </c:pt>
                <c:pt idx="450">
                  <c:v>98</c:v>
                </c:pt>
                <c:pt idx="451">
                  <c:v>98</c:v>
                </c:pt>
                <c:pt idx="452">
                  <c:v>99</c:v>
                </c:pt>
                <c:pt idx="453">
                  <c:v>98</c:v>
                </c:pt>
                <c:pt idx="454">
                  <c:v>98</c:v>
                </c:pt>
                <c:pt idx="455">
                  <c:v>97</c:v>
                </c:pt>
                <c:pt idx="456">
                  <c:v>97</c:v>
                </c:pt>
                <c:pt idx="457">
                  <c:v>97</c:v>
                </c:pt>
                <c:pt idx="458">
                  <c:v>97</c:v>
                </c:pt>
                <c:pt idx="459">
                  <c:v>97</c:v>
                </c:pt>
                <c:pt idx="460">
                  <c:v>97</c:v>
                </c:pt>
                <c:pt idx="461">
                  <c:v>97</c:v>
                </c:pt>
                <c:pt idx="462">
                  <c:v>97</c:v>
                </c:pt>
                <c:pt idx="463">
                  <c:v>97</c:v>
                </c:pt>
                <c:pt idx="464">
                  <c:v>97</c:v>
                </c:pt>
                <c:pt idx="465">
                  <c:v>97</c:v>
                </c:pt>
                <c:pt idx="466">
                  <c:v>97</c:v>
                </c:pt>
                <c:pt idx="467">
                  <c:v>97</c:v>
                </c:pt>
                <c:pt idx="468">
                  <c:v>97</c:v>
                </c:pt>
                <c:pt idx="469">
                  <c:v>96</c:v>
                </c:pt>
                <c:pt idx="470">
                  <c:v>96</c:v>
                </c:pt>
                <c:pt idx="471">
                  <c:v>96</c:v>
                </c:pt>
                <c:pt idx="472">
                  <c:v>96</c:v>
                </c:pt>
                <c:pt idx="473">
                  <c:v>96</c:v>
                </c:pt>
                <c:pt idx="474">
                  <c:v>95</c:v>
                </c:pt>
                <c:pt idx="475">
                  <c:v>95</c:v>
                </c:pt>
                <c:pt idx="476">
                  <c:v>95</c:v>
                </c:pt>
                <c:pt idx="477">
                  <c:v>95</c:v>
                </c:pt>
                <c:pt idx="478">
                  <c:v>95</c:v>
                </c:pt>
                <c:pt idx="479">
                  <c:v>95</c:v>
                </c:pt>
                <c:pt idx="480">
                  <c:v>95</c:v>
                </c:pt>
                <c:pt idx="481">
                  <c:v>95</c:v>
                </c:pt>
                <c:pt idx="482">
                  <c:v>95</c:v>
                </c:pt>
                <c:pt idx="483">
                  <c:v>95</c:v>
                </c:pt>
                <c:pt idx="484">
                  <c:v>95</c:v>
                </c:pt>
                <c:pt idx="485">
                  <c:v>94</c:v>
                </c:pt>
                <c:pt idx="486">
                  <c:v>94</c:v>
                </c:pt>
                <c:pt idx="487">
                  <c:v>94</c:v>
                </c:pt>
                <c:pt idx="488">
                  <c:v>95</c:v>
                </c:pt>
                <c:pt idx="489">
                  <c:v>95</c:v>
                </c:pt>
                <c:pt idx="490">
                  <c:v>95</c:v>
                </c:pt>
                <c:pt idx="491">
                  <c:v>95</c:v>
                </c:pt>
                <c:pt idx="492">
                  <c:v>94</c:v>
                </c:pt>
                <c:pt idx="493">
                  <c:v>94</c:v>
                </c:pt>
                <c:pt idx="494">
                  <c:v>94</c:v>
                </c:pt>
                <c:pt idx="495">
                  <c:v>94</c:v>
                </c:pt>
                <c:pt idx="496">
                  <c:v>95</c:v>
                </c:pt>
                <c:pt idx="497">
                  <c:v>94</c:v>
                </c:pt>
                <c:pt idx="498">
                  <c:v>95</c:v>
                </c:pt>
                <c:pt idx="499">
                  <c:v>94</c:v>
                </c:pt>
                <c:pt idx="500">
                  <c:v>95</c:v>
                </c:pt>
                <c:pt idx="501">
                  <c:v>95</c:v>
                </c:pt>
                <c:pt idx="502">
                  <c:v>95</c:v>
                </c:pt>
                <c:pt idx="503">
                  <c:v>95</c:v>
                </c:pt>
                <c:pt idx="504">
                  <c:v>94</c:v>
                </c:pt>
                <c:pt idx="505">
                  <c:v>94</c:v>
                </c:pt>
                <c:pt idx="506">
                  <c:v>95</c:v>
                </c:pt>
                <c:pt idx="507">
                  <c:v>94</c:v>
                </c:pt>
                <c:pt idx="508">
                  <c:v>95</c:v>
                </c:pt>
                <c:pt idx="509">
                  <c:v>95</c:v>
                </c:pt>
                <c:pt idx="510">
                  <c:v>95</c:v>
                </c:pt>
                <c:pt idx="511">
                  <c:v>96</c:v>
                </c:pt>
                <c:pt idx="512">
                  <c:v>95</c:v>
                </c:pt>
                <c:pt idx="513">
                  <c:v>96</c:v>
                </c:pt>
                <c:pt idx="514">
                  <c:v>95</c:v>
                </c:pt>
                <c:pt idx="515">
                  <c:v>95</c:v>
                </c:pt>
                <c:pt idx="516">
                  <c:v>95</c:v>
                </c:pt>
                <c:pt idx="517">
                  <c:v>95</c:v>
                </c:pt>
                <c:pt idx="518">
                  <c:v>95</c:v>
                </c:pt>
                <c:pt idx="519">
                  <c:v>95</c:v>
                </c:pt>
                <c:pt idx="520">
                  <c:v>95</c:v>
                </c:pt>
                <c:pt idx="521">
                  <c:v>95</c:v>
                </c:pt>
                <c:pt idx="522">
                  <c:v>95</c:v>
                </c:pt>
                <c:pt idx="523">
                  <c:v>95</c:v>
                </c:pt>
                <c:pt idx="524">
                  <c:v>95</c:v>
                </c:pt>
                <c:pt idx="525">
                  <c:v>94</c:v>
                </c:pt>
                <c:pt idx="526">
                  <c:v>94</c:v>
                </c:pt>
                <c:pt idx="527">
                  <c:v>94</c:v>
                </c:pt>
                <c:pt idx="528">
                  <c:v>94</c:v>
                </c:pt>
                <c:pt idx="529">
                  <c:v>95</c:v>
                </c:pt>
                <c:pt idx="530">
                  <c:v>95</c:v>
                </c:pt>
                <c:pt idx="531">
                  <c:v>95</c:v>
                </c:pt>
                <c:pt idx="532">
                  <c:v>95</c:v>
                </c:pt>
                <c:pt idx="533">
                  <c:v>96</c:v>
                </c:pt>
                <c:pt idx="534">
                  <c:v>96</c:v>
                </c:pt>
                <c:pt idx="535">
                  <c:v>96</c:v>
                </c:pt>
                <c:pt idx="536">
                  <c:v>96</c:v>
                </c:pt>
                <c:pt idx="537">
                  <c:v>96</c:v>
                </c:pt>
                <c:pt idx="538">
                  <c:v>96</c:v>
                </c:pt>
                <c:pt idx="539">
                  <c:v>96</c:v>
                </c:pt>
                <c:pt idx="540">
                  <c:v>96</c:v>
                </c:pt>
                <c:pt idx="541">
                  <c:v>96</c:v>
                </c:pt>
                <c:pt idx="542">
                  <c:v>96</c:v>
                </c:pt>
                <c:pt idx="543">
                  <c:v>96</c:v>
                </c:pt>
                <c:pt idx="544">
                  <c:v>96</c:v>
                </c:pt>
                <c:pt idx="545">
                  <c:v>97</c:v>
                </c:pt>
                <c:pt idx="546">
                  <c:v>97</c:v>
                </c:pt>
                <c:pt idx="547">
                  <c:v>97</c:v>
                </c:pt>
                <c:pt idx="548">
                  <c:v>97</c:v>
                </c:pt>
                <c:pt idx="549">
                  <c:v>97</c:v>
                </c:pt>
                <c:pt idx="550">
                  <c:v>98</c:v>
                </c:pt>
                <c:pt idx="551">
                  <c:v>98</c:v>
                </c:pt>
                <c:pt idx="552">
                  <c:v>97</c:v>
                </c:pt>
                <c:pt idx="553">
                  <c:v>97</c:v>
                </c:pt>
                <c:pt idx="554">
                  <c:v>97</c:v>
                </c:pt>
                <c:pt idx="555">
                  <c:v>97</c:v>
                </c:pt>
                <c:pt idx="556">
                  <c:v>97</c:v>
                </c:pt>
                <c:pt idx="557" formatCode="0.00">
                  <c:v>96.43</c:v>
                </c:pt>
                <c:pt idx="558" formatCode="0.00">
                  <c:v>96.52</c:v>
                </c:pt>
                <c:pt idx="559" formatCode="0.00">
                  <c:v>96.51</c:v>
                </c:pt>
                <c:pt idx="560">
                  <c:v>96</c:v>
                </c:pt>
                <c:pt idx="561">
                  <c:v>96</c:v>
                </c:pt>
                <c:pt idx="562">
                  <c:v>96</c:v>
                </c:pt>
                <c:pt idx="563">
                  <c:v>96</c:v>
                </c:pt>
                <c:pt idx="564">
                  <c:v>95</c:v>
                </c:pt>
                <c:pt idx="565">
                  <c:v>96</c:v>
                </c:pt>
                <c:pt idx="566">
                  <c:v>95</c:v>
                </c:pt>
                <c:pt idx="567">
                  <c:v>96</c:v>
                </c:pt>
                <c:pt idx="568">
                  <c:v>95</c:v>
                </c:pt>
                <c:pt idx="569">
                  <c:v>95</c:v>
                </c:pt>
                <c:pt idx="570">
                  <c:v>95</c:v>
                </c:pt>
                <c:pt idx="571">
                  <c:v>95</c:v>
                </c:pt>
                <c:pt idx="572">
                  <c:v>95</c:v>
                </c:pt>
                <c:pt idx="573">
                  <c:v>96</c:v>
                </c:pt>
                <c:pt idx="574">
                  <c:v>95</c:v>
                </c:pt>
                <c:pt idx="575">
                  <c:v>96</c:v>
                </c:pt>
                <c:pt idx="576">
                  <c:v>96</c:v>
                </c:pt>
                <c:pt idx="577">
                  <c:v>95</c:v>
                </c:pt>
                <c:pt idx="578">
                  <c:v>94</c:v>
                </c:pt>
                <c:pt idx="579">
                  <c:v>94</c:v>
                </c:pt>
                <c:pt idx="580">
                  <c:v>94</c:v>
                </c:pt>
                <c:pt idx="581">
                  <c:v>95</c:v>
                </c:pt>
                <c:pt idx="582">
                  <c:v>95</c:v>
                </c:pt>
                <c:pt idx="583">
                  <c:v>95</c:v>
                </c:pt>
                <c:pt idx="584">
                  <c:v>94.4</c:v>
                </c:pt>
                <c:pt idx="585">
                  <c:v>94</c:v>
                </c:pt>
                <c:pt idx="586">
                  <c:v>94.5</c:v>
                </c:pt>
                <c:pt idx="587">
                  <c:v>94</c:v>
                </c:pt>
                <c:pt idx="588">
                  <c:v>93.9</c:v>
                </c:pt>
                <c:pt idx="589" formatCode="General">
                  <c:v>94.3</c:v>
                </c:pt>
                <c:pt idx="590" formatCode="General">
                  <c:v>94.2</c:v>
                </c:pt>
                <c:pt idx="591" formatCode="General">
                  <c:v>94.3</c:v>
                </c:pt>
                <c:pt idx="592" formatCode="General">
                  <c:v>94.1</c:v>
                </c:pt>
                <c:pt idx="593" formatCode="General">
                  <c:v>94.2</c:v>
                </c:pt>
                <c:pt idx="594" formatCode="General">
                  <c:v>94.8</c:v>
                </c:pt>
                <c:pt idx="595" formatCode="General">
                  <c:v>94.4</c:v>
                </c:pt>
                <c:pt idx="596" formatCode="General">
                  <c:v>94.2</c:v>
                </c:pt>
                <c:pt idx="597" formatCode="General">
                  <c:v>94.3</c:v>
                </c:pt>
                <c:pt idx="598" formatCode="General">
                  <c:v>94.4</c:v>
                </c:pt>
                <c:pt idx="599" formatCode="General">
                  <c:v>94.3</c:v>
                </c:pt>
                <c:pt idx="600" formatCode="General">
                  <c:v>94.8</c:v>
                </c:pt>
                <c:pt idx="601" formatCode="General">
                  <c:v>94.8</c:v>
                </c:pt>
                <c:pt idx="602" formatCode="General">
                  <c:v>94.8</c:v>
                </c:pt>
                <c:pt idx="603" formatCode="General">
                  <c:v>95.5</c:v>
                </c:pt>
                <c:pt idx="604" formatCode="General">
                  <c:v>96.2</c:v>
                </c:pt>
                <c:pt idx="605" formatCode="General">
                  <c:v>96.6</c:v>
                </c:pt>
                <c:pt idx="606" formatCode="General">
                  <c:v>96.2</c:v>
                </c:pt>
                <c:pt idx="607" formatCode="General">
                  <c:v>96.1</c:v>
                </c:pt>
                <c:pt idx="608" formatCode="General">
                  <c:v>96.1</c:v>
                </c:pt>
                <c:pt idx="609" formatCode="General">
                  <c:v>96.1</c:v>
                </c:pt>
                <c:pt idx="610" formatCode="General">
                  <c:v>96.2</c:v>
                </c:pt>
                <c:pt idx="611" formatCode="General">
                  <c:v>96.2</c:v>
                </c:pt>
                <c:pt idx="612" formatCode="General">
                  <c:v>96.4</c:v>
                </c:pt>
                <c:pt idx="613" formatCode="General">
                  <c:v>96.8</c:v>
                </c:pt>
                <c:pt idx="614" formatCode="General">
                  <c:v>97</c:v>
                </c:pt>
                <c:pt idx="615" formatCode="General">
                  <c:v>96.8</c:v>
                </c:pt>
                <c:pt idx="616" formatCode="General">
                  <c:v>96.9</c:v>
                </c:pt>
                <c:pt idx="617" formatCode="General">
                  <c:v>97</c:v>
                </c:pt>
                <c:pt idx="618" formatCode="General">
                  <c:v>96.8</c:v>
                </c:pt>
                <c:pt idx="619" formatCode="General">
                  <c:v>96.5</c:v>
                </c:pt>
                <c:pt idx="620" formatCode="General">
                  <c:v>96.6</c:v>
                </c:pt>
                <c:pt idx="621">
                  <c:v>96.076171584428465</c:v>
                </c:pt>
                <c:pt idx="622">
                  <c:v>96.444235701531298</c:v>
                </c:pt>
                <c:pt idx="623">
                  <c:v>96.208932214917255</c:v>
                </c:pt>
                <c:pt idx="624">
                  <c:v>96.150804319915423</c:v>
                </c:pt>
                <c:pt idx="625">
                  <c:v>95.930350914962332</c:v>
                </c:pt>
                <c:pt idx="626">
                  <c:v>95.848843287193901</c:v>
                </c:pt>
                <c:pt idx="627">
                  <c:v>96.076171584428479</c:v>
                </c:pt>
                <c:pt idx="628">
                  <c:v>96.002688785952827</c:v>
                </c:pt>
                <c:pt idx="629">
                  <c:v>95.901446280991749</c:v>
                </c:pt>
                <c:pt idx="630">
                  <c:v>96.188164186031457</c:v>
                </c:pt>
                <c:pt idx="631">
                  <c:v>96.411891470855508</c:v>
                </c:pt>
                <c:pt idx="632">
                  <c:v>96.536169936198121</c:v>
                </c:pt>
                <c:pt idx="633">
                  <c:v>97.004817624712928</c:v>
                </c:pt>
                <c:pt idx="634">
                  <c:v>96.67125439319652</c:v>
                </c:pt>
                <c:pt idx="635">
                  <c:v>96.800408407103689</c:v>
                </c:pt>
                <c:pt idx="636">
                  <c:v>96.776231430805339</c:v>
                </c:pt>
                <c:pt idx="637">
                  <c:v>96.581156121984534</c:v>
                </c:pt>
                <c:pt idx="638">
                  <c:v>96.604188527078023</c:v>
                </c:pt>
                <c:pt idx="639">
                  <c:v>96.03372413793106</c:v>
                </c:pt>
                <c:pt idx="640">
                  <c:v>95.89112741827887</c:v>
                </c:pt>
                <c:pt idx="641">
                  <c:v>95.770561495889538</c:v>
                </c:pt>
                <c:pt idx="642">
                  <c:v>95.911767364773254</c:v>
                </c:pt>
                <c:pt idx="643">
                  <c:v>95.788060792364433</c:v>
                </c:pt>
                <c:pt idx="644">
                  <c:v>96.332687651331739</c:v>
                </c:pt>
                <c:pt idx="645">
                  <c:v>96.221397337479374</c:v>
                </c:pt>
                <c:pt idx="646">
                  <c:v>95.678024585323982</c:v>
                </c:pt>
                <c:pt idx="647">
                  <c:v>95.679051790775588</c:v>
                </c:pt>
                <c:pt idx="648">
                  <c:v>95.225131427106064</c:v>
                </c:pt>
                <c:pt idx="649">
                  <c:v>95.306600504769676</c:v>
                </c:pt>
                <c:pt idx="650">
                  <c:v>95.857090920824788</c:v>
                </c:pt>
                <c:pt idx="651">
                  <c:v>95.929318306584449</c:v>
                </c:pt>
                <c:pt idx="652">
                  <c:v>96.000620475698057</c:v>
                </c:pt>
                <c:pt idx="653">
                  <c:v>95.746896151614791</c:v>
                </c:pt>
                <c:pt idx="654">
                  <c:v>96.143543271409158</c:v>
                </c:pt>
                <c:pt idx="655">
                  <c:v>96.187126019945609</c:v>
                </c:pt>
                <c:pt idx="656">
                  <c:v>96.204777891725598</c:v>
                </c:pt>
                <c:pt idx="657">
                  <c:v>96.39833421670329</c:v>
                </c:pt>
                <c:pt idx="658">
                  <c:v>96.629327319252312</c:v>
                </c:pt>
                <c:pt idx="659">
                  <c:v>96.834066041528601</c:v>
                </c:pt>
                <c:pt idx="660">
                  <c:v>96.834066041528601</c:v>
                </c:pt>
                <c:pt idx="661">
                  <c:v>96.330605097606878</c:v>
                </c:pt>
                <c:pt idx="662">
                  <c:v>96.18920237452781</c:v>
                </c:pt>
                <c:pt idx="663">
                  <c:v>96.366020761245707</c:v>
                </c:pt>
                <c:pt idx="664">
                  <c:v>96.251534722972266</c:v>
                </c:pt>
                <c:pt idx="665">
                  <c:v>96.187126019945637</c:v>
                </c:pt>
                <c:pt idx="666">
                  <c:v>96.226592091908387</c:v>
                </c:pt>
              </c:numCache>
            </c:numRef>
          </c:val>
          <c:smooth val="0"/>
          <c:extLst>
            <c:ext xmlns:c16="http://schemas.microsoft.com/office/drawing/2014/chart" uri="{C3380CC4-5D6E-409C-BE32-E72D297353CC}">
              <c16:uniqueId val="{00000003-40A6-45E8-8A87-6F6B9B0A27B1}"/>
            </c:ext>
          </c:extLst>
        </c:ser>
        <c:dLbls>
          <c:showLegendKey val="0"/>
          <c:showVal val="0"/>
          <c:showCatName val="0"/>
          <c:showSerName val="0"/>
          <c:showPercent val="0"/>
          <c:showBubbleSize val="0"/>
        </c:dLbls>
        <c:smooth val="0"/>
        <c:axId val="290548736"/>
        <c:axId val="295166720"/>
      </c:lineChart>
      <c:dateAx>
        <c:axId val="29054873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95166720"/>
        <c:crosses val="autoZero"/>
        <c:auto val="1"/>
        <c:lblOffset val="100"/>
        <c:baseTimeUnit val="days"/>
      </c:dateAx>
      <c:valAx>
        <c:axId val="295166720"/>
        <c:scaling>
          <c:orientation val="minMax"/>
          <c:max val="128"/>
          <c:min val="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Ինդեքս՝ 2019 թ. հունվարի 8</a:t>
                </a:r>
                <a:endParaRPr lang="en-US" sz="700" b="0" i="0" u="none" strike="noStrike" baseline="0">
                  <a:effectLst/>
                </a:endParaRPr>
              </a:p>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=100</a:t>
                </a:r>
                <a:endParaRPr lang="en-US" sz="7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48736"/>
        <c:crosses val="autoZero"/>
        <c:crossBetween val="between"/>
        <c:majorUnit val="20"/>
      </c:valAx>
      <c:spPr>
        <a:noFill/>
        <a:ln>
          <a:noFill/>
        </a:ln>
        <a:effectLst/>
      </c:spPr>
    </c:plotArea>
    <c:legend>
      <c:legendPos val="b"/>
      <c:layout>
        <c:manualLayout>
          <c:xMode val="edge"/>
          <c:yMode val="edge"/>
          <c:x val="0"/>
          <c:y val="0.81035853771867028"/>
          <c:w val="0.99798755588566268"/>
          <c:h val="0.1896414622813296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overlay val="0"/>
      <c:spPr>
        <a:noFill/>
        <a:ln>
          <a:noFill/>
        </a:ln>
        <a:effectLst/>
      </c:spPr>
    </c:title>
    <c:autoTitleDeleted val="0"/>
    <c:plotArea>
      <c:layout>
        <c:manualLayout>
          <c:layoutTarget val="inner"/>
          <c:xMode val="edge"/>
          <c:yMode val="edge"/>
          <c:x val="0.11873660719946239"/>
          <c:y val="0.19546619172603483"/>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Sheet1!$B$2:$B$58</c:f>
              <c:numCache>
                <c:formatCode>0.0</c:formatCode>
                <c:ptCount val="57"/>
                <c:pt idx="0">
                  <c:v>6.25</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5.75</c:v>
                </c:pt>
                <c:pt idx="25">
                  <c:v>5.75</c:v>
                </c:pt>
                <c:pt idx="26">
                  <c:v>5.75</c:v>
                </c:pt>
                <c:pt idx="27">
                  <c:v>5.75</c:v>
                </c:pt>
                <c:pt idx="28">
                  <c:v>5.75</c:v>
                </c:pt>
                <c:pt idx="29">
                  <c:v>5.75</c:v>
                </c:pt>
                <c:pt idx="30">
                  <c:v>5.75</c:v>
                </c:pt>
                <c:pt idx="31">
                  <c:v>5.75</c:v>
                </c:pt>
                <c:pt idx="32">
                  <c:v>5.5</c:v>
                </c:pt>
                <c:pt idx="33">
                  <c:v>5.5</c:v>
                </c:pt>
                <c:pt idx="34">
                  <c:v>5.5</c:v>
                </c:pt>
                <c:pt idx="35">
                  <c:v>5.5</c:v>
                </c:pt>
                <c:pt idx="36">
                  <c:v>5.5</c:v>
                </c:pt>
                <c:pt idx="37">
                  <c:v>5.5</c:v>
                </c:pt>
                <c:pt idx="38">
                  <c:v>5.25</c:v>
                </c:pt>
                <c:pt idx="39">
                  <c:v>5</c:v>
                </c:pt>
                <c:pt idx="40">
                  <c:v>5</c:v>
                </c:pt>
                <c:pt idx="41">
                  <c:v>4.5</c:v>
                </c:pt>
                <c:pt idx="42">
                  <c:v>4.5</c:v>
                </c:pt>
                <c:pt idx="43">
                  <c:v>4.5</c:v>
                </c:pt>
                <c:pt idx="44">
                  <c:v>4.25</c:v>
                </c:pt>
                <c:pt idx="45">
                  <c:v>4.25</c:v>
                </c:pt>
                <c:pt idx="46">
                  <c:v>4.25</c:v>
                </c:pt>
                <c:pt idx="47">
                  <c:v>5.25</c:v>
                </c:pt>
                <c:pt idx="48">
                  <c:v>5.25</c:v>
                </c:pt>
                <c:pt idx="49">
                  <c:v>5.5</c:v>
                </c:pt>
                <c:pt idx="50">
                  <c:v>5.5</c:v>
                </c:pt>
                <c:pt idx="51">
                  <c:v>5.5</c:v>
                </c:pt>
                <c:pt idx="52">
                  <c:v>6</c:v>
                </c:pt>
                <c:pt idx="53">
                  <c:v>6.5</c:v>
                </c:pt>
                <c:pt idx="54">
                  <c:v>6.5</c:v>
                </c:pt>
                <c:pt idx="55">
                  <c:v>7</c:v>
                </c:pt>
                <c:pt idx="56">
                  <c:v>7.25</c:v>
                </c:pt>
              </c:numCache>
            </c:numRef>
          </c:val>
          <c:smooth val="0"/>
          <c:extLst>
            <c:ext xmlns:c16="http://schemas.microsoft.com/office/drawing/2014/chart" uri="{C3380CC4-5D6E-409C-BE32-E72D297353CC}">
              <c16:uniqueId val="{00000000-AEBB-4DCA-AD04-020F1F21424F}"/>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Sheet1!$C$2:$C$58</c:f>
              <c:numCache>
                <c:formatCode>0.0</c:formatCode>
                <c:ptCount val="57"/>
                <c:pt idx="0">
                  <c:v>6.02</c:v>
                </c:pt>
                <c:pt idx="1">
                  <c:v>6.12</c:v>
                </c:pt>
                <c:pt idx="2">
                  <c:v>6.03</c:v>
                </c:pt>
                <c:pt idx="3">
                  <c:v>6.04</c:v>
                </c:pt>
                <c:pt idx="4">
                  <c:v>5.89</c:v>
                </c:pt>
                <c:pt idx="5">
                  <c:v>5.64</c:v>
                </c:pt>
                <c:pt idx="6">
                  <c:v>5.6</c:v>
                </c:pt>
                <c:pt idx="7">
                  <c:v>5.24</c:v>
                </c:pt>
                <c:pt idx="8">
                  <c:v>5.19</c:v>
                </c:pt>
                <c:pt idx="9">
                  <c:v>5.7</c:v>
                </c:pt>
                <c:pt idx="10">
                  <c:v>5.86</c:v>
                </c:pt>
                <c:pt idx="11">
                  <c:v>6.12</c:v>
                </c:pt>
                <c:pt idx="12">
                  <c:v>6.03</c:v>
                </c:pt>
                <c:pt idx="13">
                  <c:v>5.85</c:v>
                </c:pt>
                <c:pt idx="14">
                  <c:v>5.99</c:v>
                </c:pt>
                <c:pt idx="15">
                  <c:v>5.93</c:v>
                </c:pt>
                <c:pt idx="16">
                  <c:v>6.23</c:v>
                </c:pt>
                <c:pt idx="17">
                  <c:v>6.45</c:v>
                </c:pt>
                <c:pt idx="18">
                  <c:v>6.22</c:v>
                </c:pt>
                <c:pt idx="19">
                  <c:v>6.17</c:v>
                </c:pt>
                <c:pt idx="20">
                  <c:v>6.14</c:v>
                </c:pt>
                <c:pt idx="21">
                  <c:v>6.1</c:v>
                </c:pt>
                <c:pt idx="22">
                  <c:v>6.16</c:v>
                </c:pt>
                <c:pt idx="23">
                  <c:v>6.22</c:v>
                </c:pt>
                <c:pt idx="24">
                  <c:v>6.15</c:v>
                </c:pt>
                <c:pt idx="25">
                  <c:v>5.8</c:v>
                </c:pt>
                <c:pt idx="26">
                  <c:v>5.84</c:v>
                </c:pt>
                <c:pt idx="27">
                  <c:v>5.95</c:v>
                </c:pt>
                <c:pt idx="28">
                  <c:v>5.83</c:v>
                </c:pt>
                <c:pt idx="29">
                  <c:v>5.84</c:v>
                </c:pt>
                <c:pt idx="30">
                  <c:v>5.81</c:v>
                </c:pt>
                <c:pt idx="31">
                  <c:v>5.83</c:v>
                </c:pt>
                <c:pt idx="32">
                  <c:v>5.68</c:v>
                </c:pt>
                <c:pt idx="33">
                  <c:v>5.59</c:v>
                </c:pt>
                <c:pt idx="34">
                  <c:v>5.5</c:v>
                </c:pt>
                <c:pt idx="35">
                  <c:v>5.56</c:v>
                </c:pt>
                <c:pt idx="36">
                  <c:v>5.55</c:v>
                </c:pt>
                <c:pt idx="37">
                  <c:v>5.54</c:v>
                </c:pt>
                <c:pt idx="38">
                  <c:v>5.33</c:v>
                </c:pt>
                <c:pt idx="39">
                  <c:v>5.27</c:v>
                </c:pt>
                <c:pt idx="40">
                  <c:v>5.1100000000000003</c:v>
                </c:pt>
                <c:pt idx="41">
                  <c:v>4.87</c:v>
                </c:pt>
                <c:pt idx="42">
                  <c:v>3.3</c:v>
                </c:pt>
                <c:pt idx="43">
                  <c:v>4.58</c:v>
                </c:pt>
                <c:pt idx="44">
                  <c:v>4.3899999999999997</c:v>
                </c:pt>
                <c:pt idx="45">
                  <c:v>4.28</c:v>
                </c:pt>
                <c:pt idx="46">
                  <c:v>4.3099999999999996</c:v>
                </c:pt>
                <c:pt idx="47">
                  <c:v>5.03</c:v>
                </c:pt>
                <c:pt idx="48">
                  <c:v>5.49</c:v>
                </c:pt>
                <c:pt idx="49">
                  <c:v>5.56</c:v>
                </c:pt>
                <c:pt idx="50">
                  <c:v>5.54</c:v>
                </c:pt>
                <c:pt idx="51">
                  <c:v>5.54</c:v>
                </c:pt>
                <c:pt idx="52">
                  <c:v>6.71</c:v>
                </c:pt>
                <c:pt idx="53">
                  <c:v>6.5</c:v>
                </c:pt>
                <c:pt idx="54">
                  <c:v>6.93</c:v>
                </c:pt>
                <c:pt idx="55">
                  <c:v>7.3</c:v>
                </c:pt>
              </c:numCache>
            </c:numRef>
          </c:val>
          <c:smooth val="0"/>
          <c:extLst>
            <c:ext xmlns:c16="http://schemas.microsoft.com/office/drawing/2014/chart" uri="{C3380CC4-5D6E-409C-BE32-E72D297353CC}">
              <c16:uniqueId val="{00000001-AEBB-4DCA-AD04-020F1F21424F}"/>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Sheet1!$D$2:$D$58</c:f>
              <c:numCache>
                <c:formatCode>#,##0.0</c:formatCode>
                <c:ptCount val="57"/>
                <c:pt idx="0">
                  <c:v>7.7614999999999998</c:v>
                </c:pt>
                <c:pt idx="1">
                  <c:v>7.6989999999999998</c:v>
                </c:pt>
                <c:pt idx="2">
                  <c:v>7.2957999999999998</c:v>
                </c:pt>
                <c:pt idx="3">
                  <c:v>7.0052000000000003</c:v>
                </c:pt>
                <c:pt idx="4">
                  <c:v>6.7395000000000005</c:v>
                </c:pt>
                <c:pt idx="5">
                  <c:v>6.7240000000000002</c:v>
                </c:pt>
                <c:pt idx="6">
                  <c:v>6.4492000000000003</c:v>
                </c:pt>
                <c:pt idx="7">
                  <c:v>6.4047000000000001</c:v>
                </c:pt>
                <c:pt idx="8">
                  <c:v>6.2876000000000003</c:v>
                </c:pt>
                <c:pt idx="9">
                  <c:v>6.1492000000000004</c:v>
                </c:pt>
                <c:pt idx="10">
                  <c:v>6.0979999999999999</c:v>
                </c:pt>
                <c:pt idx="11">
                  <c:v>6.0979999999999999</c:v>
                </c:pt>
                <c:pt idx="12">
                  <c:v>6.1689999999999996</c:v>
                </c:pt>
                <c:pt idx="13">
                  <c:v>6.1475999999999997</c:v>
                </c:pt>
                <c:pt idx="14">
                  <c:v>6.1622000000000003</c:v>
                </c:pt>
                <c:pt idx="15">
                  <c:v>6.1551999999999998</c:v>
                </c:pt>
                <c:pt idx="16">
                  <c:v>6.2244999999999999</c:v>
                </c:pt>
                <c:pt idx="17">
                  <c:v>6.2295999999999996</c:v>
                </c:pt>
                <c:pt idx="18">
                  <c:v>6.2680999999999996</c:v>
                </c:pt>
                <c:pt idx="19">
                  <c:v>6.2766000000000002</c:v>
                </c:pt>
                <c:pt idx="20">
                  <c:v>6.2794999999999996</c:v>
                </c:pt>
                <c:pt idx="21">
                  <c:v>6.2557</c:v>
                </c:pt>
                <c:pt idx="22">
                  <c:v>6.2257999999999996</c:v>
                </c:pt>
                <c:pt idx="23">
                  <c:v>6.2268999999999997</c:v>
                </c:pt>
                <c:pt idx="24">
                  <c:v>6.2257999999999996</c:v>
                </c:pt>
                <c:pt idx="25">
                  <c:v>6.2496999999999998</c:v>
                </c:pt>
                <c:pt idx="26">
                  <c:v>6.1811999999999996</c:v>
                </c:pt>
                <c:pt idx="27">
                  <c:v>6.1741999999999999</c:v>
                </c:pt>
                <c:pt idx="28">
                  <c:v>6.0544000000000002</c:v>
                </c:pt>
                <c:pt idx="29">
                  <c:v>6.0544000000000002</c:v>
                </c:pt>
                <c:pt idx="30">
                  <c:v>6.1539999999999999</c:v>
                </c:pt>
                <c:pt idx="31">
                  <c:v>5.9701000000000004</c:v>
                </c:pt>
                <c:pt idx="32">
                  <c:v>5.9745999999999997</c:v>
                </c:pt>
                <c:pt idx="33">
                  <c:v>5.8437999999999999</c:v>
                </c:pt>
                <c:pt idx="34">
                  <c:v>5.7622</c:v>
                </c:pt>
                <c:pt idx="35">
                  <c:v>5.7070999999999996</c:v>
                </c:pt>
                <c:pt idx="36" formatCode="0.0">
                  <c:v>5.6117749999999997</c:v>
                </c:pt>
                <c:pt idx="37" formatCode="0.0">
                  <c:v>5.5589009999999996</c:v>
                </c:pt>
                <c:pt idx="38" formatCode="0.0">
                  <c:v>5.5941828200000003</c:v>
                </c:pt>
                <c:pt idx="39" formatCode="0.0">
                  <c:v>5.7322329999999999</c:v>
                </c:pt>
                <c:pt idx="40" formatCode="0.0">
                  <c:v>5.7526204545454549</c:v>
                </c:pt>
                <c:pt idx="41" formatCode="0.0">
                  <c:v>5.7470333333333334</c:v>
                </c:pt>
                <c:pt idx="42" formatCode="0.0">
                  <c:v>5.6</c:v>
                </c:pt>
                <c:pt idx="43" formatCode="0.0">
                  <c:v>5.6621024092801902</c:v>
                </c:pt>
                <c:pt idx="44" formatCode="0.0">
                  <c:v>5.6617125000000001</c:v>
                </c:pt>
                <c:pt idx="45" formatCode="0.0">
                  <c:v>5.7126151515151511</c:v>
                </c:pt>
                <c:pt idx="46" formatCode="0.0">
                  <c:v>5.9</c:v>
                </c:pt>
                <c:pt idx="47" formatCode="0.0">
                  <c:v>6.1296879687499999</c:v>
                </c:pt>
                <c:pt idx="48" formatCode="0.0">
                  <c:v>6.8925232558139538</c:v>
                </c:pt>
                <c:pt idx="49" formatCode="0.0">
                  <c:v>6.8010142857142855</c:v>
                </c:pt>
                <c:pt idx="50" formatCode="0.0">
                  <c:v>6.8712428571428568</c:v>
                </c:pt>
                <c:pt idx="51" formatCode="0.0">
                  <c:v>6.8708857142857145</c:v>
                </c:pt>
                <c:pt idx="52" formatCode="0.0">
                  <c:v>7.0861142857142854</c:v>
                </c:pt>
                <c:pt idx="53">
                  <c:v>7.4</c:v>
                </c:pt>
                <c:pt idx="54" formatCode="0.0">
                  <c:v>7.9</c:v>
                </c:pt>
              </c:numCache>
            </c:numRef>
          </c:val>
          <c:smooth val="0"/>
          <c:extLst>
            <c:ext xmlns:c16="http://schemas.microsoft.com/office/drawing/2014/chart" uri="{C3380CC4-5D6E-409C-BE32-E72D297353CC}">
              <c16:uniqueId val="{00000002-AEBB-4DCA-AD04-020F1F21424F}"/>
            </c:ext>
          </c:extLst>
        </c:ser>
        <c:dLbls>
          <c:showLegendKey val="0"/>
          <c:showVal val="0"/>
          <c:showCatName val="0"/>
          <c:showSerName val="0"/>
          <c:showPercent val="0"/>
          <c:showBubbleSize val="0"/>
        </c:dLbls>
        <c:smooth val="0"/>
        <c:axId val="331182080"/>
        <c:axId val="331183616"/>
      </c:lineChart>
      <c:catAx>
        <c:axId val="3311820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331183616"/>
        <c:crosses val="autoZero"/>
        <c:auto val="1"/>
        <c:lblAlgn val="ctr"/>
        <c:lblOffset val="100"/>
        <c:noMultiLvlLbl val="0"/>
      </c:catAx>
      <c:valAx>
        <c:axId val="331183616"/>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33118208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hy-AM"/>
              <a:t>ԿԲ գործառնություններ, մլն դրամ</a:t>
            </a:r>
            <a:endParaRPr lang="en-US"/>
          </a:p>
        </c:rich>
      </c:tx>
      <c:overlay val="0"/>
      <c:spPr>
        <a:noFill/>
        <a:ln>
          <a:noFill/>
        </a:ln>
        <a:effectLst/>
      </c:spPr>
    </c:title>
    <c:autoTitleDeleted val="0"/>
    <c:plotArea>
      <c:layout>
        <c:manualLayout>
          <c:layoutTarget val="inner"/>
          <c:xMode val="edge"/>
          <c:yMode val="edge"/>
          <c:x val="0.19427659505524772"/>
          <c:y val="0.14718253968253969"/>
          <c:w val="0.76045591523281864"/>
          <c:h val="0.49661948506436815"/>
        </c:manualLayout>
      </c:layout>
      <c:areaChart>
        <c:grouping val="standard"/>
        <c:varyColors val="0"/>
        <c:ser>
          <c:idx val="0"/>
          <c:order val="0"/>
          <c:tx>
            <c:strRef>
              <c:f>Sheet1!$B$1</c:f>
              <c:strCache>
                <c:ptCount val="1"/>
                <c:pt idx="0">
                  <c:v>Ռեպո համաձայնագրեր</c:v>
                </c:pt>
              </c:strCache>
            </c:strRef>
          </c:tx>
          <c:spPr>
            <a:solidFill>
              <a:schemeClr val="accent1"/>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Sheet1!$B$2:$B$59</c:f>
              <c:numCache>
                <c:formatCode>#,##0</c:formatCode>
                <c:ptCount val="56"/>
                <c:pt idx="0">
                  <c:v>10010.340092</c:v>
                </c:pt>
                <c:pt idx="1">
                  <c:v>10010.026423000001</c:v>
                </c:pt>
                <c:pt idx="2">
                  <c:v>30010.117534000001</c:v>
                </c:pt>
                <c:pt idx="3">
                  <c:v>4963.1806969999998</c:v>
                </c:pt>
                <c:pt idx="4">
                  <c:v>0</c:v>
                </c:pt>
                <c:pt idx="5">
                  <c:v>28708.224384000001</c:v>
                </c:pt>
                <c:pt idx="6">
                  <c:v>0</c:v>
                </c:pt>
                <c:pt idx="7">
                  <c:v>0</c:v>
                </c:pt>
                <c:pt idx="8">
                  <c:v>8003.984657</c:v>
                </c:pt>
                <c:pt idx="9">
                  <c:v>10009.918903999998</c:v>
                </c:pt>
                <c:pt idx="10">
                  <c:v>15002.515936</c:v>
                </c:pt>
                <c:pt idx="11">
                  <c:v>36918.863013999995</c:v>
                </c:pt>
                <c:pt idx="12">
                  <c:v>3100</c:v>
                </c:pt>
                <c:pt idx="13">
                  <c:v>0</c:v>
                </c:pt>
                <c:pt idx="14">
                  <c:v>23007.619178000001</c:v>
                </c:pt>
                <c:pt idx="15">
                  <c:v>31752.306124999999</c:v>
                </c:pt>
                <c:pt idx="16">
                  <c:v>9601.6037530000012</c:v>
                </c:pt>
                <c:pt idx="17">
                  <c:v>55427.193009000002</c:v>
                </c:pt>
                <c:pt idx="18">
                  <c:v>67770.798931999991</c:v>
                </c:pt>
                <c:pt idx="19">
                  <c:v>66187.783616999994</c:v>
                </c:pt>
                <c:pt idx="20">
                  <c:v>120590.769421</c:v>
                </c:pt>
                <c:pt idx="21">
                  <c:v>90000</c:v>
                </c:pt>
                <c:pt idx="22">
                  <c:v>120040.73906399999</c:v>
                </c:pt>
                <c:pt idx="23">
                  <c:v>163433.11258099999</c:v>
                </c:pt>
                <c:pt idx="24">
                  <c:v>180879.100263</c:v>
                </c:pt>
                <c:pt idx="25">
                  <c:v>180073.80962700001</c:v>
                </c:pt>
                <c:pt idx="26">
                  <c:v>220323.28971799999</c:v>
                </c:pt>
                <c:pt idx="27">
                  <c:v>260627.031609</c:v>
                </c:pt>
                <c:pt idx="28">
                  <c:v>190557.54955299999</c:v>
                </c:pt>
                <c:pt idx="29">
                  <c:v>190642.649512</c:v>
                </c:pt>
                <c:pt idx="30">
                  <c:v>170338.63131</c:v>
                </c:pt>
                <c:pt idx="31">
                  <c:v>150411.26994500001</c:v>
                </c:pt>
                <c:pt idx="32">
                  <c:v>150458.40972699999</c:v>
                </c:pt>
                <c:pt idx="33">
                  <c:v>108677.600792</c:v>
                </c:pt>
                <c:pt idx="34">
                  <c:v>65252.792568999997</c:v>
                </c:pt>
                <c:pt idx="35">
                  <c:v>126669.77420100001</c:v>
                </c:pt>
                <c:pt idx="36">
                  <c:v>130040.291826</c:v>
                </c:pt>
                <c:pt idx="37">
                  <c:v>70032.156334999992</c:v>
                </c:pt>
                <c:pt idx="38">
                  <c:v>150133.33468200002</c:v>
                </c:pt>
                <c:pt idx="39">
                  <c:v>195027.59827900003</c:v>
                </c:pt>
                <c:pt idx="40">
                  <c:v>196812.30303499999</c:v>
                </c:pt>
                <c:pt idx="41">
                  <c:v>211932.343544</c:v>
                </c:pt>
                <c:pt idx="42">
                  <c:v>188727.39449000001</c:v>
                </c:pt>
                <c:pt idx="43" formatCode="_(* #,##0_);_(* \(#,##0\);_(* &quot;-&quot;??_);_(@_)">
                  <c:v>180135.432875</c:v>
                </c:pt>
                <c:pt idx="44">
                  <c:v>227400</c:v>
                </c:pt>
                <c:pt idx="45">
                  <c:v>307708.74209200003</c:v>
                </c:pt>
                <c:pt idx="46">
                  <c:v>342952.311024</c:v>
                </c:pt>
                <c:pt idx="47">
                  <c:v>345952.76940399996</c:v>
                </c:pt>
                <c:pt idx="48">
                  <c:v>331195.47828699998</c:v>
                </c:pt>
                <c:pt idx="49">
                  <c:v>280172.25124100002</c:v>
                </c:pt>
                <c:pt idx="50">
                  <c:v>348800</c:v>
                </c:pt>
                <c:pt idx="51">
                  <c:v>325640.89985300007</c:v>
                </c:pt>
                <c:pt idx="52">
                  <c:v>511413.94006599998</c:v>
                </c:pt>
                <c:pt idx="53" formatCode="_(* #,##0_);_(* \(#,##0\);_(* &quot;-&quot;??_);_(@_)">
                  <c:v>467900</c:v>
                </c:pt>
                <c:pt idx="54">
                  <c:v>512281.65530299995</c:v>
                </c:pt>
                <c:pt idx="55" formatCode="_(* #,##0_);_(* \(#,##0\);_(* &quot;-&quot;??_);_(@_)">
                  <c:v>450506.50596700003</c:v>
                </c:pt>
              </c:numCache>
              <c:extLst/>
            </c:numRef>
          </c:val>
          <c:extLst>
            <c:ext xmlns:c16="http://schemas.microsoft.com/office/drawing/2014/chart" uri="{C3380CC4-5D6E-409C-BE32-E72D297353CC}">
              <c16:uniqueId val="{00000000-74B0-41A4-AF3D-3B64005E9FA4}"/>
            </c:ext>
          </c:extLst>
        </c:ser>
        <c:ser>
          <c:idx val="1"/>
          <c:order val="1"/>
          <c:tx>
            <c:strRef>
              <c:f>Sheet1!$C$1</c:f>
              <c:strCache>
                <c:ptCount val="1"/>
                <c:pt idx="0">
                  <c:v>Արտարժույթի ներգրավման սվոփ</c:v>
                </c:pt>
              </c:strCache>
            </c:strRef>
          </c:tx>
          <c:spPr>
            <a:solidFill>
              <a:schemeClr val="accent2"/>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Sheet1!$C$2:$C$59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10007.649315000001</c:v>
                </c:pt>
                <c:pt idx="15">
                  <c:v>25025.623835999999</c:v>
                </c:pt>
                <c:pt idx="16">
                  <c:v>9601.6037530000012</c:v>
                </c:pt>
                <c:pt idx="17">
                  <c:v>0</c:v>
                </c:pt>
                <c:pt idx="18">
                  <c:v>0</c:v>
                </c:pt>
                <c:pt idx="19">
                  <c:v>0</c:v>
                </c:pt>
                <c:pt idx="20">
                  <c:v>0</c:v>
                </c:pt>
                <c:pt idx="21">
                  <c:v>0</c:v>
                </c:pt>
                <c:pt idx="22">
                  <c:v>0</c:v>
                </c:pt>
                <c:pt idx="23">
                  <c:v>5351.1608176999998</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numCache>
              <c:extLst/>
            </c:numRef>
          </c:val>
          <c:extLst>
            <c:ext xmlns:c16="http://schemas.microsoft.com/office/drawing/2014/chart" uri="{C3380CC4-5D6E-409C-BE32-E72D297353CC}">
              <c16:uniqueId val="{00000001-74B0-41A4-AF3D-3B64005E9FA4}"/>
            </c:ext>
          </c:extLst>
        </c:ser>
        <c:ser>
          <c:idx val="2"/>
          <c:order val="2"/>
          <c:tx>
            <c:strRef>
              <c:f>Sheet1!$D$1</c:f>
              <c:strCache>
                <c:ptCount val="1"/>
                <c:pt idx="0">
                  <c:v>Ավանդներ </c:v>
                </c:pt>
              </c:strCache>
            </c:strRef>
          </c:tx>
          <c:spPr>
            <a:solidFill>
              <a:schemeClr val="accent3"/>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Sheet1!$D$2:$D$59</c:f>
              <c:numCache>
                <c:formatCode>#,##0</c:formatCode>
                <c:ptCount val="56"/>
                <c:pt idx="0">
                  <c:v>0</c:v>
                </c:pt>
                <c:pt idx="1">
                  <c:v>0</c:v>
                </c:pt>
                <c:pt idx="2">
                  <c:v>-5300.6534247</c:v>
                </c:pt>
                <c:pt idx="3">
                  <c:v>-1500.5547945000001</c:v>
                </c:pt>
                <c:pt idx="4">
                  <c:v>-14001.7260274</c:v>
                </c:pt>
                <c:pt idx="5">
                  <c:v>-1200.1479451999999</c:v>
                </c:pt>
                <c:pt idx="6">
                  <c:v>-38004.6849315</c:v>
                </c:pt>
                <c:pt idx="7">
                  <c:v>-36504.500000100001</c:v>
                </c:pt>
                <c:pt idx="8">
                  <c:v>-3000.7397259999998</c:v>
                </c:pt>
                <c:pt idx="9">
                  <c:v>0</c:v>
                </c:pt>
                <c:pt idx="10">
                  <c:v>0</c:v>
                </c:pt>
                <c:pt idx="11">
                  <c:v>-66024.410958799999</c:v>
                </c:pt>
                <c:pt idx="12">
                  <c:v>0</c:v>
                </c:pt>
                <c:pt idx="13">
                  <c:v>-4000.4931507000001</c:v>
                </c:pt>
                <c:pt idx="14">
                  <c:v>0</c:v>
                </c:pt>
                <c:pt idx="15">
                  <c:v>0</c:v>
                </c:pt>
                <c:pt idx="16">
                  <c:v>0</c:v>
                </c:pt>
                <c:pt idx="17">
                  <c:v>0</c:v>
                </c:pt>
                <c:pt idx="18">
                  <c:v>0</c:v>
                </c:pt>
                <c:pt idx="19">
                  <c:v>0</c:v>
                </c:pt>
                <c:pt idx="20">
                  <c:v>0</c:v>
                </c:pt>
                <c:pt idx="21">
                  <c:v>0</c:v>
                </c:pt>
                <c:pt idx="22">
                  <c:v>0</c:v>
                </c:pt>
                <c:pt idx="23">
                  <c:v>-12306.0657534</c:v>
                </c:pt>
                <c:pt idx="24">
                  <c:v>0</c:v>
                </c:pt>
                <c:pt idx="25">
                  <c:v>0</c:v>
                </c:pt>
                <c:pt idx="26">
                  <c:v>0</c:v>
                </c:pt>
                <c:pt idx="27">
                  <c:v>0</c:v>
                </c:pt>
                <c:pt idx="28">
                  <c:v>-6000.6986300999997</c:v>
                </c:pt>
                <c:pt idx="29">
                  <c:v>-5001.7465752999997</c:v>
                </c:pt>
                <c:pt idx="30">
                  <c:v>-4400.5123288000004</c:v>
                </c:pt>
                <c:pt idx="31">
                  <c:v>0</c:v>
                </c:pt>
                <c:pt idx="32">
                  <c:v>-4000.4383561999998</c:v>
                </c:pt>
                <c:pt idx="33">
                  <c:v>-4000.4383561999998</c:v>
                </c:pt>
                <c:pt idx="34">
                  <c:v>-5501.2054795000004</c:v>
                </c:pt>
                <c:pt idx="35">
                  <c:v>-38508.4383561</c:v>
                </c:pt>
                <c:pt idx="36">
                  <c:v>0</c:v>
                </c:pt>
                <c:pt idx="37">
                  <c:v>-2200.4808742999999</c:v>
                </c:pt>
                <c:pt idx="38">
                  <c:v>0</c:v>
                </c:pt>
                <c:pt idx="39">
                  <c:v>0</c:v>
                </c:pt>
                <c:pt idx="40">
                  <c:v>0</c:v>
                </c:pt>
                <c:pt idx="41">
                  <c:v>-3000.2459015999998</c:v>
                </c:pt>
                <c:pt idx="42">
                  <c:v>-1000.0819672</c:v>
                </c:pt>
                <c:pt idx="43">
                  <c:v>0</c:v>
                </c:pt>
                <c:pt idx="44">
                  <c:v>0</c:v>
                </c:pt>
                <c:pt idx="45">
                  <c:v>0</c:v>
                </c:pt>
                <c:pt idx="46">
                  <c:v>0</c:v>
                </c:pt>
                <c:pt idx="47">
                  <c:v>-23404.795081999997</c:v>
                </c:pt>
                <c:pt idx="48">
                  <c:v>0</c:v>
                </c:pt>
                <c:pt idx="49">
                  <c:v>0</c:v>
                </c:pt>
                <c:pt idx="50">
                  <c:v>0</c:v>
                </c:pt>
                <c:pt idx="51">
                  <c:v>-6000.6575341999996</c:v>
                </c:pt>
                <c:pt idx="52">
                  <c:v>0</c:v>
                </c:pt>
                <c:pt idx="53">
                  <c:v>0</c:v>
                </c:pt>
                <c:pt idx="54">
                  <c:v>0</c:v>
                </c:pt>
                <c:pt idx="55">
                  <c:v>0</c:v>
                </c:pt>
              </c:numCache>
              <c:extLst/>
            </c:numRef>
          </c:val>
          <c:extLst>
            <c:ext xmlns:c16="http://schemas.microsoft.com/office/drawing/2014/chart" uri="{C3380CC4-5D6E-409C-BE32-E72D297353CC}">
              <c16:uniqueId val="{00000002-74B0-41A4-AF3D-3B64005E9FA4}"/>
            </c:ext>
          </c:extLst>
        </c:ser>
        <c:ser>
          <c:idx val="3"/>
          <c:order val="3"/>
          <c:tx>
            <c:strRef>
              <c:f>Sheet1!$E$1</c:f>
              <c:strCache>
                <c:ptCount val="1"/>
                <c:pt idx="0">
                  <c:v>Հակադարձ ռեպո</c:v>
                </c:pt>
              </c:strCache>
            </c:strRef>
          </c:tx>
          <c:spPr>
            <a:solidFill>
              <a:schemeClr val="accent4"/>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Sheet1!$E$2:$E$59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numCache>
              <c:extLst/>
            </c:numRef>
          </c:val>
          <c:extLst>
            <c:ext xmlns:c16="http://schemas.microsoft.com/office/drawing/2014/chart" uri="{C3380CC4-5D6E-409C-BE32-E72D297353CC}">
              <c16:uniqueId val="{00000003-74B0-41A4-AF3D-3B64005E9FA4}"/>
            </c:ext>
          </c:extLst>
        </c:ser>
        <c:ser>
          <c:idx val="4"/>
          <c:order val="4"/>
          <c:tx>
            <c:strRef>
              <c:f>Sheet1!$F$1</c:f>
              <c:strCache>
                <c:ptCount val="1"/>
                <c:pt idx="0">
                  <c:v>Արտարժույթի տրամադրման սվոփ</c:v>
                </c:pt>
              </c:strCache>
            </c:strRef>
          </c:tx>
          <c:spPr>
            <a:solidFill>
              <a:schemeClr val="accent5"/>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Sheet1!$F$2:$F$59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-17699.178399999997</c:v>
                </c:pt>
                <c:pt idx="17">
                  <c:v>-12087.536472600001</c:v>
                </c:pt>
                <c:pt idx="18">
                  <c:v>-8697.4428230000012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-25957.6985981</c:v>
                </c:pt>
                <c:pt idx="39">
                  <c:v>-15287.9520557</c:v>
                </c:pt>
                <c:pt idx="40">
                  <c:v>-3415.8190572000003</c:v>
                </c:pt>
                <c:pt idx="41">
                  <c:v>0</c:v>
                </c:pt>
                <c:pt idx="42">
                  <c:v>0</c:v>
                </c:pt>
                <c:pt idx="43">
                  <c:v>0</c:v>
                </c:pt>
                <c:pt idx="44">
                  <c:v>0</c:v>
                </c:pt>
                <c:pt idx="45">
                  <c:v>-59722.940125399997</c:v>
                </c:pt>
                <c:pt idx="46">
                  <c:v>-57154.534907699999</c:v>
                </c:pt>
                <c:pt idx="47">
                  <c:v>-13919.4597567</c:v>
                </c:pt>
                <c:pt idx="48">
                  <c:v>-11299.9003046</c:v>
                </c:pt>
                <c:pt idx="49">
                  <c:v>-8625.1443165000001</c:v>
                </c:pt>
                <c:pt idx="50">
                  <c:v>-8707.7795429999987</c:v>
                </c:pt>
                <c:pt idx="51">
                  <c:v>-6234</c:v>
                </c:pt>
                <c:pt idx="52">
                  <c:v>-3133.0291233000003</c:v>
                </c:pt>
                <c:pt idx="53">
                  <c:v>0</c:v>
                </c:pt>
                <c:pt idx="54">
                  <c:v>0</c:v>
                </c:pt>
                <c:pt idx="55">
                  <c:v>0</c:v>
                </c:pt>
              </c:numCache>
              <c:extLst/>
            </c:numRef>
          </c:val>
          <c:extLst>
            <c:ext xmlns:c16="http://schemas.microsoft.com/office/drawing/2014/chart" uri="{C3380CC4-5D6E-409C-BE32-E72D297353CC}">
              <c16:uniqueId val="{00000004-74B0-41A4-AF3D-3B64005E9FA4}"/>
            </c:ext>
          </c:extLst>
        </c:ser>
        <c:dLbls>
          <c:showLegendKey val="0"/>
          <c:showVal val="0"/>
          <c:showCatName val="0"/>
          <c:showSerName val="0"/>
          <c:showPercent val="0"/>
          <c:showBubbleSize val="0"/>
        </c:dLbls>
        <c:axId val="427144704"/>
        <c:axId val="427146240"/>
      </c:areaChart>
      <c:lineChart>
        <c:grouping val="standard"/>
        <c:varyColors val="0"/>
        <c:ser>
          <c:idx val="5"/>
          <c:order val="5"/>
          <c:tx>
            <c:strRef>
              <c:f>Sheet1!$G$1</c:f>
              <c:strCache>
                <c:ptCount val="1"/>
                <c:pt idx="0">
                  <c:v>Զուտ իրացվելիության տրամադրում</c:v>
                </c:pt>
              </c:strCache>
            </c:strRef>
          </c:tx>
          <c:spPr>
            <a:ln w="28575" cap="rnd">
              <a:solidFill>
                <a:srgbClr val="C00000"/>
              </a:solidFill>
              <a:round/>
            </a:ln>
            <a:effectLst/>
          </c:spPr>
          <c:marker>
            <c:symbol val="none"/>
          </c:marker>
          <c:cat>
            <c:strRef>
              <c:f>Sheet1!$A$2:$A$59</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Sheet1!$G$2:$G$59</c:f>
              <c:numCache>
                <c:formatCode>#,##0</c:formatCode>
                <c:ptCount val="56"/>
                <c:pt idx="0">
                  <c:v>10010.340092</c:v>
                </c:pt>
                <c:pt idx="1">
                  <c:v>10010.026423000001</c:v>
                </c:pt>
                <c:pt idx="2">
                  <c:v>24709.464109300003</c:v>
                </c:pt>
                <c:pt idx="3">
                  <c:v>3462.6259024999999</c:v>
                </c:pt>
                <c:pt idx="4">
                  <c:v>-14001.7260274</c:v>
                </c:pt>
                <c:pt idx="5">
                  <c:v>27508.076438800003</c:v>
                </c:pt>
                <c:pt idx="6">
                  <c:v>-38004.6849315</c:v>
                </c:pt>
                <c:pt idx="7">
                  <c:v>-36504.500000100001</c:v>
                </c:pt>
                <c:pt idx="8">
                  <c:v>5003.2449310000002</c:v>
                </c:pt>
                <c:pt idx="9">
                  <c:v>10009.918903999998</c:v>
                </c:pt>
                <c:pt idx="10">
                  <c:v>15002.515936</c:v>
                </c:pt>
                <c:pt idx="11">
                  <c:v>-29105.547944800004</c:v>
                </c:pt>
                <c:pt idx="12">
                  <c:v>3100</c:v>
                </c:pt>
                <c:pt idx="13">
                  <c:v>-4000.4931507000001</c:v>
                </c:pt>
                <c:pt idx="14">
                  <c:v>33015.268493000003</c:v>
                </c:pt>
                <c:pt idx="15">
                  <c:v>56777.929961000002</c:v>
                </c:pt>
                <c:pt idx="16">
                  <c:v>1504.0291060000054</c:v>
                </c:pt>
                <c:pt idx="17">
                  <c:v>43339.656536399998</c:v>
                </c:pt>
                <c:pt idx="18">
                  <c:v>59073.356108999986</c:v>
                </c:pt>
                <c:pt idx="19">
                  <c:v>66187.783616999994</c:v>
                </c:pt>
                <c:pt idx="20">
                  <c:v>120590.769421</c:v>
                </c:pt>
                <c:pt idx="21">
                  <c:v>90000</c:v>
                </c:pt>
                <c:pt idx="22">
                  <c:v>120040.73906399999</c:v>
                </c:pt>
                <c:pt idx="23">
                  <c:v>156478.20764529999</c:v>
                </c:pt>
                <c:pt idx="24">
                  <c:v>180879.100263</c:v>
                </c:pt>
                <c:pt idx="25">
                  <c:v>180073.80962700001</c:v>
                </c:pt>
                <c:pt idx="26">
                  <c:v>220323.28971799999</c:v>
                </c:pt>
                <c:pt idx="27">
                  <c:v>260627.031609</c:v>
                </c:pt>
                <c:pt idx="28">
                  <c:v>184556.85092289999</c:v>
                </c:pt>
                <c:pt idx="29">
                  <c:v>185640.9029367</c:v>
                </c:pt>
                <c:pt idx="30">
                  <c:v>165938.11898120001</c:v>
                </c:pt>
                <c:pt idx="31">
                  <c:v>150411.26994500001</c:v>
                </c:pt>
                <c:pt idx="32">
                  <c:v>146457.97137079999</c:v>
                </c:pt>
                <c:pt idx="33">
                  <c:v>104677.1624358</c:v>
                </c:pt>
                <c:pt idx="34">
                  <c:v>59751.587089499997</c:v>
                </c:pt>
                <c:pt idx="35">
                  <c:v>88161.335844899993</c:v>
                </c:pt>
                <c:pt idx="36">
                  <c:v>130040.291826</c:v>
                </c:pt>
                <c:pt idx="37">
                  <c:v>67831.675460699989</c:v>
                </c:pt>
                <c:pt idx="38">
                  <c:v>124175.63608390001</c:v>
                </c:pt>
                <c:pt idx="39">
                  <c:v>179739.64622330002</c:v>
                </c:pt>
                <c:pt idx="40">
                  <c:v>193396.4839778</c:v>
                </c:pt>
                <c:pt idx="41">
                  <c:v>208932.09764240001</c:v>
                </c:pt>
                <c:pt idx="42">
                  <c:v>187727.3125228</c:v>
                </c:pt>
                <c:pt idx="43">
                  <c:v>180135.432875</c:v>
                </c:pt>
                <c:pt idx="44">
                  <c:v>227400</c:v>
                </c:pt>
                <c:pt idx="45">
                  <c:v>247985.80196660003</c:v>
                </c:pt>
                <c:pt idx="46">
                  <c:v>285797.77611630003</c:v>
                </c:pt>
                <c:pt idx="47">
                  <c:v>308628.51456529996</c:v>
                </c:pt>
                <c:pt idx="48">
                  <c:v>319895.57798239996</c:v>
                </c:pt>
                <c:pt idx="49">
                  <c:v>271547.10692450003</c:v>
                </c:pt>
                <c:pt idx="50">
                  <c:v>340092.22045700002</c:v>
                </c:pt>
                <c:pt idx="51">
                  <c:v>313406.24231880007</c:v>
                </c:pt>
                <c:pt idx="52">
                  <c:v>508280.91094269999</c:v>
                </c:pt>
                <c:pt idx="53">
                  <c:v>467900</c:v>
                </c:pt>
                <c:pt idx="54">
                  <c:v>512281.65530299995</c:v>
                </c:pt>
                <c:pt idx="55">
                  <c:v>450506.50596700003</c:v>
                </c:pt>
              </c:numCache>
              <c:extLst/>
            </c:numRef>
          </c:val>
          <c:smooth val="0"/>
          <c:extLst>
            <c:ext xmlns:c16="http://schemas.microsoft.com/office/drawing/2014/chart" uri="{C3380CC4-5D6E-409C-BE32-E72D297353CC}">
              <c16:uniqueId val="{00000005-74B0-41A4-AF3D-3B64005E9FA4}"/>
            </c:ext>
          </c:extLst>
        </c:ser>
        <c:dLbls>
          <c:showLegendKey val="0"/>
          <c:showVal val="0"/>
          <c:showCatName val="0"/>
          <c:showSerName val="0"/>
          <c:showPercent val="0"/>
          <c:showBubbleSize val="0"/>
        </c:dLbls>
        <c:marker val="1"/>
        <c:smooth val="0"/>
        <c:axId val="427144704"/>
        <c:axId val="427146240"/>
      </c:lineChart>
      <c:catAx>
        <c:axId val="427144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n-US"/>
          </a:p>
        </c:txPr>
        <c:crossAx val="427146240"/>
        <c:crosses val="autoZero"/>
        <c:auto val="1"/>
        <c:lblAlgn val="ctr"/>
        <c:lblOffset val="100"/>
        <c:tickMarkSkip val="3"/>
        <c:noMultiLvlLbl val="0"/>
      </c:catAx>
      <c:valAx>
        <c:axId val="4271462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427144704"/>
        <c:crossesAt val="1"/>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3405268785846284E-2"/>
          <c:y val="0.66091578995217015"/>
          <c:w val="0.95318946242830915"/>
          <c:h val="0.31527478244180346"/>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169235610393543E-2"/>
          <c:y val="3.0334753237812487E-2"/>
          <c:w val="0.90957384583435741"/>
          <c:h val="0.87375672303257179"/>
        </c:manualLayout>
      </c:layout>
      <c:areaChart>
        <c:grouping val="stacked"/>
        <c:varyColors val="0"/>
        <c:ser>
          <c:idx val="0"/>
          <c:order val="0"/>
          <c:tx>
            <c:strRef>
              <c:f>[GDP_GR_Fanchard.xlsx]Fanchart.24.09!$B$3</c:f>
              <c:strCache>
                <c:ptCount val="1"/>
              </c:strCache>
            </c:strRef>
          </c:tx>
          <c:spPr>
            <a:no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[GDP_GR_Fanchard.xlsx]Fanchart.24.09!$B$4:$B$55</c:f>
              <c:numCache>
                <c:formatCode>0.0</c:formatCode>
                <c:ptCount val="12"/>
                <c:pt idx="0">
                  <c:v>7.5594540907032695</c:v>
                </c:pt>
                <c:pt idx="1">
                  <c:v>5.1738939407217828</c:v>
                </c:pt>
                <c:pt idx="2">
                  <c:v>7.6277404285831381</c:v>
                </c:pt>
                <c:pt idx="3">
                  <c:v>-7.4254086121228227</c:v>
                </c:pt>
                <c:pt idx="4">
                  <c:v>-3.3266129032257936</c:v>
                </c:pt>
                <c:pt idx="5">
                  <c:v>4.9823855057876472</c:v>
                </c:pt>
                <c:pt idx="6">
                  <c:v>3.4210932777548591</c:v>
                </c:pt>
                <c:pt idx="7">
                  <c:v>3.2712262308756119</c:v>
                </c:pt>
                <c:pt idx="8">
                  <c:v>0.98329203763415673</c:v>
                </c:pt>
                <c:pt idx="9">
                  <c:v>0.48261357754368461</c:v>
                </c:pt>
                <c:pt idx="10">
                  <c:v>0.22936326964434883</c:v>
                </c:pt>
                <c:pt idx="11">
                  <c:v>-0.18856331756717459</c:v>
                </c:pt>
              </c:numCache>
            </c:numRef>
          </c:val>
          <c:extLst>
            <c:ext xmlns:c16="http://schemas.microsoft.com/office/drawing/2014/chart" uri="{C3380CC4-5D6E-409C-BE32-E72D297353CC}">
              <c16:uniqueId val="{00000000-C27C-4941-A620-7A52A385A216}"/>
            </c:ext>
          </c:extLst>
        </c:ser>
        <c:ser>
          <c:idx val="1"/>
          <c:order val="1"/>
          <c:tx>
            <c:strRef>
              <c:f>[GDP_GR_Fanchard.xlsx]Fanchart.24.09!$C$3</c:f>
              <c:strCache>
                <c:ptCount val="1"/>
              </c:strCache>
            </c:strRef>
          </c:tx>
          <c:spPr>
            <a:solidFill>
              <a:srgbClr val="FF0000">
                <a:alpha val="2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[GDP_GR_Fanchard.xlsx]Fanchart.24.09!$C$4:$C$55</c:f>
              <c:numCache>
                <c:formatCode>General</c:formatCode>
                <c:ptCount val="12"/>
                <c:pt idx="6" formatCode="0.0">
                  <c:v>0.57443099634003625</c:v>
                </c:pt>
                <c:pt idx="7" formatCode="0.0">
                  <c:v>0.71093690427188116</c:v>
                </c:pt>
                <c:pt idx="8" formatCode="0.0">
                  <c:v>1.3289221422467277</c:v>
                </c:pt>
                <c:pt idx="9" formatCode="0.0">
                  <c:v>1.4395079802036355</c:v>
                </c:pt>
                <c:pt idx="10" formatCode="0.0">
                  <c:v>1.495443874683362</c:v>
                </c:pt>
                <c:pt idx="11" formatCode="0.0">
                  <c:v>1.5877521434331419</c:v>
                </c:pt>
              </c:numCache>
            </c:numRef>
          </c:val>
          <c:extLst>
            <c:ext xmlns:c16="http://schemas.microsoft.com/office/drawing/2014/chart" uri="{C3380CC4-5D6E-409C-BE32-E72D297353CC}">
              <c16:uniqueId val="{00000001-C27C-4941-A620-7A52A385A216}"/>
            </c:ext>
          </c:extLst>
        </c:ser>
        <c:ser>
          <c:idx val="2"/>
          <c:order val="2"/>
          <c:tx>
            <c:strRef>
              <c:f>[GDP_GR_Fanchard.xlsx]Fanchart.24.09!$D$3</c:f>
              <c:strCache>
                <c:ptCount val="1"/>
              </c:strCache>
            </c:strRef>
          </c:tx>
          <c:spPr>
            <a:solidFill>
              <a:srgbClr val="FF0000">
                <a:alpha val="3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[GDP_GR_Fanchard.xlsx]Fanchart.24.09!$D$4:$D$55</c:f>
              <c:numCache>
                <c:formatCode>General</c:formatCode>
                <c:ptCount val="12"/>
                <c:pt idx="6" formatCode="0.0">
                  <c:v>0.38756586611335075</c:v>
                </c:pt>
                <c:pt idx="7" formatCode="0.0">
                  <c:v>0.47966575413171419</c:v>
                </c:pt>
                <c:pt idx="8" formatCode="0.0">
                  <c:v>0.89661746030184597</c:v>
                </c:pt>
                <c:pt idx="9" formatCode="0.0">
                  <c:v>0.97122920016392822</c:v>
                </c:pt>
                <c:pt idx="10" formatCode="0.0">
                  <c:v>1.0089688826131455</c:v>
                </c:pt>
                <c:pt idx="11" formatCode="0.0">
                  <c:v>1.0712488333041321</c:v>
                </c:pt>
              </c:numCache>
            </c:numRef>
          </c:val>
          <c:extLst>
            <c:ext xmlns:c16="http://schemas.microsoft.com/office/drawing/2014/chart" uri="{C3380CC4-5D6E-409C-BE32-E72D297353CC}">
              <c16:uniqueId val="{00000002-C27C-4941-A620-7A52A385A216}"/>
            </c:ext>
          </c:extLst>
        </c:ser>
        <c:ser>
          <c:idx val="3"/>
          <c:order val="3"/>
          <c:tx>
            <c:strRef>
              <c:f>[GDP_GR_Fanchard.xlsx]Fanchart.24.09!$E$3</c:f>
              <c:strCache>
                <c:ptCount val="1"/>
              </c:strCache>
            </c:strRef>
          </c:tx>
          <c:spPr>
            <a:solidFill>
              <a:srgbClr val="FF0000">
                <a:alpha val="4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[GDP_GR_Fanchard.xlsx]Fanchart.24.09!$E$4:$E$55</c:f>
              <c:numCache>
                <c:formatCode>General</c:formatCode>
                <c:ptCount val="12"/>
                <c:pt idx="6" formatCode="0.0">
                  <c:v>0.30802506429891174</c:v>
                </c:pt>
                <c:pt idx="7" formatCode="0.0">
                  <c:v>0.38122313567004262</c:v>
                </c:pt>
                <c:pt idx="8" formatCode="0.0">
                  <c:v>0.71260313409599663</c:v>
                </c:pt>
                <c:pt idx="9" formatCode="0.0">
                  <c:v>0.77190217969809272</c:v>
                </c:pt>
                <c:pt idx="10" formatCode="0.0">
                  <c:v>0.80189648293645011</c:v>
                </c:pt>
                <c:pt idx="11" formatCode="0.0">
                  <c:v>0.85139461343103218</c:v>
                </c:pt>
              </c:numCache>
            </c:numRef>
          </c:val>
          <c:extLst>
            <c:ext xmlns:c16="http://schemas.microsoft.com/office/drawing/2014/chart" uri="{C3380CC4-5D6E-409C-BE32-E72D297353CC}">
              <c16:uniqueId val="{00000003-C27C-4941-A620-7A52A385A216}"/>
            </c:ext>
          </c:extLst>
        </c:ser>
        <c:ser>
          <c:idx val="4"/>
          <c:order val="4"/>
          <c:tx>
            <c:strRef>
              <c:f>[GDP_GR_Fanchard.xlsx]Fanchart.24.09!$F$3</c:f>
              <c:strCache>
                <c:ptCount val="1"/>
              </c:strCache>
            </c:strRef>
          </c:tx>
          <c:spPr>
            <a:solidFill>
              <a:srgbClr val="FF0000">
                <a:alpha val="5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[GDP_GR_Fanchard.xlsx]Fanchart.24.09!$F$4:$F$55</c:f>
              <c:numCache>
                <c:formatCode>General</c:formatCode>
                <c:ptCount val="12"/>
                <c:pt idx="6" formatCode="0.0">
                  <c:v>0.26425807809667923</c:v>
                </c:pt>
                <c:pt idx="7" formatCode="0.0">
                  <c:v>0.32705550565325048</c:v>
                </c:pt>
                <c:pt idx="8" formatCode="0.0">
                  <c:v>0.6113500376681662</c:v>
                </c:pt>
                <c:pt idx="9" formatCode="0.0">
                  <c:v>0.66222333870762551</c:v>
                </c:pt>
                <c:pt idx="10" formatCode="0.0">
                  <c:v>0.68795578014273495</c:v>
                </c:pt>
                <c:pt idx="11" formatCode="0.0">
                  <c:v>0.73042076870997619</c:v>
                </c:pt>
              </c:numCache>
            </c:numRef>
          </c:val>
          <c:extLst>
            <c:ext xmlns:c16="http://schemas.microsoft.com/office/drawing/2014/chart" uri="{C3380CC4-5D6E-409C-BE32-E72D297353CC}">
              <c16:uniqueId val="{00000004-C27C-4941-A620-7A52A385A216}"/>
            </c:ext>
          </c:extLst>
        </c:ser>
        <c:ser>
          <c:idx val="5"/>
          <c:order val="5"/>
          <c:tx>
            <c:strRef>
              <c:f>[GDP_GR_Fanchard.xlsx]Fanchart.24.09!$G$3</c:f>
              <c:strCache>
                <c:ptCount val="1"/>
              </c:strCache>
            </c:strRef>
          </c:tx>
          <c:spPr>
            <a:solidFill>
              <a:srgbClr val="FF0000">
                <a:alpha val="6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[GDP_GR_Fanchard.xlsx]Fanchart.24.09!$G$4:$G$55</c:f>
              <c:numCache>
                <c:formatCode>General</c:formatCode>
                <c:ptCount val="12"/>
                <c:pt idx="6" formatCode="0.0">
                  <c:v>0.23731192137006918</c:v>
                </c:pt>
                <c:pt idx="7" formatCode="0.0">
                  <c:v>0.29370595215195916</c:v>
                </c:pt>
                <c:pt idx="8" formatCode="0.0">
                  <c:v>0.54901122839324579</c:v>
                </c:pt>
                <c:pt idx="9" formatCode="0.0">
                  <c:v>0.59469702503214705</c:v>
                </c:pt>
                <c:pt idx="10" formatCode="0.0">
                  <c:v>0.61780555273541182</c:v>
                </c:pt>
                <c:pt idx="11" formatCode="0.0">
                  <c:v>0.65594042490443982</c:v>
                </c:pt>
              </c:numCache>
            </c:numRef>
          </c:val>
          <c:extLst>
            <c:ext xmlns:c16="http://schemas.microsoft.com/office/drawing/2014/chart" uri="{C3380CC4-5D6E-409C-BE32-E72D297353CC}">
              <c16:uniqueId val="{00000005-C27C-4941-A620-7A52A385A216}"/>
            </c:ext>
          </c:extLst>
        </c:ser>
        <c:ser>
          <c:idx val="6"/>
          <c:order val="6"/>
          <c:tx>
            <c:strRef>
              <c:f>[GDP_GR_Fanchard.xlsx]Fanchart.24.09!$H$3</c:f>
              <c:strCache>
                <c:ptCount val="1"/>
              </c:strCache>
            </c:strRef>
          </c:tx>
          <c:spPr>
            <a:solidFill>
              <a:srgbClr val="FF0000">
                <a:alpha val="7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[GDP_GR_Fanchard.xlsx]Fanchart.24.09!$H$4:$H$55</c:f>
              <c:numCache>
                <c:formatCode>General</c:formatCode>
                <c:ptCount val="12"/>
                <c:pt idx="6" formatCode="0.0">
                  <c:v>0.21990486169558476</c:v>
                </c:pt>
                <c:pt idx="7" formatCode="0.0">
                  <c:v>0.27216233560566838</c:v>
                </c:pt>
                <c:pt idx="8" formatCode="0.0">
                  <c:v>0.50874072213536436</c:v>
                </c:pt>
                <c:pt idx="9" formatCode="0.0">
                  <c:v>0.55107542126606646</c:v>
                </c:pt>
                <c:pt idx="10" formatCode="0.0">
                  <c:v>0.57248891604221086</c:v>
                </c:pt>
                <c:pt idx="11" formatCode="0.0">
                  <c:v>0.60782655833887134</c:v>
                </c:pt>
              </c:numCache>
            </c:numRef>
          </c:val>
          <c:extLst>
            <c:ext xmlns:c16="http://schemas.microsoft.com/office/drawing/2014/chart" uri="{C3380CC4-5D6E-409C-BE32-E72D297353CC}">
              <c16:uniqueId val="{00000006-C27C-4941-A620-7A52A385A216}"/>
            </c:ext>
          </c:extLst>
        </c:ser>
        <c:ser>
          <c:idx val="7"/>
          <c:order val="7"/>
          <c:tx>
            <c:strRef>
              <c:f>[GDP_GR_Fanchard.xlsx]Fanchart.24.09!$I$3</c:f>
              <c:strCache>
                <c:ptCount val="1"/>
              </c:strCache>
            </c:strRef>
          </c:tx>
          <c:spPr>
            <a:solidFill>
              <a:srgbClr val="FF0000">
                <a:alpha val="8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[GDP_GR_Fanchard.xlsx]Fanchart.24.09!$I$4:$I$55</c:f>
              <c:numCache>
                <c:formatCode>General</c:formatCode>
                <c:ptCount val="12"/>
                <c:pt idx="6" formatCode="0.0">
                  <c:v>0.20866820920579965</c:v>
                </c:pt>
                <c:pt idx="7" formatCode="0.0">
                  <c:v>0.25825544167695291</c:v>
                </c:pt>
                <c:pt idx="8" formatCode="0.0">
                  <c:v>0.48274519544277616</c:v>
                </c:pt>
                <c:pt idx="9" formatCode="0.0">
                  <c:v>0.52291668499855604</c:v>
                </c:pt>
                <c:pt idx="10" formatCode="0.0">
                  <c:v>0.54323599751089802</c:v>
                </c:pt>
                <c:pt idx="11" formatCode="0.0">
                  <c:v>0.57676796437485578</c:v>
                </c:pt>
              </c:numCache>
            </c:numRef>
          </c:val>
          <c:extLst>
            <c:ext xmlns:c16="http://schemas.microsoft.com/office/drawing/2014/chart" uri="{C3380CC4-5D6E-409C-BE32-E72D297353CC}">
              <c16:uniqueId val="{00000007-C27C-4941-A620-7A52A385A216}"/>
            </c:ext>
          </c:extLst>
        </c:ser>
        <c:ser>
          <c:idx val="8"/>
          <c:order val="8"/>
          <c:tx>
            <c:strRef>
              <c:f>[GDP_GR_Fanchard.xlsx]Fanchart.24.09!$J$3</c:f>
              <c:strCache>
                <c:ptCount val="1"/>
              </c:strCache>
            </c:strRef>
          </c:tx>
          <c:spPr>
            <a:solidFill>
              <a:srgbClr val="FF0000">
                <a:alpha val="9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[GDP_GR_Fanchard.xlsx]Fanchart.24.09!$J$4:$J$55</c:f>
              <c:numCache>
                <c:formatCode>General</c:formatCode>
                <c:ptCount val="12"/>
                <c:pt idx="6" formatCode="0.0">
                  <c:v>0.20188890730412101</c:v>
                </c:pt>
                <c:pt idx="7" formatCode="0.0">
                  <c:v>0.24986512858832821</c:v>
                </c:pt>
                <c:pt idx="8" formatCode="0.0">
                  <c:v>0.4670615633555153</c:v>
                </c:pt>
                <c:pt idx="9" formatCode="0.0">
                  <c:v>0.50592794440159405</c:v>
                </c:pt>
                <c:pt idx="10" formatCode="0.0">
                  <c:v>0.5255871144107731</c:v>
                </c:pt>
                <c:pt idx="11" formatCode="0.0">
                  <c:v>0.5580296804139433</c:v>
                </c:pt>
              </c:numCache>
            </c:numRef>
          </c:val>
          <c:extLst>
            <c:ext xmlns:c16="http://schemas.microsoft.com/office/drawing/2014/chart" uri="{C3380CC4-5D6E-409C-BE32-E72D297353CC}">
              <c16:uniqueId val="{00000008-C27C-4941-A620-7A52A385A216}"/>
            </c:ext>
          </c:extLst>
        </c:ser>
        <c:ser>
          <c:idx val="9"/>
          <c:order val="9"/>
          <c:tx>
            <c:strRef>
              <c:f>[GDP_GR_Fanchard.xlsx]Fanchart.24.09!$K$3</c:f>
              <c:strCache>
                <c:ptCount val="1"/>
              </c:strCache>
            </c:strRef>
          </c:tx>
          <c:spPr>
            <a:solidFill>
              <a:srgbClr val="FF0000"/>
            </a:solidFill>
            <a:ln>
              <a:solidFill>
                <a:srgbClr val="FF0000"/>
              </a:solidFill>
              <a:prstDash val="solid"/>
            </a:ln>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[GDP_GR_Fanchard.xlsx]Fanchart.24.09!$K$4:$K$55</c:f>
              <c:numCache>
                <c:formatCode>General</c:formatCode>
                <c:ptCount val="12"/>
                <c:pt idx="6" formatCode="0.0">
                  <c:v>0.39737606990647123</c:v>
                </c:pt>
                <c:pt idx="7" formatCode="0.0">
                  <c:v>0.49180722274917166</c:v>
                </c:pt>
                <c:pt idx="8" formatCode="0.0">
                  <c:v>0.66732392940829577</c:v>
                </c:pt>
                <c:pt idx="9" formatCode="0.0">
                  <c:v>0.71232563941971172</c:v>
                </c:pt>
                <c:pt idx="10" formatCode="0.0">
                  <c:v>0.73527128775894379</c:v>
                </c:pt>
                <c:pt idx="11" formatCode="0.0">
                  <c:v>0.76762906200566494</c:v>
                </c:pt>
              </c:numCache>
            </c:numRef>
          </c:val>
          <c:extLst>
            <c:ext xmlns:c16="http://schemas.microsoft.com/office/drawing/2014/chart" uri="{C3380CC4-5D6E-409C-BE32-E72D297353CC}">
              <c16:uniqueId val="{00000009-C27C-4941-A620-7A52A385A216}"/>
            </c:ext>
          </c:extLst>
        </c:ser>
        <c:ser>
          <c:idx val="10"/>
          <c:order val="10"/>
          <c:tx>
            <c:strRef>
              <c:f>[GDP_GR_Fanchard.xlsx]Fanchart.24.09!$L$3</c:f>
              <c:strCache>
                <c:ptCount val="1"/>
              </c:strCache>
            </c:strRef>
          </c:tx>
          <c:spPr>
            <a:solidFill>
              <a:srgbClr val="FF0000">
                <a:alpha val="9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[GDP_GR_Fanchard.xlsx]Fanchart.24.09!$L$4:$L$55</c:f>
              <c:numCache>
                <c:formatCode>General</c:formatCode>
                <c:ptCount val="12"/>
                <c:pt idx="6" formatCode="0.0">
                  <c:v>0.2018889073041219</c:v>
                </c:pt>
                <c:pt idx="7" formatCode="0.0">
                  <c:v>0.24986512858832999</c:v>
                </c:pt>
                <c:pt idx="8" formatCode="0.0">
                  <c:v>0.21101298178678984</c:v>
                </c:pt>
                <c:pt idx="9" formatCode="0.0">
                  <c:v>0.21787329013677681</c:v>
                </c:pt>
                <c:pt idx="10" formatCode="0.0">
                  <c:v>0.22152942379791085</c:v>
                </c:pt>
                <c:pt idx="11" formatCode="0.0">
                  <c:v>0.22196591710498925</c:v>
                </c:pt>
              </c:numCache>
            </c:numRef>
          </c:val>
          <c:extLst>
            <c:ext xmlns:c16="http://schemas.microsoft.com/office/drawing/2014/chart" uri="{C3380CC4-5D6E-409C-BE32-E72D297353CC}">
              <c16:uniqueId val="{0000000A-C27C-4941-A620-7A52A385A216}"/>
            </c:ext>
          </c:extLst>
        </c:ser>
        <c:ser>
          <c:idx val="11"/>
          <c:order val="11"/>
          <c:tx>
            <c:strRef>
              <c:f>[GDP_GR_Fanchard.xlsx]Fanchart.24.09!$M$3</c:f>
              <c:strCache>
                <c:ptCount val="1"/>
              </c:strCache>
            </c:strRef>
          </c:tx>
          <c:spPr>
            <a:solidFill>
              <a:srgbClr val="FF0000">
                <a:alpha val="8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[GDP_GR_Fanchard.xlsx]Fanchart.24.09!$M$4:$M$55</c:f>
              <c:numCache>
                <c:formatCode>General</c:formatCode>
                <c:ptCount val="12"/>
                <c:pt idx="6" formatCode="0.0">
                  <c:v>0.20866820920579787</c:v>
                </c:pt>
                <c:pt idx="7" formatCode="0.0">
                  <c:v>0.25825544167695114</c:v>
                </c:pt>
                <c:pt idx="8" formatCode="0.0">
                  <c:v>0.21809866434264435</c:v>
                </c:pt>
                <c:pt idx="9" formatCode="0.0">
                  <c:v>0.2251893375109093</c:v>
                </c:pt>
                <c:pt idx="10" formatCode="0.0">
                  <c:v>0.22896824182949249</c:v>
                </c:pt>
                <c:pt idx="11" formatCode="0.0">
                  <c:v>0.22941939230593356</c:v>
                </c:pt>
              </c:numCache>
            </c:numRef>
          </c:val>
          <c:extLst>
            <c:ext xmlns:c16="http://schemas.microsoft.com/office/drawing/2014/chart" uri="{C3380CC4-5D6E-409C-BE32-E72D297353CC}">
              <c16:uniqueId val="{0000000B-C27C-4941-A620-7A52A385A216}"/>
            </c:ext>
          </c:extLst>
        </c:ser>
        <c:ser>
          <c:idx val="12"/>
          <c:order val="12"/>
          <c:tx>
            <c:strRef>
              <c:f>[GDP_GR_Fanchard.xlsx]Fanchart.24.09!$N$3</c:f>
              <c:strCache>
                <c:ptCount val="1"/>
              </c:strCache>
            </c:strRef>
          </c:tx>
          <c:spPr>
            <a:solidFill>
              <a:srgbClr val="FF0000">
                <a:alpha val="7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[GDP_GR_Fanchard.xlsx]Fanchart.24.09!$N$4:$N$55</c:f>
              <c:numCache>
                <c:formatCode>General</c:formatCode>
                <c:ptCount val="12"/>
                <c:pt idx="6" formatCode="0.0">
                  <c:v>0.21990486169558565</c:v>
                </c:pt>
                <c:pt idx="7" formatCode="0.0">
                  <c:v>0.27216233560566927</c:v>
                </c:pt>
                <c:pt idx="8" formatCode="0.0">
                  <c:v>0.2298431409403614</c:v>
                </c:pt>
                <c:pt idx="9" formatCode="0.0">
                  <c:v>0.23731564242168712</c:v>
                </c:pt>
                <c:pt idx="10" formatCode="0.0">
                  <c:v>0.24129803837314423</c:v>
                </c:pt>
                <c:pt idx="11" formatCode="0.0">
                  <c:v>0.241773483020431</c:v>
                </c:pt>
              </c:numCache>
            </c:numRef>
          </c:val>
          <c:extLst>
            <c:ext xmlns:c16="http://schemas.microsoft.com/office/drawing/2014/chart" uri="{C3380CC4-5D6E-409C-BE32-E72D297353CC}">
              <c16:uniqueId val="{0000000C-C27C-4941-A620-7A52A385A216}"/>
            </c:ext>
          </c:extLst>
        </c:ser>
        <c:ser>
          <c:idx val="13"/>
          <c:order val="13"/>
          <c:tx>
            <c:strRef>
              <c:f>[GDP_GR_Fanchard.xlsx]Fanchart.24.09!$O$3</c:f>
              <c:strCache>
                <c:ptCount val="1"/>
              </c:strCache>
            </c:strRef>
          </c:tx>
          <c:spPr>
            <a:solidFill>
              <a:srgbClr val="FF0000">
                <a:alpha val="6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[GDP_GR_Fanchard.xlsx]Fanchart.24.09!$O$4:$O$55</c:f>
              <c:numCache>
                <c:formatCode>General</c:formatCode>
                <c:ptCount val="12"/>
                <c:pt idx="6" formatCode="0.0">
                  <c:v>0.23731192137006918</c:v>
                </c:pt>
                <c:pt idx="7" formatCode="0.0">
                  <c:v>0.29370595215195827</c:v>
                </c:pt>
                <c:pt idx="8" formatCode="0.0">
                  <c:v>0.24803688726898176</c:v>
                </c:pt>
                <c:pt idx="9" formatCode="0.0">
                  <c:v>0.2561008912673497</c:v>
                </c:pt>
                <c:pt idx="10" formatCode="0.0">
                  <c:v>0.26039852265034824</c:v>
                </c:pt>
                <c:pt idx="11" formatCode="0.0">
                  <c:v>0.26091160217884202</c:v>
                </c:pt>
              </c:numCache>
            </c:numRef>
          </c:val>
          <c:extLst>
            <c:ext xmlns:c16="http://schemas.microsoft.com/office/drawing/2014/chart" uri="{C3380CC4-5D6E-409C-BE32-E72D297353CC}">
              <c16:uniqueId val="{0000000D-C27C-4941-A620-7A52A385A216}"/>
            </c:ext>
          </c:extLst>
        </c:ser>
        <c:ser>
          <c:idx val="14"/>
          <c:order val="14"/>
          <c:tx>
            <c:strRef>
              <c:f>[GDP_GR_Fanchard.xlsx]Fanchart.24.09!$P$3</c:f>
              <c:strCache>
                <c:ptCount val="1"/>
              </c:strCache>
            </c:strRef>
          </c:tx>
          <c:spPr>
            <a:solidFill>
              <a:srgbClr val="FF0000">
                <a:alpha val="5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[GDP_GR_Fanchard.xlsx]Fanchart.24.09!$P$4:$P$55</c:f>
              <c:numCache>
                <c:formatCode>General</c:formatCode>
                <c:ptCount val="12"/>
                <c:pt idx="6" formatCode="0.0">
                  <c:v>0.264258078096681</c:v>
                </c:pt>
                <c:pt idx="7" formatCode="0.0">
                  <c:v>0.32705550565325048</c:v>
                </c:pt>
                <c:pt idx="8" formatCode="0.0">
                  <c:v>0.2762008362174555</c:v>
                </c:pt>
                <c:pt idx="9" formatCode="0.0">
                  <c:v>0.28518048707557675</c:v>
                </c:pt>
                <c:pt idx="10" formatCode="0.0">
                  <c:v>0.28996610342001539</c:v>
                </c:pt>
                <c:pt idx="11" formatCode="0.0">
                  <c:v>0.29053744180591856</c:v>
                </c:pt>
              </c:numCache>
            </c:numRef>
          </c:val>
          <c:extLst>
            <c:ext xmlns:c16="http://schemas.microsoft.com/office/drawing/2014/chart" uri="{C3380CC4-5D6E-409C-BE32-E72D297353CC}">
              <c16:uniqueId val="{0000000E-C27C-4941-A620-7A52A385A216}"/>
            </c:ext>
          </c:extLst>
        </c:ser>
        <c:ser>
          <c:idx val="15"/>
          <c:order val="15"/>
          <c:tx>
            <c:strRef>
              <c:f>[GDP_GR_Fanchard.xlsx]Fanchart.24.09!$Q$3</c:f>
              <c:strCache>
                <c:ptCount val="1"/>
              </c:strCache>
            </c:strRef>
          </c:tx>
          <c:spPr>
            <a:solidFill>
              <a:srgbClr val="FF0000">
                <a:alpha val="4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[GDP_GR_Fanchard.xlsx]Fanchart.24.09!$Q$4:$Q$55</c:f>
              <c:numCache>
                <c:formatCode>General</c:formatCode>
                <c:ptCount val="12"/>
                <c:pt idx="6" formatCode="0.0">
                  <c:v>0.30802506429891086</c:v>
                </c:pt>
                <c:pt idx="7" formatCode="0.0">
                  <c:v>0.38122313567004262</c:v>
                </c:pt>
                <c:pt idx="8" formatCode="0.0">
                  <c:v>0.32194580747752433</c:v>
                </c:pt>
                <c:pt idx="9" formatCode="0.0">
                  <c:v>0.33241268725231166</c:v>
                </c:pt>
                <c:pt idx="10" formatCode="0.0">
                  <c:v>0.33799090757701578</c:v>
                </c:pt>
                <c:pt idx="11" formatCode="0.0">
                  <c:v>0.33865687224428775</c:v>
                </c:pt>
              </c:numCache>
            </c:numRef>
          </c:val>
          <c:extLst>
            <c:ext xmlns:c16="http://schemas.microsoft.com/office/drawing/2014/chart" uri="{C3380CC4-5D6E-409C-BE32-E72D297353CC}">
              <c16:uniqueId val="{0000000F-C27C-4941-A620-7A52A385A216}"/>
            </c:ext>
          </c:extLst>
        </c:ser>
        <c:ser>
          <c:idx val="16"/>
          <c:order val="16"/>
          <c:tx>
            <c:strRef>
              <c:f>[GDP_GR_Fanchard.xlsx]Fanchart.24.09!$R$3</c:f>
              <c:strCache>
                <c:ptCount val="1"/>
              </c:strCache>
            </c:strRef>
          </c:tx>
          <c:spPr>
            <a:solidFill>
              <a:srgbClr val="FF0000">
                <a:alpha val="3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[GDP_GR_Fanchard.xlsx]Fanchart.24.09!$R$4:$R$55</c:f>
              <c:numCache>
                <c:formatCode>General</c:formatCode>
                <c:ptCount val="12"/>
                <c:pt idx="6" formatCode="0.0">
                  <c:v>0.3875658661133512</c:v>
                </c:pt>
                <c:pt idx="7" formatCode="0.0">
                  <c:v>0.47966575413171597</c:v>
                </c:pt>
                <c:pt idx="8" formatCode="0.0">
                  <c:v>0.40508133972989135</c:v>
                </c:pt>
                <c:pt idx="9" formatCode="0.0">
                  <c:v>0.41825106452047933</c:v>
                </c:pt>
                <c:pt idx="10" formatCode="0.0">
                  <c:v>0.42526973943394886</c:v>
                </c:pt>
                <c:pt idx="11" formatCode="0.0">
                  <c:v>0.42610767505344249</c:v>
                </c:pt>
              </c:numCache>
            </c:numRef>
          </c:val>
          <c:extLst>
            <c:ext xmlns:c16="http://schemas.microsoft.com/office/drawing/2014/chart" uri="{C3380CC4-5D6E-409C-BE32-E72D297353CC}">
              <c16:uniqueId val="{00000010-C27C-4941-A620-7A52A385A216}"/>
            </c:ext>
          </c:extLst>
        </c:ser>
        <c:ser>
          <c:idx val="17"/>
          <c:order val="17"/>
          <c:tx>
            <c:strRef>
              <c:f>[GDP_GR_Fanchard.xlsx]Fanchart.24.09!$S$3</c:f>
              <c:strCache>
                <c:ptCount val="1"/>
              </c:strCache>
            </c:strRef>
          </c:tx>
          <c:spPr>
            <a:solidFill>
              <a:srgbClr val="FF0000">
                <a:alpha val="2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[GDP_GR_Fanchard.xlsx]Fanchart.24.09!$S$4:$S$55</c:f>
              <c:numCache>
                <c:formatCode>General</c:formatCode>
                <c:ptCount val="12"/>
                <c:pt idx="6" formatCode="0.0">
                  <c:v>0.5744309963400358</c:v>
                </c:pt>
                <c:pt idx="7" formatCode="0.0">
                  <c:v>0.71093690427188072</c:v>
                </c:pt>
                <c:pt idx="8" formatCode="0.0">
                  <c:v>0.60039156676337413</c:v>
                </c:pt>
                <c:pt idx="9" formatCode="0.0">
                  <c:v>0.61991108278486173</c:v>
                </c:pt>
                <c:pt idx="10" formatCode="0.0">
                  <c:v>0.63031381629687999</c:v>
                </c:pt>
                <c:pt idx="11" formatCode="0.0">
                  <c:v>0.63155576311123873</c:v>
                </c:pt>
              </c:numCache>
            </c:numRef>
          </c:val>
          <c:extLst>
            <c:ext xmlns:c16="http://schemas.microsoft.com/office/drawing/2014/chart" uri="{C3380CC4-5D6E-409C-BE32-E72D297353CC}">
              <c16:uniqueId val="{00000011-C27C-4941-A620-7A52A385A216}"/>
            </c:ext>
          </c:extLst>
        </c:ser>
        <c:dLbls>
          <c:showLegendKey val="0"/>
          <c:showVal val="0"/>
          <c:showCatName val="0"/>
          <c:showSerName val="0"/>
          <c:showPercent val="0"/>
          <c:showBubbleSize val="0"/>
        </c:dLbls>
        <c:axId val="433249280"/>
        <c:axId val="433873664"/>
      </c:areaChart>
      <c:lineChart>
        <c:grouping val="standard"/>
        <c:varyColors val="0"/>
        <c:ser>
          <c:idx val="18"/>
          <c:order val="18"/>
          <c:tx>
            <c:strRef>
              <c:f>[GDP_GR_Fanchard.xlsx]Fanchart.24.09!$T$3</c:f>
              <c:strCache>
                <c:ptCount val="1"/>
                <c:pt idx="0">
                  <c:v>7%</c:v>
                </c:pt>
              </c:strCache>
            </c:strRef>
          </c:tx>
          <c:marker>
            <c:symbol val="none"/>
          </c:marker>
          <c:dLbls>
            <c:dLbl>
              <c:idx val="11"/>
              <c:layout>
                <c:manualLayout>
                  <c:x val="-3.6196112454610734E-2"/>
                  <c:y val="-8.1967213114754345E-3"/>
                </c:manualLayout>
              </c:layout>
              <c:spPr>
                <a:noFill/>
                <a:ln>
                  <a:noFill/>
                </a:ln>
                <a:effectLst/>
              </c:spPr>
              <c:txPr>
                <a:bodyPr wrap="square" lIns="38100" tIns="19050" rIns="38100" bIns="19050" anchor="ctr">
                  <a:spAutoFit/>
                </a:bodyPr>
                <a:lstStyle/>
                <a:p>
                  <a:pPr>
                    <a:defRPr sz="14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7C-4941-A620-7A52A385A2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[GDP_GR_Fanchard.xlsx]Fanchart.24.09!$T$4:$T$55</c:f>
              <c:numCache>
                <c:formatCode>0</c:formatCode>
                <c:ptCount val="12"/>
                <c:pt idx="0">
                  <c:v>7</c:v>
                </c:pt>
                <c:pt idx="1">
                  <c:v>7</c:v>
                </c:pt>
                <c:pt idx="2">
                  <c:v>7</c:v>
                </c:pt>
                <c:pt idx="3">
                  <c:v>7</c:v>
                </c:pt>
                <c:pt idx="4">
                  <c:v>7</c:v>
                </c:pt>
                <c:pt idx="5">
                  <c:v>7</c:v>
                </c:pt>
                <c:pt idx="6">
                  <c:v>7</c:v>
                </c:pt>
                <c:pt idx="7">
                  <c:v>7</c:v>
                </c:pt>
                <c:pt idx="8">
                  <c:v>7</c:v>
                </c:pt>
                <c:pt idx="9">
                  <c:v>7</c:v>
                </c:pt>
                <c:pt idx="10">
                  <c:v>7</c:v>
                </c:pt>
                <c:pt idx="11">
                  <c:v>7</c:v>
                </c:pt>
              </c:numCache>
            </c:numRef>
          </c:val>
          <c:smooth val="0"/>
          <c:extLst>
            <c:ext xmlns:c16="http://schemas.microsoft.com/office/drawing/2014/chart" uri="{C3380CC4-5D6E-409C-BE32-E72D297353CC}">
              <c16:uniqueId val="{00000013-C27C-4941-A620-7A52A385A216}"/>
            </c:ext>
          </c:extLst>
        </c:ser>
        <c:dLbls>
          <c:showLegendKey val="0"/>
          <c:showVal val="0"/>
          <c:showCatName val="0"/>
          <c:showSerName val="0"/>
          <c:showPercent val="0"/>
          <c:showBubbleSize val="0"/>
        </c:dLbls>
        <c:marker val="1"/>
        <c:smooth val="0"/>
        <c:axId val="433249280"/>
        <c:axId val="433873664"/>
      </c:lineChart>
      <c:catAx>
        <c:axId val="433249280"/>
        <c:scaling>
          <c:orientation val="minMax"/>
        </c:scaling>
        <c:delete val="0"/>
        <c:axPos val="b"/>
        <c:numFmt formatCode="General" sourceLinked="0"/>
        <c:majorTickMark val="out"/>
        <c:minorTickMark val="none"/>
        <c:tickLblPos val="nextTo"/>
        <c:txPr>
          <a:bodyPr/>
          <a:lstStyle/>
          <a:p>
            <a:pPr>
              <a:defRPr sz="1200"/>
            </a:pPr>
            <a:endParaRPr lang="en-US"/>
          </a:p>
        </c:txPr>
        <c:crossAx val="433873664"/>
        <c:crosses val="autoZero"/>
        <c:auto val="1"/>
        <c:lblAlgn val="ctr"/>
        <c:lblOffset val="100"/>
        <c:noMultiLvlLbl val="0"/>
      </c:catAx>
      <c:valAx>
        <c:axId val="433873664"/>
        <c:scaling>
          <c:orientation val="minMax"/>
          <c:max val="10"/>
          <c:min val="-8"/>
        </c:scaling>
        <c:delete val="0"/>
        <c:axPos val="l"/>
        <c:numFmt formatCode="0.0" sourceLinked="1"/>
        <c:majorTickMark val="out"/>
        <c:minorTickMark val="none"/>
        <c:tickLblPos val="nextTo"/>
        <c:crossAx val="433249280"/>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ayout>
        <c:manualLayout>
          <c:xMode val="edge"/>
          <c:yMode val="edge"/>
          <c:x val="9.6100549017555367E-2"/>
          <c:y val="3.9262510219009436E-2"/>
          <c:w val="0.27704859438214052"/>
          <c:h val="8.1708833526956653E-2"/>
        </c:manualLayout>
      </c:layout>
      <c:overlay val="0"/>
    </c:legend>
    <c:plotVisOnly val="1"/>
    <c:dispBlanksAs val="gap"/>
    <c:showDLblsOverMax val="0"/>
  </c:chart>
  <c:spPr>
    <a:solidFill>
      <a:sysClr val="window" lastClr="FFFFFF"/>
    </a:solidFill>
    <a:ln>
      <a:solidFill>
        <a:sysClr val="window" lastClr="FFFFFF"/>
      </a:solid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104F-4F03-BA18-1C85EB4E4365}"/>
                </c:ext>
              </c:extLst>
            </c:dLbl>
            <c:dLbl>
              <c:idx val="1"/>
              <c:layout>
                <c:manualLayout>
                  <c:x val="-3.0651340996168581E-2"/>
                  <c:y val="4.7450332053689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4F-4F03-BA18-1C85EB4E4365}"/>
                </c:ext>
              </c:extLst>
            </c:dLbl>
            <c:dLbl>
              <c:idx val="2"/>
              <c:layout>
                <c:manualLayout>
                  <c:x val="-1.8613710660126275E-2"/>
                  <c:y val="1.4602049805380985E-2"/>
                </c:manualLayout>
              </c:layout>
              <c:spPr>
                <a:noFill/>
                <a:ln>
                  <a:noFill/>
                </a:ln>
                <a:effectLst/>
              </c:spPr>
              <c:txPr>
                <a:bodyPr wrap="square" lIns="38100" tIns="19050" rIns="38100" bIns="19050" anchor="ctr">
                  <a:noAutofit/>
                </a:bodyPr>
                <a:lstStyle/>
                <a:p>
                  <a:pPr>
                    <a:defRPr b="1">
                      <a:solidFill>
                        <a:schemeClr val="accent2"/>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551957802731917E-2"/>
                      <c:h val="9.6962158931710674E-2"/>
                    </c:manualLayout>
                  </c15:layout>
                </c:ext>
                <c:ext xmlns:c16="http://schemas.microsoft.com/office/drawing/2014/chart" uri="{C3380CC4-5D6E-409C-BE32-E72D297353CC}">
                  <c16:uniqueId val="{00000002-104F-4F03-BA18-1C85EB4E4365}"/>
                </c:ext>
              </c:extLst>
            </c:dLbl>
            <c:dLbl>
              <c:idx val="7"/>
              <c:layout>
                <c:manualLayout>
                  <c:x val="0"/>
                  <c:y val="-3.3573141486810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4F-4F03-BA18-1C85EB4E4365}"/>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11.7</c:v>
                </c:pt>
                <c:pt idx="7">
                  <c:v>14</c:v>
                </c:pt>
              </c:numCache>
            </c:numRef>
          </c:val>
          <c:extLst>
            <c:ext xmlns:c16="http://schemas.microsoft.com/office/drawing/2014/chart" uri="{C3380CC4-5D6E-409C-BE32-E72D297353CC}">
              <c16:uniqueId val="{00000004-104F-4F03-BA18-1C85EB4E4365}"/>
            </c:ext>
          </c:extLst>
        </c:ser>
        <c:ser>
          <c:idx val="3"/>
          <c:order val="3"/>
          <c:tx>
            <c:strRef>
              <c:f>Sheet1!$A$5</c:f>
              <c:strCache>
                <c:ptCount val="1"/>
                <c:pt idx="0">
                  <c:v>2020  12 ամսյա աճը, %</c:v>
                </c:pt>
              </c:strCache>
            </c:strRef>
          </c:tx>
          <c:spPr>
            <a:solidFill>
              <a:sysClr val="window" lastClr="FFFFFF">
                <a:lumMod val="85000"/>
              </a:sysClr>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c:ext xmlns:c16="http://schemas.microsoft.com/office/drawing/2014/chart" uri="{C3380CC4-5D6E-409C-BE32-E72D297353CC}">
              <c16:uniqueId val="{00000005-104F-4F03-BA18-1C85EB4E4365}"/>
            </c:ext>
          </c:extLst>
        </c:ser>
        <c:dLbls>
          <c:showLegendKey val="0"/>
          <c:showVal val="0"/>
          <c:showCatName val="0"/>
          <c:showSerName val="0"/>
          <c:showPercent val="0"/>
          <c:showBubbleSize val="0"/>
        </c:dLbls>
        <c:gapWidth val="150"/>
        <c:axId val="433957120"/>
        <c:axId val="434974720"/>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4F-4F03-BA18-1C85EB4E4365}"/>
                </c:ext>
              </c:extLst>
            </c:dLbl>
            <c:dLbl>
              <c:idx val="1"/>
              <c:layout>
                <c:manualLayout>
                  <c:x val="-3.6371143262264649E-2"/>
                  <c:y val="4.0960947497221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4F-4F03-BA18-1C85EB4E4365}"/>
                </c:ext>
              </c:extLst>
            </c:dLbl>
            <c:dLbl>
              <c:idx val="2"/>
              <c:layout>
                <c:manualLayout>
                  <c:x val="-1.6803589206521599E-2"/>
                  <c:y val="2.1981113570768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4F-4F03-BA18-1C85EB4E4365}"/>
                </c:ext>
              </c:extLst>
            </c:dLbl>
            <c:dLbl>
              <c:idx val="3"/>
              <c:layout>
                <c:manualLayout>
                  <c:x val="-2.8545637187723263E-2"/>
                  <c:y val="2.2831541079543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4F-4F03-BA18-1C85EB4E4365}"/>
                </c:ext>
              </c:extLst>
            </c:dLbl>
            <c:dLbl>
              <c:idx val="4"/>
              <c:layout>
                <c:manualLayout>
                  <c:x val="-2.0688740902289608E-2"/>
                  <c:y val="-6.0950830944847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4F-4F03-BA18-1C85EB4E4365}"/>
                </c:ext>
              </c:extLst>
            </c:dLbl>
            <c:dLbl>
              <c:idx val="5"/>
              <c:layout>
                <c:manualLayout>
                  <c:x val="-1.777140410264394E-2"/>
                  <c:y val="-5.602523296956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4F-4F03-BA18-1C85EB4E4365}"/>
                </c:ext>
              </c:extLst>
            </c:dLbl>
            <c:dLbl>
              <c:idx val="6"/>
              <c:layout>
                <c:manualLayout>
                  <c:x val="-4.4930306041841856E-3"/>
                  <c:y val="-2.0650025129837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4F-4F03-BA18-1C85EB4E4365}"/>
                </c:ext>
              </c:extLst>
            </c:dLbl>
            <c:dLbl>
              <c:idx val="7"/>
              <c:layout>
                <c:manualLayout>
                  <c:x val="-4.9306462615611602E-3"/>
                  <c:y val="7.829830623690067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04F-4F03-BA18-1C85EB4E4365}"/>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10.5</c:v>
                </c:pt>
                <c:pt idx="7">
                  <c:v>10.9</c:v>
                </c:pt>
              </c:numCache>
            </c:numRef>
          </c:val>
          <c:smooth val="0"/>
          <c:extLst>
            <c:ext xmlns:c16="http://schemas.microsoft.com/office/drawing/2014/chart" uri="{C3380CC4-5D6E-409C-BE32-E72D297353CC}">
              <c16:uniqueId val="{0000000E-104F-4F03-BA18-1C85EB4E4365}"/>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04F-4F03-BA18-1C85EB4E4365}"/>
                </c:ext>
              </c:extLst>
            </c:dLbl>
            <c:dLbl>
              <c:idx val="4"/>
              <c:layout>
                <c:manualLayout>
                  <c:x val="-4.2711616330729375E-2"/>
                  <c:y val="7.5702316412025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04F-4F03-BA18-1C85EB4E4365}"/>
                </c:ext>
              </c:extLst>
            </c:dLbl>
            <c:dLbl>
              <c:idx val="5"/>
              <c:layout>
                <c:manualLayout>
                  <c:x val="-4.2164851958985318E-2"/>
                  <c:y val="5.928057553956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04F-4F03-BA18-1C85EB4E4365}"/>
                </c:ext>
              </c:extLst>
            </c:dLbl>
            <c:dLbl>
              <c:idx val="6"/>
              <c:layout>
                <c:manualLayout>
                  <c:x val="-4.204163868368032E-2"/>
                  <c:y val="5.4484412470023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04F-4F03-BA18-1C85EB4E4365}"/>
                </c:ext>
              </c:extLst>
            </c:dLbl>
            <c:dLbl>
              <c:idx val="7"/>
              <c:layout>
                <c:manualLayout>
                  <c:x val="-4.4000535863171569E-2"/>
                  <c:y val="4.48920863309352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04F-4F03-BA18-1C85EB4E4365}"/>
                </c:ext>
              </c:extLst>
            </c:dLbl>
            <c:dLbl>
              <c:idx val="8"/>
              <c:layout>
                <c:manualLayout>
                  <c:x val="-4.2601298410566459E-2"/>
                  <c:y val="5.44844124700238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04F-4F03-BA18-1C85EB4E4365}"/>
                </c:ext>
              </c:extLst>
            </c:dLbl>
            <c:dLbl>
              <c:idx val="9"/>
              <c:layout>
                <c:manualLayout>
                  <c:x val="-4.1213342287888963E-2"/>
                  <c:y val="5.4484412470023891E-2"/>
                </c:manualLayout>
              </c:layout>
              <c:spPr>
                <a:noFill/>
                <a:ln>
                  <a:noFill/>
                </a:ln>
                <a:effectLst/>
              </c:spPr>
              <c:txPr>
                <a:bodyPr wrap="square" lIns="38100" tIns="19050" rIns="38100" bIns="19050" anchor="ctr">
                  <a:noAutofit/>
                </a:bodyPr>
                <a:lstStyle/>
                <a:p>
                  <a:pPr>
                    <a:defRPr b="1">
                      <a:solidFill>
                        <a:srgbClr val="00B05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5-104F-4F03-BA18-1C85EB4E4365}"/>
                </c:ext>
              </c:extLst>
            </c:dLbl>
            <c:dLbl>
              <c:idx val="10"/>
              <c:layout>
                <c:manualLayout>
                  <c:x val="-4.1761896955627355E-2"/>
                  <c:y val="4.9688249400479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04F-4F03-BA18-1C85EB4E4365}"/>
                </c:ext>
              </c:extLst>
            </c:dLbl>
            <c:dLbl>
              <c:idx val="11"/>
              <c:layout>
                <c:manualLayout>
                  <c:x val="-2.6156644791462853E-2"/>
                  <c:y val="4.48920863309352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04F-4F03-BA18-1C85EB4E4365}"/>
                </c:ext>
              </c:extLst>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c:ext xmlns:c16="http://schemas.microsoft.com/office/drawing/2014/chart" uri="{C3380CC4-5D6E-409C-BE32-E72D297353CC}">
              <c16:uniqueId val="{00000018-104F-4F03-BA18-1C85EB4E4365}"/>
            </c:ext>
          </c:extLst>
        </c:ser>
        <c:dLbls>
          <c:showLegendKey val="0"/>
          <c:showVal val="0"/>
          <c:showCatName val="0"/>
          <c:showSerName val="0"/>
          <c:showPercent val="0"/>
          <c:showBubbleSize val="0"/>
        </c:dLbls>
        <c:marker val="1"/>
        <c:smooth val="0"/>
        <c:axId val="433957120"/>
        <c:axId val="434974720"/>
      </c:lineChart>
      <c:catAx>
        <c:axId val="433957120"/>
        <c:scaling>
          <c:orientation val="minMax"/>
        </c:scaling>
        <c:delete val="0"/>
        <c:axPos val="b"/>
        <c:numFmt formatCode="General" sourceLinked="1"/>
        <c:majorTickMark val="out"/>
        <c:minorTickMark val="none"/>
        <c:tickLblPos val="low"/>
        <c:txPr>
          <a:bodyPr/>
          <a:lstStyle/>
          <a:p>
            <a:pPr>
              <a:defRPr sz="900"/>
            </a:pPr>
            <a:endParaRPr lang="en-US"/>
          </a:p>
        </c:txPr>
        <c:crossAx val="434974720"/>
        <c:crosses val="autoZero"/>
        <c:auto val="1"/>
        <c:lblAlgn val="ctr"/>
        <c:lblOffset val="100"/>
        <c:noMultiLvlLbl val="0"/>
      </c:catAx>
      <c:valAx>
        <c:axId val="434974720"/>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433957120"/>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712"/>
        </c:manualLayout>
      </c:layou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1237.7807658799998</c:v>
                </c:pt>
                <c:pt idx="1">
                  <c:v>1341.690590901</c:v>
                </c:pt>
                <c:pt idx="2">
                  <c:v>1565.4731594</c:v>
                </c:pt>
                <c:pt idx="3">
                  <c:v>1560.6553879319999</c:v>
                </c:pt>
                <c:pt idx="4">
                  <c:v>1656.9001472</c:v>
                </c:pt>
                <c:pt idx="5">
                  <c:v>1946.23613555613</c:v>
                </c:pt>
              </c:numCache>
            </c:numRef>
          </c:val>
          <c:extLst>
            <c:ext xmlns:c16="http://schemas.microsoft.com/office/drawing/2014/chart" uri="{C3380CC4-5D6E-409C-BE32-E72D297353CC}">
              <c16:uniqueId val="{00000000-D625-4968-A79B-9F570091C275}"/>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1504.8022297</c:v>
                </c:pt>
                <c:pt idx="1">
                  <c:v>1447.0830114800001</c:v>
                </c:pt>
                <c:pt idx="2">
                  <c:v>1629.43686245</c:v>
                </c:pt>
                <c:pt idx="3">
                  <c:v>1894.6471421200001</c:v>
                </c:pt>
                <c:pt idx="4">
                  <c:v>1985.9873871100999</c:v>
                </c:pt>
                <c:pt idx="5">
                  <c:v>2189.2281080600001</c:v>
                </c:pt>
              </c:numCache>
            </c:numRef>
          </c:val>
          <c:extLst>
            <c:ext xmlns:c16="http://schemas.microsoft.com/office/drawing/2014/chart" uri="{C3380CC4-5D6E-409C-BE32-E72D297353CC}">
              <c16:uniqueId val="{00000001-D625-4968-A79B-9F570091C275}"/>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91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25-4968-A79B-9F570091C275}"/>
                </c:ext>
              </c:extLst>
            </c:dLbl>
            <c:dLbl>
              <c:idx val="1"/>
              <c:layout>
                <c:manualLayout>
                  <c:x val="-3.9173336640061982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25-4968-A79B-9F570091C275}"/>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25-4968-A79B-9F570091C275}"/>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25-4968-A79B-9F570091C275}"/>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Sheet1!$D$2:$D$7</c:f>
              <c:numCache>
                <c:formatCode>0.0</c:formatCode>
                <c:ptCount val="6"/>
                <c:pt idx="0">
                  <c:v>-267.02146382000024</c:v>
                </c:pt>
                <c:pt idx="1">
                  <c:v>-105.39242057900015</c:v>
                </c:pt>
                <c:pt idx="2">
                  <c:v>-63.963703050000049</c:v>
                </c:pt>
                <c:pt idx="3">
                  <c:v>-333.99175418800019</c:v>
                </c:pt>
                <c:pt idx="4">
                  <c:v>-329.08723991009992</c:v>
                </c:pt>
                <c:pt idx="5">
                  <c:v>-242.9919725038701</c:v>
                </c:pt>
              </c:numCache>
            </c:numRef>
          </c:val>
          <c:extLst>
            <c:ext xmlns:c16="http://schemas.microsoft.com/office/drawing/2014/chart" uri="{C3380CC4-5D6E-409C-BE32-E72D297353CC}">
              <c16:uniqueId val="{00000006-D625-4968-A79B-9F570091C275}"/>
            </c:ext>
          </c:extLst>
        </c:ser>
        <c:dLbls>
          <c:showLegendKey val="0"/>
          <c:showVal val="0"/>
          <c:showCatName val="0"/>
          <c:showSerName val="0"/>
          <c:showPercent val="0"/>
          <c:showBubbleSize val="0"/>
        </c:dLbls>
        <c:gapWidth val="150"/>
        <c:axId val="438916224"/>
        <c:axId val="438917760"/>
      </c:barChart>
      <c:catAx>
        <c:axId val="43891622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38917760"/>
        <c:crosses val="autoZero"/>
        <c:auto val="1"/>
        <c:lblAlgn val="ctr"/>
        <c:lblOffset val="100"/>
        <c:noMultiLvlLbl val="0"/>
      </c:catAx>
      <c:valAx>
        <c:axId val="438917760"/>
        <c:scaling>
          <c:orientation val="minMax"/>
          <c:max val="2500"/>
          <c:min val="-500"/>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8916224"/>
        <c:crosses val="autoZero"/>
        <c:crossBetween val="between"/>
      </c:valAx>
      <c:spPr>
        <a:noFill/>
        <a:ln w="25412">
          <a:noFill/>
        </a:ln>
      </c:spPr>
    </c:plotArea>
    <c:legend>
      <c:legendPos val="b"/>
      <c:layout>
        <c:manualLayout>
          <c:xMode val="edge"/>
          <c:yMode val="edge"/>
          <c:x val="0.05"/>
          <c:y val="0.91428556430446195"/>
          <c:w val="0.9"/>
          <c:h val="8.5714435695538063E-2"/>
        </c:manualLayout>
      </c:layout>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82"/>
          <c:y val="5.203364604466193E-2"/>
          <c:w val="0.82012848918713577"/>
          <c:h val="0.72564276710820164"/>
        </c:manualLayout>
      </c:layou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-4.7986662832355291</c:v>
                </c:pt>
                <c:pt idx="1">
                  <c:v>-1.7515672931246957</c:v>
                </c:pt>
                <c:pt idx="2">
                  <c:v>-0.97347611233608666</c:v>
                </c:pt>
                <c:pt idx="3">
                  <c:v>-5.4029424566760298</c:v>
                </c:pt>
                <c:pt idx="4">
                  <c:v>-4.6803993733598501</c:v>
                </c:pt>
                <c:pt idx="5">
                  <c:v>-3.0776319172436657</c:v>
                </c:pt>
              </c:numCache>
            </c:numRef>
          </c:val>
          <c:smooth val="0"/>
          <c:extLst>
            <c:ext xmlns:c16="http://schemas.microsoft.com/office/drawing/2014/chart" uri="{C3380CC4-5D6E-409C-BE32-E72D297353CC}">
              <c16:uniqueId val="{00000000-9779-45CC-9A93-57CE8B9E9A25}"/>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-2.6042112858685642</c:v>
                </c:pt>
                <c:pt idx="1">
                  <c:v>0.558788129758653</c:v>
                </c:pt>
                <c:pt idx="2">
                  <c:v>1.4247069774699335</c:v>
                </c:pt>
                <c:pt idx="3">
                  <c:v>-2.7375216629450994</c:v>
                </c:pt>
                <c:pt idx="4">
                  <c:v>-2.013554840569487</c:v>
                </c:pt>
                <c:pt idx="5">
                  <c:v>-0.4</c:v>
                </c:pt>
              </c:numCache>
            </c:numRef>
          </c:val>
          <c:smooth val="0"/>
          <c:extLst>
            <c:ext xmlns:c16="http://schemas.microsoft.com/office/drawing/2014/chart" uri="{C3380CC4-5D6E-409C-BE32-E72D297353CC}">
              <c16:uniqueId val="{00000001-9779-45CC-9A93-57CE8B9E9A25}"/>
            </c:ext>
          </c:extLst>
        </c:ser>
        <c:dLbls>
          <c:showLegendKey val="0"/>
          <c:showVal val="0"/>
          <c:showCatName val="0"/>
          <c:showSerName val="0"/>
          <c:showPercent val="0"/>
          <c:showBubbleSize val="0"/>
        </c:dLbls>
        <c:marker val="1"/>
        <c:smooth val="0"/>
        <c:axId val="439182464"/>
        <c:axId val="439184000"/>
      </c:lineChart>
      <c:catAx>
        <c:axId val="439182464"/>
        <c:scaling>
          <c:orientation val="minMax"/>
        </c:scaling>
        <c:delete val="0"/>
        <c:axPos val="b"/>
        <c:numFmt formatCode="0"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439184000"/>
        <c:crosses val="autoZero"/>
        <c:auto val="1"/>
        <c:lblAlgn val="ctr"/>
        <c:lblOffset val="100"/>
        <c:noMultiLvlLbl val="0"/>
      </c:catAx>
      <c:valAx>
        <c:axId val="439184000"/>
        <c:scaling>
          <c:orientation val="minMax"/>
        </c:scaling>
        <c:delete val="0"/>
        <c:axPos val="l"/>
        <c:majorGridlines>
          <c:spPr>
            <a:ln w="12700" cap="flat" cmpd="sng" algn="ctr">
              <a:solidFill>
                <a:srgbClr val="44546A">
                  <a:lumMod val="15000"/>
                  <a:lumOff val="85000"/>
                </a:srgb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9182464"/>
        <c:crosses val="autoZero"/>
        <c:crossBetween val="between"/>
      </c:valAx>
      <c:spPr>
        <a:noFill/>
        <a:ln w="25400">
          <a:noFill/>
        </a:ln>
      </c:spPr>
    </c:plotArea>
    <c:legend>
      <c:legendPos val="b"/>
      <c:layout>
        <c:manualLayout>
          <c:xMode val="edge"/>
          <c:yMode val="edge"/>
          <c:x val="7.6856052056876012E-2"/>
          <c:y val="0.87435501653803793"/>
          <c:w val="0.82882226260179048"/>
          <c:h val="9.4774327409735307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Եկամուտների ազդակ</c:v>
                </c:pt>
              </c:strCache>
            </c:strRef>
          </c:tx>
          <c:spPr>
            <a:solidFill>
              <a:schemeClr val="accent1"/>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-1.22878</c:v>
                </c:pt>
                <c:pt idx="1">
                  <c:v>-1.1514899999999999</c:v>
                </c:pt>
                <c:pt idx="2">
                  <c:v>0.58936383739980469</c:v>
                </c:pt>
                <c:pt idx="3">
                  <c:v>0.24697799069423113</c:v>
                </c:pt>
                <c:pt idx="4">
                  <c:v>-0.9933968283033846</c:v>
                </c:pt>
              </c:numCache>
            </c:numRef>
          </c:val>
          <c:extLst>
            <c:ext xmlns:c16="http://schemas.microsoft.com/office/drawing/2014/chart" uri="{C3380CC4-5D6E-409C-BE32-E72D297353CC}">
              <c16:uniqueId val="{00000000-753A-438D-A65D-EBE4450D4319}"/>
            </c:ext>
          </c:extLst>
        </c:ser>
        <c:ser>
          <c:idx val="1"/>
          <c:order val="1"/>
          <c:tx>
            <c:strRef>
              <c:f>Sheet1!$C$1</c:f>
              <c:strCache>
                <c:ptCount val="1"/>
                <c:pt idx="0">
                  <c:v>Ծախսերի ազդակ</c:v>
                </c:pt>
              </c:strCache>
            </c:strRef>
          </c:tx>
          <c:spPr>
            <a:solidFill>
              <a:schemeClr val="accent2"/>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-0.88339000000000001</c:v>
                </c:pt>
                <c:pt idx="1">
                  <c:v>1.069604</c:v>
                </c:pt>
                <c:pt idx="2">
                  <c:v>3.8052963944037281</c:v>
                </c:pt>
                <c:pt idx="3">
                  <c:v>-2.1772771979131278</c:v>
                </c:pt>
                <c:pt idx="4">
                  <c:v>0.97451503845431087</c:v>
                </c:pt>
              </c:numCache>
            </c:numRef>
          </c:val>
          <c:extLst>
            <c:ext xmlns:c16="http://schemas.microsoft.com/office/drawing/2014/chart" uri="{C3380CC4-5D6E-409C-BE32-E72D297353CC}">
              <c16:uniqueId val="{00000001-753A-438D-A65D-EBE4450D4319}"/>
            </c:ext>
          </c:extLst>
        </c:ser>
        <c:dLbls>
          <c:showLegendKey val="0"/>
          <c:showVal val="0"/>
          <c:showCatName val="0"/>
          <c:showSerName val="0"/>
          <c:showPercent val="0"/>
          <c:showBubbleSize val="0"/>
        </c:dLbls>
        <c:gapWidth val="219"/>
        <c:axId val="442293632"/>
        <c:axId val="443028608"/>
      </c:barChart>
      <c:lineChart>
        <c:grouping val="standard"/>
        <c:varyColors val="0"/>
        <c:ser>
          <c:idx val="2"/>
          <c:order val="2"/>
          <c:tx>
            <c:strRef>
              <c:f>Sheet1!$D$1</c:f>
              <c:strCache>
                <c:ptCount val="1"/>
                <c:pt idx="0">
                  <c:v>Հարկաբյուջետային ազդակ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0586362874853801E-3"/>
                  <c:y val="5.6170783995512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3A-438D-A65D-EBE4450D4319}"/>
                </c:ext>
              </c:extLst>
            </c:dLbl>
            <c:dLbl>
              <c:idx val="2"/>
              <c:layout>
                <c:manualLayout>
                  <c:x val="-3.1484168202379037E-2"/>
                  <c:y val="-5.06994450121215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3A-438D-A65D-EBE4450D4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-2.1121599999999998</c:v>
                </c:pt>
                <c:pt idx="1">
                  <c:v>-8.1890000000000004E-2</c:v>
                </c:pt>
                <c:pt idx="2">
                  <c:v>4.3946602318035328</c:v>
                </c:pt>
                <c:pt idx="3">
                  <c:v>-1.9302992072188967</c:v>
                </c:pt>
                <c:pt idx="4">
                  <c:v>-1.8881789849073738E-2</c:v>
                </c:pt>
              </c:numCache>
            </c:numRef>
          </c:val>
          <c:smooth val="0"/>
          <c:extLst>
            <c:ext xmlns:c16="http://schemas.microsoft.com/office/drawing/2014/chart" uri="{C3380CC4-5D6E-409C-BE32-E72D297353CC}">
              <c16:uniqueId val="{00000004-753A-438D-A65D-EBE4450D4319}"/>
            </c:ext>
          </c:extLst>
        </c:ser>
        <c:dLbls>
          <c:showLegendKey val="0"/>
          <c:showVal val="0"/>
          <c:showCatName val="0"/>
          <c:showSerName val="0"/>
          <c:showPercent val="0"/>
          <c:showBubbleSize val="0"/>
        </c:dLbls>
        <c:marker val="1"/>
        <c:smooth val="0"/>
        <c:axId val="442293632"/>
        <c:axId val="443028608"/>
      </c:lineChart>
      <c:catAx>
        <c:axId val="442293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3028608"/>
        <c:crosses val="autoZero"/>
        <c:auto val="1"/>
        <c:lblAlgn val="ctr"/>
        <c:lblOffset val="100"/>
        <c:noMultiLvlLbl val="0"/>
      </c:catAx>
      <c:valAx>
        <c:axId val="443028608"/>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229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22.777216374759576</c:v>
                </c:pt>
                <c:pt idx="1">
                  <c:v>21.588337472248789</c:v>
                </c:pt>
                <c:pt idx="2">
                  <c:v>21.877651055716242</c:v>
                </c:pt>
                <c:pt idx="3">
                  <c:v>26.990441339412151</c:v>
                </c:pt>
                <c:pt idx="4">
                  <c:v>25.062939859518735</c:v>
                </c:pt>
                <c:pt idx="5">
                  <c:v>23.4</c:v>
                </c:pt>
              </c:numCache>
            </c:numRef>
          </c:val>
          <c:extLst>
            <c:ext xmlns:c16="http://schemas.microsoft.com/office/drawing/2014/chart" uri="{C3380CC4-5D6E-409C-BE32-E72D297353CC}">
              <c16:uniqueId val="{00000000-2265-48D7-AFAA-5D57E3A21C4B}"/>
            </c:ext>
          </c:extLst>
        </c:ser>
        <c:dLbls>
          <c:showLegendKey val="0"/>
          <c:showVal val="0"/>
          <c:showCatName val="0"/>
          <c:showSerName val="0"/>
          <c:showPercent val="0"/>
          <c:showBubbleSize val="0"/>
        </c:dLbls>
        <c:gapWidth val="219"/>
        <c:overlap val="-27"/>
        <c:axId val="443351040"/>
        <c:axId val="443352576"/>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20.810311842409792</c:v>
                </c:pt>
                <c:pt idx="1">
                  <c:v>20.909320563240176</c:v>
                </c:pt>
                <c:pt idx="2">
                  <c:v>22.4</c:v>
                </c:pt>
                <c:pt idx="3">
                  <c:v>22.400763757595897</c:v>
                </c:pt>
                <c:pt idx="4">
                  <c:v>22.485551555964886</c:v>
                </c:pt>
                <c:pt idx="5">
                  <c:v>23.4</c:v>
                </c:pt>
              </c:numCache>
            </c:numRef>
          </c:val>
          <c:smooth val="0"/>
          <c:extLst>
            <c:ext xmlns:c16="http://schemas.microsoft.com/office/drawing/2014/chart" uri="{C3380CC4-5D6E-409C-BE32-E72D297353CC}">
              <c16:uniqueId val="{00000001-2265-48D7-AFAA-5D57E3A21C4B}"/>
            </c:ext>
          </c:extLst>
        </c:ser>
        <c:dLbls>
          <c:showLegendKey val="0"/>
          <c:showVal val="0"/>
          <c:showCatName val="0"/>
          <c:showSerName val="0"/>
          <c:showPercent val="0"/>
          <c:showBubbleSize val="0"/>
        </c:dLbls>
        <c:marker val="1"/>
        <c:smooth val="0"/>
        <c:axId val="443351040"/>
        <c:axId val="443352576"/>
      </c:lineChart>
      <c:catAx>
        <c:axId val="443351040"/>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52576"/>
        <c:crosses val="autoZero"/>
        <c:auto val="1"/>
        <c:lblAlgn val="ctr"/>
        <c:lblOffset val="100"/>
        <c:noMultiLvlLbl val="0"/>
      </c:catAx>
      <c:valAx>
        <c:axId val="44335257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51040"/>
        <c:crosses val="autoZero"/>
        <c:crossBetween val="between"/>
      </c:valAx>
      <c:spPr>
        <a:noFill/>
        <a:ln w="25412">
          <a:noFill/>
        </a:ln>
      </c:spPr>
    </c:plotArea>
    <c:legend>
      <c:legendPos val="b"/>
      <c:layout>
        <c:manualLayout>
          <c:xMode val="edge"/>
          <c:yMode val="edge"/>
          <c:x val="4.0371417036737994E-2"/>
          <c:y val="0.87673156240085393"/>
          <c:w val="0.92533322313313981"/>
          <c:h val="0.12326843759914623"/>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4.2657172504817265</c:v>
                </c:pt>
                <c:pt idx="1">
                  <c:v>2.4614306175240586</c:v>
                </c:pt>
                <c:pt idx="2">
                  <c:v>2.9387820204716206</c:v>
                </c:pt>
                <c:pt idx="3">
                  <c:v>3.6590263681586981</c:v>
                </c:pt>
                <c:pt idx="4">
                  <c:v>3.1824882128153225</c:v>
                </c:pt>
                <c:pt idx="5">
                  <c:v>4.5</c:v>
                </c:pt>
              </c:numCache>
            </c:numRef>
          </c:val>
          <c:extLst>
            <c:ext xmlns:c16="http://schemas.microsoft.com/office/drawing/2014/chart" uri="{C3380CC4-5D6E-409C-BE32-E72D297353CC}">
              <c16:uniqueId val="{00000000-C955-499B-AA94-6FEF30DF461A}"/>
            </c:ext>
          </c:extLst>
        </c:ser>
        <c:dLbls>
          <c:showLegendKey val="0"/>
          <c:showVal val="0"/>
          <c:showCatName val="0"/>
          <c:showSerName val="0"/>
          <c:showPercent val="0"/>
          <c:showBubbleSize val="0"/>
        </c:dLbls>
        <c:gapWidth val="219"/>
        <c:axId val="443396864"/>
        <c:axId val="443398400"/>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55-499B-AA94-6FEF30DF461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4.7986662832355291</c:v>
                </c:pt>
                <c:pt idx="1">
                  <c:v>1.7515672931246957</c:v>
                </c:pt>
                <c:pt idx="2">
                  <c:v>0.973720551834374</c:v>
                </c:pt>
                <c:pt idx="3">
                  <c:v>5.4</c:v>
                </c:pt>
                <c:pt idx="4">
                  <c:v>4.7</c:v>
                </c:pt>
                <c:pt idx="5">
                  <c:v>3.1</c:v>
                </c:pt>
              </c:numCache>
            </c:numRef>
          </c:val>
          <c:smooth val="0"/>
          <c:extLst>
            <c:ext xmlns:c16="http://schemas.microsoft.com/office/drawing/2014/chart" uri="{C3380CC4-5D6E-409C-BE32-E72D297353CC}">
              <c16:uniqueId val="{00000002-C955-499B-AA94-6FEF30DF461A}"/>
            </c:ext>
          </c:extLst>
        </c:ser>
        <c:dLbls>
          <c:showLegendKey val="0"/>
          <c:showVal val="0"/>
          <c:showCatName val="0"/>
          <c:showSerName val="0"/>
          <c:showPercent val="0"/>
          <c:showBubbleSize val="0"/>
        </c:dLbls>
        <c:marker val="1"/>
        <c:smooth val="0"/>
        <c:axId val="443396864"/>
        <c:axId val="443398400"/>
      </c:lineChart>
      <c:catAx>
        <c:axId val="44339686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98400"/>
        <c:crosses val="autoZero"/>
        <c:auto val="1"/>
        <c:lblAlgn val="ctr"/>
        <c:lblOffset val="100"/>
        <c:noMultiLvlLbl val="0"/>
      </c:catAx>
      <c:valAx>
        <c:axId val="443398400"/>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96864"/>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6"/>
                <c:pt idx="0">
                  <c:v>2017</c:v>
                </c:pt>
                <c:pt idx="1">
                  <c:v>2018</c:v>
                </c:pt>
                <c:pt idx="2">
                  <c:v>2019</c:v>
                </c:pt>
                <c:pt idx="3">
                  <c:v>2020</c:v>
                </c:pt>
                <c:pt idx="4">
                  <c:v>2021</c:v>
                </c:pt>
                <c:pt idx="5">
                  <c:v>2022</c:v>
                </c:pt>
              </c:numCache>
            </c:numRef>
          </c:cat>
          <c:val>
            <c:numRef>
              <c:f>Sheet1!$C$2:$C$8</c:f>
              <c:numCache>
                <c:formatCode>0.0</c:formatCode>
                <c:ptCount val="6"/>
                <c:pt idx="0">
                  <c:v>2988.3796278717332</c:v>
                </c:pt>
                <c:pt idx="1">
                  <c:v>3082.8664640448101</c:v>
                </c:pt>
                <c:pt idx="2">
                  <c:v>3277.2813769668846</c:v>
                </c:pt>
                <c:pt idx="3">
                  <c:v>3923.8890671175195</c:v>
                </c:pt>
                <c:pt idx="4">
                  <c:v>4273.6889305744953</c:v>
                </c:pt>
                <c:pt idx="5">
                  <c:v>4740.1930014105183</c:v>
                </c:pt>
              </c:numCache>
            </c:numRef>
          </c:val>
          <c:extLst>
            <c:ext xmlns:c16="http://schemas.microsoft.com/office/drawing/2014/chart" uri="{C3380CC4-5D6E-409C-BE32-E72D297353CC}">
              <c16:uniqueId val="{00000000-1D79-4E4F-9D34-FF72C098336B}"/>
            </c:ext>
          </c:extLst>
        </c:ser>
        <c:dLbls>
          <c:showLegendKey val="0"/>
          <c:showVal val="0"/>
          <c:showCatName val="0"/>
          <c:showSerName val="0"/>
          <c:showPercent val="0"/>
          <c:showBubbleSize val="0"/>
        </c:dLbls>
        <c:gapWidth val="219"/>
        <c:axId val="444647296"/>
        <c:axId val="444648832"/>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6"/>
                <c:pt idx="0">
                  <c:v>2017</c:v>
                </c:pt>
                <c:pt idx="1">
                  <c:v>2018</c:v>
                </c:pt>
                <c:pt idx="2">
                  <c:v>2019</c:v>
                </c:pt>
                <c:pt idx="3">
                  <c:v>2020</c:v>
                </c:pt>
                <c:pt idx="4">
                  <c:v>2021</c:v>
                </c:pt>
                <c:pt idx="5">
                  <c:v>2022</c:v>
                </c:pt>
              </c:numCache>
            </c:numRef>
          </c:cat>
          <c:val>
            <c:numRef>
              <c:f>Sheet1!$B$2:$B$8</c:f>
              <c:numCache>
                <c:formatCode>0.0</c:formatCode>
                <c:ptCount val="6"/>
                <c:pt idx="0">
                  <c:v>53.704433930610207</c:v>
                </c:pt>
                <c:pt idx="1">
                  <c:v>51.235639506393603</c:v>
                </c:pt>
                <c:pt idx="2">
                  <c:v>49.890110777392067</c:v>
                </c:pt>
                <c:pt idx="3">
                  <c:v>63.476258231461003</c:v>
                </c:pt>
                <c:pt idx="4">
                  <c:v>60.781943569000163</c:v>
                </c:pt>
                <c:pt idx="5">
                  <c:v>60.235460876979104</c:v>
                </c:pt>
              </c:numCache>
            </c:numRef>
          </c:val>
          <c:smooth val="0"/>
          <c:extLst>
            <c:ext xmlns:c16="http://schemas.microsoft.com/office/drawing/2014/chart" uri="{C3380CC4-5D6E-409C-BE32-E72D297353CC}">
              <c16:uniqueId val="{00000001-1D79-4E4F-9D34-FF72C098336B}"/>
            </c:ext>
          </c:extLst>
        </c:ser>
        <c:dLbls>
          <c:showLegendKey val="0"/>
          <c:showVal val="0"/>
          <c:showCatName val="0"/>
          <c:showSerName val="0"/>
          <c:showPercent val="0"/>
          <c:showBubbleSize val="0"/>
        </c:dLbls>
        <c:marker val="1"/>
        <c:smooth val="0"/>
        <c:axId val="444652160"/>
        <c:axId val="444650624"/>
      </c:lineChart>
      <c:catAx>
        <c:axId val="444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8832"/>
        <c:crosses val="autoZero"/>
        <c:auto val="1"/>
        <c:lblAlgn val="ctr"/>
        <c:lblOffset val="100"/>
        <c:noMultiLvlLbl val="0"/>
      </c:catAx>
      <c:valAx>
        <c:axId val="44464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7296"/>
        <c:crosses val="autoZero"/>
        <c:crossBetween val="between"/>
      </c:valAx>
      <c:valAx>
        <c:axId val="444650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52160"/>
        <c:crosses val="max"/>
        <c:crossBetween val="between"/>
      </c:valAx>
      <c:catAx>
        <c:axId val="444652160"/>
        <c:scaling>
          <c:orientation val="minMax"/>
        </c:scaling>
        <c:delete val="1"/>
        <c:axPos val="b"/>
        <c:numFmt formatCode="General" sourceLinked="1"/>
        <c:majorTickMark val="out"/>
        <c:minorTickMark val="none"/>
        <c:tickLblPos val="none"/>
        <c:crossAx val="444650624"/>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9172563256539785"/>
          <c:h val="0.56610718117510128"/>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Sheet1!$B$2:$B$672</c:f>
              <c:numCache>
                <c:formatCode>0.0</c:formatCode>
                <c:ptCount val="671"/>
                <c:pt idx="0">
                  <c:v>100</c:v>
                </c:pt>
                <c:pt idx="1">
                  <c:v>97.524332378497462</c:v>
                </c:pt>
                <c:pt idx="2">
                  <c:v>100.87289793349082</c:v>
                </c:pt>
                <c:pt idx="3">
                  <c:v>101.58006079608609</c:v>
                </c:pt>
                <c:pt idx="4">
                  <c:v>102.56490958275397</c:v>
                </c:pt>
                <c:pt idx="5">
                  <c:v>102.98522328418385</c:v>
                </c:pt>
                <c:pt idx="6">
                  <c:v>103.45055636785216</c:v>
                </c:pt>
                <c:pt idx="7">
                  <c:v>103.43541710656844</c:v>
                </c:pt>
                <c:pt idx="8">
                  <c:v>102.89159890519235</c:v>
                </c:pt>
                <c:pt idx="9">
                  <c:v>103.99477297084098</c:v>
                </c:pt>
                <c:pt idx="10">
                  <c:v>104.22584590622422</c:v>
                </c:pt>
                <c:pt idx="11">
                  <c:v>105.01707150910546</c:v>
                </c:pt>
                <c:pt idx="12">
                  <c:v>106.40151711334126</c:v>
                </c:pt>
                <c:pt idx="13">
                  <c:v>104.89516061561015</c:v>
                </c:pt>
                <c:pt idx="14">
                  <c:v>105.12623355099338</c:v>
                </c:pt>
                <c:pt idx="15">
                  <c:v>105.27085333641426</c:v>
                </c:pt>
                <c:pt idx="16">
                  <c:v>106.16446815376706</c:v>
                </c:pt>
                <c:pt idx="17">
                  <c:v>105.33141038154919</c:v>
                </c:pt>
                <c:pt idx="18">
                  <c:v>105.17802576064825</c:v>
                </c:pt>
                <c:pt idx="19">
                  <c:v>106.8134643809038</c:v>
                </c:pt>
                <c:pt idx="20">
                  <c:v>107.73178009824581</c:v>
                </c:pt>
                <c:pt idx="21">
                  <c:v>107.82859169013913</c:v>
                </c:pt>
                <c:pt idx="22">
                  <c:v>108.55926024788545</c:v>
                </c:pt>
                <c:pt idx="23">
                  <c:v>109.07040951701768</c:v>
                </c:pt>
                <c:pt idx="24">
                  <c:v>108.8277829348653</c:v>
                </c:pt>
                <c:pt idx="25">
                  <c:v>107.80946841272811</c:v>
                </c:pt>
                <c:pt idx="26">
                  <c:v>107.88237590785764</c:v>
                </c:pt>
                <c:pt idx="27">
                  <c:v>107.95886901750175</c:v>
                </c:pt>
                <c:pt idx="28">
                  <c:v>109.35048585076667</c:v>
                </c:pt>
                <c:pt idx="29">
                  <c:v>109.68115918933235</c:v>
                </c:pt>
                <c:pt idx="30">
                  <c:v>109.39032601203964</c:v>
                </c:pt>
                <c:pt idx="31">
                  <c:v>110.58035162926333</c:v>
                </c:pt>
                <c:pt idx="32">
                  <c:v>110.74608670015891</c:v>
                </c:pt>
                <c:pt idx="33">
                  <c:v>110.94289709684737</c:v>
                </c:pt>
                <c:pt idx="34">
                  <c:v>110.55166671314679</c:v>
                </c:pt>
                <c:pt idx="35">
                  <c:v>111.26042318219298</c:v>
                </c:pt>
                <c:pt idx="36">
                  <c:v>111.39747333697201</c:v>
                </c:pt>
                <c:pt idx="37">
                  <c:v>111.30942658055874</c:v>
                </c:pt>
                <c:pt idx="38">
                  <c:v>111.24886953542382</c:v>
                </c:pt>
                <c:pt idx="39">
                  <c:v>110.93453066298005</c:v>
                </c:pt>
                <c:pt idx="40">
                  <c:v>111.69946175942114</c:v>
                </c:pt>
                <c:pt idx="41">
                  <c:v>111.2660008047712</c:v>
                </c:pt>
                <c:pt idx="42">
                  <c:v>111.14010589514861</c:v>
                </c:pt>
                <c:pt idx="43">
                  <c:v>110.41501495998048</c:v>
                </c:pt>
                <c:pt idx="44">
                  <c:v>109.51781452811313</c:v>
                </c:pt>
                <c:pt idx="45">
                  <c:v>109.28435118305353</c:v>
                </c:pt>
                <c:pt idx="46">
                  <c:v>110.88712087106522</c:v>
                </c:pt>
                <c:pt idx="47">
                  <c:v>111.21460699672906</c:v>
                </c:pt>
                <c:pt idx="48">
                  <c:v>111.98750612542473</c:v>
                </c:pt>
                <c:pt idx="49">
                  <c:v>111.89029613191867</c:v>
                </c:pt>
                <c:pt idx="50">
                  <c:v>112.4480583897403</c:v>
                </c:pt>
                <c:pt idx="51">
                  <c:v>112.8647864766556</c:v>
                </c:pt>
                <c:pt idx="52">
                  <c:v>112.8500456169846</c:v>
                </c:pt>
                <c:pt idx="53">
                  <c:v>112.517778671968</c:v>
                </c:pt>
                <c:pt idx="54">
                  <c:v>113.73887961498463</c:v>
                </c:pt>
                <c:pt idx="55">
                  <c:v>111.58073807882768</c:v>
                </c:pt>
                <c:pt idx="56">
                  <c:v>111.4871136998362</c:v>
                </c:pt>
                <c:pt idx="57">
                  <c:v>112.28790094142295</c:v>
                </c:pt>
                <c:pt idx="58">
                  <c:v>111.76639323035972</c:v>
                </c:pt>
                <c:pt idx="59">
                  <c:v>112.16758365437857</c:v>
                </c:pt>
                <c:pt idx="60">
                  <c:v>112.92295311211414</c:v>
                </c:pt>
                <c:pt idx="61">
                  <c:v>114.22931200025494</c:v>
                </c:pt>
                <c:pt idx="62">
                  <c:v>114.23130400831856</c:v>
                </c:pt>
                <c:pt idx="63">
                  <c:v>114.47671940176008</c:v>
                </c:pt>
                <c:pt idx="64">
                  <c:v>114.71536196778519</c:v>
                </c:pt>
                <c:pt idx="65">
                  <c:v>115.24722812077935</c:v>
                </c:pt>
                <c:pt idx="66">
                  <c:v>115.36794380943647</c:v>
                </c:pt>
                <c:pt idx="67">
                  <c:v>114.66795217587033</c:v>
                </c:pt>
                <c:pt idx="68">
                  <c:v>115.06675219021278</c:v>
                </c:pt>
                <c:pt idx="69">
                  <c:v>115.07113460795281</c:v>
                </c:pt>
                <c:pt idx="70">
                  <c:v>115.83168328665384</c:v>
                </c:pt>
                <c:pt idx="71">
                  <c:v>115.7587757915243</c:v>
                </c:pt>
                <c:pt idx="72">
                  <c:v>115.81773923020829</c:v>
                </c:pt>
                <c:pt idx="73">
                  <c:v>115.55439576419393</c:v>
                </c:pt>
                <c:pt idx="74">
                  <c:v>115.73686370282415</c:v>
                </c:pt>
                <c:pt idx="75">
                  <c:v>115.85399377696669</c:v>
                </c:pt>
                <c:pt idx="76">
                  <c:v>116.87828432329482</c:v>
                </c:pt>
                <c:pt idx="77">
                  <c:v>116.62211208630961</c:v>
                </c:pt>
                <c:pt idx="78">
                  <c:v>116.5790847121348</c:v>
                </c:pt>
                <c:pt idx="79">
                  <c:v>117.12529332318726</c:v>
                </c:pt>
                <c:pt idx="80">
                  <c:v>117.25078983119712</c:v>
                </c:pt>
                <c:pt idx="81">
                  <c:v>117.36234228276143</c:v>
                </c:pt>
                <c:pt idx="82">
                  <c:v>116.48187471862873</c:v>
                </c:pt>
                <c:pt idx="83">
                  <c:v>116.23446731712356</c:v>
                </c:pt>
                <c:pt idx="84">
                  <c:v>117.35477265211955</c:v>
                </c:pt>
                <c:pt idx="85">
                  <c:v>116.83007772815449</c:v>
                </c:pt>
                <c:pt idx="86">
                  <c:v>114.90101711931717</c:v>
                </c:pt>
                <c:pt idx="87">
                  <c:v>114.7165571726233</c:v>
                </c:pt>
                <c:pt idx="88">
                  <c:v>114.36994776954842</c:v>
                </c:pt>
                <c:pt idx="89">
                  <c:v>114.7954406919438</c:v>
                </c:pt>
                <c:pt idx="90">
                  <c:v>112.025354278634</c:v>
                </c:pt>
                <c:pt idx="91">
                  <c:v>112.92335151372681</c:v>
                </c:pt>
                <c:pt idx="92">
                  <c:v>113.58270618279451</c:v>
                </c:pt>
                <c:pt idx="93">
                  <c:v>114.59305267267712</c:v>
                </c:pt>
                <c:pt idx="94">
                  <c:v>113.9241363649039</c:v>
                </c:pt>
                <c:pt idx="95">
                  <c:v>113.15522125233552</c:v>
                </c:pt>
                <c:pt idx="96">
                  <c:v>114.11656434385236</c:v>
                </c:pt>
                <c:pt idx="97">
                  <c:v>113.79425743915399</c:v>
                </c:pt>
                <c:pt idx="98">
                  <c:v>112.43849675103472</c:v>
                </c:pt>
                <c:pt idx="99">
                  <c:v>112.59068616709747</c:v>
                </c:pt>
                <c:pt idx="100">
                  <c:v>111.64766954976621</c:v>
                </c:pt>
                <c:pt idx="101">
                  <c:v>110.87596562590872</c:v>
                </c:pt>
                <c:pt idx="102">
                  <c:v>111.10863216774288</c:v>
                </c:pt>
                <c:pt idx="103">
                  <c:v>109.64251423289747</c:v>
                </c:pt>
                <c:pt idx="104">
                  <c:v>109.33933060561014</c:v>
                </c:pt>
                <c:pt idx="105">
                  <c:v>111.68272889168641</c:v>
                </c:pt>
                <c:pt idx="106">
                  <c:v>112.59427178161202</c:v>
                </c:pt>
                <c:pt idx="107">
                  <c:v>113.28510017808537</c:v>
                </c:pt>
                <c:pt idx="108">
                  <c:v>114.47432899208363</c:v>
                </c:pt>
                <c:pt idx="109">
                  <c:v>115.00778875152874</c:v>
                </c:pt>
                <c:pt idx="110">
                  <c:v>114.96755018864303</c:v>
                </c:pt>
                <c:pt idx="111">
                  <c:v>114.73329004035796</c:v>
                </c:pt>
                <c:pt idx="112">
                  <c:v>115.20340394337902</c:v>
                </c:pt>
                <c:pt idx="113">
                  <c:v>115.01774879184697</c:v>
                </c:pt>
                <c:pt idx="114">
                  <c:v>115.12491882567127</c:v>
                </c:pt>
                <c:pt idx="115">
                  <c:v>116.24363055421635</c:v>
                </c:pt>
                <c:pt idx="116">
                  <c:v>116.59063835890393</c:v>
                </c:pt>
                <c:pt idx="117">
                  <c:v>117.69500762939072</c:v>
                </c:pt>
                <c:pt idx="118">
                  <c:v>117.54680222945527</c:v>
                </c:pt>
                <c:pt idx="119">
                  <c:v>117.34321900535038</c:v>
                </c:pt>
                <c:pt idx="120">
                  <c:v>116.22888969454534</c:v>
                </c:pt>
                <c:pt idx="121">
                  <c:v>116.08546511396264</c:v>
                </c:pt>
                <c:pt idx="122">
                  <c:v>116.52928451054355</c:v>
                </c:pt>
                <c:pt idx="123">
                  <c:v>117.20019282638042</c:v>
                </c:pt>
                <c:pt idx="124">
                  <c:v>118.0993852663114</c:v>
                </c:pt>
                <c:pt idx="125">
                  <c:v>118.44519786616081</c:v>
                </c:pt>
                <c:pt idx="126">
                  <c:v>119.35395194479732</c:v>
                </c:pt>
                <c:pt idx="127">
                  <c:v>119.13841667231051</c:v>
                </c:pt>
                <c:pt idx="128">
                  <c:v>118.56232794030332</c:v>
                </c:pt>
                <c:pt idx="129">
                  <c:v>118.70893973378787</c:v>
                </c:pt>
                <c:pt idx="130">
                  <c:v>119.24439150129663</c:v>
                </c:pt>
                <c:pt idx="131">
                  <c:v>119.51689820440376</c:v>
                </c:pt>
                <c:pt idx="132">
                  <c:v>120.06908283964718</c:v>
                </c:pt>
                <c:pt idx="133">
                  <c:v>120.09019812512186</c:v>
                </c:pt>
                <c:pt idx="134">
                  <c:v>119.68143807046114</c:v>
                </c:pt>
                <c:pt idx="135">
                  <c:v>118.89977410628542</c:v>
                </c:pt>
                <c:pt idx="136">
                  <c:v>119.3256654302935</c:v>
                </c:pt>
                <c:pt idx="137">
                  <c:v>118.5886224467435</c:v>
                </c:pt>
                <c:pt idx="138">
                  <c:v>118.92407660466195</c:v>
                </c:pt>
                <c:pt idx="139">
                  <c:v>119.73840950108151</c:v>
                </c:pt>
                <c:pt idx="140">
                  <c:v>120.29975737341771</c:v>
                </c:pt>
                <c:pt idx="141">
                  <c:v>119.66669721079018</c:v>
                </c:pt>
                <c:pt idx="142">
                  <c:v>120.55075038943745</c:v>
                </c:pt>
                <c:pt idx="143">
                  <c:v>120.3559320008126</c:v>
                </c:pt>
                <c:pt idx="144">
                  <c:v>120.04557714449615</c:v>
                </c:pt>
                <c:pt idx="145">
                  <c:v>118.73881985474266</c:v>
                </c:pt>
                <c:pt idx="146">
                  <c:v>117.67030672940153</c:v>
                </c:pt>
                <c:pt idx="147">
                  <c:v>116.8133448604199</c:v>
                </c:pt>
                <c:pt idx="148">
                  <c:v>113.33490037967664</c:v>
                </c:pt>
                <c:pt idx="149">
                  <c:v>114.81018155161482</c:v>
                </c:pt>
                <c:pt idx="150">
                  <c:v>114.8982283080281</c:v>
                </c:pt>
                <c:pt idx="151">
                  <c:v>117.05397943450866</c:v>
                </c:pt>
                <c:pt idx="152">
                  <c:v>116.27948669936207</c:v>
                </c:pt>
                <c:pt idx="153">
                  <c:v>114.88906507093532</c:v>
                </c:pt>
                <c:pt idx="154">
                  <c:v>116.58506073632577</c:v>
                </c:pt>
                <c:pt idx="155">
                  <c:v>113.16996211200654</c:v>
                </c:pt>
                <c:pt idx="156">
                  <c:v>113.44884324091734</c:v>
                </c:pt>
                <c:pt idx="157">
                  <c:v>115.08547706601107</c:v>
                </c:pt>
                <c:pt idx="158">
                  <c:v>116.47868750572695</c:v>
                </c:pt>
                <c:pt idx="159">
                  <c:v>115.55678617387036</c:v>
                </c:pt>
                <c:pt idx="160">
                  <c:v>116.50976283151985</c:v>
                </c:pt>
                <c:pt idx="161">
                  <c:v>116.45079939283586</c:v>
                </c:pt>
                <c:pt idx="162">
                  <c:v>113.42932156189362</c:v>
                </c:pt>
                <c:pt idx="163">
                  <c:v>114.67512340489948</c:v>
                </c:pt>
                <c:pt idx="164">
                  <c:v>114.30779711796266</c:v>
                </c:pt>
                <c:pt idx="165">
                  <c:v>115.05599534666909</c:v>
                </c:pt>
                <c:pt idx="166">
                  <c:v>116.51573885571082</c:v>
                </c:pt>
                <c:pt idx="167">
                  <c:v>116.59063835890403</c:v>
                </c:pt>
                <c:pt idx="168">
                  <c:v>115.78626550280271</c:v>
                </c:pt>
                <c:pt idx="169">
                  <c:v>117.04162898451408</c:v>
                </c:pt>
                <c:pt idx="170">
                  <c:v>118.56431994836709</c:v>
                </c:pt>
                <c:pt idx="171">
                  <c:v>118.67228678541684</c:v>
                </c:pt>
                <c:pt idx="172">
                  <c:v>118.6611315402604</c:v>
                </c:pt>
                <c:pt idx="173">
                  <c:v>118.69937809508245</c:v>
                </c:pt>
                <c:pt idx="174">
                  <c:v>119.55753516890229</c:v>
                </c:pt>
                <c:pt idx="175">
                  <c:v>119.90175416230079</c:v>
                </c:pt>
                <c:pt idx="176">
                  <c:v>119.8149026107257</c:v>
                </c:pt>
                <c:pt idx="177">
                  <c:v>119.43920988992157</c:v>
                </c:pt>
                <c:pt idx="178">
                  <c:v>119.74757273817437</c:v>
                </c:pt>
                <c:pt idx="179">
                  <c:v>119.78860810428553</c:v>
                </c:pt>
                <c:pt idx="180">
                  <c:v>119.79099851396191</c:v>
                </c:pt>
                <c:pt idx="181">
                  <c:v>119.20455134002376</c:v>
                </c:pt>
                <c:pt idx="182">
                  <c:v>119.1929976932546</c:v>
                </c:pt>
                <c:pt idx="183">
                  <c:v>118.18982243240113</c:v>
                </c:pt>
                <c:pt idx="184">
                  <c:v>118.91770217885835</c:v>
                </c:pt>
                <c:pt idx="185">
                  <c:v>118.6288610096293</c:v>
                </c:pt>
                <c:pt idx="186">
                  <c:v>117.99819125667815</c:v>
                </c:pt>
                <c:pt idx="187">
                  <c:v>118.5938016677091</c:v>
                </c:pt>
                <c:pt idx="188">
                  <c:v>117.14003418285833</c:v>
                </c:pt>
                <c:pt idx="189">
                  <c:v>115.04284809344904</c:v>
                </c:pt>
                <c:pt idx="190">
                  <c:v>115.95996860595287</c:v>
                </c:pt>
                <c:pt idx="191">
                  <c:v>117.60855447942849</c:v>
                </c:pt>
                <c:pt idx="192">
                  <c:v>117.08186754739978</c:v>
                </c:pt>
                <c:pt idx="193">
                  <c:v>115.25997697238672</c:v>
                </c:pt>
                <c:pt idx="194">
                  <c:v>116.30936682031684</c:v>
                </c:pt>
                <c:pt idx="195">
                  <c:v>117.05557304095962</c:v>
                </c:pt>
                <c:pt idx="196">
                  <c:v>118.33603582427297</c:v>
                </c:pt>
                <c:pt idx="197">
                  <c:v>118.17189435982831</c:v>
                </c:pt>
                <c:pt idx="198">
                  <c:v>119.3483743222192</c:v>
                </c:pt>
                <c:pt idx="199">
                  <c:v>119.10973175619411</c:v>
                </c:pt>
                <c:pt idx="200">
                  <c:v>119.43881148830886</c:v>
                </c:pt>
                <c:pt idx="201">
                  <c:v>118.97068959335142</c:v>
                </c:pt>
                <c:pt idx="202">
                  <c:v>119.78820970267283</c:v>
                </c:pt>
                <c:pt idx="203">
                  <c:v>119.36072477221384</c:v>
                </c:pt>
                <c:pt idx="204">
                  <c:v>119.70056134787231</c:v>
                </c:pt>
                <c:pt idx="205">
                  <c:v>119.93043907841736</c:v>
                </c:pt>
                <c:pt idx="206">
                  <c:v>120.41887945562404</c:v>
                </c:pt>
                <c:pt idx="207">
                  <c:v>121.09098297629909</c:v>
                </c:pt>
                <c:pt idx="208">
                  <c:v>120.99018736827846</c:v>
                </c:pt>
                <c:pt idx="209">
                  <c:v>121.38380816165544</c:v>
                </c:pt>
                <c:pt idx="210">
                  <c:v>121.01688027633136</c:v>
                </c:pt>
                <c:pt idx="211">
                  <c:v>122.18618900969312</c:v>
                </c:pt>
                <c:pt idx="212">
                  <c:v>122.63877324175409</c:v>
                </c:pt>
                <c:pt idx="213">
                  <c:v>122.49335665310774</c:v>
                </c:pt>
                <c:pt idx="214">
                  <c:v>122.57941140145736</c:v>
                </c:pt>
                <c:pt idx="215">
                  <c:v>122.91406875615031</c:v>
                </c:pt>
                <c:pt idx="216">
                  <c:v>123.22880603020681</c:v>
                </c:pt>
                <c:pt idx="217">
                  <c:v>122.98697625127988</c:v>
                </c:pt>
                <c:pt idx="218">
                  <c:v>123.17940423022833</c:v>
                </c:pt>
                <c:pt idx="219">
                  <c:v>123.26705258502885</c:v>
                </c:pt>
                <c:pt idx="220">
                  <c:v>123.37023860272585</c:v>
                </c:pt>
                <c:pt idx="221">
                  <c:v>124.3196296458608</c:v>
                </c:pt>
                <c:pt idx="222">
                  <c:v>124.38217869905938</c:v>
                </c:pt>
                <c:pt idx="223">
                  <c:v>124.30847440070437</c:v>
                </c:pt>
                <c:pt idx="224">
                  <c:v>123.84154771058513</c:v>
                </c:pt>
                <c:pt idx="225">
                  <c:v>123.64553411712211</c:v>
                </c:pt>
                <c:pt idx="226">
                  <c:v>123.91445520571467</c:v>
                </c:pt>
                <c:pt idx="227">
                  <c:v>124.8447229714386</c:v>
                </c:pt>
                <c:pt idx="228">
                  <c:v>125.11882328099665</c:v>
                </c:pt>
                <c:pt idx="229">
                  <c:v>125.64112779528534</c:v>
                </c:pt>
                <c:pt idx="230">
                  <c:v>125.13714975518224</c:v>
                </c:pt>
                <c:pt idx="231">
                  <c:v>124.05708298307194</c:v>
                </c:pt>
                <c:pt idx="232">
                  <c:v>123.23358684955959</c:v>
                </c:pt>
                <c:pt idx="233">
                  <c:v>124.01286040405896</c:v>
                </c:pt>
                <c:pt idx="234">
                  <c:v>124.19891395720371</c:v>
                </c:pt>
                <c:pt idx="235">
                  <c:v>125.333561750258</c:v>
                </c:pt>
                <c:pt idx="236">
                  <c:v>124.93715214559192</c:v>
                </c:pt>
                <c:pt idx="237">
                  <c:v>124.80010199081289</c:v>
                </c:pt>
                <c:pt idx="238">
                  <c:v>125.16304586000969</c:v>
                </c:pt>
                <c:pt idx="239">
                  <c:v>126.23633980470359</c:v>
                </c:pt>
                <c:pt idx="240">
                  <c:v>126.24550304179638</c:v>
                </c:pt>
                <c:pt idx="241">
                  <c:v>127.14788269462919</c:v>
                </c:pt>
                <c:pt idx="242">
                  <c:v>127.19051166719127</c:v>
                </c:pt>
                <c:pt idx="243">
                  <c:v>127.13553224463458</c:v>
                </c:pt>
                <c:pt idx="244">
                  <c:v>127.70245773954898</c:v>
                </c:pt>
                <c:pt idx="245">
                  <c:v>128.33392429572558</c:v>
                </c:pt>
                <c:pt idx="246">
                  <c:v>128.44507834567719</c:v>
                </c:pt>
                <c:pt idx="247">
                  <c:v>128.41997904407521</c:v>
                </c:pt>
                <c:pt idx="248">
                  <c:v>129.07853690991743</c:v>
                </c:pt>
                <c:pt idx="249">
                  <c:v>129.08291932765746</c:v>
                </c:pt>
                <c:pt idx="250">
                  <c:v>128.33671310701467</c:v>
                </c:pt>
                <c:pt idx="251">
                  <c:v>128.71479623749519</c:v>
                </c:pt>
                <c:pt idx="252">
                  <c:v>129.79326940315457</c:v>
                </c:pt>
                <c:pt idx="253">
                  <c:v>128.87694569387619</c:v>
                </c:pt>
                <c:pt idx="254">
                  <c:v>129.33231873722627</c:v>
                </c:pt>
                <c:pt idx="255">
                  <c:v>128.96977326964219</c:v>
                </c:pt>
                <c:pt idx="256">
                  <c:v>129.60203662904431</c:v>
                </c:pt>
                <c:pt idx="257">
                  <c:v>130.46457612060416</c:v>
                </c:pt>
                <c:pt idx="258">
                  <c:v>130.09207061270186</c:v>
                </c:pt>
                <c:pt idx="259">
                  <c:v>130.9996294865002</c:v>
                </c:pt>
                <c:pt idx="260">
                  <c:v>130.80122548336081</c:v>
                </c:pt>
                <c:pt idx="261">
                  <c:v>131.04584407357686</c:v>
                </c:pt>
                <c:pt idx="262">
                  <c:v>132.14224531180906</c:v>
                </c:pt>
                <c:pt idx="263">
                  <c:v>132.65259777771584</c:v>
                </c:pt>
                <c:pt idx="264">
                  <c:v>132.30080915367549</c:v>
                </c:pt>
                <c:pt idx="265">
                  <c:v>132.33905570849754</c:v>
                </c:pt>
                <c:pt idx="266">
                  <c:v>132.49004991972211</c:v>
                </c:pt>
                <c:pt idx="267">
                  <c:v>131.29205627024382</c:v>
                </c:pt>
                <c:pt idx="268">
                  <c:v>129.22674230985291</c:v>
                </c:pt>
                <c:pt idx="269">
                  <c:v>130.52592996896456</c:v>
                </c:pt>
                <c:pt idx="270">
                  <c:v>130.41278391094932</c:v>
                </c:pt>
                <c:pt idx="271">
                  <c:v>130.82154396561</c:v>
                </c:pt>
                <c:pt idx="272">
                  <c:v>128.50523698919937</c:v>
                </c:pt>
                <c:pt idx="273">
                  <c:v>129.43749676298697</c:v>
                </c:pt>
                <c:pt idx="274">
                  <c:v>131.37651741214253</c:v>
                </c:pt>
                <c:pt idx="275">
                  <c:v>132.8545873953698</c:v>
                </c:pt>
                <c:pt idx="276">
                  <c:v>133.29641478388709</c:v>
                </c:pt>
                <c:pt idx="277">
                  <c:v>132.57650306968446</c:v>
                </c:pt>
                <c:pt idx="278">
                  <c:v>133.54780620151953</c:v>
                </c:pt>
                <c:pt idx="279">
                  <c:v>133.77330151432454</c:v>
                </c:pt>
                <c:pt idx="280">
                  <c:v>134.63783301394804</c:v>
                </c:pt>
                <c:pt idx="281">
                  <c:v>134.41831372533397</c:v>
                </c:pt>
                <c:pt idx="282">
                  <c:v>134.66611952845184</c:v>
                </c:pt>
                <c:pt idx="283">
                  <c:v>134.27289713668759</c:v>
                </c:pt>
                <c:pt idx="284">
                  <c:v>134.90476209447695</c:v>
                </c:pt>
                <c:pt idx="285">
                  <c:v>134.39002721083014</c:v>
                </c:pt>
                <c:pt idx="286">
                  <c:v>132.97649828886506</c:v>
                </c:pt>
                <c:pt idx="287">
                  <c:v>128.5199778488703</c:v>
                </c:pt>
                <c:pt idx="288">
                  <c:v>124.62839089572631</c:v>
                </c:pt>
                <c:pt idx="289">
                  <c:v>124.15748018947977</c:v>
                </c:pt>
                <c:pt idx="290">
                  <c:v>118.67427879348054</c:v>
                </c:pt>
                <c:pt idx="291">
                  <c:v>117.69660123584177</c:v>
                </c:pt>
                <c:pt idx="292">
                  <c:v>123.1152615705788</c:v>
                </c:pt>
                <c:pt idx="293">
                  <c:v>119.65474516240837</c:v>
                </c:pt>
                <c:pt idx="294">
                  <c:v>124.70448560375767</c:v>
                </c:pt>
                <c:pt idx="295">
                  <c:v>120.47425727979342</c:v>
                </c:pt>
                <c:pt idx="296">
                  <c:v>118.4197001629462</c:v>
                </c:pt>
                <c:pt idx="297">
                  <c:v>109.42339334589622</c:v>
                </c:pt>
                <c:pt idx="298">
                  <c:v>114.82850802580043</c:v>
                </c:pt>
                <c:pt idx="299">
                  <c:v>109.21702131050222</c:v>
                </c:pt>
                <c:pt idx="300">
                  <c:v>98.829097660187273</c:v>
                </c:pt>
                <c:pt idx="301">
                  <c:v>108.00747401425477</c:v>
                </c:pt>
                <c:pt idx="302">
                  <c:v>95.063804018278631</c:v>
                </c:pt>
                <c:pt idx="303">
                  <c:v>100.76333748999011</c:v>
                </c:pt>
                <c:pt idx="304">
                  <c:v>95.540690748716088</c:v>
                </c:pt>
                <c:pt idx="305">
                  <c:v>95.990486169487951</c:v>
                </c:pt>
                <c:pt idx="306">
                  <c:v>91.828384521300492</c:v>
                </c:pt>
                <c:pt idx="307">
                  <c:v>89.138376832149376</c:v>
                </c:pt>
                <c:pt idx="308">
                  <c:v>97.502021888184558</c:v>
                </c:pt>
                <c:pt idx="309">
                  <c:v>98.626709640920581</c:v>
                </c:pt>
                <c:pt idx="310">
                  <c:v>104.78241295920763</c:v>
                </c:pt>
                <c:pt idx="311">
                  <c:v>101.25257467042222</c:v>
                </c:pt>
                <c:pt idx="312">
                  <c:v>104.64615960765406</c:v>
                </c:pt>
                <c:pt idx="313">
                  <c:v>102.97048242451282</c:v>
                </c:pt>
                <c:pt idx="314">
                  <c:v>98.425118424879344</c:v>
                </c:pt>
                <c:pt idx="315">
                  <c:v>100.67210352067501</c:v>
                </c:pt>
                <c:pt idx="316">
                  <c:v>99.148217351983803</c:v>
                </c:pt>
                <c:pt idx="317">
                  <c:v>106.12144077959222</c:v>
                </c:pt>
                <c:pt idx="318">
                  <c:v>105.95132329095662</c:v>
                </c:pt>
                <c:pt idx="319">
                  <c:v>109.55964669744978</c:v>
                </c:pt>
                <c:pt idx="320">
                  <c:v>111.14687872256502</c:v>
                </c:pt>
                <c:pt idx="321">
                  <c:v>110.02378457627991</c:v>
                </c:pt>
                <c:pt idx="322">
                  <c:v>113.38748939255699</c:v>
                </c:pt>
                <c:pt idx="323">
                  <c:v>110.8895112807416</c:v>
                </c:pt>
                <c:pt idx="324">
                  <c:v>111.53452349175102</c:v>
                </c:pt>
                <c:pt idx="325">
                  <c:v>114.5229339888367</c:v>
                </c:pt>
                <c:pt idx="326">
                  <c:v>112.4751496994059</c:v>
                </c:pt>
                <c:pt idx="327">
                  <c:v>109.02499173316647</c:v>
                </c:pt>
                <c:pt idx="328">
                  <c:v>111.52496185304551</c:v>
                </c:pt>
                <c:pt idx="329">
                  <c:v>111.46480320952332</c:v>
                </c:pt>
                <c:pt idx="330">
                  <c:v>113.01617908949287</c:v>
                </c:pt>
                <c:pt idx="331">
                  <c:v>114.67910742102676</c:v>
                </c:pt>
                <c:pt idx="332">
                  <c:v>114.07791938741759</c:v>
                </c:pt>
                <c:pt idx="333">
                  <c:v>117.1105524635163</c:v>
                </c:pt>
                <c:pt idx="334">
                  <c:v>116.03168089624418</c:v>
                </c:pt>
                <c:pt idx="335">
                  <c:v>112.77594291701685</c:v>
                </c:pt>
                <c:pt idx="336">
                  <c:v>113.2552200571307</c:v>
                </c:pt>
                <c:pt idx="337">
                  <c:v>114.2791122018461</c:v>
                </c:pt>
                <c:pt idx="338">
                  <c:v>113.48151217316119</c:v>
                </c:pt>
                <c:pt idx="339">
                  <c:v>114.78707425807652</c:v>
                </c:pt>
                <c:pt idx="340">
                  <c:v>116.72370449755573</c:v>
                </c:pt>
                <c:pt idx="341">
                  <c:v>116.74442138141767</c:v>
                </c:pt>
                <c:pt idx="342">
                  <c:v>114.34604367278469</c:v>
                </c:pt>
                <c:pt idx="343">
                  <c:v>112.34925478978329</c:v>
                </c:pt>
                <c:pt idx="344">
                  <c:v>113.64406003115491</c:v>
                </c:pt>
                <c:pt idx="345">
                  <c:v>114.09026983741218</c:v>
                </c:pt>
                <c:pt idx="346">
                  <c:v>117.68425078584706</c:v>
                </c:pt>
                <c:pt idx="347">
                  <c:v>116.45040099122309</c:v>
                </c:pt>
                <c:pt idx="348">
                  <c:v>118.38942164037869</c:v>
                </c:pt>
                <c:pt idx="349">
                  <c:v>117.46911391497302</c:v>
                </c:pt>
                <c:pt idx="350">
                  <c:v>117.74560463420744</c:v>
                </c:pt>
                <c:pt idx="351">
                  <c:v>119.19259929164183</c:v>
                </c:pt>
                <c:pt idx="352">
                  <c:v>120.9599088457109</c:v>
                </c:pt>
                <c:pt idx="353">
                  <c:v>120.70493181356387</c:v>
                </c:pt>
                <c:pt idx="354">
                  <c:v>121.28580136492383</c:v>
                </c:pt>
                <c:pt idx="355">
                  <c:v>121.74077600666119</c:v>
                </c:pt>
                <c:pt idx="356">
                  <c:v>122.74036565300007</c:v>
                </c:pt>
                <c:pt idx="357">
                  <c:v>124.41564443452857</c:v>
                </c:pt>
                <c:pt idx="358">
                  <c:v>123.99652593793691</c:v>
                </c:pt>
                <c:pt idx="359">
                  <c:v>127.24668629458601</c:v>
                </c:pt>
                <c:pt idx="360">
                  <c:v>128.77893889714454</c:v>
                </c:pt>
                <c:pt idx="361">
                  <c:v>127.77456843145291</c:v>
                </c:pt>
                <c:pt idx="362">
                  <c:v>127.09569208336146</c:v>
                </c:pt>
                <c:pt idx="363">
                  <c:v>119.60414815759165</c:v>
                </c:pt>
                <c:pt idx="364">
                  <c:v>121.16628088110491</c:v>
                </c:pt>
                <c:pt idx="365">
                  <c:v>122.17344015808567</c:v>
                </c:pt>
                <c:pt idx="366">
                  <c:v>124.49014553610903</c:v>
                </c:pt>
                <c:pt idx="367">
                  <c:v>124.04194372178809</c:v>
                </c:pt>
                <c:pt idx="368">
                  <c:v>124.1156480201431</c:v>
                </c:pt>
                <c:pt idx="369">
                  <c:v>123.41446118173876</c:v>
                </c:pt>
                <c:pt idx="370">
                  <c:v>124.21604522655097</c:v>
                </c:pt>
                <c:pt idx="371">
                  <c:v>124.75109859244699</c:v>
                </c:pt>
                <c:pt idx="372">
                  <c:v>121.5256391357871</c:v>
                </c:pt>
                <c:pt idx="373">
                  <c:v>122.85749572714259</c:v>
                </c:pt>
                <c:pt idx="374">
                  <c:v>119.8810372784388</c:v>
                </c:pt>
                <c:pt idx="375">
                  <c:v>121.64157400509144</c:v>
                </c:pt>
                <c:pt idx="376">
                  <c:v>123.51605359298482</c:v>
                </c:pt>
                <c:pt idx="377">
                  <c:v>124.13636490400502</c:v>
                </c:pt>
                <c:pt idx="378">
                  <c:v>124.70010318601759</c:v>
                </c:pt>
                <c:pt idx="379">
                  <c:v>126.68055760289705</c:v>
                </c:pt>
                <c:pt idx="380">
                  <c:v>125.3100560551068</c:v>
                </c:pt>
                <c:pt idx="381">
                  <c:v>126.29092082564739</c:v>
                </c:pt>
                <c:pt idx="382">
                  <c:v>125.57818034047392</c:v>
                </c:pt>
                <c:pt idx="383">
                  <c:v>126.89250726086929</c:v>
                </c:pt>
                <c:pt idx="384">
                  <c:v>125.70447365170925</c:v>
                </c:pt>
                <c:pt idx="385">
                  <c:v>127.389712473556</c:v>
                </c:pt>
                <c:pt idx="386">
                  <c:v>128.54667075692311</c:v>
                </c:pt>
                <c:pt idx="387">
                  <c:v>128.10882738453313</c:v>
                </c:pt>
                <c:pt idx="388">
                  <c:v>128.47376326179355</c:v>
                </c:pt>
                <c:pt idx="389">
                  <c:v>129.55383003390384</c:v>
                </c:pt>
                <c:pt idx="390">
                  <c:v>129.77135731445426</c:v>
                </c:pt>
                <c:pt idx="391">
                  <c:v>130.5171651334843</c:v>
                </c:pt>
                <c:pt idx="392">
                  <c:v>128.90921622450711</c:v>
                </c:pt>
                <c:pt idx="393">
                  <c:v>128.11121779420947</c:v>
                </c:pt>
                <c:pt idx="394">
                  <c:v>129.05861682928077</c:v>
                </c:pt>
                <c:pt idx="395">
                  <c:v>128.22316864738653</c:v>
                </c:pt>
                <c:pt idx="396">
                  <c:v>129.81677509830544</c:v>
                </c:pt>
                <c:pt idx="397">
                  <c:v>129.32992832754971</c:v>
                </c:pt>
                <c:pt idx="398">
                  <c:v>130.32194834324676</c:v>
                </c:pt>
                <c:pt idx="399">
                  <c:v>131.2577937315489</c:v>
                </c:pt>
                <c:pt idx="400">
                  <c:v>131.73189165069726</c:v>
                </c:pt>
                <c:pt idx="401">
                  <c:v>132.57889347936066</c:v>
                </c:pt>
                <c:pt idx="402">
                  <c:v>133.43107452898954</c:v>
                </c:pt>
                <c:pt idx="403">
                  <c:v>133.51553567088826</c:v>
                </c:pt>
                <c:pt idx="404">
                  <c:v>133.88166675298686</c:v>
                </c:pt>
                <c:pt idx="405">
                  <c:v>132.81474723409664</c:v>
                </c:pt>
                <c:pt idx="406">
                  <c:v>134.67368915909356</c:v>
                </c:pt>
                <c:pt idx="407">
                  <c:v>134.39799524308458</c:v>
                </c:pt>
                <c:pt idx="408">
                  <c:v>134.37488794954626</c:v>
                </c:pt>
                <c:pt idx="409">
                  <c:v>134.73902702358123</c:v>
                </c:pt>
                <c:pt idx="410">
                  <c:v>135.04938187989771</c:v>
                </c:pt>
                <c:pt idx="411">
                  <c:v>134.45456827209222</c:v>
                </c:pt>
                <c:pt idx="412">
                  <c:v>134.87926439126213</c:v>
                </c:pt>
                <c:pt idx="413">
                  <c:v>135.34340227009227</c:v>
                </c:pt>
                <c:pt idx="414">
                  <c:v>136.70274857272611</c:v>
                </c:pt>
                <c:pt idx="415">
                  <c:v>137.19437616283457</c:v>
                </c:pt>
                <c:pt idx="416">
                  <c:v>138.59316422512865</c:v>
                </c:pt>
                <c:pt idx="417">
                  <c:v>138.82503396373735</c:v>
                </c:pt>
                <c:pt idx="418">
                  <c:v>139.75968414720128</c:v>
                </c:pt>
                <c:pt idx="419">
                  <c:v>139.45291490539938</c:v>
                </c:pt>
                <c:pt idx="420">
                  <c:v>140.5023047533295</c:v>
                </c:pt>
                <c:pt idx="421">
                  <c:v>142.66124309271189</c:v>
                </c:pt>
                <c:pt idx="422">
                  <c:v>137.65014760779735</c:v>
                </c:pt>
                <c:pt idx="423">
                  <c:v>136.53063907602683</c:v>
                </c:pt>
                <c:pt idx="424">
                  <c:v>132.74104293574166</c:v>
                </c:pt>
                <c:pt idx="425">
                  <c:v>135.41511456038359</c:v>
                </c:pt>
                <c:pt idx="426">
                  <c:v>133.03386812109801</c:v>
                </c:pt>
                <c:pt idx="427">
                  <c:v>133.1047836081639</c:v>
                </c:pt>
                <c:pt idx="428">
                  <c:v>134.80077927355435</c:v>
                </c:pt>
                <c:pt idx="429">
                  <c:v>135.50435652163503</c:v>
                </c:pt>
                <c:pt idx="430">
                  <c:v>134.87846758803664</c:v>
                </c:pt>
                <c:pt idx="431">
                  <c:v>133.74381979498239</c:v>
                </c:pt>
                <c:pt idx="432">
                  <c:v>132.24822014079496</c:v>
                </c:pt>
                <c:pt idx="433">
                  <c:v>130.71795954630008</c:v>
                </c:pt>
                <c:pt idx="434">
                  <c:v>132.09284351183035</c:v>
                </c:pt>
                <c:pt idx="435">
                  <c:v>128.95941482771104</c:v>
                </c:pt>
                <c:pt idx="436">
                  <c:v>129.34466918722069</c:v>
                </c:pt>
                <c:pt idx="437">
                  <c:v>131.41117835244978</c:v>
                </c:pt>
                <c:pt idx="438">
                  <c:v>133.52828452249554</c:v>
                </c:pt>
                <c:pt idx="439">
                  <c:v>132.88566272116248</c:v>
                </c:pt>
                <c:pt idx="440">
                  <c:v>133.98246236100744</c:v>
                </c:pt>
                <c:pt idx="441">
                  <c:v>134.69161723166636</c:v>
                </c:pt>
                <c:pt idx="442">
                  <c:v>133.40238961287295</c:v>
                </c:pt>
                <c:pt idx="443">
                  <c:v>135.8003689198932</c:v>
                </c:pt>
                <c:pt idx="444">
                  <c:v>133.90079003039784</c:v>
                </c:pt>
                <c:pt idx="445">
                  <c:v>136.23143946486675</c:v>
                </c:pt>
                <c:pt idx="446">
                  <c:v>137.32226308052074</c:v>
                </c:pt>
                <c:pt idx="447">
                  <c:v>138.52941996709183</c:v>
                </c:pt>
                <c:pt idx="448">
                  <c:v>140.80389477416583</c:v>
                </c:pt>
                <c:pt idx="449">
                  <c:v>139.91585757939126</c:v>
                </c:pt>
                <c:pt idx="450">
                  <c:v>138.98917542818191</c:v>
                </c:pt>
                <c:pt idx="451">
                  <c:v>138.77682736859697</c:v>
                </c:pt>
                <c:pt idx="452">
                  <c:v>138.79555224439525</c:v>
                </c:pt>
                <c:pt idx="453">
                  <c:v>136.52904546957583</c:v>
                </c:pt>
                <c:pt idx="454">
                  <c:v>137.17445608219796</c:v>
                </c:pt>
                <c:pt idx="455">
                  <c:v>136.8732644629743</c:v>
                </c:pt>
                <c:pt idx="456">
                  <c:v>137.58759855459871</c:v>
                </c:pt>
                <c:pt idx="457">
                  <c:v>138.06169647374711</c:v>
                </c:pt>
                <c:pt idx="458">
                  <c:v>135.49519328454221</c:v>
                </c:pt>
                <c:pt idx="459">
                  <c:v>135.08523802504331</c:v>
                </c:pt>
                <c:pt idx="460">
                  <c:v>130.31836272873213</c:v>
                </c:pt>
                <c:pt idx="461">
                  <c:v>131.8753162312799</c:v>
                </c:pt>
                <c:pt idx="462">
                  <c:v>130.27573375617004</c:v>
                </c:pt>
                <c:pt idx="463">
                  <c:v>131.88049545224538</c:v>
                </c:pt>
                <c:pt idx="464">
                  <c:v>134.22787775444894</c:v>
                </c:pt>
                <c:pt idx="465">
                  <c:v>137.18720493380539</c:v>
                </c:pt>
                <c:pt idx="466">
                  <c:v>139.85689414070728</c:v>
                </c:pt>
                <c:pt idx="467">
                  <c:v>139.81665557782159</c:v>
                </c:pt>
                <c:pt idx="468">
                  <c:v>141.45249259968983</c:v>
                </c:pt>
                <c:pt idx="469">
                  <c:v>141.25448699816317</c:v>
                </c:pt>
                <c:pt idx="470">
                  <c:v>142.33535057349891</c:v>
                </c:pt>
                <c:pt idx="471">
                  <c:v>140.91504882411743</c:v>
                </c:pt>
                <c:pt idx="472">
                  <c:v>142.83295418779835</c:v>
                </c:pt>
                <c:pt idx="473">
                  <c:v>144.4966793225577</c:v>
                </c:pt>
                <c:pt idx="474">
                  <c:v>143.80425731963345</c:v>
                </c:pt>
                <c:pt idx="475">
                  <c:v>142.14132898809956</c:v>
                </c:pt>
                <c:pt idx="476">
                  <c:v>142.702278458823</c:v>
                </c:pt>
                <c:pt idx="477">
                  <c:v>141.73296733505157</c:v>
                </c:pt>
                <c:pt idx="478">
                  <c:v>142.53176256857469</c:v>
                </c:pt>
                <c:pt idx="479">
                  <c:v>144.83532069337798</c:v>
                </c:pt>
                <c:pt idx="480">
                  <c:v>144.60584136444567</c:v>
                </c:pt>
                <c:pt idx="481">
                  <c:v>144.95245076752053</c:v>
                </c:pt>
                <c:pt idx="482">
                  <c:v>144.28632327103642</c:v>
                </c:pt>
                <c:pt idx="483">
                  <c:v>145.91259865419914</c:v>
                </c:pt>
                <c:pt idx="484">
                  <c:v>146.17395011214987</c:v>
                </c:pt>
                <c:pt idx="485">
                  <c:v>146.08271614283476</c:v>
                </c:pt>
                <c:pt idx="486">
                  <c:v>147.37353736807907</c:v>
                </c:pt>
                <c:pt idx="487">
                  <c:v>147.0882818133646</c:v>
                </c:pt>
                <c:pt idx="488">
                  <c:v>147.4982370728635</c:v>
                </c:pt>
                <c:pt idx="489">
                  <c:v>146.32574112659992</c:v>
                </c:pt>
                <c:pt idx="490">
                  <c:v>146.13769556539148</c:v>
                </c:pt>
                <c:pt idx="491">
                  <c:v>145.95283721708489</c:v>
                </c:pt>
                <c:pt idx="492">
                  <c:v>145.3165898415555</c:v>
                </c:pt>
                <c:pt idx="493">
                  <c:v>147.19425664235069</c:v>
                </c:pt>
                <c:pt idx="494">
                  <c:v>147.45520969868866</c:v>
                </c:pt>
                <c:pt idx="495">
                  <c:v>148.3042035354157</c:v>
                </c:pt>
                <c:pt idx="496">
                  <c:v>147.78349262757794</c:v>
                </c:pt>
                <c:pt idx="497">
                  <c:v>147.20620869073258</c:v>
                </c:pt>
                <c:pt idx="498">
                  <c:v>146.90103305538162</c:v>
                </c:pt>
                <c:pt idx="499">
                  <c:v>147.01059349888232</c:v>
                </c:pt>
                <c:pt idx="500">
                  <c:v>147.53050760349461</c:v>
                </c:pt>
                <c:pt idx="501">
                  <c:v>148.81734481261165</c:v>
                </c:pt>
                <c:pt idx="502">
                  <c:v>148.48587467082049</c:v>
                </c:pt>
                <c:pt idx="503">
                  <c:v>148.68507547718536</c:v>
                </c:pt>
                <c:pt idx="504">
                  <c:v>149.64243455257491</c:v>
                </c:pt>
                <c:pt idx="505">
                  <c:v>147.43449281482677</c:v>
                </c:pt>
                <c:pt idx="506">
                  <c:v>148.47870344179137</c:v>
                </c:pt>
                <c:pt idx="507">
                  <c:v>149.32650207368025</c:v>
                </c:pt>
                <c:pt idx="508">
                  <c:v>151.54360704852118</c:v>
                </c:pt>
                <c:pt idx="509">
                  <c:v>152.37586801751357</c:v>
                </c:pt>
                <c:pt idx="510">
                  <c:v>151.37707517440015</c:v>
                </c:pt>
                <c:pt idx="511">
                  <c:v>151.44002262921146</c:v>
                </c:pt>
                <c:pt idx="512">
                  <c:v>151.78464002422268</c:v>
                </c:pt>
                <c:pt idx="513">
                  <c:v>151.21492571801915</c:v>
                </c:pt>
                <c:pt idx="514">
                  <c:v>150.12768771687971</c:v>
                </c:pt>
                <c:pt idx="515">
                  <c:v>151.34918706150904</c:v>
                </c:pt>
                <c:pt idx="516">
                  <c:v>153.45832519930025</c:v>
                </c:pt>
                <c:pt idx="517">
                  <c:v>153.50693019605328</c:v>
                </c:pt>
                <c:pt idx="518">
                  <c:v>153.04478432528677</c:v>
                </c:pt>
                <c:pt idx="519">
                  <c:v>153.59816416536836</c:v>
                </c:pt>
                <c:pt idx="520">
                  <c:v>153.3694816396615</c:v>
                </c:pt>
                <c:pt idx="521">
                  <c:v>149.43128169782813</c:v>
                </c:pt>
                <c:pt idx="522">
                  <c:v>150.88983000203169</c:v>
                </c:pt>
                <c:pt idx="523">
                  <c:v>147.97592060652644</c:v>
                </c:pt>
                <c:pt idx="524">
                  <c:v>150.3511910216211</c:v>
                </c:pt>
                <c:pt idx="525">
                  <c:v>152.44080748038851</c:v>
                </c:pt>
                <c:pt idx="526">
                  <c:v>152.59459050290221</c:v>
                </c:pt>
                <c:pt idx="527">
                  <c:v>154.25074600701967</c:v>
                </c:pt>
                <c:pt idx="528">
                  <c:v>154.85193404062883</c:v>
                </c:pt>
                <c:pt idx="529">
                  <c:v>155.99773707883952</c:v>
                </c:pt>
                <c:pt idx="530">
                  <c:v>155.82403397568936</c:v>
                </c:pt>
                <c:pt idx="531">
                  <c:v>155.77024975797084</c:v>
                </c:pt>
                <c:pt idx="532">
                  <c:v>156.02921080624515</c:v>
                </c:pt>
                <c:pt idx="533">
                  <c:v>156.76426178173148</c:v>
                </c:pt>
                <c:pt idx="534">
                  <c:v>156.67501982048003</c:v>
                </c:pt>
                <c:pt idx="535">
                  <c:v>156.62482121727609</c:v>
                </c:pt>
                <c:pt idx="536">
                  <c:v>155.93319601757727</c:v>
                </c:pt>
                <c:pt idx="537">
                  <c:v>155.6439564467355</c:v>
                </c:pt>
                <c:pt idx="538">
                  <c:v>154.44038517467899</c:v>
                </c:pt>
                <c:pt idx="539">
                  <c:v>154.63440676007835</c:v>
                </c:pt>
                <c:pt idx="540">
                  <c:v>156.38976426576551</c:v>
                </c:pt>
                <c:pt idx="541">
                  <c:v>152.56152316904556</c:v>
                </c:pt>
                <c:pt idx="542">
                  <c:v>151.83683063549017</c:v>
                </c:pt>
                <c:pt idx="543">
                  <c:v>155.44913805811061</c:v>
                </c:pt>
                <c:pt idx="544">
                  <c:v>154.19297777317377</c:v>
                </c:pt>
                <c:pt idx="545">
                  <c:v>152.17826081759952</c:v>
                </c:pt>
                <c:pt idx="546">
                  <c:v>150.13645255235966</c:v>
                </c:pt>
                <c:pt idx="547">
                  <c:v>153.06350920108497</c:v>
                </c:pt>
                <c:pt idx="548">
                  <c:v>152.24320028047447</c:v>
                </c:pt>
                <c:pt idx="549">
                  <c:v>154.39815460372958</c:v>
                </c:pt>
                <c:pt idx="550">
                  <c:v>155.32921917267896</c:v>
                </c:pt>
                <c:pt idx="551">
                  <c:v>156.94394090907255</c:v>
                </c:pt>
                <c:pt idx="552">
                  <c:v>157.10330155416443</c:v>
                </c:pt>
                <c:pt idx="553">
                  <c:v>158.12320968275253</c:v>
                </c:pt>
                <c:pt idx="554">
                  <c:v>157.8750054780219</c:v>
                </c:pt>
                <c:pt idx="555">
                  <c:v>158.3295817181465</c:v>
                </c:pt>
                <c:pt idx="556">
                  <c:v>155.99255785787392</c:v>
                </c:pt>
                <c:pt idx="557">
                  <c:v>155.89853507726971</c:v>
                </c:pt>
                <c:pt idx="558">
                  <c:v>156.99374111066373</c:v>
                </c:pt>
                <c:pt idx="559">
                  <c:v>155.79574746118544</c:v>
                </c:pt>
                <c:pt idx="560">
                  <c:v>154.94396481316929</c:v>
                </c:pt>
                <c:pt idx="561">
                  <c:v>155.75590729991248</c:v>
                </c:pt>
                <c:pt idx="562">
                  <c:v>158.34631458588117</c:v>
                </c:pt>
                <c:pt idx="563">
                  <c:v>158.20886602948943</c:v>
                </c:pt>
                <c:pt idx="564">
                  <c:v>157.70927040712635</c:v>
                </c:pt>
                <c:pt idx="565">
                  <c:v>158.28057831978077</c:v>
                </c:pt>
                <c:pt idx="566">
                  <c:v>160.15226909638506</c:v>
                </c:pt>
                <c:pt idx="567">
                  <c:v>162.46459205666838</c:v>
                </c:pt>
                <c:pt idx="568">
                  <c:v>162.30642661641468</c:v>
                </c:pt>
                <c:pt idx="569">
                  <c:v>162.54586598566524</c:v>
                </c:pt>
                <c:pt idx="570">
                  <c:v>163.23191356278585</c:v>
                </c:pt>
                <c:pt idx="571">
                  <c:v>164.49205786384999</c:v>
                </c:pt>
                <c:pt idx="572">
                  <c:v>164.45978733321888</c:v>
                </c:pt>
                <c:pt idx="573">
                  <c:v>165.00161352653134</c:v>
                </c:pt>
                <c:pt idx="574">
                  <c:v>164.3271195961799</c:v>
                </c:pt>
                <c:pt idx="575">
                  <c:v>166.15020537603112</c:v>
                </c:pt>
                <c:pt idx="576">
                  <c:v>166.74979980318938</c:v>
                </c:pt>
                <c:pt idx="577">
                  <c:v>165.86494982131666</c:v>
                </c:pt>
                <c:pt idx="578">
                  <c:v>164.73667645406604</c:v>
                </c:pt>
                <c:pt idx="579">
                  <c:v>166.26972585985007</c:v>
                </c:pt>
                <c:pt idx="580">
                  <c:v>164.73827006051698</c:v>
                </c:pt>
                <c:pt idx="581">
                  <c:v>166.53864694844265</c:v>
                </c:pt>
                <c:pt idx="582">
                  <c:v>166.8354561499263</c:v>
                </c:pt>
                <c:pt idx="583">
                  <c:v>166.79960000478064</c:v>
                </c:pt>
                <c:pt idx="584">
                  <c:v>166.65856583387432</c:v>
                </c:pt>
                <c:pt idx="585">
                  <c:v>167.78564399628669</c:v>
                </c:pt>
                <c:pt idx="586">
                  <c:v>166.57848710971561</c:v>
                </c:pt>
                <c:pt idx="587">
                  <c:v>167.03625056274208</c:v>
                </c:pt>
                <c:pt idx="588">
                  <c:v>165.92072604709887</c:v>
                </c:pt>
                <c:pt idx="589">
                  <c:v>166.03745771962866</c:v>
                </c:pt>
                <c:pt idx="590">
                  <c:v>167.3932184077479</c:v>
                </c:pt>
                <c:pt idx="591">
                  <c:v>168.62746660398463</c:v>
                </c:pt>
                <c:pt idx="592">
                  <c:v>166.86772668055741</c:v>
                </c:pt>
                <c:pt idx="593">
                  <c:v>165.42033362151031</c:v>
                </c:pt>
                <c:pt idx="594">
                  <c:v>161.87216885853934</c:v>
                </c:pt>
                <c:pt idx="595">
                  <c:v>163.84266323510056</c:v>
                </c:pt>
                <c:pt idx="596">
                  <c:v>166.28685712919747</c:v>
                </c:pt>
                <c:pt idx="597">
                  <c:v>165.86614502615487</c:v>
                </c:pt>
                <c:pt idx="598">
                  <c:v>164.45341290741524</c:v>
                </c:pt>
                <c:pt idx="599">
                  <c:v>163.96935494794863</c:v>
                </c:pt>
                <c:pt idx="600">
                  <c:v>165.70001155364653</c:v>
                </c:pt>
                <c:pt idx="601">
                  <c:v>165.57013262789664</c:v>
                </c:pt>
                <c:pt idx="602">
                  <c:v>167.21114887073043</c:v>
                </c:pt>
                <c:pt idx="603">
                  <c:v>166.8557746321755</c:v>
                </c:pt>
                <c:pt idx="604">
                  <c:v>167.16891829978104</c:v>
                </c:pt>
                <c:pt idx="605">
                  <c:v>167.36373668840588</c:v>
                </c:pt>
                <c:pt idx="606">
                  <c:v>167.49242040931756</c:v>
                </c:pt>
                <c:pt idx="607">
                  <c:v>167.40995127548251</c:v>
                </c:pt>
                <c:pt idx="608">
                  <c:v>167.6521794560222</c:v>
                </c:pt>
                <c:pt idx="609">
                  <c:v>167.04382019338394</c:v>
                </c:pt>
                <c:pt idx="610">
                  <c:v>168.51949976693487</c:v>
                </c:pt>
                <c:pt idx="611">
                  <c:v>168.38523842344495</c:v>
                </c:pt>
                <c:pt idx="612">
                  <c:v>168.41472014278693</c:v>
                </c:pt>
                <c:pt idx="613">
                  <c:v>168.10755249937233</c:v>
                </c:pt>
                <c:pt idx="614">
                  <c:v>168.88961486516078</c:v>
                </c:pt>
                <c:pt idx="615">
                  <c:v>169.21869459727552</c:v>
                </c:pt>
                <c:pt idx="616">
                  <c:v>169.52586224069012</c:v>
                </c:pt>
                <c:pt idx="617">
                  <c:v>169.1848304601935</c:v>
                </c:pt>
                <c:pt idx="618">
                  <c:v>168.27288916865515</c:v>
                </c:pt>
                <c:pt idx="619">
                  <c:v>168.19958327191287</c:v>
                </c:pt>
                <c:pt idx="620">
                  <c:v>165.99203993577746</c:v>
                </c:pt>
                <c:pt idx="621">
                  <c:v>168.31631494444269</c:v>
                </c:pt>
                <c:pt idx="622">
                  <c:v>169.17885443600252</c:v>
                </c:pt>
                <c:pt idx="623">
                  <c:v>168.99558969414687</c:v>
                </c:pt>
                <c:pt idx="624">
                  <c:v>169.97764966952562</c:v>
                </c:pt>
                <c:pt idx="625">
                  <c:v>170.54377836121458</c:v>
                </c:pt>
                <c:pt idx="626">
                  <c:v>170.93859435942974</c:v>
                </c:pt>
                <c:pt idx="627">
                  <c:v>170.98600415134459</c:v>
                </c:pt>
                <c:pt idx="628">
                  <c:v>171.21309307060054</c:v>
                </c:pt>
                <c:pt idx="629">
                  <c:v>172.10710628956602</c:v>
                </c:pt>
                <c:pt idx="630">
                  <c:v>173.39792751481036</c:v>
                </c:pt>
                <c:pt idx="631">
                  <c:v>173.04733409560819</c:v>
                </c:pt>
                <c:pt idx="632">
                  <c:v>173.62860204858089</c:v>
                </c:pt>
                <c:pt idx="633">
                  <c:v>172.14216563148625</c:v>
                </c:pt>
                <c:pt idx="634">
                  <c:v>174.08357669031824</c:v>
                </c:pt>
                <c:pt idx="635">
                  <c:v>174.68436632231467</c:v>
                </c:pt>
                <c:pt idx="636">
                  <c:v>174.07003103548541</c:v>
                </c:pt>
                <c:pt idx="637">
                  <c:v>174.27281745636486</c:v>
                </c:pt>
                <c:pt idx="638">
                  <c:v>173.70429835499954</c:v>
                </c:pt>
                <c:pt idx="639">
                  <c:v>172.39475225395694</c:v>
                </c:pt>
                <c:pt idx="640">
                  <c:v>169.6645060019201</c:v>
                </c:pt>
                <c:pt idx="641">
                  <c:v>172.23738361692867</c:v>
                </c:pt>
                <c:pt idx="642">
                  <c:v>173.65091253889375</c:v>
                </c:pt>
                <c:pt idx="643">
                  <c:v>174.00110755648319</c:v>
                </c:pt>
                <c:pt idx="644">
                  <c:v>175.76682350410138</c:v>
                </c:pt>
                <c:pt idx="645">
                  <c:v>176.18235638617847</c:v>
                </c:pt>
                <c:pt idx="646">
                  <c:v>175.35487623653884</c:v>
                </c:pt>
                <c:pt idx="647">
                  <c:v>175.32260570590773</c:v>
                </c:pt>
                <c:pt idx="648">
                  <c:v>176.05964868945773</c:v>
                </c:pt>
                <c:pt idx="649">
                  <c:v>175.10786723664646</c:v>
                </c:pt>
                <c:pt idx="650">
                  <c:v>174.7831699222717</c:v>
                </c:pt>
                <c:pt idx="651">
                  <c:v>176.21900933454961</c:v>
                </c:pt>
                <c:pt idx="652">
                  <c:v>175.4034812332919</c:v>
                </c:pt>
                <c:pt idx="653">
                  <c:v>176.45605829412384</c:v>
                </c:pt>
                <c:pt idx="654">
                  <c:v>176.75167229076928</c:v>
                </c:pt>
                <c:pt idx="655">
                  <c:v>176.58553881826097</c:v>
                </c:pt>
                <c:pt idx="656">
                  <c:v>176.76083552786201</c:v>
                </c:pt>
                <c:pt idx="657">
                  <c:v>177.19708529380108</c:v>
                </c:pt>
                <c:pt idx="658">
                  <c:v>177.72058501292796</c:v>
                </c:pt>
                <c:pt idx="659">
                  <c:v>178.00584056764245</c:v>
                </c:pt>
                <c:pt idx="660">
                  <c:v>178.47037684808529</c:v>
                </c:pt>
                <c:pt idx="661">
                  <c:v>177.21222455508482</c:v>
                </c:pt>
                <c:pt idx="662">
                  <c:v>175.307466444624</c:v>
                </c:pt>
                <c:pt idx="663">
                  <c:v>175.52778253646352</c:v>
                </c:pt>
                <c:pt idx="664">
                  <c:v>176.95684912132504</c:v>
                </c:pt>
                <c:pt idx="665">
                  <c:v>178.46559602873251</c:v>
                </c:pt>
                <c:pt idx="666">
                  <c:v>178.73212670764866</c:v>
                </c:pt>
                <c:pt idx="667">
                  <c:v>179.12893471392746</c:v>
                </c:pt>
                <c:pt idx="668">
                  <c:v>178.08193527567377</c:v>
                </c:pt>
                <c:pt idx="669">
                  <c:v>179.65402803950528</c:v>
                </c:pt>
                <c:pt idx="670">
                  <c:v>180.42772397142642</c:v>
                </c:pt>
              </c:numCache>
            </c:numRef>
          </c:val>
          <c:smooth val="0"/>
          <c:extLst>
            <c:ext xmlns:c16="http://schemas.microsoft.com/office/drawing/2014/chart" uri="{C3380CC4-5D6E-409C-BE32-E72D297353CC}">
              <c16:uniqueId val="{00000000-3C67-48DE-A890-E4E686FE9A53}"/>
            </c:ext>
          </c:extLst>
        </c:ser>
        <c:ser>
          <c:idx val="2"/>
          <c:order val="1"/>
          <c:tx>
            <c:strRef>
              <c:f>Sheet1!$C$1</c:f>
              <c:strCache>
                <c:ptCount val="1"/>
                <c:pt idx="0">
                  <c:v>DAX (Գերմանիա)</c:v>
                </c:pt>
              </c:strCache>
            </c:strRef>
          </c:tx>
          <c:spPr>
            <a:ln w="28575" cap="rnd">
              <a:solidFill>
                <a:srgbClr val="C00000"/>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Sheet1!$C$2:$C$672</c:f>
              <c:numCache>
                <c:formatCode>0.0</c:formatCode>
                <c:ptCount val="671"/>
                <c:pt idx="0">
                  <c:v>100</c:v>
                </c:pt>
                <c:pt idx="1">
                  <c:v>98.726114649681534</c:v>
                </c:pt>
                <c:pt idx="2">
                  <c:v>102.71762208067942</c:v>
                </c:pt>
                <c:pt idx="3">
                  <c:v>102.50530785562634</c:v>
                </c:pt>
                <c:pt idx="4">
                  <c:v>103.39702760084927</c:v>
                </c:pt>
                <c:pt idx="5">
                  <c:v>105.01061571125265</c:v>
                </c:pt>
                <c:pt idx="6">
                  <c:v>104.3312101910828</c:v>
                </c:pt>
                <c:pt idx="7">
                  <c:v>103.56687898089173</c:v>
                </c:pt>
                <c:pt idx="8">
                  <c:v>103.86411889596603</c:v>
                </c:pt>
                <c:pt idx="9">
                  <c:v>103.8216560509554</c:v>
                </c:pt>
                <c:pt idx="10">
                  <c:v>103.86411889596603</c:v>
                </c:pt>
                <c:pt idx="11">
                  <c:v>103.39702760084926</c:v>
                </c:pt>
                <c:pt idx="12">
                  <c:v>106.07218683651804</c:v>
                </c:pt>
                <c:pt idx="13">
                  <c:v>104.71337579617834</c:v>
                </c:pt>
                <c:pt idx="14">
                  <c:v>104.71337579617834</c:v>
                </c:pt>
                <c:pt idx="15">
                  <c:v>104.8407643312102</c:v>
                </c:pt>
                <c:pt idx="16">
                  <c:v>106.83651804670914</c:v>
                </c:pt>
                <c:pt idx="17">
                  <c:v>106.87898089171976</c:v>
                </c:pt>
                <c:pt idx="18">
                  <c:v>106.83651804670914</c:v>
                </c:pt>
                <c:pt idx="19">
                  <c:v>106.15711252653929</c:v>
                </c:pt>
                <c:pt idx="20">
                  <c:v>106.58174097664545</c:v>
                </c:pt>
                <c:pt idx="21">
                  <c:v>106.32696390658175</c:v>
                </c:pt>
                <c:pt idx="22">
                  <c:v>106.41188959660299</c:v>
                </c:pt>
                <c:pt idx="23">
                  <c:v>107.85562632696391</c:v>
                </c:pt>
                <c:pt idx="24">
                  <c:v>104.33121019108282</c:v>
                </c:pt>
                <c:pt idx="25">
                  <c:v>103.35456475583865</c:v>
                </c:pt>
                <c:pt idx="26">
                  <c:v>103.26963906581742</c:v>
                </c:pt>
                <c:pt idx="27">
                  <c:v>105.18046709129511</c:v>
                </c:pt>
                <c:pt idx="28">
                  <c:v>104.79830148619958</c:v>
                </c:pt>
                <c:pt idx="29">
                  <c:v>104.45859872611466</c:v>
                </c:pt>
                <c:pt idx="30">
                  <c:v>106.15711252653928</c:v>
                </c:pt>
                <c:pt idx="31">
                  <c:v>106.96390658174099</c:v>
                </c:pt>
                <c:pt idx="32">
                  <c:v>107.98301486199576</c:v>
                </c:pt>
                <c:pt idx="33">
                  <c:v>107.38853503184714</c:v>
                </c:pt>
                <c:pt idx="34">
                  <c:v>108.36518046709129</c:v>
                </c:pt>
                <c:pt idx="35">
                  <c:v>109.2144373673036</c:v>
                </c:pt>
                <c:pt idx="36">
                  <c:v>109.51167728237792</c:v>
                </c:pt>
                <c:pt idx="37">
                  <c:v>108.74734607218683</c:v>
                </c:pt>
                <c:pt idx="38">
                  <c:v>106.15711252653928</c:v>
                </c:pt>
                <c:pt idx="39">
                  <c:v>109.85138004246284</c:v>
                </c:pt>
                <c:pt idx="40">
                  <c:v>109.12951167728235</c:v>
                </c:pt>
                <c:pt idx="41">
                  <c:v>109.12951167728235</c:v>
                </c:pt>
                <c:pt idx="42">
                  <c:v>108.95966029723989</c:v>
                </c:pt>
                <c:pt idx="43">
                  <c:v>107.13375796178342</c:v>
                </c:pt>
                <c:pt idx="44">
                  <c:v>106.96390658174096</c:v>
                </c:pt>
                <c:pt idx="45">
                  <c:v>107.6008492569002</c:v>
                </c:pt>
                <c:pt idx="46">
                  <c:v>108.06794055201698</c:v>
                </c:pt>
                <c:pt idx="47">
                  <c:v>108.91719745222929</c:v>
                </c:pt>
                <c:pt idx="48">
                  <c:v>108.95966029723992</c:v>
                </c:pt>
                <c:pt idx="49">
                  <c:v>110.02123142250531</c:v>
                </c:pt>
                <c:pt idx="50">
                  <c:v>110.10615711252653</c:v>
                </c:pt>
                <c:pt idx="51">
                  <c:v>111.04033970276008</c:v>
                </c:pt>
                <c:pt idx="52">
                  <c:v>109.72399150743099</c:v>
                </c:pt>
                <c:pt idx="53">
                  <c:v>109.00212314225053</c:v>
                </c:pt>
                <c:pt idx="54">
                  <c:v>106.66666666666666</c:v>
                </c:pt>
                <c:pt idx="55">
                  <c:v>106.32696390658172</c:v>
                </c:pt>
                <c:pt idx="56">
                  <c:v>107.51592356687897</c:v>
                </c:pt>
                <c:pt idx="57">
                  <c:v>106.92144373673034</c:v>
                </c:pt>
                <c:pt idx="58">
                  <c:v>107.13375796178342</c:v>
                </c:pt>
                <c:pt idx="59">
                  <c:v>107.81316348195328</c:v>
                </c:pt>
                <c:pt idx="60">
                  <c:v>108.95966029723989</c:v>
                </c:pt>
                <c:pt idx="61">
                  <c:v>109.72399150743097</c:v>
                </c:pt>
                <c:pt idx="62">
                  <c:v>111.59235668789806</c:v>
                </c:pt>
                <c:pt idx="63">
                  <c:v>111.84713375796174</c:v>
                </c:pt>
                <c:pt idx="64">
                  <c:v>111.76220806794051</c:v>
                </c:pt>
                <c:pt idx="65">
                  <c:v>111.84713375796174</c:v>
                </c:pt>
                <c:pt idx="66">
                  <c:v>111.12526539278127</c:v>
                </c:pt>
                <c:pt idx="67">
                  <c:v>111.67728237791928</c:v>
                </c:pt>
                <c:pt idx="68">
                  <c:v>111.67728237791928</c:v>
                </c:pt>
                <c:pt idx="69">
                  <c:v>112.95116772823775</c:v>
                </c:pt>
                <c:pt idx="70">
                  <c:v>113.16348195329083</c:v>
                </c:pt>
                <c:pt idx="71">
                  <c:v>113.80042462845007</c:v>
                </c:pt>
                <c:pt idx="72">
                  <c:v>114.01273885350315</c:v>
                </c:pt>
                <c:pt idx="73">
                  <c:v>114.52229299363054</c:v>
                </c:pt>
                <c:pt idx="74">
                  <c:v>114.60721868365177</c:v>
                </c:pt>
                <c:pt idx="75">
                  <c:v>114.09766454352439</c:v>
                </c:pt>
                <c:pt idx="76">
                  <c:v>114.18259023354561</c:v>
                </c:pt>
                <c:pt idx="77">
                  <c:v>113.9278131634819</c:v>
                </c:pt>
                <c:pt idx="78">
                  <c:v>114.52229299363053</c:v>
                </c:pt>
                <c:pt idx="79">
                  <c:v>114.52229299363053</c:v>
                </c:pt>
                <c:pt idx="80">
                  <c:v>115.20169851380038</c:v>
                </c:pt>
                <c:pt idx="81">
                  <c:v>114.64968152866238</c:v>
                </c:pt>
                <c:pt idx="82">
                  <c:v>114.43736730360931</c:v>
                </c:pt>
                <c:pt idx="83">
                  <c:v>115.54140127388531</c:v>
                </c:pt>
                <c:pt idx="84">
                  <c:v>114.30997876857747</c:v>
                </c:pt>
                <c:pt idx="85">
                  <c:v>112.22929936305729</c:v>
                </c:pt>
                <c:pt idx="86">
                  <c:v>113.29087048832268</c:v>
                </c:pt>
                <c:pt idx="87">
                  <c:v>112.65392781316345</c:v>
                </c:pt>
                <c:pt idx="88">
                  <c:v>113.12101910828024</c:v>
                </c:pt>
                <c:pt idx="89">
                  <c:v>110.65817409766453</c:v>
                </c:pt>
                <c:pt idx="90">
                  <c:v>111.71974522292993</c:v>
                </c:pt>
                <c:pt idx="91">
                  <c:v>112.56900212314225</c:v>
                </c:pt>
                <c:pt idx="92">
                  <c:v>113.88535031847134</c:v>
                </c:pt>
                <c:pt idx="93">
                  <c:v>112.82377919320595</c:v>
                </c:pt>
                <c:pt idx="94">
                  <c:v>111.29511677282379</c:v>
                </c:pt>
                <c:pt idx="95">
                  <c:v>112.05944798301486</c:v>
                </c:pt>
                <c:pt idx="96">
                  <c:v>110.61571125265392</c:v>
                </c:pt>
                <c:pt idx="97">
                  <c:v>111.71974522292993</c:v>
                </c:pt>
                <c:pt idx="98">
                  <c:v>110.82802547770702</c:v>
                </c:pt>
                <c:pt idx="99">
                  <c:v>108.06794055201698</c:v>
                </c:pt>
                <c:pt idx="100">
                  <c:v>109.55414012738854</c:v>
                </c:pt>
                <c:pt idx="101">
                  <c:v>115.45647558386412</c:v>
                </c:pt>
                <c:pt idx="102">
                  <c:v>109.63906581740976</c:v>
                </c:pt>
                <c:pt idx="103">
                  <c:v>110.78556263269638</c:v>
                </c:pt>
                <c:pt idx="104">
                  <c:v>110.91295116772824</c:v>
                </c:pt>
                <c:pt idx="105">
                  <c:v>111.80467091295115</c:v>
                </c:pt>
                <c:pt idx="106">
                  <c:v>112.6963906581741</c:v>
                </c:pt>
                <c:pt idx="107">
                  <c:v>113.58811040339704</c:v>
                </c:pt>
                <c:pt idx="108">
                  <c:v>114.18259023354567</c:v>
                </c:pt>
                <c:pt idx="109">
                  <c:v>113.33333333333336</c:v>
                </c:pt>
                <c:pt idx="110">
                  <c:v>112.44161358811043</c:v>
                </c:pt>
                <c:pt idx="111">
                  <c:v>111.93205944798304</c:v>
                </c:pt>
                <c:pt idx="112">
                  <c:v>112.22929936305735</c:v>
                </c:pt>
                <c:pt idx="113">
                  <c:v>113.88535031847135</c:v>
                </c:pt>
                <c:pt idx="114">
                  <c:v>114.39490445859875</c:v>
                </c:pt>
                <c:pt idx="115">
                  <c:v>115.32908704883228</c:v>
                </c:pt>
                <c:pt idx="116">
                  <c:v>115.28662420382165</c:v>
                </c:pt>
                <c:pt idx="117">
                  <c:v>115.28662420382165</c:v>
                </c:pt>
                <c:pt idx="118">
                  <c:v>114.81953290870487</c:v>
                </c:pt>
                <c:pt idx="119">
                  <c:v>115.03184713375796</c:v>
                </c:pt>
                <c:pt idx="120">
                  <c:v>112.31422505307854</c:v>
                </c:pt>
                <c:pt idx="121">
                  <c:v>112.52653927813162</c:v>
                </c:pt>
                <c:pt idx="122">
                  <c:v>114.01273885350318</c:v>
                </c:pt>
                <c:pt idx="123">
                  <c:v>114.18259023354564</c:v>
                </c:pt>
                <c:pt idx="124">
                  <c:v>115.20169851380041</c:v>
                </c:pt>
                <c:pt idx="125">
                  <c:v>113.54564755838639</c:v>
                </c:pt>
                <c:pt idx="126">
                  <c:v>113.46072186836517</c:v>
                </c:pt>
                <c:pt idx="127">
                  <c:v>112.78131634819532</c:v>
                </c:pt>
                <c:pt idx="128">
                  <c:v>112.61146496815286</c:v>
                </c:pt>
                <c:pt idx="129">
                  <c:v>112.18683651804672</c:v>
                </c:pt>
                <c:pt idx="130">
                  <c:v>111.84713375796179</c:v>
                </c:pt>
                <c:pt idx="131">
                  <c:v>112.82377919320595</c:v>
                </c:pt>
                <c:pt idx="132">
                  <c:v>112.86624203821655</c:v>
                </c:pt>
                <c:pt idx="133">
                  <c:v>112.22929936305732</c:v>
                </c:pt>
                <c:pt idx="134">
                  <c:v>111.54989384288747</c:v>
                </c:pt>
                <c:pt idx="135">
                  <c:v>111.29511677282379</c:v>
                </c:pt>
                <c:pt idx="136">
                  <c:v>112.61146496815287</c:v>
                </c:pt>
                <c:pt idx="137">
                  <c:v>112.65392781316349</c:v>
                </c:pt>
                <c:pt idx="138">
                  <c:v>111.33757961783439</c:v>
                </c:pt>
                <c:pt idx="139">
                  <c:v>110.95541401273884</c:v>
                </c:pt>
                <c:pt idx="140">
                  <c:v>112.14437367303609</c:v>
                </c:pt>
                <c:pt idx="141">
                  <c:v>109.68152866242036</c:v>
                </c:pt>
                <c:pt idx="142">
                  <c:v>107.30360934182588</c:v>
                </c:pt>
                <c:pt idx="143">
                  <c:v>108.40764331210188</c:v>
                </c:pt>
                <c:pt idx="144">
                  <c:v>107.26114649681526</c:v>
                </c:pt>
                <c:pt idx="145">
                  <c:v>104.62845010615709</c:v>
                </c:pt>
                <c:pt idx="146">
                  <c:v>104.75583864118894</c:v>
                </c:pt>
                <c:pt idx="147">
                  <c:v>105.7324840764331</c:v>
                </c:pt>
                <c:pt idx="148">
                  <c:v>106.45435244161358</c:v>
                </c:pt>
                <c:pt idx="149">
                  <c:v>106.7940552016985</c:v>
                </c:pt>
                <c:pt idx="150">
                  <c:v>105.69002123142249</c:v>
                </c:pt>
                <c:pt idx="151">
                  <c:v>106.19957537154988</c:v>
                </c:pt>
                <c:pt idx="152">
                  <c:v>102.54777070063692</c:v>
                </c:pt>
                <c:pt idx="153">
                  <c:v>102.2505307855626</c:v>
                </c:pt>
                <c:pt idx="154">
                  <c:v>103.48195329087048</c:v>
                </c:pt>
                <c:pt idx="155">
                  <c:v>105.22292993630572</c:v>
                </c:pt>
                <c:pt idx="156">
                  <c:v>104.24628450106155</c:v>
                </c:pt>
                <c:pt idx="157">
                  <c:v>105.77494692144371</c:v>
                </c:pt>
                <c:pt idx="158">
                  <c:v>105.35031847133754</c:v>
                </c:pt>
                <c:pt idx="159">
                  <c:v>104.71337579617831</c:v>
                </c:pt>
                <c:pt idx="160">
                  <c:v>104.20382165605092</c:v>
                </c:pt>
                <c:pt idx="161">
                  <c:v>105.2229299363057</c:v>
                </c:pt>
                <c:pt idx="162">
                  <c:v>104.84076433121015</c:v>
                </c:pt>
                <c:pt idx="163">
                  <c:v>105.56263269639062</c:v>
                </c:pt>
                <c:pt idx="164">
                  <c:v>107.09129511677278</c:v>
                </c:pt>
                <c:pt idx="165">
                  <c:v>105.56263269639062</c:v>
                </c:pt>
                <c:pt idx="166">
                  <c:v>106.79405520169847</c:v>
                </c:pt>
                <c:pt idx="167">
                  <c:v>108.70488322717618</c:v>
                </c:pt>
                <c:pt idx="168">
                  <c:v>108.74734607218679</c:v>
                </c:pt>
                <c:pt idx="169">
                  <c:v>109.42675159235664</c:v>
                </c:pt>
                <c:pt idx="170">
                  <c:v>109.46921443736727</c:v>
                </c:pt>
                <c:pt idx="171">
                  <c:v>110.91295116772821</c:v>
                </c:pt>
                <c:pt idx="172">
                  <c:v>111.59235668789806</c:v>
                </c:pt>
                <c:pt idx="173">
                  <c:v>110.57324840764328</c:v>
                </c:pt>
                <c:pt idx="174">
                  <c:v>110.3609341825902</c:v>
                </c:pt>
                <c:pt idx="175">
                  <c:v>110.40339702760082</c:v>
                </c:pt>
                <c:pt idx="176">
                  <c:v>110.57324840764328</c:v>
                </c:pt>
                <c:pt idx="177">
                  <c:v>109.04458598726112</c:v>
                </c:pt>
                <c:pt idx="178">
                  <c:v>109.34182590233542</c:v>
                </c:pt>
                <c:pt idx="179">
                  <c:v>107.98301486199571</c:v>
                </c:pt>
                <c:pt idx="180">
                  <c:v>108.87473460721866</c:v>
                </c:pt>
                <c:pt idx="181">
                  <c:v>108.78980891719743</c:v>
                </c:pt>
                <c:pt idx="182">
                  <c:v>108.7473460721868</c:v>
                </c:pt>
                <c:pt idx="183">
                  <c:v>109.2993630573248</c:v>
                </c:pt>
                <c:pt idx="184">
                  <c:v>105.69002123142246</c:v>
                </c:pt>
                <c:pt idx="185">
                  <c:v>107.00636942675153</c:v>
                </c:pt>
                <c:pt idx="186">
                  <c:v>105.85987261146491</c:v>
                </c:pt>
                <c:pt idx="187">
                  <c:v>106.62420382165598</c:v>
                </c:pt>
                <c:pt idx="188">
                  <c:v>105.98726114649676</c:v>
                </c:pt>
                <c:pt idx="189">
                  <c:v>107.04883227176215</c:v>
                </c:pt>
                <c:pt idx="190">
                  <c:v>107.89808917197446</c:v>
                </c:pt>
                <c:pt idx="191">
                  <c:v>110.82802547770696</c:v>
                </c:pt>
                <c:pt idx="192">
                  <c:v>111.42250530785557</c:v>
                </c:pt>
                <c:pt idx="193">
                  <c:v>112.44161358811036</c:v>
                </c:pt>
                <c:pt idx="194">
                  <c:v>112.95116772823776</c:v>
                </c:pt>
                <c:pt idx="195">
                  <c:v>114.22505307855623</c:v>
                </c:pt>
                <c:pt idx="196">
                  <c:v>114.01273885350317</c:v>
                </c:pt>
                <c:pt idx="197">
                  <c:v>115.11677282377916</c:v>
                </c:pt>
                <c:pt idx="198">
                  <c:v>113.88535031847131</c:v>
                </c:pt>
                <c:pt idx="199">
                  <c:v>115.24416135881101</c:v>
                </c:pt>
                <c:pt idx="200">
                  <c:v>115.20169851380039</c:v>
                </c:pt>
                <c:pt idx="201">
                  <c:v>116.13588110403394</c:v>
                </c:pt>
                <c:pt idx="202">
                  <c:v>115.7537154989384</c:v>
                </c:pt>
                <c:pt idx="203">
                  <c:v>116.13588110403396</c:v>
                </c:pt>
                <c:pt idx="204">
                  <c:v>117.36730360934182</c:v>
                </c:pt>
                <c:pt idx="205">
                  <c:v>117.70700636942672</c:v>
                </c:pt>
                <c:pt idx="206">
                  <c:v>117.83439490445856</c:v>
                </c:pt>
                <c:pt idx="207">
                  <c:v>118.08917197452226</c:v>
                </c:pt>
                <c:pt idx="208">
                  <c:v>118.72611464968151</c:v>
                </c:pt>
                <c:pt idx="209">
                  <c:v>118.08917197452226</c:v>
                </c:pt>
                <c:pt idx="210">
                  <c:v>117.02760084925687</c:v>
                </c:pt>
                <c:pt idx="211">
                  <c:v>117.83439490445858</c:v>
                </c:pt>
                <c:pt idx="212">
                  <c:v>117.74946921443734</c:v>
                </c:pt>
                <c:pt idx="213">
                  <c:v>117.45222929936303</c:v>
                </c:pt>
                <c:pt idx="214">
                  <c:v>118.30148619957534</c:v>
                </c:pt>
                <c:pt idx="215">
                  <c:v>118.04670912951164</c:v>
                </c:pt>
                <c:pt idx="216">
                  <c:v>118.30148619957532</c:v>
                </c:pt>
                <c:pt idx="217">
                  <c:v>117.53715498938425</c:v>
                </c:pt>
                <c:pt idx="218">
                  <c:v>117.53715498938425</c:v>
                </c:pt>
                <c:pt idx="219">
                  <c:v>117.45222929936303</c:v>
                </c:pt>
                <c:pt idx="220">
                  <c:v>117.57961783439487</c:v>
                </c:pt>
                <c:pt idx="221">
                  <c:v>117.83439490445856</c:v>
                </c:pt>
                <c:pt idx="222">
                  <c:v>117.9617834394904</c:v>
                </c:pt>
                <c:pt idx="223">
                  <c:v>117.62208067940547</c:v>
                </c:pt>
                <c:pt idx="224">
                  <c:v>116.00849256900207</c:v>
                </c:pt>
                <c:pt idx="225">
                  <c:v>116.60297239915069</c:v>
                </c:pt>
                <c:pt idx="226">
                  <c:v>117.57961783439484</c:v>
                </c:pt>
                <c:pt idx="227">
                  <c:v>117.23991507430991</c:v>
                </c:pt>
                <c:pt idx="228">
                  <c:v>117.57961783439482</c:v>
                </c:pt>
                <c:pt idx="229">
                  <c:v>116.98513800424621</c:v>
                </c:pt>
                <c:pt idx="230">
                  <c:v>116.94267515923559</c:v>
                </c:pt>
                <c:pt idx="231">
                  <c:v>117.87685774946914</c:v>
                </c:pt>
                <c:pt idx="232">
                  <c:v>119.02335456475576</c:v>
                </c:pt>
                <c:pt idx="233">
                  <c:v>119.83014861995747</c:v>
                </c:pt>
                <c:pt idx="234">
                  <c:v>120.50955414012732</c:v>
                </c:pt>
                <c:pt idx="235">
                  <c:v>119.74522292993625</c:v>
                </c:pt>
                <c:pt idx="236">
                  <c:v>118.85350318471332</c:v>
                </c:pt>
                <c:pt idx="237">
                  <c:v>118.21656050955409</c:v>
                </c:pt>
                <c:pt idx="238">
                  <c:v>118.68365180467084</c:v>
                </c:pt>
                <c:pt idx="239">
                  <c:v>118.85350318471329</c:v>
                </c:pt>
                <c:pt idx="240">
                  <c:v>119.108280254777</c:v>
                </c:pt>
                <c:pt idx="241">
                  <c:v>119.49044585987254</c:v>
                </c:pt>
                <c:pt idx="242">
                  <c:v>117.62208067940544</c:v>
                </c:pt>
                <c:pt idx="243">
                  <c:v>119.32059447983006</c:v>
                </c:pt>
                <c:pt idx="244">
                  <c:v>121.01910828025468</c:v>
                </c:pt>
                <c:pt idx="245">
                  <c:v>118.85350318471328</c:v>
                </c:pt>
                <c:pt idx="246">
                  <c:v>118.89596602972391</c:v>
                </c:pt>
                <c:pt idx="247">
                  <c:v>118.68365180467083</c:v>
                </c:pt>
                <c:pt idx="248">
                  <c:v>119.99999999999993</c:v>
                </c:pt>
                <c:pt idx="249">
                  <c:v>120.80679405520161</c:v>
                </c:pt>
                <c:pt idx="250">
                  <c:v>121.0191082802547</c:v>
                </c:pt>
                <c:pt idx="251">
                  <c:v>120.80679405520162</c:v>
                </c:pt>
                <c:pt idx="252">
                  <c:v>120.42462845010607</c:v>
                </c:pt>
                <c:pt idx="253">
                  <c:v>120.50955414012729</c:v>
                </c:pt>
                <c:pt idx="254">
                  <c:v>120.84925690021223</c:v>
                </c:pt>
                <c:pt idx="255">
                  <c:v>120.25477707006361</c:v>
                </c:pt>
                <c:pt idx="256">
                  <c:v>120.93418259023346</c:v>
                </c:pt>
                <c:pt idx="257">
                  <c:v>120.84925690021224</c:v>
                </c:pt>
                <c:pt idx="258">
                  <c:v>120.04246284501055</c:v>
                </c:pt>
                <c:pt idx="259">
                  <c:v>120.21231422505301</c:v>
                </c:pt>
                <c:pt idx="260">
                  <c:v>117.66454352441608</c:v>
                </c:pt>
                <c:pt idx="261">
                  <c:v>118.38641188959654</c:v>
                </c:pt>
                <c:pt idx="262">
                  <c:v>118.30148619957531</c:v>
                </c:pt>
                <c:pt idx="263">
                  <c:v>117.62208067940546</c:v>
                </c:pt>
                <c:pt idx="264">
                  <c:v>115.07430997876853</c:v>
                </c:pt>
                <c:pt idx="265">
                  <c:v>116.30573248407637</c:v>
                </c:pt>
                <c:pt idx="266">
                  <c:v>118.13163481953283</c:v>
                </c:pt>
                <c:pt idx="267">
                  <c:v>119.61783439490441</c:v>
                </c:pt>
                <c:pt idx="268">
                  <c:v>119.91507430997871</c:v>
                </c:pt>
                <c:pt idx="269">
                  <c:v>118.68365180467086</c:v>
                </c:pt>
                <c:pt idx="270">
                  <c:v>118.81104033970271</c:v>
                </c:pt>
                <c:pt idx="271">
                  <c:v>119.95753715498932</c:v>
                </c:pt>
                <c:pt idx="272">
                  <c:v>120.80679405520165</c:v>
                </c:pt>
                <c:pt idx="273">
                  <c:v>120.04246284501058</c:v>
                </c:pt>
                <c:pt idx="274">
                  <c:v>120.04246284501058</c:v>
                </c:pt>
                <c:pt idx="275">
                  <c:v>119.15074309978765</c:v>
                </c:pt>
                <c:pt idx="276">
                  <c:v>119.91507430997873</c:v>
                </c:pt>
                <c:pt idx="277">
                  <c:v>118.64118895966027</c:v>
                </c:pt>
                <c:pt idx="278">
                  <c:v>118.55626326963905</c:v>
                </c:pt>
                <c:pt idx="279">
                  <c:v>113.88535031847131</c:v>
                </c:pt>
                <c:pt idx="280">
                  <c:v>111.04033970276005</c:v>
                </c:pt>
                <c:pt idx="281">
                  <c:v>111.12526539278129</c:v>
                </c:pt>
                <c:pt idx="282">
                  <c:v>107.04883227176218</c:v>
                </c:pt>
                <c:pt idx="283">
                  <c:v>105.94479830148616</c:v>
                </c:pt>
                <c:pt idx="284">
                  <c:v>107.68577494692141</c:v>
                </c:pt>
                <c:pt idx="285">
                  <c:v>106.5392781316348</c:v>
                </c:pt>
                <c:pt idx="286">
                  <c:v>109.21443736730359</c:v>
                </c:pt>
                <c:pt idx="287">
                  <c:v>106.7940552016985</c:v>
                </c:pt>
                <c:pt idx="288">
                  <c:v>105.35031847133756</c:v>
                </c:pt>
                <c:pt idx="289">
                  <c:v>96.348195329087034</c:v>
                </c:pt>
                <c:pt idx="290">
                  <c:v>98.938428874734598</c:v>
                </c:pt>
                <c:pt idx="291">
                  <c:v>94.140127388535035</c:v>
                </c:pt>
                <c:pt idx="292">
                  <c:v>83.481953290870493</c:v>
                </c:pt>
                <c:pt idx="293">
                  <c:v>86.199575371549898</c:v>
                </c:pt>
                <c:pt idx="294">
                  <c:v>77.664543524416132</c:v>
                </c:pt>
                <c:pt idx="295">
                  <c:v>79.787685774946908</c:v>
                </c:pt>
                <c:pt idx="296">
                  <c:v>73.842887473460721</c:v>
                </c:pt>
                <c:pt idx="297">
                  <c:v>74.777070063694254</c:v>
                </c:pt>
                <c:pt idx="298">
                  <c:v>74.904458598726109</c:v>
                </c:pt>
                <c:pt idx="299">
                  <c:v>76.43312101910827</c:v>
                </c:pt>
                <c:pt idx="300">
                  <c:v>83.821656050955397</c:v>
                </c:pt>
                <c:pt idx="301">
                  <c:v>86.624203821656039</c:v>
                </c:pt>
                <c:pt idx="302">
                  <c:v>89.256900212314221</c:v>
                </c:pt>
                <c:pt idx="303">
                  <c:v>87.048832271762208</c:v>
                </c:pt>
                <c:pt idx="304">
                  <c:v>87.600849256900219</c:v>
                </c:pt>
                <c:pt idx="305">
                  <c:v>87.430997876857759</c:v>
                </c:pt>
                <c:pt idx="306">
                  <c:v>83.227176220806811</c:v>
                </c:pt>
                <c:pt idx="307">
                  <c:v>83.949044585987266</c:v>
                </c:pt>
                <c:pt idx="308">
                  <c:v>83.227176220806797</c:v>
                </c:pt>
                <c:pt idx="309">
                  <c:v>88.917197452229303</c:v>
                </c:pt>
                <c:pt idx="310">
                  <c:v>90.403397027600846</c:v>
                </c:pt>
                <c:pt idx="311">
                  <c:v>91.380042462845012</c:v>
                </c:pt>
                <c:pt idx="312">
                  <c:v>94.309978768577494</c:v>
                </c:pt>
                <c:pt idx="313">
                  <c:v>92.27176220806794</c:v>
                </c:pt>
                <c:pt idx="314">
                  <c:v>95.244161358811041</c:v>
                </c:pt>
                <c:pt idx="315">
                  <c:v>91.125265392781316</c:v>
                </c:pt>
                <c:pt idx="316">
                  <c:v>90.403397027600846</c:v>
                </c:pt>
                <c:pt idx="317">
                  <c:v>94.097664543524417</c:v>
                </c:pt>
                <c:pt idx="318">
                  <c:v>92.908704883227173</c:v>
                </c:pt>
                <c:pt idx="319">
                  <c:v>90.488322717622069</c:v>
                </c:pt>
                <c:pt idx="320">
                  <c:v>91.42250530785563</c:v>
                </c:pt>
                <c:pt idx="321">
                  <c:v>90.530785562632701</c:v>
                </c:pt>
                <c:pt idx="322">
                  <c:v>90.955414012738856</c:v>
                </c:pt>
                <c:pt idx="323">
                  <c:v>93.715498938428865</c:v>
                </c:pt>
                <c:pt idx="324">
                  <c:v>94.182590233545639</c:v>
                </c:pt>
                <c:pt idx="325">
                  <c:v>97.452229299363054</c:v>
                </c:pt>
                <c:pt idx="326">
                  <c:v>96.518046709129521</c:v>
                </c:pt>
                <c:pt idx="327">
                  <c:v>93.842887473460735</c:v>
                </c:pt>
                <c:pt idx="328">
                  <c:v>93.800424628450102</c:v>
                </c:pt>
                <c:pt idx="329">
                  <c:v>93.715498938428865</c:v>
                </c:pt>
                <c:pt idx="330">
                  <c:v>92.399150743099781</c:v>
                </c:pt>
                <c:pt idx="331">
                  <c:v>93.630573248407629</c:v>
                </c:pt>
                <c:pt idx="332">
                  <c:v>95.838641188959642</c:v>
                </c:pt>
                <c:pt idx="333">
                  <c:v>94.904458598726109</c:v>
                </c:pt>
                <c:pt idx="334">
                  <c:v>93.842887473460721</c:v>
                </c:pt>
                <c:pt idx="335">
                  <c:v>91.42250530785563</c:v>
                </c:pt>
                <c:pt idx="336">
                  <c:v>90.828025477707016</c:v>
                </c:pt>
                <c:pt idx="337">
                  <c:v>90.912951167728252</c:v>
                </c:pt>
                <c:pt idx="338">
                  <c:v>98.13163481953292</c:v>
                </c:pt>
                <c:pt idx="339">
                  <c:v>97.239915074309977</c:v>
                </c:pt>
                <c:pt idx="340">
                  <c:v>99.065817409766439</c:v>
                </c:pt>
                <c:pt idx="341">
                  <c:v>97.622080679405499</c:v>
                </c:pt>
                <c:pt idx="342">
                  <c:v>97.87685774946921</c:v>
                </c:pt>
                <c:pt idx="343">
                  <c:v>101.40127388535031</c:v>
                </c:pt>
                <c:pt idx="344">
                  <c:v>103.8216560509554</c:v>
                </c:pt>
                <c:pt idx="345">
                  <c:v>104.67091295116771</c:v>
                </c:pt>
                <c:pt idx="346">
                  <c:v>104.58598726114647</c:v>
                </c:pt>
                <c:pt idx="347">
                  <c:v>107.43099787685775</c:v>
                </c:pt>
                <c:pt idx="348">
                  <c:v>108.78980891719743</c:v>
                </c:pt>
                <c:pt idx="349">
                  <c:v>113.46072186836514</c:v>
                </c:pt>
                <c:pt idx="350">
                  <c:v>113.46072186836514</c:v>
                </c:pt>
                <c:pt idx="351">
                  <c:v>116.00849256900209</c:v>
                </c:pt>
                <c:pt idx="352">
                  <c:v>117.36730360934179</c:v>
                </c:pt>
                <c:pt idx="353">
                  <c:v>115.32908704883224</c:v>
                </c:pt>
                <c:pt idx="354">
                  <c:v>114.9893842887473</c:v>
                </c:pt>
                <c:pt idx="355">
                  <c:v>107.51592356687895</c:v>
                </c:pt>
                <c:pt idx="356">
                  <c:v>108.57749469214433</c:v>
                </c:pt>
                <c:pt idx="357">
                  <c:v>110.06369426751587</c:v>
                </c:pt>
                <c:pt idx="358">
                  <c:v>112.14437367303603</c:v>
                </c:pt>
                <c:pt idx="359">
                  <c:v>111.38004246284494</c:v>
                </c:pt>
                <c:pt idx="360">
                  <c:v>110.82802547770694</c:v>
                </c:pt>
                <c:pt idx="361">
                  <c:v>109.80891719745216</c:v>
                </c:pt>
                <c:pt idx="362">
                  <c:v>111.42250530785556</c:v>
                </c:pt>
                <c:pt idx="363">
                  <c:v>113.29087048832265</c:v>
                </c:pt>
                <c:pt idx="364">
                  <c:v>110.27600849256893</c:v>
                </c:pt>
                <c:pt idx="365">
                  <c:v>112.22929936305727</c:v>
                </c:pt>
                <c:pt idx="366">
                  <c:v>109.12951167728232</c:v>
                </c:pt>
                <c:pt idx="367">
                  <c:v>109.68152866242032</c:v>
                </c:pt>
                <c:pt idx="368">
                  <c:v>110.74309978768572</c:v>
                </c:pt>
                <c:pt idx="369">
                  <c:v>110.14861995753711</c:v>
                </c:pt>
                <c:pt idx="370">
                  <c:v>112.48407643312095</c:v>
                </c:pt>
                <c:pt idx="371">
                  <c:v>114.56475583864112</c:v>
                </c:pt>
                <c:pt idx="372">
                  <c:v>112.78131634819525</c:v>
                </c:pt>
                <c:pt idx="373">
                  <c:v>113.07855626326956</c:v>
                </c:pt>
                <c:pt idx="374">
                  <c:v>112.99363057324832</c:v>
                </c:pt>
                <c:pt idx="375">
                  <c:v>114.0552016985137</c:v>
                </c:pt>
                <c:pt idx="376">
                  <c:v>113.71549893842878</c:v>
                </c:pt>
                <c:pt idx="377">
                  <c:v>115.6687898089171</c:v>
                </c:pt>
                <c:pt idx="378">
                  <c:v>117.45222929936295</c:v>
                </c:pt>
                <c:pt idx="379">
                  <c:v>117.15498938428864</c:v>
                </c:pt>
                <c:pt idx="380">
                  <c:v>118.13163481953281</c:v>
                </c:pt>
                <c:pt idx="381">
                  <c:v>119.40552016985127</c:v>
                </c:pt>
                <c:pt idx="382">
                  <c:v>120.29723991507419</c:v>
                </c:pt>
                <c:pt idx="383">
                  <c:v>121.18895966029713</c:v>
                </c:pt>
                <c:pt idx="384">
                  <c:v>119.74522292993619</c:v>
                </c:pt>
                <c:pt idx="385">
                  <c:v>118.89596602972388</c:v>
                </c:pt>
                <c:pt idx="386">
                  <c:v>120.04246284501049</c:v>
                </c:pt>
                <c:pt idx="387">
                  <c:v>119.5329087048831</c:v>
                </c:pt>
                <c:pt idx="388">
                  <c:v>120.5520169851379</c:v>
                </c:pt>
                <c:pt idx="389">
                  <c:v>117.70700636942664</c:v>
                </c:pt>
                <c:pt idx="390">
                  <c:v>115.11677282377907</c:v>
                </c:pt>
                <c:pt idx="391">
                  <c:v>118.04670912951157</c:v>
                </c:pt>
                <c:pt idx="392">
                  <c:v>118.3864118895965</c:v>
                </c:pt>
                <c:pt idx="393">
                  <c:v>119.19320594479821</c:v>
                </c:pt>
                <c:pt idx="394">
                  <c:v>119.4479830148619</c:v>
                </c:pt>
                <c:pt idx="395">
                  <c:v>118.93842887473453</c:v>
                </c:pt>
                <c:pt idx="396">
                  <c:v>119.02335456475575</c:v>
                </c:pt>
                <c:pt idx="397">
                  <c:v>119.83014861995746</c:v>
                </c:pt>
                <c:pt idx="398">
                  <c:v>122.71762208067933</c:v>
                </c:pt>
                <c:pt idx="399">
                  <c:v>121.99575371549886</c:v>
                </c:pt>
                <c:pt idx="400">
                  <c:v>120.84925690021224</c:v>
                </c:pt>
                <c:pt idx="401">
                  <c:v>122.16560509554134</c:v>
                </c:pt>
                <c:pt idx="402">
                  <c:v>122.76008492568995</c:v>
                </c:pt>
                <c:pt idx="403">
                  <c:v>122.50530785562626</c:v>
                </c:pt>
                <c:pt idx="404">
                  <c:v>121.65605095541393</c:v>
                </c:pt>
                <c:pt idx="405">
                  <c:v>120.08492569002117</c:v>
                </c:pt>
                <c:pt idx="406">
                  <c:v>122.6326963906581</c:v>
                </c:pt>
                <c:pt idx="407">
                  <c:v>123.05732484076427</c:v>
                </c:pt>
                <c:pt idx="408">
                  <c:v>124.84076433121011</c:v>
                </c:pt>
                <c:pt idx="409">
                  <c:v>123.09978768577487</c:v>
                </c:pt>
                <c:pt idx="410">
                  <c:v>123.6942675159235</c:v>
                </c:pt>
                <c:pt idx="411">
                  <c:v>124.28874734607213</c:v>
                </c:pt>
                <c:pt idx="412">
                  <c:v>122.92993630573243</c:v>
                </c:pt>
                <c:pt idx="413">
                  <c:v>125.85987261146491</c:v>
                </c:pt>
                <c:pt idx="414">
                  <c:v>122.29299363057318</c:v>
                </c:pt>
                <c:pt idx="415">
                  <c:v>122.46284501061564</c:v>
                </c:pt>
                <c:pt idx="416">
                  <c:v>121.35881104033962</c:v>
                </c:pt>
                <c:pt idx="417">
                  <c:v>124.88322717622074</c:v>
                </c:pt>
                <c:pt idx="418">
                  <c:v>123.39702760084919</c:v>
                </c:pt>
                <c:pt idx="419">
                  <c:v>124.33121019108275</c:v>
                </c:pt>
                <c:pt idx="420">
                  <c:v>124.5435244161358</c:v>
                </c:pt>
                <c:pt idx="421">
                  <c:v>122.80254777070056</c:v>
                </c:pt>
                <c:pt idx="422">
                  <c:v>124.5435244161358</c:v>
                </c:pt>
                <c:pt idx="423">
                  <c:v>124.45859872611457</c:v>
                </c:pt>
                <c:pt idx="424">
                  <c:v>123.56687898089166</c:v>
                </c:pt>
                <c:pt idx="425">
                  <c:v>118.04670912951161</c:v>
                </c:pt>
                <c:pt idx="426">
                  <c:v>118.59872611464962</c:v>
                </c:pt>
                <c:pt idx="427">
                  <c:v>116.51804670912946</c:v>
                </c:pt>
                <c:pt idx="428">
                  <c:v>116.77282377919315</c:v>
                </c:pt>
                <c:pt idx="429">
                  <c:v>116.56050955414007</c:v>
                </c:pt>
                <c:pt idx="430">
                  <c:v>119.87261146496809</c:v>
                </c:pt>
                <c:pt idx="431">
                  <c:v>120.1698513800424</c:v>
                </c:pt>
                <c:pt idx="432">
                  <c:v>119.44798301486192</c:v>
                </c:pt>
                <c:pt idx="433">
                  <c:v>119.1507430997876</c:v>
                </c:pt>
                <c:pt idx="434">
                  <c:v>118.81104033970269</c:v>
                </c:pt>
                <c:pt idx="435">
                  <c:v>120.55201698513793</c:v>
                </c:pt>
                <c:pt idx="436">
                  <c:v>120.04246284501053</c:v>
                </c:pt>
                <c:pt idx="437">
                  <c:v>121.48619957537147</c:v>
                </c:pt>
                <c:pt idx="438">
                  <c:v>122.3779193205944</c:v>
                </c:pt>
                <c:pt idx="439">
                  <c:v>122.80254777070057</c:v>
                </c:pt>
                <c:pt idx="440">
                  <c:v>123.86411889596596</c:v>
                </c:pt>
                <c:pt idx="441">
                  <c:v>121.27388535031838</c:v>
                </c:pt>
                <c:pt idx="442">
                  <c:v>121.65605095541392</c:v>
                </c:pt>
                <c:pt idx="443">
                  <c:v>119.02335456475575</c:v>
                </c:pt>
                <c:pt idx="444">
                  <c:v>121.14649681528653</c:v>
                </c:pt>
                <c:pt idx="445">
                  <c:v>118.81104033970266</c:v>
                </c:pt>
                <c:pt idx="446">
                  <c:v>119.70276008492559</c:v>
                </c:pt>
                <c:pt idx="447">
                  <c:v>118.6836518046708</c:v>
                </c:pt>
                <c:pt idx="448">
                  <c:v>118.38641188959649</c:v>
                </c:pt>
                <c:pt idx="449">
                  <c:v>119.91507430997865</c:v>
                </c:pt>
                <c:pt idx="450">
                  <c:v>114.30997876857739</c:v>
                </c:pt>
                <c:pt idx="451">
                  <c:v>113.29087048832261</c:v>
                </c:pt>
                <c:pt idx="452">
                  <c:v>107.8131634819532</c:v>
                </c:pt>
                <c:pt idx="453">
                  <c:v>108.66242038216551</c:v>
                </c:pt>
                <c:pt idx="454">
                  <c:v>108.15286624203812</c:v>
                </c:pt>
                <c:pt idx="455">
                  <c:v>109.38428874734599</c:v>
                </c:pt>
                <c:pt idx="456">
                  <c:v>113.37579617834385</c:v>
                </c:pt>
                <c:pt idx="457">
                  <c:v>114.81953290870477</c:v>
                </c:pt>
                <c:pt idx="458">
                  <c:v>118.04670912951157</c:v>
                </c:pt>
                <c:pt idx="459">
                  <c:v>118.08917197452217</c:v>
                </c:pt>
                <c:pt idx="460">
                  <c:v>122.50530785562623</c:v>
                </c:pt>
                <c:pt idx="461">
                  <c:v>123.99150743099776</c:v>
                </c:pt>
                <c:pt idx="462">
                  <c:v>123.69426751592346</c:v>
                </c:pt>
                <c:pt idx="463">
                  <c:v>121.82590233545638</c:v>
                </c:pt>
                <c:pt idx="464">
                  <c:v>123.60934182590222</c:v>
                </c:pt>
                <c:pt idx="465">
                  <c:v>123.77919320594469</c:v>
                </c:pt>
                <c:pt idx="466">
                  <c:v>123.86411889596593</c:v>
                </c:pt>
                <c:pt idx="467">
                  <c:v>124.20382165605085</c:v>
                </c:pt>
                <c:pt idx="468">
                  <c:v>123.77919320594468</c:v>
                </c:pt>
                <c:pt idx="469">
                  <c:v>123.73673036093408</c:v>
                </c:pt>
                <c:pt idx="470">
                  <c:v>123.56687898089162</c:v>
                </c:pt>
                <c:pt idx="471">
                  <c:v>126.45435244161347</c:v>
                </c:pt>
                <c:pt idx="472">
                  <c:v>125.90233545647546</c:v>
                </c:pt>
                <c:pt idx="473">
                  <c:v>127.09129511677268</c:v>
                </c:pt>
                <c:pt idx="474">
                  <c:v>126.07218683651791</c:v>
                </c:pt>
                <c:pt idx="475">
                  <c:v>128.32271762208055</c:v>
                </c:pt>
                <c:pt idx="476">
                  <c:v>128.19532908704869</c:v>
                </c:pt>
                <c:pt idx="477">
                  <c:v>128.02547770700622</c:v>
                </c:pt>
                <c:pt idx="478">
                  <c:v>128.28025477706993</c:v>
                </c:pt>
                <c:pt idx="479">
                  <c:v>128.23779193205931</c:v>
                </c:pt>
                <c:pt idx="480">
                  <c:v>128.02547770700622</c:v>
                </c:pt>
                <c:pt idx="481">
                  <c:v>127.94055201698498</c:v>
                </c:pt>
                <c:pt idx="482">
                  <c:v>128.87473460721853</c:v>
                </c:pt>
                <c:pt idx="483">
                  <c:v>126.70912951167712</c:v>
                </c:pt>
                <c:pt idx="484">
                  <c:v>127.98301486199558</c:v>
                </c:pt>
                <c:pt idx="485">
                  <c:v>129.89384288747328</c:v>
                </c:pt>
                <c:pt idx="486">
                  <c:v>131.8895966029722</c:v>
                </c:pt>
                <c:pt idx="487">
                  <c:v>133.7579617834393</c:v>
                </c:pt>
                <c:pt idx="488">
                  <c:v>132.78131634819513</c:v>
                </c:pt>
                <c:pt idx="489">
                  <c:v>130.14861995753697</c:v>
                </c:pt>
                <c:pt idx="490">
                  <c:v>129.85138004246267</c:v>
                </c:pt>
                <c:pt idx="491">
                  <c:v>132.01698513800409</c:v>
                </c:pt>
                <c:pt idx="492">
                  <c:v>131.16772823779178</c:v>
                </c:pt>
                <c:pt idx="493">
                  <c:v>134.69214437367287</c:v>
                </c:pt>
                <c:pt idx="494">
                  <c:v>134.01273885350301</c:v>
                </c:pt>
                <c:pt idx="495">
                  <c:v>132.18683651804653</c:v>
                </c:pt>
                <c:pt idx="496">
                  <c:v>130.78556263269621</c:v>
                </c:pt>
                <c:pt idx="497">
                  <c:v>131.63481953290852</c:v>
                </c:pt>
                <c:pt idx="498">
                  <c:v>132.27176220806777</c:v>
                </c:pt>
                <c:pt idx="499">
                  <c:v>134.26751592356672</c:v>
                </c:pt>
                <c:pt idx="500">
                  <c:v>135.07430997876841</c:v>
                </c:pt>
                <c:pt idx="501">
                  <c:v>135.37154989384274</c:v>
                </c:pt>
                <c:pt idx="502">
                  <c:v>132.95116772823766</c:v>
                </c:pt>
                <c:pt idx="503">
                  <c:v>133.67303609341815</c:v>
                </c:pt>
                <c:pt idx="504">
                  <c:v>133.24840764331196</c:v>
                </c:pt>
                <c:pt idx="505">
                  <c:v>133.67303609341812</c:v>
                </c:pt>
                <c:pt idx="506">
                  <c:v>130.48832271762194</c:v>
                </c:pt>
                <c:pt idx="507">
                  <c:v>132.18683651804656</c:v>
                </c:pt>
                <c:pt idx="508">
                  <c:v>132.61146496815272</c:v>
                </c:pt>
                <c:pt idx="509">
                  <c:v>133.07855626326949</c:v>
                </c:pt>
                <c:pt idx="510">
                  <c:v>132.78131634819519</c:v>
                </c:pt>
                <c:pt idx="511">
                  <c:v>131.29511677282366</c:v>
                </c:pt>
                <c:pt idx="512">
                  <c:v>132.61146496815275</c:v>
                </c:pt>
                <c:pt idx="513">
                  <c:v>129.04458598726103</c:v>
                </c:pt>
                <c:pt idx="514">
                  <c:v>130.19108280254764</c:v>
                </c:pt>
                <c:pt idx="515">
                  <c:v>127.68577494692131</c:v>
                </c:pt>
                <c:pt idx="516">
                  <c:v>129.76645435244146</c:v>
                </c:pt>
                <c:pt idx="517">
                  <c:v>131.16772823779178</c:v>
                </c:pt>
                <c:pt idx="518">
                  <c:v>131.97452229299347</c:v>
                </c:pt>
                <c:pt idx="519">
                  <c:v>131.71974522292979</c:v>
                </c:pt>
                <c:pt idx="520">
                  <c:v>133.29087048832255</c:v>
                </c:pt>
                <c:pt idx="521">
                  <c:v>133.12101910828011</c:v>
                </c:pt>
                <c:pt idx="522">
                  <c:v>133.16348195329073</c:v>
                </c:pt>
                <c:pt idx="523">
                  <c:v>132.8662420382164</c:v>
                </c:pt>
                <c:pt idx="524">
                  <c:v>133.37579617834379</c:v>
                </c:pt>
                <c:pt idx="525">
                  <c:v>133.92781316348177</c:v>
                </c:pt>
                <c:pt idx="526">
                  <c:v>134.01273885350301</c:v>
                </c:pt>
                <c:pt idx="527">
                  <c:v>132.27176220806777</c:v>
                </c:pt>
                <c:pt idx="528">
                  <c:v>131.93205944798285</c:v>
                </c:pt>
                <c:pt idx="529">
                  <c:v>132.90870488322699</c:v>
                </c:pt>
                <c:pt idx="530">
                  <c:v>132.6963906581739</c:v>
                </c:pt>
                <c:pt idx="531">
                  <c:v>132.73885350318452</c:v>
                </c:pt>
                <c:pt idx="532">
                  <c:v>133.84288747346054</c:v>
                </c:pt>
                <c:pt idx="533">
                  <c:v>131.8895966029722</c:v>
                </c:pt>
                <c:pt idx="534">
                  <c:v>130.70063694267498</c:v>
                </c:pt>
                <c:pt idx="535">
                  <c:v>132.90870488322699</c:v>
                </c:pt>
                <c:pt idx="536">
                  <c:v>133.12101910828005</c:v>
                </c:pt>
                <c:pt idx="537">
                  <c:v>133.12101910828005</c:v>
                </c:pt>
                <c:pt idx="538">
                  <c:v>131.54989384288726</c:v>
                </c:pt>
                <c:pt idx="539">
                  <c:v>130.78556263269618</c:v>
                </c:pt>
                <c:pt idx="540">
                  <c:v>133.54564755838621</c:v>
                </c:pt>
                <c:pt idx="541">
                  <c:v>134.94692144373653</c:v>
                </c:pt>
                <c:pt idx="542">
                  <c:v>135.88110403397005</c:v>
                </c:pt>
                <c:pt idx="543">
                  <c:v>137.28237791932037</c:v>
                </c:pt>
                <c:pt idx="544">
                  <c:v>136.85774946921421</c:v>
                </c:pt>
                <c:pt idx="545">
                  <c:v>135.20169851380021</c:v>
                </c:pt>
                <c:pt idx="546">
                  <c:v>136.05095541401252</c:v>
                </c:pt>
                <c:pt idx="547">
                  <c:v>137.66454352441593</c:v>
                </c:pt>
                <c:pt idx="548">
                  <c:v>137.5796178343947</c:v>
                </c:pt>
                <c:pt idx="549">
                  <c:v>136.772823779193</c:v>
                </c:pt>
                <c:pt idx="550">
                  <c:v>137.36730360934163</c:v>
                </c:pt>
                <c:pt idx="551">
                  <c:v>135.83864118895946</c:v>
                </c:pt>
                <c:pt idx="552">
                  <c:v>135.49893842887454</c:v>
                </c:pt>
                <c:pt idx="553">
                  <c:v>135.37154989384268</c:v>
                </c:pt>
                <c:pt idx="554">
                  <c:v>136.81528662420359</c:v>
                </c:pt>
                <c:pt idx="555">
                  <c:v>137.11252653927789</c:v>
                </c:pt>
                <c:pt idx="556">
                  <c:v>137.83439490445838</c:v>
                </c:pt>
                <c:pt idx="557">
                  <c:v>138.21656050955391</c:v>
                </c:pt>
                <c:pt idx="558">
                  <c:v>139.8301486199573</c:v>
                </c:pt>
                <c:pt idx="559">
                  <c:v>142.84501061571103</c:v>
                </c:pt>
                <c:pt idx="560">
                  <c:v>141.78343949044563</c:v>
                </c:pt>
                <c:pt idx="561">
                  <c:v>141.52866242038192</c:v>
                </c:pt>
                <c:pt idx="562">
                  <c:v>141.91082802547749</c:v>
                </c:pt>
                <c:pt idx="563">
                  <c:v>142.37791932059426</c:v>
                </c:pt>
                <c:pt idx="564">
                  <c:v>142.29299363057302</c:v>
                </c:pt>
                <c:pt idx="565">
                  <c:v>142.97239915074289</c:v>
                </c:pt>
                <c:pt idx="566">
                  <c:v>142.67515923566856</c:v>
                </c:pt>
                <c:pt idx="567">
                  <c:v>143.43949044585963</c:v>
                </c:pt>
                <c:pt idx="568">
                  <c:v>145.69002123142226</c:v>
                </c:pt>
                <c:pt idx="569">
                  <c:v>145.52016985137982</c:v>
                </c:pt>
                <c:pt idx="570">
                  <c:v>143.14225053078533</c:v>
                </c:pt>
                <c:pt idx="571">
                  <c:v>143.90658174097641</c:v>
                </c:pt>
                <c:pt idx="572">
                  <c:v>143.77919320594455</c:v>
                </c:pt>
                <c:pt idx="573">
                  <c:v>145.18046709129487</c:v>
                </c:pt>
                <c:pt idx="574">
                  <c:v>144.88322717622057</c:v>
                </c:pt>
                <c:pt idx="575">
                  <c:v>144.7133757961781</c:v>
                </c:pt>
                <c:pt idx="576">
                  <c:v>145.30785562632673</c:v>
                </c:pt>
                <c:pt idx="577">
                  <c:v>144.50106157112504</c:v>
                </c:pt>
                <c:pt idx="578">
                  <c:v>142.50530785562611</c:v>
                </c:pt>
                <c:pt idx="579">
                  <c:v>144.24628450106133</c:v>
                </c:pt>
                <c:pt idx="580">
                  <c:v>140.33970276008469</c:v>
                </c:pt>
                <c:pt idx="581">
                  <c:v>142.67515923566859</c:v>
                </c:pt>
                <c:pt idx="582">
                  <c:v>144.03397027600829</c:v>
                </c:pt>
                <c:pt idx="583">
                  <c:v>146.75159235668769</c:v>
                </c:pt>
                <c:pt idx="584">
                  <c:v>145.52016985137985</c:v>
                </c:pt>
                <c:pt idx="585">
                  <c:v>144.1188959660295</c:v>
                </c:pt>
                <c:pt idx="586">
                  <c:v>142.67515923566859</c:v>
                </c:pt>
                <c:pt idx="587">
                  <c:v>143.86411889596582</c:v>
                </c:pt>
                <c:pt idx="588">
                  <c:v>146.70912951167702</c:v>
                </c:pt>
                <c:pt idx="589">
                  <c:v>146.83651804670885</c:v>
                </c:pt>
                <c:pt idx="590">
                  <c:v>146.41188959660269</c:v>
                </c:pt>
                <c:pt idx="591">
                  <c:v>144.54352441613563</c:v>
                </c:pt>
                <c:pt idx="592">
                  <c:v>147.17622080679379</c:v>
                </c:pt>
                <c:pt idx="593">
                  <c:v>147.6433121019106</c:v>
                </c:pt>
                <c:pt idx="594">
                  <c:v>148.91719745222906</c:v>
                </c:pt>
                <c:pt idx="595">
                  <c:v>148.36518046709105</c:v>
                </c:pt>
                <c:pt idx="596">
                  <c:v>147.38853503184691</c:v>
                </c:pt>
                <c:pt idx="597">
                  <c:v>147.30360934182568</c:v>
                </c:pt>
                <c:pt idx="598">
                  <c:v>147.98301486199554</c:v>
                </c:pt>
                <c:pt idx="599">
                  <c:v>148.87473460721847</c:v>
                </c:pt>
                <c:pt idx="600">
                  <c:v>148.95966029723971</c:v>
                </c:pt>
                <c:pt idx="601">
                  <c:v>148.45010615711232</c:v>
                </c:pt>
                <c:pt idx="602">
                  <c:v>149.4692144373671</c:v>
                </c:pt>
                <c:pt idx="603">
                  <c:v>149.7664543524414</c:v>
                </c:pt>
                <c:pt idx="604">
                  <c:v>149.42675159235645</c:v>
                </c:pt>
                <c:pt idx="605">
                  <c:v>148.49256900212291</c:v>
                </c:pt>
                <c:pt idx="606">
                  <c:v>148.704883227176</c:v>
                </c:pt>
                <c:pt idx="607">
                  <c:v>148.91719745222906</c:v>
                </c:pt>
                <c:pt idx="608">
                  <c:v>148.95966029723965</c:v>
                </c:pt>
                <c:pt idx="609">
                  <c:v>149.17197452229274</c:v>
                </c:pt>
                <c:pt idx="610">
                  <c:v>147.55838641188933</c:v>
                </c:pt>
                <c:pt idx="611">
                  <c:v>146.6666666666664</c:v>
                </c:pt>
                <c:pt idx="612">
                  <c:v>143.48195329087022</c:v>
                </c:pt>
                <c:pt idx="613">
                  <c:v>145.77494692144344</c:v>
                </c:pt>
                <c:pt idx="614">
                  <c:v>145.98726114649656</c:v>
                </c:pt>
                <c:pt idx="615">
                  <c:v>144.41613588110377</c:v>
                </c:pt>
                <c:pt idx="616">
                  <c:v>145.35031847133732</c:v>
                </c:pt>
                <c:pt idx="617">
                  <c:v>145.77494692144347</c:v>
                </c:pt>
                <c:pt idx="618">
                  <c:v>145.26539278131611</c:v>
                </c:pt>
                <c:pt idx="619">
                  <c:v>143.90658174097641</c:v>
                </c:pt>
                <c:pt idx="620">
                  <c:v>142.5477707006367</c:v>
                </c:pt>
                <c:pt idx="621">
                  <c:v>142.80254777070041</c:v>
                </c:pt>
                <c:pt idx="622">
                  <c:v>143.26963906581716</c:v>
                </c:pt>
                <c:pt idx="623">
                  <c:v>141.35881104033945</c:v>
                </c:pt>
                <c:pt idx="624">
                  <c:v>142.80254777070039</c:v>
                </c:pt>
                <c:pt idx="625">
                  <c:v>140.50955414012714</c:v>
                </c:pt>
                <c:pt idx="626">
                  <c:v>143.949044585987</c:v>
                </c:pt>
                <c:pt idx="627">
                  <c:v>144.2462845010613</c:v>
                </c:pt>
                <c:pt idx="628">
                  <c:v>143.01486199575345</c:v>
                </c:pt>
                <c:pt idx="629">
                  <c:v>143.73673036093393</c:v>
                </c:pt>
                <c:pt idx="630">
                  <c:v>142.25053078556238</c:v>
                </c:pt>
                <c:pt idx="631">
                  <c:v>140.84925690021205</c:v>
                </c:pt>
                <c:pt idx="632">
                  <c:v>137.57961783439464</c:v>
                </c:pt>
                <c:pt idx="633">
                  <c:v>138.55626326963881</c:v>
                </c:pt>
                <c:pt idx="634">
                  <c:v>140.4246284501059</c:v>
                </c:pt>
                <c:pt idx="635">
                  <c:v>140.33970276008466</c:v>
                </c:pt>
                <c:pt idx="636">
                  <c:v>141.82590233545622</c:v>
                </c:pt>
                <c:pt idx="637">
                  <c:v>141.86836518046684</c:v>
                </c:pt>
                <c:pt idx="638">
                  <c:v>141.14649681528638</c:v>
                </c:pt>
                <c:pt idx="639">
                  <c:v>141.52866242038189</c:v>
                </c:pt>
                <c:pt idx="640">
                  <c:v>142.92993630573221</c:v>
                </c:pt>
                <c:pt idx="641">
                  <c:v>141.99575371549867</c:v>
                </c:pt>
                <c:pt idx="642">
                  <c:v>141.52866242038189</c:v>
                </c:pt>
                <c:pt idx="643">
                  <c:v>142.42038216560485</c:v>
                </c:pt>
                <c:pt idx="644">
                  <c:v>142.80254777070041</c:v>
                </c:pt>
                <c:pt idx="645">
                  <c:v>143.31210191082781</c:v>
                </c:pt>
                <c:pt idx="646">
                  <c:v>142.59023354564735</c:v>
                </c:pt>
                <c:pt idx="647">
                  <c:v>142.33545647558367</c:v>
                </c:pt>
                <c:pt idx="648">
                  <c:v>142.29299363057305</c:v>
                </c:pt>
                <c:pt idx="649">
                  <c:v>143.14225053078539</c:v>
                </c:pt>
                <c:pt idx="650">
                  <c:v>143.9915074309977</c:v>
                </c:pt>
                <c:pt idx="651">
                  <c:v>144.96815286624187</c:v>
                </c:pt>
                <c:pt idx="652">
                  <c:v>144.67091295116754</c:v>
                </c:pt>
                <c:pt idx="653">
                  <c:v>143.01486199575351</c:v>
                </c:pt>
                <c:pt idx="654">
                  <c:v>143.22717622080657</c:v>
                </c:pt>
                <c:pt idx="655">
                  <c:v>141.61358811040319</c:v>
                </c:pt>
                <c:pt idx="656">
                  <c:v>142.37791932059426</c:v>
                </c:pt>
                <c:pt idx="657">
                  <c:v>143.39702760084904</c:v>
                </c:pt>
                <c:pt idx="658">
                  <c:v>143.73673036093396</c:v>
                </c:pt>
                <c:pt idx="659">
                  <c:v>143.39702760084904</c:v>
                </c:pt>
                <c:pt idx="660">
                  <c:v>142.7600849256898</c:v>
                </c:pt>
                <c:pt idx="661">
                  <c:v>143.86411889596582</c:v>
                </c:pt>
                <c:pt idx="662">
                  <c:v>143.90658174097643</c:v>
                </c:pt>
                <c:pt idx="663">
                  <c:v>143.8216560509552</c:v>
                </c:pt>
                <c:pt idx="664">
                  <c:v>144.16135881104015</c:v>
                </c:pt>
                <c:pt idx="665">
                  <c:v>144.58598726114627</c:v>
                </c:pt>
                <c:pt idx="666">
                  <c:v>144.62845010615692</c:v>
                </c:pt>
                <c:pt idx="667">
                  <c:v>144.58598726114627</c:v>
                </c:pt>
                <c:pt idx="668">
                  <c:v>142.12314225053058</c:v>
                </c:pt>
                <c:pt idx="669">
                  <c:v>141.74097664543507</c:v>
                </c:pt>
                <c:pt idx="670">
                  <c:v>141.44373673036077</c:v>
                </c:pt>
              </c:numCache>
            </c:numRef>
          </c:val>
          <c:smooth val="0"/>
          <c:extLst>
            <c:ext xmlns:c16="http://schemas.microsoft.com/office/drawing/2014/chart" uri="{C3380CC4-5D6E-409C-BE32-E72D297353CC}">
              <c16:uniqueId val="{00000001-3C67-48DE-A890-E4E686FE9A53}"/>
            </c:ext>
          </c:extLst>
        </c:ser>
        <c:ser>
          <c:idx val="4"/>
          <c:order val="2"/>
          <c:tx>
            <c:strRef>
              <c:f>Sheet1!$D$1</c:f>
              <c:strCache>
                <c:ptCount val="1"/>
                <c:pt idx="0">
                  <c:v>MOEX (ՌԴ)</c:v>
                </c:pt>
              </c:strCache>
            </c:strRef>
          </c:tx>
          <c:spPr>
            <a:ln w="28575" cap="rnd">
              <a:solidFill>
                <a:schemeClr val="accent2">
                  <a:lumMod val="75000"/>
                </a:schemeClr>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Sheet1!$D$2:$D$672</c:f>
              <c:numCache>
                <c:formatCode>0.0</c:formatCode>
                <c:ptCount val="671"/>
                <c:pt idx="0">
                  <c:v>100</c:v>
                </c:pt>
                <c:pt idx="1">
                  <c:v>100</c:v>
                </c:pt>
                <c:pt idx="2">
                  <c:v>100.30161649568035</c:v>
                </c:pt>
                <c:pt idx="3">
                  <c:v>101.28239740820734</c:v>
                </c:pt>
                <c:pt idx="4">
                  <c:v>100.9698130399568</c:v>
                </c:pt>
                <c:pt idx="5">
                  <c:v>101.80168399028078</c:v>
                </c:pt>
                <c:pt idx="6">
                  <c:v>102.74829576133911</c:v>
                </c:pt>
                <c:pt idx="7">
                  <c:v>102.85966185205186</c:v>
                </c:pt>
                <c:pt idx="8">
                  <c:v>103.02460178185748</c:v>
                </c:pt>
                <c:pt idx="9">
                  <c:v>102.94360826133912</c:v>
                </c:pt>
                <c:pt idx="10">
                  <c:v>102.78077753779699</c:v>
                </c:pt>
                <c:pt idx="11">
                  <c:v>103.52785839632833</c:v>
                </c:pt>
                <c:pt idx="12">
                  <c:v>104.3496051565875</c:v>
                </c:pt>
                <c:pt idx="13">
                  <c:v>104.04081735961125</c:v>
                </c:pt>
                <c:pt idx="14">
                  <c:v>104.10662459503243</c:v>
                </c:pt>
                <c:pt idx="15">
                  <c:v>105.04058112850976</c:v>
                </c:pt>
                <c:pt idx="16">
                  <c:v>104.85750202483804</c:v>
                </c:pt>
                <c:pt idx="17">
                  <c:v>105.42614403347734</c:v>
                </c:pt>
                <c:pt idx="18">
                  <c:v>104.43439524838014</c:v>
                </c:pt>
                <c:pt idx="19">
                  <c:v>105.33755737041038</c:v>
                </c:pt>
                <c:pt idx="20">
                  <c:v>106.21498717602593</c:v>
                </c:pt>
                <c:pt idx="21">
                  <c:v>106.30737041036718</c:v>
                </c:pt>
                <c:pt idx="22">
                  <c:v>106.43223542116631</c:v>
                </c:pt>
                <c:pt idx="23">
                  <c:v>106.48749662526997</c:v>
                </c:pt>
                <c:pt idx="24">
                  <c:v>107.46532464902808</c:v>
                </c:pt>
                <c:pt idx="25">
                  <c:v>107.03842130129588</c:v>
                </c:pt>
                <c:pt idx="26">
                  <c:v>105.8336426835853</c:v>
                </c:pt>
                <c:pt idx="27">
                  <c:v>105.62398758099351</c:v>
                </c:pt>
                <c:pt idx="28">
                  <c:v>105.92054198164145</c:v>
                </c:pt>
                <c:pt idx="29">
                  <c:v>106.91861838552914</c:v>
                </c:pt>
                <c:pt idx="30">
                  <c:v>104.12349824514037</c:v>
                </c:pt>
                <c:pt idx="31">
                  <c:v>103.98471247300215</c:v>
                </c:pt>
                <c:pt idx="32">
                  <c:v>105.02961325593951</c:v>
                </c:pt>
                <c:pt idx="33">
                  <c:v>104.24414484341251</c:v>
                </c:pt>
                <c:pt idx="34">
                  <c:v>103.8636440334773</c:v>
                </c:pt>
                <c:pt idx="35">
                  <c:v>104.97266468682503</c:v>
                </c:pt>
                <c:pt idx="36">
                  <c:v>104.22642751079911</c:v>
                </c:pt>
                <c:pt idx="37">
                  <c:v>105.10343547516197</c:v>
                </c:pt>
                <c:pt idx="38">
                  <c:v>104.97224284557234</c:v>
                </c:pt>
                <c:pt idx="39">
                  <c:v>105.2713282937365</c:v>
                </c:pt>
                <c:pt idx="40">
                  <c:v>105.00008436825054</c:v>
                </c:pt>
                <c:pt idx="41">
                  <c:v>104.93048056155507</c:v>
                </c:pt>
                <c:pt idx="42">
                  <c:v>104.57064997300215</c:v>
                </c:pt>
                <c:pt idx="43">
                  <c:v>104.2871726511879</c:v>
                </c:pt>
                <c:pt idx="44">
                  <c:v>104.09776592872569</c:v>
                </c:pt>
                <c:pt idx="45">
                  <c:v>105.11566887149029</c:v>
                </c:pt>
                <c:pt idx="46">
                  <c:v>104.38250877429806</c:v>
                </c:pt>
                <c:pt idx="47">
                  <c:v>104.17791576673866</c:v>
                </c:pt>
                <c:pt idx="48">
                  <c:v>104.12138903887691</c:v>
                </c:pt>
                <c:pt idx="49">
                  <c:v>104.16863525917928</c:v>
                </c:pt>
                <c:pt idx="50">
                  <c:v>103.7636676565875</c:v>
                </c:pt>
                <c:pt idx="51">
                  <c:v>104.49134381749462</c:v>
                </c:pt>
                <c:pt idx="52">
                  <c:v>104.82966050215985</c:v>
                </c:pt>
                <c:pt idx="53">
                  <c:v>105.18063242440606</c:v>
                </c:pt>
                <c:pt idx="54">
                  <c:v>105.67376484881211</c:v>
                </c:pt>
                <c:pt idx="55">
                  <c:v>105.79609881209504</c:v>
                </c:pt>
                <c:pt idx="56">
                  <c:v>104.94946341792657</c:v>
                </c:pt>
                <c:pt idx="57">
                  <c:v>105.40125539956804</c:v>
                </c:pt>
                <c:pt idx="58">
                  <c:v>105.91126147408208</c:v>
                </c:pt>
                <c:pt idx="59">
                  <c:v>104.94144843412528</c:v>
                </c:pt>
                <c:pt idx="60">
                  <c:v>105.19750607451404</c:v>
                </c:pt>
                <c:pt idx="61">
                  <c:v>105.40673933585313</c:v>
                </c:pt>
                <c:pt idx="62">
                  <c:v>106.43181357991362</c:v>
                </c:pt>
                <c:pt idx="63">
                  <c:v>106.76380264578835</c:v>
                </c:pt>
                <c:pt idx="64">
                  <c:v>106.74946004319655</c:v>
                </c:pt>
                <c:pt idx="65">
                  <c:v>106.95784962203025</c:v>
                </c:pt>
                <c:pt idx="66">
                  <c:v>107.25777875269979</c:v>
                </c:pt>
                <c:pt idx="67">
                  <c:v>108.15376957343413</c:v>
                </c:pt>
                <c:pt idx="68">
                  <c:v>108.48491495680346</c:v>
                </c:pt>
                <c:pt idx="69">
                  <c:v>108.76628307235423</c:v>
                </c:pt>
                <c:pt idx="70">
                  <c:v>107.60621962742982</c:v>
                </c:pt>
                <c:pt idx="71">
                  <c:v>108.18034557235424</c:v>
                </c:pt>
                <c:pt idx="72">
                  <c:v>107.45013836393092</c:v>
                </c:pt>
                <c:pt idx="73">
                  <c:v>108.13773960583156</c:v>
                </c:pt>
                <c:pt idx="74">
                  <c:v>108.30099217062637</c:v>
                </c:pt>
                <c:pt idx="75">
                  <c:v>108.03818507019442</c:v>
                </c:pt>
                <c:pt idx="76">
                  <c:v>108.29677375809936</c:v>
                </c:pt>
                <c:pt idx="77">
                  <c:v>109.09067899568038</c:v>
                </c:pt>
                <c:pt idx="78">
                  <c:v>109.13328496220306</c:v>
                </c:pt>
                <c:pt idx="79">
                  <c:v>108.77261069114473</c:v>
                </c:pt>
                <c:pt idx="80">
                  <c:v>108.02088957883372</c:v>
                </c:pt>
                <c:pt idx="81">
                  <c:v>108.16389376349896</c:v>
                </c:pt>
                <c:pt idx="82">
                  <c:v>108.42121692764583</c:v>
                </c:pt>
                <c:pt idx="83">
                  <c:v>107.94116158207346</c:v>
                </c:pt>
                <c:pt idx="84">
                  <c:v>108.58657869870414</c:v>
                </c:pt>
                <c:pt idx="85">
                  <c:v>108.38282937365015</c:v>
                </c:pt>
                <c:pt idx="86">
                  <c:v>108.81774770518363</c:v>
                </c:pt>
                <c:pt idx="87">
                  <c:v>108.14575458963286</c:v>
                </c:pt>
                <c:pt idx="88">
                  <c:v>107.07005939524841</c:v>
                </c:pt>
                <c:pt idx="89">
                  <c:v>105.97622502699787</c:v>
                </c:pt>
                <c:pt idx="90">
                  <c:v>105.83701741360693</c:v>
                </c:pt>
                <c:pt idx="91">
                  <c:v>108.38493857991364</c:v>
                </c:pt>
                <c:pt idx="92">
                  <c:v>107.6829947354212</c:v>
                </c:pt>
                <c:pt idx="93">
                  <c:v>108.68528955183588</c:v>
                </c:pt>
                <c:pt idx="94">
                  <c:v>108.91983328833699</c:v>
                </c:pt>
                <c:pt idx="95">
                  <c:v>108.63045018898492</c:v>
                </c:pt>
                <c:pt idx="96">
                  <c:v>110.50806560475165</c:v>
                </c:pt>
                <c:pt idx="97">
                  <c:v>111.12100094492446</c:v>
                </c:pt>
                <c:pt idx="98">
                  <c:v>110.60424541036723</c:v>
                </c:pt>
                <c:pt idx="99">
                  <c:v>110.52240820734346</c:v>
                </c:pt>
                <c:pt idx="100">
                  <c:v>111.11846989740826</c:v>
                </c:pt>
                <c:pt idx="101">
                  <c:v>109.97865483261344</c:v>
                </c:pt>
                <c:pt idx="102">
                  <c:v>111.57701133909292</c:v>
                </c:pt>
                <c:pt idx="103">
                  <c:v>112.03091252699789</c:v>
                </c:pt>
                <c:pt idx="104">
                  <c:v>112.23677105831537</c:v>
                </c:pt>
                <c:pt idx="105">
                  <c:v>114.99645653347736</c:v>
                </c:pt>
                <c:pt idx="106">
                  <c:v>114.17808450323977</c:v>
                </c:pt>
                <c:pt idx="107">
                  <c:v>113.96252362311019</c:v>
                </c:pt>
                <c:pt idx="108">
                  <c:v>115.37105156587477</c:v>
                </c:pt>
                <c:pt idx="109">
                  <c:v>115.33814794816418</c:v>
                </c:pt>
                <c:pt idx="110">
                  <c:v>114.66193642008643</c:v>
                </c:pt>
                <c:pt idx="111">
                  <c:v>116.02406182505402</c:v>
                </c:pt>
                <c:pt idx="112">
                  <c:v>116.32610016198706</c:v>
                </c:pt>
                <c:pt idx="113">
                  <c:v>115.49886946544278</c:v>
                </c:pt>
                <c:pt idx="114">
                  <c:v>115.2668567764579</c:v>
                </c:pt>
                <c:pt idx="115">
                  <c:v>116.55769100971925</c:v>
                </c:pt>
                <c:pt idx="116">
                  <c:v>116.36617508099354</c:v>
                </c:pt>
                <c:pt idx="117">
                  <c:v>117.16809530237583</c:v>
                </c:pt>
                <c:pt idx="118">
                  <c:v>116.51972529697628</c:v>
                </c:pt>
                <c:pt idx="119">
                  <c:v>116.48682167926569</c:v>
                </c:pt>
                <c:pt idx="120">
                  <c:v>116.21346854751623</c:v>
                </c:pt>
                <c:pt idx="121">
                  <c:v>117.0504015928726</c:v>
                </c:pt>
                <c:pt idx="122">
                  <c:v>117.18496895248383</c:v>
                </c:pt>
                <c:pt idx="123">
                  <c:v>117.14869060475165</c:v>
                </c:pt>
                <c:pt idx="124">
                  <c:v>118.23450998920092</c:v>
                </c:pt>
                <c:pt idx="125">
                  <c:v>118.54161042116635</c:v>
                </c:pt>
                <c:pt idx="126">
                  <c:v>119.09970639848817</c:v>
                </c:pt>
                <c:pt idx="127">
                  <c:v>119.92820261879054</c:v>
                </c:pt>
                <c:pt idx="128">
                  <c:v>119.09169141468686</c:v>
                </c:pt>
                <c:pt idx="129">
                  <c:v>119.03896125809939</c:v>
                </c:pt>
                <c:pt idx="130">
                  <c:v>119.16129522138233</c:v>
                </c:pt>
                <c:pt idx="131">
                  <c:v>119.17859071274302</c:v>
                </c:pt>
                <c:pt idx="132">
                  <c:v>117.57095369870416</c:v>
                </c:pt>
                <c:pt idx="133">
                  <c:v>117.41740348272141</c:v>
                </c:pt>
                <c:pt idx="134">
                  <c:v>116.17719019978405</c:v>
                </c:pt>
                <c:pt idx="135">
                  <c:v>114.55816347192227</c:v>
                </c:pt>
                <c:pt idx="136">
                  <c:v>114.1346348542117</c:v>
                </c:pt>
                <c:pt idx="137">
                  <c:v>114.33754049676028</c:v>
                </c:pt>
                <c:pt idx="138">
                  <c:v>113.86803118250542</c:v>
                </c:pt>
                <c:pt idx="139">
                  <c:v>113.34790091792658</c:v>
                </c:pt>
                <c:pt idx="140">
                  <c:v>114.18103739200866</c:v>
                </c:pt>
                <c:pt idx="141">
                  <c:v>113.02730156587475</c:v>
                </c:pt>
                <c:pt idx="142">
                  <c:v>113.77944451943846</c:v>
                </c:pt>
                <c:pt idx="143">
                  <c:v>114.56111636069113</c:v>
                </c:pt>
                <c:pt idx="144">
                  <c:v>115.17869195464363</c:v>
                </c:pt>
                <c:pt idx="145">
                  <c:v>115.49169816414687</c:v>
                </c:pt>
                <c:pt idx="146">
                  <c:v>115.06479481641468</c:v>
                </c:pt>
                <c:pt idx="147">
                  <c:v>114.21984678725701</c:v>
                </c:pt>
                <c:pt idx="148">
                  <c:v>112.49873447624188</c:v>
                </c:pt>
                <c:pt idx="149">
                  <c:v>111.97101106911447</c:v>
                </c:pt>
                <c:pt idx="150">
                  <c:v>113.18464835313175</c:v>
                </c:pt>
                <c:pt idx="151">
                  <c:v>113.60902065334773</c:v>
                </c:pt>
                <c:pt idx="152">
                  <c:v>113.75582140928725</c:v>
                </c:pt>
                <c:pt idx="153">
                  <c:v>113.35380669546434</c:v>
                </c:pt>
                <c:pt idx="154">
                  <c:v>113.4297381209503</c:v>
                </c:pt>
                <c:pt idx="155">
                  <c:v>113.2487682235421</c:v>
                </c:pt>
                <c:pt idx="156">
                  <c:v>111.51500067494598</c:v>
                </c:pt>
                <c:pt idx="157">
                  <c:v>111.20958760799132</c:v>
                </c:pt>
                <c:pt idx="158">
                  <c:v>110.8375236231101</c:v>
                </c:pt>
                <c:pt idx="159">
                  <c:v>111.8343345032397</c:v>
                </c:pt>
                <c:pt idx="160">
                  <c:v>112.95010461663065</c:v>
                </c:pt>
                <c:pt idx="161">
                  <c:v>112.79064862311012</c:v>
                </c:pt>
                <c:pt idx="162">
                  <c:v>113.02097394708419</c:v>
                </c:pt>
                <c:pt idx="163">
                  <c:v>111.833912661987</c:v>
                </c:pt>
                <c:pt idx="164">
                  <c:v>112.2418331533477</c:v>
                </c:pt>
                <c:pt idx="165">
                  <c:v>112.13257626889845</c:v>
                </c:pt>
                <c:pt idx="166">
                  <c:v>113.0450188984881</c:v>
                </c:pt>
                <c:pt idx="167">
                  <c:v>114.6011912796976</c:v>
                </c:pt>
                <c:pt idx="168">
                  <c:v>115.68152672786175</c:v>
                </c:pt>
                <c:pt idx="169">
                  <c:v>116.88630534557232</c:v>
                </c:pt>
                <c:pt idx="170">
                  <c:v>117.58276525377966</c:v>
                </c:pt>
                <c:pt idx="171">
                  <c:v>118.15646935745137</c:v>
                </c:pt>
                <c:pt idx="172">
                  <c:v>118.36654630129587</c:v>
                </c:pt>
                <c:pt idx="173">
                  <c:v>118.22058922786174</c:v>
                </c:pt>
                <c:pt idx="174">
                  <c:v>117.47435205183584</c:v>
                </c:pt>
                <c:pt idx="175">
                  <c:v>117.61735623650105</c:v>
                </c:pt>
                <c:pt idx="176">
                  <c:v>118.79302780777535</c:v>
                </c:pt>
                <c:pt idx="177">
                  <c:v>117.94048663606908</c:v>
                </c:pt>
                <c:pt idx="178">
                  <c:v>118.57029562634986</c:v>
                </c:pt>
                <c:pt idx="179">
                  <c:v>119.48316009719218</c:v>
                </c:pt>
                <c:pt idx="180">
                  <c:v>118.91409624730017</c:v>
                </c:pt>
                <c:pt idx="181">
                  <c:v>118.76898285637144</c:v>
                </c:pt>
                <c:pt idx="182">
                  <c:v>117.89703698704101</c:v>
                </c:pt>
                <c:pt idx="183">
                  <c:v>117.82152740280775</c:v>
                </c:pt>
                <c:pt idx="184">
                  <c:v>117.50683382829371</c:v>
                </c:pt>
                <c:pt idx="185">
                  <c:v>115.96964430345569</c:v>
                </c:pt>
                <c:pt idx="186">
                  <c:v>116.24257559395244</c:v>
                </c:pt>
                <c:pt idx="187">
                  <c:v>116.95886204103668</c:v>
                </c:pt>
                <c:pt idx="188">
                  <c:v>116.42565469762415</c:v>
                </c:pt>
                <c:pt idx="189">
                  <c:v>115.99917319114466</c:v>
                </c:pt>
                <c:pt idx="190">
                  <c:v>116.29572759179261</c:v>
                </c:pt>
                <c:pt idx="191">
                  <c:v>114.72605629049671</c:v>
                </c:pt>
                <c:pt idx="192">
                  <c:v>114.23039281857447</c:v>
                </c:pt>
                <c:pt idx="193">
                  <c:v>113.70899703023754</c:v>
                </c:pt>
                <c:pt idx="194">
                  <c:v>114.7479920356371</c:v>
                </c:pt>
                <c:pt idx="195">
                  <c:v>114.09582545896323</c:v>
                </c:pt>
                <c:pt idx="196">
                  <c:v>114.29324716522672</c:v>
                </c:pt>
                <c:pt idx="197">
                  <c:v>114.88255939524834</c:v>
                </c:pt>
                <c:pt idx="198">
                  <c:v>114.34260259179261</c:v>
                </c:pt>
                <c:pt idx="199">
                  <c:v>113.75371220302372</c:v>
                </c:pt>
                <c:pt idx="200">
                  <c:v>114.52188512419004</c:v>
                </c:pt>
                <c:pt idx="201">
                  <c:v>115.77137891468679</c:v>
                </c:pt>
                <c:pt idx="202">
                  <c:v>115.91353941684663</c:v>
                </c:pt>
                <c:pt idx="203">
                  <c:v>116.41932707883366</c:v>
                </c:pt>
                <c:pt idx="204">
                  <c:v>116.69014916306693</c:v>
                </c:pt>
                <c:pt idx="205">
                  <c:v>118.00755939524836</c:v>
                </c:pt>
                <c:pt idx="206">
                  <c:v>119.05920963822892</c:v>
                </c:pt>
                <c:pt idx="207">
                  <c:v>121.32576268898487</c:v>
                </c:pt>
                <c:pt idx="208">
                  <c:v>121.4637047786177</c:v>
                </c:pt>
                <c:pt idx="209">
                  <c:v>120.57994735421167</c:v>
                </c:pt>
                <c:pt idx="210">
                  <c:v>121.57760191684666</c:v>
                </c:pt>
                <c:pt idx="211">
                  <c:v>123.06037392008638</c:v>
                </c:pt>
                <c:pt idx="212">
                  <c:v>122.14286919546436</c:v>
                </c:pt>
                <c:pt idx="213">
                  <c:v>124.47607316414687</c:v>
                </c:pt>
                <c:pt idx="214">
                  <c:v>124.43051430885528</c:v>
                </c:pt>
                <c:pt idx="215">
                  <c:v>125.61040429265657</c:v>
                </c:pt>
                <c:pt idx="216">
                  <c:v>126.46167994060472</c:v>
                </c:pt>
                <c:pt idx="217">
                  <c:v>125.11136609071272</c:v>
                </c:pt>
                <c:pt idx="218">
                  <c:v>125.02109206263495</c:v>
                </c:pt>
                <c:pt idx="219">
                  <c:v>124.12257019438441</c:v>
                </c:pt>
                <c:pt idx="220">
                  <c:v>123.96227051835849</c:v>
                </c:pt>
                <c:pt idx="221">
                  <c:v>123.40164349352048</c:v>
                </c:pt>
                <c:pt idx="222">
                  <c:v>124.33306897948161</c:v>
                </c:pt>
                <c:pt idx="223">
                  <c:v>123.51933720302372</c:v>
                </c:pt>
                <c:pt idx="224">
                  <c:v>123.83740550755937</c:v>
                </c:pt>
                <c:pt idx="225">
                  <c:v>124.05423191144708</c:v>
                </c:pt>
                <c:pt idx="226">
                  <c:v>123.99433045356371</c:v>
                </c:pt>
                <c:pt idx="227">
                  <c:v>124.5743621760259</c:v>
                </c:pt>
                <c:pt idx="228">
                  <c:v>124.64734071274297</c:v>
                </c:pt>
                <c:pt idx="229">
                  <c:v>123.69440132289415</c:v>
                </c:pt>
                <c:pt idx="230">
                  <c:v>123.44340577753779</c:v>
                </c:pt>
                <c:pt idx="231">
                  <c:v>123.420626349892</c:v>
                </c:pt>
                <c:pt idx="232">
                  <c:v>123.92388296436285</c:v>
                </c:pt>
                <c:pt idx="233">
                  <c:v>123.07049811015118</c:v>
                </c:pt>
                <c:pt idx="234">
                  <c:v>121.80202146328293</c:v>
                </c:pt>
                <c:pt idx="235">
                  <c:v>122.48160772138229</c:v>
                </c:pt>
                <c:pt idx="236">
                  <c:v>122.36686690064795</c:v>
                </c:pt>
                <c:pt idx="237">
                  <c:v>123.68723002159827</c:v>
                </c:pt>
                <c:pt idx="238">
                  <c:v>124.14914619330456</c:v>
                </c:pt>
                <c:pt idx="239">
                  <c:v>123.70199446544278</c:v>
                </c:pt>
                <c:pt idx="240">
                  <c:v>125.12823974082075</c:v>
                </c:pt>
                <c:pt idx="241">
                  <c:v>126.16934395248381</c:v>
                </c:pt>
                <c:pt idx="242">
                  <c:v>126.6122772678186</c:v>
                </c:pt>
                <c:pt idx="243">
                  <c:v>127.07925553455725</c:v>
                </c:pt>
                <c:pt idx="244">
                  <c:v>127.03200931425488</c:v>
                </c:pt>
                <c:pt idx="245">
                  <c:v>127.07081870950326</c:v>
                </c:pt>
                <c:pt idx="246">
                  <c:v>127.21213552915768</c:v>
                </c:pt>
                <c:pt idx="247">
                  <c:v>126.96957680885531</c:v>
                </c:pt>
                <c:pt idx="248">
                  <c:v>128.06509854211666</c:v>
                </c:pt>
                <c:pt idx="249">
                  <c:v>127.91956330993521</c:v>
                </c:pt>
                <c:pt idx="250">
                  <c:v>127.63144573434126</c:v>
                </c:pt>
                <c:pt idx="251">
                  <c:v>127.78077753779698</c:v>
                </c:pt>
                <c:pt idx="252">
                  <c:v>128.7210616900648</c:v>
                </c:pt>
                <c:pt idx="253">
                  <c:v>129.04967602591793</c:v>
                </c:pt>
                <c:pt idx="254">
                  <c:v>129.7393864740821</c:v>
                </c:pt>
                <c:pt idx="255">
                  <c:v>129.78494532937367</c:v>
                </c:pt>
                <c:pt idx="256">
                  <c:v>130.99056762958966</c:v>
                </c:pt>
                <c:pt idx="257">
                  <c:v>131.4980426565875</c:v>
                </c:pt>
                <c:pt idx="258">
                  <c:v>131.82370410367176</c:v>
                </c:pt>
                <c:pt idx="259">
                  <c:v>133.117491225702</c:v>
                </c:pt>
                <c:pt idx="260">
                  <c:v>131.9679738120951</c:v>
                </c:pt>
                <c:pt idx="261">
                  <c:v>132.3535367170627</c:v>
                </c:pt>
                <c:pt idx="262">
                  <c:v>133.35456600971926</c:v>
                </c:pt>
                <c:pt idx="263">
                  <c:v>135.2271193304536</c:v>
                </c:pt>
                <c:pt idx="264">
                  <c:v>135.52578293736502</c:v>
                </c:pt>
                <c:pt idx="265">
                  <c:v>135.53379792116633</c:v>
                </c:pt>
                <c:pt idx="266">
                  <c:v>133.41488930885529</c:v>
                </c:pt>
                <c:pt idx="267">
                  <c:v>132.76525377969764</c:v>
                </c:pt>
                <c:pt idx="268">
                  <c:v>131.77097394708426</c:v>
                </c:pt>
                <c:pt idx="269">
                  <c:v>130.6741866900648</c:v>
                </c:pt>
                <c:pt idx="270">
                  <c:v>131.86377902267819</c:v>
                </c:pt>
                <c:pt idx="271">
                  <c:v>131.12429130669548</c:v>
                </c:pt>
                <c:pt idx="272">
                  <c:v>132.17973812095033</c:v>
                </c:pt>
                <c:pt idx="273">
                  <c:v>129.17918129049676</c:v>
                </c:pt>
                <c:pt idx="274">
                  <c:v>130.01991090712741</c:v>
                </c:pt>
                <c:pt idx="275">
                  <c:v>131.00364470842331</c:v>
                </c:pt>
                <c:pt idx="276">
                  <c:v>132.15611501079911</c:v>
                </c:pt>
                <c:pt idx="277">
                  <c:v>130.81634719222458</c:v>
                </c:pt>
                <c:pt idx="278">
                  <c:v>130.29115483261336</c:v>
                </c:pt>
                <c:pt idx="279">
                  <c:v>129.60608463822891</c:v>
                </c:pt>
                <c:pt idx="280">
                  <c:v>130.93150985421164</c:v>
                </c:pt>
                <c:pt idx="281">
                  <c:v>131.48749662526993</c:v>
                </c:pt>
                <c:pt idx="282">
                  <c:v>131.34955453563711</c:v>
                </c:pt>
                <c:pt idx="283">
                  <c:v>130.65182910367167</c:v>
                </c:pt>
                <c:pt idx="284">
                  <c:v>130.92729144168464</c:v>
                </c:pt>
                <c:pt idx="285">
                  <c:v>130.31055953023755</c:v>
                </c:pt>
                <c:pt idx="286">
                  <c:v>131.63598474622026</c:v>
                </c:pt>
                <c:pt idx="287">
                  <c:v>131.18672381209498</c:v>
                </c:pt>
                <c:pt idx="288">
                  <c:v>129.01297583693298</c:v>
                </c:pt>
                <c:pt idx="289">
                  <c:v>126.30855156587465</c:v>
                </c:pt>
                <c:pt idx="290">
                  <c:v>126.09594357451397</c:v>
                </c:pt>
                <c:pt idx="291">
                  <c:v>120.22939727321808</c:v>
                </c:pt>
                <c:pt idx="292">
                  <c:v>119.35871692764572</c:v>
                </c:pt>
                <c:pt idx="293">
                  <c:v>118.85714767818567</c:v>
                </c:pt>
                <c:pt idx="294">
                  <c:v>118.08095977321807</c:v>
                </c:pt>
                <c:pt idx="295">
                  <c:v>120.32684260259173</c:v>
                </c:pt>
                <c:pt idx="296">
                  <c:v>116.99893696004314</c:v>
                </c:pt>
                <c:pt idx="297">
                  <c:v>105.57421031317487</c:v>
                </c:pt>
                <c:pt idx="298">
                  <c:v>106.84057775377963</c:v>
                </c:pt>
                <c:pt idx="299">
                  <c:v>101.79113795896322</c:v>
                </c:pt>
                <c:pt idx="300">
                  <c:v>96.081094762418942</c:v>
                </c:pt>
                <c:pt idx="301">
                  <c:v>96.898623110151135</c:v>
                </c:pt>
                <c:pt idx="302">
                  <c:v>95.488829643628463</c:v>
                </c:pt>
                <c:pt idx="303">
                  <c:v>92.500928050755888</c:v>
                </c:pt>
                <c:pt idx="304">
                  <c:v>90.039062499999943</c:v>
                </c:pt>
                <c:pt idx="305">
                  <c:v>98.173849217062568</c:v>
                </c:pt>
                <c:pt idx="306">
                  <c:v>95.246692764578782</c:v>
                </c:pt>
                <c:pt idx="307">
                  <c:v>99.110336798056082</c:v>
                </c:pt>
                <c:pt idx="308">
                  <c:v>103.74341927645783</c:v>
                </c:pt>
                <c:pt idx="309">
                  <c:v>103.29879859611225</c:v>
                </c:pt>
                <c:pt idx="310">
                  <c:v>105.1101849352051</c:v>
                </c:pt>
                <c:pt idx="311">
                  <c:v>100.28052443304529</c:v>
                </c:pt>
                <c:pt idx="312">
                  <c:v>104.03786447084227</c:v>
                </c:pt>
                <c:pt idx="313">
                  <c:v>104.00749190064788</c:v>
                </c:pt>
                <c:pt idx="314">
                  <c:v>106.67184125269971</c:v>
                </c:pt>
                <c:pt idx="315">
                  <c:v>107.44929468142543</c:v>
                </c:pt>
                <c:pt idx="316">
                  <c:v>109.56398488120945</c:v>
                </c:pt>
                <c:pt idx="317">
                  <c:v>111.73477996760252</c:v>
                </c:pt>
                <c:pt idx="318">
                  <c:v>110.4236973542116</c:v>
                </c:pt>
                <c:pt idx="319">
                  <c:v>113.62631614470835</c:v>
                </c:pt>
                <c:pt idx="320">
                  <c:v>112.98174271058309</c:v>
                </c:pt>
                <c:pt idx="321">
                  <c:v>112.87332950863924</c:v>
                </c:pt>
                <c:pt idx="322">
                  <c:v>111.76009044276452</c:v>
                </c:pt>
                <c:pt idx="323">
                  <c:v>110.40387081533471</c:v>
                </c:pt>
                <c:pt idx="324">
                  <c:v>105.9475398218142</c:v>
                </c:pt>
                <c:pt idx="325">
                  <c:v>107.60959435745133</c:v>
                </c:pt>
                <c:pt idx="326">
                  <c:v>106.48580926025912</c:v>
                </c:pt>
                <c:pt idx="327">
                  <c:v>104.93849554535632</c:v>
                </c:pt>
                <c:pt idx="328">
                  <c:v>104.37702483801291</c:v>
                </c:pt>
                <c:pt idx="329">
                  <c:v>109.6905372570194</c:v>
                </c:pt>
                <c:pt idx="330">
                  <c:v>109.18474959503234</c:v>
                </c:pt>
                <c:pt idx="331">
                  <c:v>108.44230899028072</c:v>
                </c:pt>
                <c:pt idx="332">
                  <c:v>108.31786582073428</c:v>
                </c:pt>
                <c:pt idx="333">
                  <c:v>110.91218952483796</c:v>
                </c:pt>
                <c:pt idx="334">
                  <c:v>113.21628644708419</c:v>
                </c:pt>
                <c:pt idx="335">
                  <c:v>110.68650445464357</c:v>
                </c:pt>
                <c:pt idx="336">
                  <c:v>111.91110961123105</c:v>
                </c:pt>
                <c:pt idx="337">
                  <c:v>112.17096382289411</c:v>
                </c:pt>
                <c:pt idx="338">
                  <c:v>111.06531789956799</c:v>
                </c:pt>
                <c:pt idx="339">
                  <c:v>111.69512688984878</c:v>
                </c:pt>
                <c:pt idx="340">
                  <c:v>111.17668399028075</c:v>
                </c:pt>
                <c:pt idx="341">
                  <c:v>110.97757491900644</c:v>
                </c:pt>
                <c:pt idx="342">
                  <c:v>109.515473137149</c:v>
                </c:pt>
                <c:pt idx="343">
                  <c:v>110.35957748380125</c:v>
                </c:pt>
                <c:pt idx="344">
                  <c:v>110.67469289956799</c:v>
                </c:pt>
                <c:pt idx="345">
                  <c:v>113.99584908207339</c:v>
                </c:pt>
                <c:pt idx="346">
                  <c:v>114.1531958693304</c:v>
                </c:pt>
                <c:pt idx="347">
                  <c:v>116.76439322354204</c:v>
                </c:pt>
                <c:pt idx="348">
                  <c:v>113.5419478941684</c:v>
                </c:pt>
                <c:pt idx="349">
                  <c:v>114.68682505399561</c:v>
                </c:pt>
                <c:pt idx="350">
                  <c:v>117.17568844492432</c:v>
                </c:pt>
                <c:pt idx="351">
                  <c:v>115.93252227321807</c:v>
                </c:pt>
                <c:pt idx="352">
                  <c:v>115.92324176565867</c:v>
                </c:pt>
                <c:pt idx="353">
                  <c:v>116.70744465442756</c:v>
                </c:pt>
                <c:pt idx="354">
                  <c:v>116.48007221922238</c:v>
                </c:pt>
                <c:pt idx="355">
                  <c:v>116.45476174406039</c:v>
                </c:pt>
                <c:pt idx="356">
                  <c:v>118.65635124190058</c:v>
                </c:pt>
                <c:pt idx="357">
                  <c:v>119.06849014578827</c:v>
                </c:pt>
                <c:pt idx="358">
                  <c:v>117.28536717062629</c:v>
                </c:pt>
                <c:pt idx="359">
                  <c:v>118.40282464902799</c:v>
                </c:pt>
                <c:pt idx="360">
                  <c:v>118.29947354211656</c:v>
                </c:pt>
                <c:pt idx="361">
                  <c:v>117.90884854211654</c:v>
                </c:pt>
                <c:pt idx="362">
                  <c:v>116.30078968682497</c:v>
                </c:pt>
                <c:pt idx="363">
                  <c:v>114.13505669546427</c:v>
                </c:pt>
                <c:pt idx="364">
                  <c:v>115.81609408747291</c:v>
                </c:pt>
                <c:pt idx="365">
                  <c:v>116.38473609611221</c:v>
                </c:pt>
                <c:pt idx="366">
                  <c:v>115.36683315334764</c:v>
                </c:pt>
                <c:pt idx="367">
                  <c:v>115.54400647948155</c:v>
                </c:pt>
                <c:pt idx="368">
                  <c:v>116.19279832613381</c:v>
                </c:pt>
                <c:pt idx="369">
                  <c:v>116.99050013498909</c:v>
                </c:pt>
                <c:pt idx="370">
                  <c:v>116.0097192224621</c:v>
                </c:pt>
                <c:pt idx="371">
                  <c:v>117.27271193304526</c:v>
                </c:pt>
                <c:pt idx="372">
                  <c:v>115.98693979481632</c:v>
                </c:pt>
                <c:pt idx="373">
                  <c:v>116.87913404427638</c:v>
                </c:pt>
                <c:pt idx="374">
                  <c:v>116.53617710583146</c:v>
                </c:pt>
                <c:pt idx="375">
                  <c:v>117.66291509179257</c:v>
                </c:pt>
                <c:pt idx="376">
                  <c:v>119.20727591792649</c:v>
                </c:pt>
                <c:pt idx="377">
                  <c:v>119.3528111501079</c:v>
                </c:pt>
                <c:pt idx="378">
                  <c:v>118.77024838012949</c:v>
                </c:pt>
                <c:pt idx="379">
                  <c:v>118.3623278887688</c:v>
                </c:pt>
                <c:pt idx="380">
                  <c:v>116.79392211123101</c:v>
                </c:pt>
                <c:pt idx="381">
                  <c:v>118.34840712742972</c:v>
                </c:pt>
                <c:pt idx="382">
                  <c:v>116.08986906047508</c:v>
                </c:pt>
                <c:pt idx="383">
                  <c:v>115.10318237041029</c:v>
                </c:pt>
                <c:pt idx="384">
                  <c:v>115.6553725701943</c:v>
                </c:pt>
                <c:pt idx="385">
                  <c:v>116.30332073434117</c:v>
                </c:pt>
                <c:pt idx="386">
                  <c:v>116.92806762958955</c:v>
                </c:pt>
                <c:pt idx="387">
                  <c:v>118.74789079373642</c:v>
                </c:pt>
                <c:pt idx="388">
                  <c:v>119.14906182505393</c:v>
                </c:pt>
                <c:pt idx="389">
                  <c:v>120.15768426025912</c:v>
                </c:pt>
                <c:pt idx="390">
                  <c:v>119.59832275917921</c:v>
                </c:pt>
                <c:pt idx="391">
                  <c:v>121.05536244600425</c:v>
                </c:pt>
                <c:pt idx="392">
                  <c:v>121.96864875809928</c:v>
                </c:pt>
                <c:pt idx="393">
                  <c:v>122.06145383369322</c:v>
                </c:pt>
                <c:pt idx="394">
                  <c:v>123.00637823974074</c:v>
                </c:pt>
                <c:pt idx="395">
                  <c:v>122.45250067494591</c:v>
                </c:pt>
                <c:pt idx="396">
                  <c:v>123.07977861771047</c:v>
                </c:pt>
                <c:pt idx="397">
                  <c:v>123.80661109611221</c:v>
                </c:pt>
                <c:pt idx="398">
                  <c:v>124.62920153887679</c:v>
                </c:pt>
                <c:pt idx="399">
                  <c:v>126.49036514578826</c:v>
                </c:pt>
                <c:pt idx="400">
                  <c:v>126.22587068034549</c:v>
                </c:pt>
                <c:pt idx="401">
                  <c:v>125.56062702483791</c:v>
                </c:pt>
                <c:pt idx="402">
                  <c:v>124.83506007019429</c:v>
                </c:pt>
                <c:pt idx="403">
                  <c:v>126.16850026997832</c:v>
                </c:pt>
                <c:pt idx="404">
                  <c:v>128.98344694924398</c:v>
                </c:pt>
                <c:pt idx="405">
                  <c:v>129.75668196544268</c:v>
                </c:pt>
                <c:pt idx="406">
                  <c:v>129.5394337203023</c:v>
                </c:pt>
                <c:pt idx="407">
                  <c:v>128.94505939524831</c:v>
                </c:pt>
                <c:pt idx="408">
                  <c:v>128.58649433045349</c:v>
                </c:pt>
                <c:pt idx="409">
                  <c:v>128.44728671706258</c:v>
                </c:pt>
                <c:pt idx="410">
                  <c:v>127.11764308855287</c:v>
                </c:pt>
                <c:pt idx="411">
                  <c:v>126.79957478401724</c:v>
                </c:pt>
                <c:pt idx="412">
                  <c:v>128.34857586393082</c:v>
                </c:pt>
                <c:pt idx="413">
                  <c:v>128.28993992980554</c:v>
                </c:pt>
                <c:pt idx="414">
                  <c:v>128.71220302375801</c:v>
                </c:pt>
                <c:pt idx="415">
                  <c:v>127.21466657667378</c:v>
                </c:pt>
                <c:pt idx="416">
                  <c:v>126.25793061555068</c:v>
                </c:pt>
                <c:pt idx="417">
                  <c:v>125.54290969222455</c:v>
                </c:pt>
                <c:pt idx="418">
                  <c:v>126.12041036717055</c:v>
                </c:pt>
                <c:pt idx="419">
                  <c:v>124.63806020518349</c:v>
                </c:pt>
                <c:pt idx="420">
                  <c:v>123.18692629589624</c:v>
                </c:pt>
                <c:pt idx="421">
                  <c:v>123.57333288336926</c:v>
                </c:pt>
                <c:pt idx="422">
                  <c:v>123.9023690604751</c:v>
                </c:pt>
                <c:pt idx="423">
                  <c:v>121.52529360151182</c:v>
                </c:pt>
                <c:pt idx="424">
                  <c:v>121.83155035097187</c:v>
                </c:pt>
                <c:pt idx="425">
                  <c:v>121.86656317494594</c:v>
                </c:pt>
                <c:pt idx="426">
                  <c:v>123.10551093412521</c:v>
                </c:pt>
                <c:pt idx="427">
                  <c:v>123.87030912526991</c:v>
                </c:pt>
                <c:pt idx="428">
                  <c:v>125.81373177645781</c:v>
                </c:pt>
                <c:pt idx="429">
                  <c:v>124.33939659827207</c:v>
                </c:pt>
                <c:pt idx="430">
                  <c:v>125.54417521598265</c:v>
                </c:pt>
                <c:pt idx="431">
                  <c:v>124.28202618790489</c:v>
                </c:pt>
                <c:pt idx="432">
                  <c:v>121.23717602591786</c:v>
                </c:pt>
                <c:pt idx="433">
                  <c:v>123.73996017818567</c:v>
                </c:pt>
                <c:pt idx="434">
                  <c:v>122.56808517818568</c:v>
                </c:pt>
                <c:pt idx="435">
                  <c:v>122.87518561015112</c:v>
                </c:pt>
                <c:pt idx="436">
                  <c:v>122.73977456803449</c:v>
                </c:pt>
                <c:pt idx="437">
                  <c:v>123.84288944384444</c:v>
                </c:pt>
                <c:pt idx="438">
                  <c:v>122.69463755399563</c:v>
                </c:pt>
                <c:pt idx="439">
                  <c:v>122.80136339092866</c:v>
                </c:pt>
                <c:pt idx="440">
                  <c:v>119.83328833693297</c:v>
                </c:pt>
                <c:pt idx="441">
                  <c:v>120.66895585853126</c:v>
                </c:pt>
                <c:pt idx="442">
                  <c:v>121.71723137149023</c:v>
                </c:pt>
                <c:pt idx="443">
                  <c:v>121.64129994600425</c:v>
                </c:pt>
                <c:pt idx="444">
                  <c:v>120.25217670086387</c:v>
                </c:pt>
                <c:pt idx="445">
                  <c:v>119.91217265118784</c:v>
                </c:pt>
                <c:pt idx="446">
                  <c:v>119.56373177645781</c:v>
                </c:pt>
                <c:pt idx="447">
                  <c:v>120.05770788336928</c:v>
                </c:pt>
                <c:pt idx="448">
                  <c:v>119.37601241900643</c:v>
                </c:pt>
                <c:pt idx="449">
                  <c:v>120.1926970842332</c:v>
                </c:pt>
                <c:pt idx="450">
                  <c:v>118.91873650107986</c:v>
                </c:pt>
                <c:pt idx="451">
                  <c:v>118.01641806155503</c:v>
                </c:pt>
                <c:pt idx="452">
                  <c:v>117.52455116090707</c:v>
                </c:pt>
                <c:pt idx="453">
                  <c:v>118.61627632289411</c:v>
                </c:pt>
                <c:pt idx="454">
                  <c:v>117.4481978941684</c:v>
                </c:pt>
                <c:pt idx="455">
                  <c:v>118.42349487041032</c:v>
                </c:pt>
                <c:pt idx="456">
                  <c:v>118.6420086393088</c:v>
                </c:pt>
                <c:pt idx="457">
                  <c:v>117.44608868790492</c:v>
                </c:pt>
                <c:pt idx="458">
                  <c:v>116.37925215982717</c:v>
                </c:pt>
                <c:pt idx="459">
                  <c:v>114.08696679265654</c:v>
                </c:pt>
                <c:pt idx="460">
                  <c:v>113.85242305615546</c:v>
                </c:pt>
                <c:pt idx="461">
                  <c:v>113.10365483261334</c:v>
                </c:pt>
                <c:pt idx="462">
                  <c:v>116.17381546976236</c:v>
                </c:pt>
                <c:pt idx="463">
                  <c:v>119.14695261879042</c:v>
                </c:pt>
                <c:pt idx="464">
                  <c:v>120.04505264578826</c:v>
                </c:pt>
                <c:pt idx="465">
                  <c:v>123.13883639308848</c:v>
                </c:pt>
                <c:pt idx="466">
                  <c:v>125.11474082073427</c:v>
                </c:pt>
                <c:pt idx="467">
                  <c:v>126.74768830993513</c:v>
                </c:pt>
                <c:pt idx="468">
                  <c:v>126.45914889308847</c:v>
                </c:pt>
                <c:pt idx="469">
                  <c:v>126.85441414686815</c:v>
                </c:pt>
                <c:pt idx="470">
                  <c:v>128.84508301835842</c:v>
                </c:pt>
                <c:pt idx="471">
                  <c:v>129.97139916306688</c:v>
                </c:pt>
                <c:pt idx="472">
                  <c:v>128.49368925485953</c:v>
                </c:pt>
                <c:pt idx="473">
                  <c:v>129.38124325053988</c:v>
                </c:pt>
                <c:pt idx="474">
                  <c:v>128.69575121490274</c:v>
                </c:pt>
                <c:pt idx="475">
                  <c:v>129.36352591792649</c:v>
                </c:pt>
                <c:pt idx="476">
                  <c:v>129.58119600431959</c:v>
                </c:pt>
                <c:pt idx="477">
                  <c:v>131.26645180885521</c:v>
                </c:pt>
                <c:pt idx="478">
                  <c:v>132.51847664686815</c:v>
                </c:pt>
                <c:pt idx="479">
                  <c:v>132.14388161447076</c:v>
                </c:pt>
                <c:pt idx="480">
                  <c:v>132.0734341252699</c:v>
                </c:pt>
                <c:pt idx="481">
                  <c:v>131.3217130129589</c:v>
                </c:pt>
                <c:pt idx="482">
                  <c:v>132.90783612311009</c:v>
                </c:pt>
                <c:pt idx="483">
                  <c:v>134.38934260259174</c:v>
                </c:pt>
                <c:pt idx="484">
                  <c:v>133.78442224622023</c:v>
                </c:pt>
                <c:pt idx="485">
                  <c:v>134.10924001079906</c:v>
                </c:pt>
                <c:pt idx="486">
                  <c:v>134.35348609611222</c:v>
                </c:pt>
                <c:pt idx="487">
                  <c:v>134.32437904967594</c:v>
                </c:pt>
                <c:pt idx="488">
                  <c:v>134.73736163606907</c:v>
                </c:pt>
                <c:pt idx="489">
                  <c:v>137.41352254319648</c:v>
                </c:pt>
                <c:pt idx="490">
                  <c:v>138.9123245140388</c:v>
                </c:pt>
                <c:pt idx="491">
                  <c:v>137.21146058315327</c:v>
                </c:pt>
                <c:pt idx="492">
                  <c:v>137.51560812634983</c:v>
                </c:pt>
                <c:pt idx="493">
                  <c:v>138.26564187365005</c:v>
                </c:pt>
                <c:pt idx="494">
                  <c:v>138.43100364470837</c:v>
                </c:pt>
                <c:pt idx="495">
                  <c:v>136.96763633909282</c:v>
                </c:pt>
                <c:pt idx="496">
                  <c:v>134.13244127969756</c:v>
                </c:pt>
                <c:pt idx="497">
                  <c:v>136.00246355291569</c:v>
                </c:pt>
                <c:pt idx="498">
                  <c:v>137.25575391468672</c:v>
                </c:pt>
                <c:pt idx="499">
                  <c:v>136.5238593412526</c:v>
                </c:pt>
                <c:pt idx="500">
                  <c:v>137.07351849352042</c:v>
                </c:pt>
                <c:pt idx="501">
                  <c:v>137.929856236501</c:v>
                </c:pt>
                <c:pt idx="502">
                  <c:v>138.19688174945995</c:v>
                </c:pt>
                <c:pt idx="503">
                  <c:v>139.46578023758087</c:v>
                </c:pt>
                <c:pt idx="504">
                  <c:v>140.38623785097181</c:v>
                </c:pt>
                <c:pt idx="505">
                  <c:v>142.30266266198691</c:v>
                </c:pt>
                <c:pt idx="506">
                  <c:v>143.01388701403877</c:v>
                </c:pt>
                <c:pt idx="507">
                  <c:v>145.77441617170615</c:v>
                </c:pt>
                <c:pt idx="508">
                  <c:v>147.41664416846641</c:v>
                </c:pt>
                <c:pt idx="509">
                  <c:v>147.13485421166294</c:v>
                </c:pt>
                <c:pt idx="510">
                  <c:v>146.0342703833692</c:v>
                </c:pt>
                <c:pt idx="511">
                  <c:v>147.05470437365</c:v>
                </c:pt>
                <c:pt idx="512">
                  <c:v>145.13701403887677</c:v>
                </c:pt>
                <c:pt idx="513">
                  <c:v>146.78092940064784</c:v>
                </c:pt>
                <c:pt idx="514">
                  <c:v>145.68456398488109</c:v>
                </c:pt>
                <c:pt idx="515">
                  <c:v>146.87415631749448</c:v>
                </c:pt>
                <c:pt idx="516">
                  <c:v>143.60994870410357</c:v>
                </c:pt>
                <c:pt idx="517">
                  <c:v>143.39565334773206</c:v>
                </c:pt>
                <c:pt idx="518">
                  <c:v>142.79284219762405</c:v>
                </c:pt>
                <c:pt idx="519">
                  <c:v>143.35768763498908</c:v>
                </c:pt>
                <c:pt idx="520">
                  <c:v>140.01586123110138</c:v>
                </c:pt>
                <c:pt idx="521">
                  <c:v>140.68954171166297</c:v>
                </c:pt>
                <c:pt idx="522">
                  <c:v>138.6997165226781</c:v>
                </c:pt>
                <c:pt idx="523">
                  <c:v>140.23015658747289</c:v>
                </c:pt>
                <c:pt idx="524">
                  <c:v>141.4007660637148</c:v>
                </c:pt>
                <c:pt idx="525">
                  <c:v>141.57962675485953</c:v>
                </c:pt>
                <c:pt idx="526">
                  <c:v>143.29820801835842</c:v>
                </c:pt>
                <c:pt idx="527">
                  <c:v>143.97315402267807</c:v>
                </c:pt>
                <c:pt idx="528">
                  <c:v>146.00558517818564</c:v>
                </c:pt>
                <c:pt idx="529">
                  <c:v>145.01889848812087</c:v>
                </c:pt>
                <c:pt idx="530">
                  <c:v>143.65086730561546</c:v>
                </c:pt>
                <c:pt idx="531">
                  <c:v>143.55553118250532</c:v>
                </c:pt>
                <c:pt idx="532">
                  <c:v>146.03891063714894</c:v>
                </c:pt>
                <c:pt idx="533">
                  <c:v>147.73049406047508</c:v>
                </c:pt>
                <c:pt idx="534">
                  <c:v>147.29895045896319</c:v>
                </c:pt>
                <c:pt idx="535">
                  <c:v>145.60652335313165</c:v>
                </c:pt>
                <c:pt idx="536">
                  <c:v>143.35853131749451</c:v>
                </c:pt>
                <c:pt idx="537">
                  <c:v>145.72210785637137</c:v>
                </c:pt>
                <c:pt idx="538">
                  <c:v>145.43272475701934</c:v>
                </c:pt>
                <c:pt idx="539">
                  <c:v>144.5257660637148</c:v>
                </c:pt>
                <c:pt idx="540">
                  <c:v>143.93898488120939</c:v>
                </c:pt>
                <c:pt idx="541">
                  <c:v>141.50453901187893</c:v>
                </c:pt>
                <c:pt idx="542">
                  <c:v>142.14700323974071</c:v>
                </c:pt>
                <c:pt idx="543">
                  <c:v>142.59710785637139</c:v>
                </c:pt>
                <c:pt idx="544">
                  <c:v>144.81303995680335</c:v>
                </c:pt>
                <c:pt idx="545">
                  <c:v>143.55300013498911</c:v>
                </c:pt>
                <c:pt idx="546">
                  <c:v>142.52666036717051</c:v>
                </c:pt>
                <c:pt idx="547">
                  <c:v>144.5430615550755</c:v>
                </c:pt>
                <c:pt idx="548">
                  <c:v>146.67040699244052</c:v>
                </c:pt>
                <c:pt idx="549">
                  <c:v>146.85390793736494</c:v>
                </c:pt>
                <c:pt idx="550">
                  <c:v>148.29576133909279</c:v>
                </c:pt>
                <c:pt idx="551">
                  <c:v>150.28896125809925</c:v>
                </c:pt>
                <c:pt idx="552">
                  <c:v>151.89153617710573</c:v>
                </c:pt>
                <c:pt idx="553">
                  <c:v>150.97951538876882</c:v>
                </c:pt>
                <c:pt idx="554">
                  <c:v>149.0656216252699</c:v>
                </c:pt>
                <c:pt idx="555">
                  <c:v>146.54090172786169</c:v>
                </c:pt>
                <c:pt idx="556">
                  <c:v>146.76110286177098</c:v>
                </c:pt>
                <c:pt idx="557">
                  <c:v>146.84758031857444</c:v>
                </c:pt>
                <c:pt idx="558">
                  <c:v>145.95665159287248</c:v>
                </c:pt>
                <c:pt idx="559">
                  <c:v>146.71090375269969</c:v>
                </c:pt>
                <c:pt idx="560">
                  <c:v>146.63244127969756</c:v>
                </c:pt>
                <c:pt idx="561">
                  <c:v>147.661733936285</c:v>
                </c:pt>
                <c:pt idx="562">
                  <c:v>149.15125539956793</c:v>
                </c:pt>
                <c:pt idx="563">
                  <c:v>148.72266468682494</c:v>
                </c:pt>
                <c:pt idx="564">
                  <c:v>150.01856101511871</c:v>
                </c:pt>
                <c:pt idx="565">
                  <c:v>149.91774095572345</c:v>
                </c:pt>
                <c:pt idx="566">
                  <c:v>149.97468952483791</c:v>
                </c:pt>
                <c:pt idx="567">
                  <c:v>149.17403482721375</c:v>
                </c:pt>
                <c:pt idx="568">
                  <c:v>146.97877294816405</c:v>
                </c:pt>
                <c:pt idx="569">
                  <c:v>148.20169073974071</c:v>
                </c:pt>
                <c:pt idx="570">
                  <c:v>148.07471652267807</c:v>
                </c:pt>
                <c:pt idx="571">
                  <c:v>146.65353334233251</c:v>
                </c:pt>
                <c:pt idx="572">
                  <c:v>149.0491698164146</c:v>
                </c:pt>
                <c:pt idx="573">
                  <c:v>150.49313242440599</c:v>
                </c:pt>
                <c:pt idx="574">
                  <c:v>148.99981438984875</c:v>
                </c:pt>
                <c:pt idx="575">
                  <c:v>150.93522205723536</c:v>
                </c:pt>
                <c:pt idx="576">
                  <c:v>151.79830926025909</c:v>
                </c:pt>
                <c:pt idx="577">
                  <c:v>151.07696071814246</c:v>
                </c:pt>
                <c:pt idx="578">
                  <c:v>149.95739403347724</c:v>
                </c:pt>
                <c:pt idx="579">
                  <c:v>150.87953901187899</c:v>
                </c:pt>
                <c:pt idx="580">
                  <c:v>151.81054265658742</c:v>
                </c:pt>
                <c:pt idx="581">
                  <c:v>151.99488728401721</c:v>
                </c:pt>
                <c:pt idx="582">
                  <c:v>152.51965780237575</c:v>
                </c:pt>
                <c:pt idx="583">
                  <c:v>152.23786784557228</c:v>
                </c:pt>
                <c:pt idx="584">
                  <c:v>152.25853806695457</c:v>
                </c:pt>
                <c:pt idx="585">
                  <c:v>150.76732923866084</c:v>
                </c:pt>
                <c:pt idx="586">
                  <c:v>150.07508774298049</c:v>
                </c:pt>
                <c:pt idx="587">
                  <c:v>151.95439052375804</c:v>
                </c:pt>
                <c:pt idx="588">
                  <c:v>153.41143021058306</c:v>
                </c:pt>
                <c:pt idx="589">
                  <c:v>155.16122772678176</c:v>
                </c:pt>
                <c:pt idx="590">
                  <c:v>155.41391063714894</c:v>
                </c:pt>
                <c:pt idx="591">
                  <c:v>153.73118588012952</c:v>
                </c:pt>
                <c:pt idx="592">
                  <c:v>154.37829036177098</c:v>
                </c:pt>
                <c:pt idx="593">
                  <c:v>153.30470437365003</c:v>
                </c:pt>
                <c:pt idx="594">
                  <c:v>154.17158814794811</c:v>
                </c:pt>
                <c:pt idx="595">
                  <c:v>153.76662054535632</c:v>
                </c:pt>
                <c:pt idx="596">
                  <c:v>154.82248920086388</c:v>
                </c:pt>
                <c:pt idx="597">
                  <c:v>155.82056560475161</c:v>
                </c:pt>
                <c:pt idx="598">
                  <c:v>153.97501012419005</c:v>
                </c:pt>
                <c:pt idx="599">
                  <c:v>153.44475566954642</c:v>
                </c:pt>
                <c:pt idx="600">
                  <c:v>154.64531587473002</c:v>
                </c:pt>
                <c:pt idx="601">
                  <c:v>155.33966657667386</c:v>
                </c:pt>
                <c:pt idx="602">
                  <c:v>155.88257626889848</c:v>
                </c:pt>
                <c:pt idx="603">
                  <c:v>156.45121827753781</c:v>
                </c:pt>
                <c:pt idx="604">
                  <c:v>158.20987446004321</c:v>
                </c:pt>
                <c:pt idx="605">
                  <c:v>156.67141941144709</c:v>
                </c:pt>
                <c:pt idx="606">
                  <c:v>157.75048933585316</c:v>
                </c:pt>
                <c:pt idx="607">
                  <c:v>159.08983531317497</c:v>
                </c:pt>
                <c:pt idx="608">
                  <c:v>161.72423393628512</c:v>
                </c:pt>
                <c:pt idx="609">
                  <c:v>160.55024973002162</c:v>
                </c:pt>
                <c:pt idx="610">
                  <c:v>160.63546166306699</c:v>
                </c:pt>
                <c:pt idx="611">
                  <c:v>161.12311015118794</c:v>
                </c:pt>
                <c:pt idx="612">
                  <c:v>161.21928995680352</c:v>
                </c:pt>
                <c:pt idx="613">
                  <c:v>161.78497907667392</c:v>
                </c:pt>
                <c:pt idx="614">
                  <c:v>161.94401322894174</c:v>
                </c:pt>
                <c:pt idx="615">
                  <c:v>162.23213080453567</c:v>
                </c:pt>
                <c:pt idx="616">
                  <c:v>163.01464632829376</c:v>
                </c:pt>
                <c:pt idx="617">
                  <c:v>161.20452551295898</c:v>
                </c:pt>
                <c:pt idx="618">
                  <c:v>160.60846382289418</c:v>
                </c:pt>
                <c:pt idx="619">
                  <c:v>160.72109543736499</c:v>
                </c:pt>
                <c:pt idx="620">
                  <c:v>160.18282599892007</c:v>
                </c:pt>
                <c:pt idx="621">
                  <c:v>161.63311622570194</c:v>
                </c:pt>
                <c:pt idx="622">
                  <c:v>161.82336663066954</c:v>
                </c:pt>
                <c:pt idx="623">
                  <c:v>161.72254657127431</c:v>
                </c:pt>
                <c:pt idx="624">
                  <c:v>161.09990888228941</c:v>
                </c:pt>
                <c:pt idx="625">
                  <c:v>161.72212473002159</c:v>
                </c:pt>
                <c:pt idx="626">
                  <c:v>161.04717872570194</c:v>
                </c:pt>
                <c:pt idx="627">
                  <c:v>160.27520923326136</c:v>
                </c:pt>
                <c:pt idx="628">
                  <c:v>162.12540496760261</c:v>
                </c:pt>
                <c:pt idx="629">
                  <c:v>162.56960380669545</c:v>
                </c:pt>
                <c:pt idx="630">
                  <c:v>163.45547043736502</c:v>
                </c:pt>
                <c:pt idx="631">
                  <c:v>164.38394303455726</c:v>
                </c:pt>
                <c:pt idx="632">
                  <c:v>163.75371220302378</c:v>
                </c:pt>
                <c:pt idx="633">
                  <c:v>163.76510191684667</c:v>
                </c:pt>
                <c:pt idx="634">
                  <c:v>163.06779832613393</c:v>
                </c:pt>
                <c:pt idx="635">
                  <c:v>163.01042791576677</c:v>
                </c:pt>
                <c:pt idx="636">
                  <c:v>164.02537796976247</c:v>
                </c:pt>
                <c:pt idx="637">
                  <c:v>162.45781587473007</c:v>
                </c:pt>
                <c:pt idx="638">
                  <c:v>161.4154461393089</c:v>
                </c:pt>
                <c:pt idx="639">
                  <c:v>160.09002092332619</c:v>
                </c:pt>
                <c:pt idx="640">
                  <c:v>157.93609948704108</c:v>
                </c:pt>
                <c:pt idx="641">
                  <c:v>156.38625472462206</c:v>
                </c:pt>
                <c:pt idx="642">
                  <c:v>156.87938714902813</c:v>
                </c:pt>
                <c:pt idx="643">
                  <c:v>158.03649770518362</c:v>
                </c:pt>
                <c:pt idx="644">
                  <c:v>158.62623177645793</c:v>
                </c:pt>
                <c:pt idx="645">
                  <c:v>157.1021193304536</c:v>
                </c:pt>
                <c:pt idx="646">
                  <c:v>158.47689997300219</c:v>
                </c:pt>
                <c:pt idx="647">
                  <c:v>158.07446341792658</c:v>
                </c:pt>
                <c:pt idx="648">
                  <c:v>160.06344492440607</c:v>
                </c:pt>
                <c:pt idx="649">
                  <c:v>159.84957140928728</c:v>
                </c:pt>
                <c:pt idx="650">
                  <c:v>159.92929940604753</c:v>
                </c:pt>
                <c:pt idx="651">
                  <c:v>159.55765726241901</c:v>
                </c:pt>
                <c:pt idx="652">
                  <c:v>160.65571004319654</c:v>
                </c:pt>
                <c:pt idx="653">
                  <c:v>160.46461595572353</c:v>
                </c:pt>
                <c:pt idx="654">
                  <c:v>161.83897475701943</c:v>
                </c:pt>
                <c:pt idx="655">
                  <c:v>160.10900377969762</c:v>
                </c:pt>
                <c:pt idx="656">
                  <c:v>162.2873920086393</c:v>
                </c:pt>
                <c:pt idx="657">
                  <c:v>163.47318776997841</c:v>
                </c:pt>
                <c:pt idx="658">
                  <c:v>163.63264376349892</c:v>
                </c:pt>
                <c:pt idx="659">
                  <c:v>163.78492845572353</c:v>
                </c:pt>
                <c:pt idx="660">
                  <c:v>162.92859071274299</c:v>
                </c:pt>
                <c:pt idx="661">
                  <c:v>164.2586561825054</c:v>
                </c:pt>
                <c:pt idx="662">
                  <c:v>166.56106573974083</c:v>
                </c:pt>
                <c:pt idx="663">
                  <c:v>163.80939524838016</c:v>
                </c:pt>
                <c:pt idx="664">
                  <c:v>163.20152200323977</c:v>
                </c:pt>
                <c:pt idx="665">
                  <c:v>162.91466995140391</c:v>
                </c:pt>
                <c:pt idx="666">
                  <c:v>164.41515928725704</c:v>
                </c:pt>
                <c:pt idx="667">
                  <c:v>164.17217872570197</c:v>
                </c:pt>
                <c:pt idx="668">
                  <c:v>163.54743183045358</c:v>
                </c:pt>
                <c:pt idx="669">
                  <c:v>163.00410029697628</c:v>
                </c:pt>
                <c:pt idx="670">
                  <c:v>164.55858531317497</c:v>
                </c:pt>
              </c:numCache>
            </c:numRef>
          </c:val>
          <c:smooth val="0"/>
          <c:extLst>
            <c:ext xmlns:c16="http://schemas.microsoft.com/office/drawing/2014/chart" uri="{C3380CC4-5D6E-409C-BE32-E72D297353CC}">
              <c16:uniqueId val="{00000002-3C67-48DE-A890-E4E686FE9A53}"/>
            </c:ext>
          </c:extLst>
        </c:ser>
        <c:dLbls>
          <c:showLegendKey val="0"/>
          <c:showVal val="0"/>
          <c:showCatName val="0"/>
          <c:showSerName val="0"/>
          <c:showPercent val="0"/>
          <c:showBubbleSize val="0"/>
        </c:dLbls>
        <c:smooth val="0"/>
        <c:axId val="295887232"/>
        <c:axId val="295888768"/>
      </c:lineChart>
      <c:dateAx>
        <c:axId val="295887232"/>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5888768"/>
        <c:crosses val="autoZero"/>
        <c:auto val="1"/>
        <c:lblOffset val="100"/>
        <c:baseTimeUnit val="days"/>
      </c:dateAx>
      <c:valAx>
        <c:axId val="295888768"/>
        <c:scaling>
          <c:orientation val="minMax"/>
          <c:max val="180"/>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hy-AM" sz="500" b="0" i="0" u="none" strike="noStrike" baseline="0">
                    <a:effectLst/>
                  </a:rPr>
                  <a:t>Ինդեքս՝ 201</a:t>
                </a:r>
                <a:r>
                  <a:rPr lang="en-GB" sz="500" b="0" i="0" u="none" strike="noStrike" baseline="0">
                    <a:effectLst/>
                  </a:rPr>
                  <a:t>9 </a:t>
                </a:r>
                <a:r>
                  <a:rPr lang="hy-AM" sz="500" b="0" i="0" u="none" strike="noStrike" baseline="0">
                    <a:effectLst/>
                  </a:rPr>
                  <a:t>թ. հունվար</a:t>
                </a:r>
                <a:r>
                  <a:rPr lang="en-GB" sz="500" b="0" i="0" u="none" strike="noStrike" baseline="0">
                    <a:effectLst/>
                  </a:rPr>
                  <a:t>  </a:t>
                </a:r>
                <a:r>
                  <a:rPr lang="hy-AM" sz="500" b="0" i="0" u="none" strike="noStrike" baseline="0">
                    <a:effectLst/>
                  </a:rPr>
                  <a:t> =100</a:t>
                </a:r>
                <a:endParaRPr lang="en-US" sz="500"/>
              </a:p>
            </c:rich>
          </c:tx>
          <c:layout>
            <c:manualLayout>
              <c:xMode val="edge"/>
              <c:yMode val="edge"/>
              <c:x val="1.0471204188481676E-2"/>
              <c:y val="5.6737588652482303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887232"/>
        <c:crosses val="autoZero"/>
        <c:crossBetween val="between"/>
      </c:valAx>
      <c:spPr>
        <a:noFill/>
        <a:ln>
          <a:noFill/>
        </a:ln>
        <a:effectLst/>
      </c:spPr>
    </c:plotArea>
    <c:legend>
      <c:legendPos val="b"/>
      <c:layout>
        <c:manualLayout>
          <c:xMode val="edge"/>
          <c:yMode val="edge"/>
          <c:x val="1.5918499878236868E-2"/>
          <c:y val="0.8768571444381118"/>
          <c:w val="0.93723489460724629"/>
          <c:h val="0.1066821232728902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18580364954380699"/>
          <c:w val="0.49000876204041866"/>
          <c:h val="0.77039682539682564"/>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Sheet1!$B$2:$B$9</c:f>
              <c:numCache>
                <c:formatCode>0.0</c:formatCode>
                <c:ptCount val="6"/>
                <c:pt idx="0">
                  <c:v>2.6021498588186631</c:v>
                </c:pt>
                <c:pt idx="1">
                  <c:v>-0.57258085880967613</c:v>
                </c:pt>
                <c:pt idx="2">
                  <c:v>-1.4284363292094469</c:v>
                </c:pt>
                <c:pt idx="3">
                  <c:v>2.7324762509823195</c:v>
                </c:pt>
                <c:pt idx="4">
                  <c:v>2.0419995610703916</c:v>
                </c:pt>
                <c:pt idx="5">
                  <c:v>0.36058828582449487</c:v>
                </c:pt>
              </c:numCache>
            </c:numRef>
          </c:val>
          <c:extLst>
            <c:ext xmlns:c16="http://schemas.microsoft.com/office/drawing/2014/chart" uri="{C3380CC4-5D6E-409C-BE32-E72D297353CC}">
              <c16:uniqueId val="{00000000-94E2-4C5B-BD21-613D3AEC98BA}"/>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Sheet1!$C$2:$C$9</c:f>
              <c:numCache>
                <c:formatCode>0.0</c:formatCode>
                <c:ptCount val="6"/>
                <c:pt idx="0">
                  <c:v>1.0500310954191139</c:v>
                </c:pt>
                <c:pt idx="1">
                  <c:v>0.98012789078743601</c:v>
                </c:pt>
                <c:pt idx="2">
                  <c:v>1.6930478859443168</c:v>
                </c:pt>
                <c:pt idx="3">
                  <c:v>1.6692093790760498</c:v>
                </c:pt>
                <c:pt idx="4">
                  <c:v>-1.5403194356504066</c:v>
                </c:pt>
                <c:pt idx="5">
                  <c:v>0.18319989105210235</c:v>
                </c:pt>
              </c:numCache>
            </c:numRef>
          </c:val>
          <c:extLst>
            <c:ext xmlns:c16="http://schemas.microsoft.com/office/drawing/2014/chart" uri="{C3380CC4-5D6E-409C-BE32-E72D297353CC}">
              <c16:uniqueId val="{00000001-94E2-4C5B-BD21-613D3AEC98BA}"/>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Sheet1!$D$2:$D$9</c:f>
              <c:numCache>
                <c:formatCode>0.0</c:formatCode>
                <c:ptCount val="6"/>
                <c:pt idx="0">
                  <c:v>-3.5603773930307177</c:v>
                </c:pt>
                <c:pt idx="1">
                  <c:v>-2.6039370723394306</c:v>
                </c:pt>
                <c:pt idx="2">
                  <c:v>-3.5727954124852048</c:v>
                </c:pt>
                <c:pt idx="3">
                  <c:v>3.927730789386175</c:v>
                </c:pt>
                <c:pt idx="4">
                  <c:v>-3.621871956803786</c:v>
                </c:pt>
                <c:pt idx="5">
                  <c:v>-3.8015189594807199</c:v>
                </c:pt>
              </c:numCache>
            </c:numRef>
          </c:val>
          <c:extLst>
            <c:ext xmlns:c16="http://schemas.microsoft.com/office/drawing/2014/chart" uri="{C3380CC4-5D6E-409C-BE32-E72D297353CC}">
              <c16:uniqueId val="{00000002-94E2-4C5B-BD21-613D3AEC98BA}"/>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Sheet1!$E$2:$E$9</c:f>
              <c:numCache>
                <c:formatCode>0.0</c:formatCode>
                <c:ptCount val="6"/>
                <c:pt idx="0">
                  <c:v>1.3024595224923403E-2</c:v>
                </c:pt>
                <c:pt idx="1">
                  <c:v>-3.0355942288865109E-2</c:v>
                </c:pt>
                <c:pt idx="2">
                  <c:v>-0.33045922768254016</c:v>
                </c:pt>
                <c:pt idx="3">
                  <c:v>3.869772584163178</c:v>
                </c:pt>
                <c:pt idx="4">
                  <c:v>-4.0781847784161895</c:v>
                </c:pt>
                <c:pt idx="5">
                  <c:v>2.1334733133636137</c:v>
                </c:pt>
              </c:numCache>
            </c:numRef>
          </c:val>
          <c:extLst>
            <c:ext xmlns:c16="http://schemas.microsoft.com/office/drawing/2014/chart" uri="{C3380CC4-5D6E-409C-BE32-E72D297353CC}">
              <c16:uniqueId val="{00000003-94E2-4C5B-BD21-613D3AEC98BA}"/>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Sheet1!$F$2:$F$9</c:f>
              <c:numCache>
                <c:formatCode>0.0</c:formatCode>
                <c:ptCount val="6"/>
                <c:pt idx="0">
                  <c:v>0.81069110128810862</c:v>
                </c:pt>
                <c:pt idx="1">
                  <c:v>0.81037920761112525</c:v>
                </c:pt>
                <c:pt idx="2">
                  <c:v>1.0104016885491129</c:v>
                </c:pt>
                <c:pt idx="3">
                  <c:v>1.6545023656332283</c:v>
                </c:pt>
                <c:pt idx="4">
                  <c:v>2.5941585096824769</c:v>
                </c:pt>
                <c:pt idx="5">
                  <c:v>1.2017533535137297</c:v>
                </c:pt>
              </c:numCache>
            </c:numRef>
          </c:val>
          <c:extLst>
            <c:ext xmlns:c16="http://schemas.microsoft.com/office/drawing/2014/chart" uri="{C3380CC4-5D6E-409C-BE32-E72D297353CC}">
              <c16:uniqueId val="{00000004-94E2-4C5B-BD21-613D3AEC98BA}"/>
            </c:ext>
          </c:extLst>
        </c:ser>
        <c:ser>
          <c:idx val="5"/>
          <c:order val="5"/>
          <c:tx>
            <c:strRef>
              <c:f>Sheet1!$G$1</c:f>
              <c:strCache>
                <c:ptCount val="1"/>
                <c:pt idx="0">
                  <c:v>Մնացորդ</c:v>
                </c:pt>
              </c:strCache>
            </c:strRef>
          </c:tx>
          <c:spPr>
            <a:solidFill>
              <a:srgbClr val="F79646"/>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Sheet1!$G$2:$G$9</c:f>
              <c:numCache>
                <c:formatCode>0.0</c:formatCode>
                <c:ptCount val="6"/>
                <c:pt idx="0">
                  <c:v>0.81750019646647698</c:v>
                </c:pt>
                <c:pt idx="1">
                  <c:v>-0.90772701057372629</c:v>
                </c:pt>
                <c:pt idx="2">
                  <c:v>1.3324296052555091</c:v>
                </c:pt>
                <c:pt idx="3">
                  <c:v>-0.48467011139045901</c:v>
                </c:pt>
                <c:pt idx="4">
                  <c:v>1.909903437741221</c:v>
                </c:pt>
                <c:pt idx="5">
                  <c:v>-0.62397857629427889</c:v>
                </c:pt>
              </c:numCache>
            </c:numRef>
          </c:val>
          <c:extLst>
            <c:ext xmlns:c16="http://schemas.microsoft.com/office/drawing/2014/chart" uri="{C3380CC4-5D6E-409C-BE32-E72D297353CC}">
              <c16:uniqueId val="{00000005-94E2-4C5B-BD21-613D3AEC98BA}"/>
            </c:ext>
          </c:extLst>
        </c:ser>
        <c:dLbls>
          <c:showLegendKey val="0"/>
          <c:showVal val="0"/>
          <c:showCatName val="0"/>
          <c:showSerName val="0"/>
          <c:showPercent val="0"/>
          <c:showBubbleSize val="0"/>
        </c:dLbls>
        <c:gapWidth val="81"/>
        <c:overlap val="100"/>
        <c:axId val="445156736"/>
        <c:axId val="445457920"/>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Sheet1!$A$2:$A$9</c:f>
              <c:numCache>
                <c:formatCode>General</c:formatCode>
                <c:ptCount val="6"/>
                <c:pt idx="0">
                  <c:v>2017</c:v>
                </c:pt>
                <c:pt idx="1">
                  <c:v>2018</c:v>
                </c:pt>
                <c:pt idx="2">
                  <c:v>2019</c:v>
                </c:pt>
                <c:pt idx="3">
                  <c:v>2020</c:v>
                </c:pt>
                <c:pt idx="4">
                  <c:v>2021</c:v>
                </c:pt>
                <c:pt idx="5">
                  <c:v>2022</c:v>
                </c:pt>
              </c:numCache>
            </c:numRef>
          </c:cat>
          <c:val>
            <c:numRef>
              <c:f>Sheet1!$H$2:$H$9</c:f>
              <c:numCache>
                <c:formatCode>0.0</c:formatCode>
                <c:ptCount val="6"/>
                <c:pt idx="0">
                  <c:v>1.733019454186568</c:v>
                </c:pt>
                <c:pt idx="1">
                  <c:v>-2.3240937856131367</c:v>
                </c:pt>
                <c:pt idx="2">
                  <c:v>-1.2958117896282531</c:v>
                </c:pt>
                <c:pt idx="3">
                  <c:v>13.3690212578505</c:v>
                </c:pt>
                <c:pt idx="4">
                  <c:v>-2.6943146623762928</c:v>
                </c:pt>
                <c:pt idx="5">
                  <c:v>-0.54648269202105837</c:v>
                </c:pt>
              </c:numCache>
            </c:numRef>
          </c:val>
          <c:smooth val="0"/>
          <c:extLst>
            <c:ext xmlns:c16="http://schemas.microsoft.com/office/drawing/2014/chart" uri="{C3380CC4-5D6E-409C-BE32-E72D297353CC}">
              <c16:uniqueId val="{00000006-94E2-4C5B-BD21-613D3AEC98BA}"/>
            </c:ext>
          </c:extLst>
        </c:ser>
        <c:dLbls>
          <c:showLegendKey val="0"/>
          <c:showVal val="0"/>
          <c:showCatName val="0"/>
          <c:showSerName val="0"/>
          <c:showPercent val="0"/>
          <c:showBubbleSize val="0"/>
        </c:dLbls>
        <c:marker val="1"/>
        <c:smooth val="0"/>
        <c:axId val="445156736"/>
        <c:axId val="445457920"/>
      </c:lineChart>
      <c:catAx>
        <c:axId val="445156736"/>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5457920"/>
        <c:crosses val="autoZero"/>
        <c:auto val="1"/>
        <c:lblAlgn val="ctr"/>
        <c:lblOffset val="100"/>
        <c:noMultiLvlLbl val="0"/>
      </c:catAx>
      <c:valAx>
        <c:axId val="445457920"/>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5156736"/>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3637056612301279"/>
          <c:y val="0.24181700059769756"/>
          <c:w val="0.3461838259722782"/>
          <c:h val="0.65295184636573889"/>
        </c:manualLayout>
      </c:layout>
      <c:overlay val="0"/>
      <c:spPr>
        <a:noFill/>
        <a:ln w="25384">
          <a:noFill/>
        </a:ln>
      </c:spPr>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Պետական բյուջեի պակասուրդ/ՀՆԱ,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7.1</c:v>
                </c:pt>
                <c:pt idx="1">
                  <c:v>4.7</c:v>
                </c:pt>
                <c:pt idx="3">
                  <c:v>5.5</c:v>
                </c:pt>
                <c:pt idx="4">
                  <c:v>4.8</c:v>
                </c:pt>
                <c:pt idx="6" formatCode="0.0">
                  <c:v>5.4029424566760298</c:v>
                </c:pt>
                <c:pt idx="7" formatCode="0.0">
                  <c:v>4.6803993733598501</c:v>
                </c:pt>
              </c:numCache>
            </c:numRef>
          </c:val>
          <c:extLst>
            <c:ext xmlns:c16="http://schemas.microsoft.com/office/drawing/2014/chart" uri="{C3380CC4-5D6E-409C-BE32-E72D297353CC}">
              <c16:uniqueId val="{00000000-CD40-4CA8-A560-249A3BBE3AA1}"/>
            </c:ext>
          </c:extLst>
        </c:ser>
        <c:dLbls>
          <c:showLegendKey val="0"/>
          <c:showVal val="0"/>
          <c:showCatName val="0"/>
          <c:showSerName val="0"/>
          <c:showPercent val="0"/>
          <c:showBubbleSize val="0"/>
        </c:dLbls>
        <c:gapWidth val="219"/>
        <c:overlap val="-27"/>
        <c:axId val="445488512"/>
        <c:axId val="445863040"/>
      </c:barChart>
      <c:catAx>
        <c:axId val="4454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63040"/>
        <c:crosses val="autoZero"/>
        <c:auto val="1"/>
        <c:lblAlgn val="ctr"/>
        <c:lblOffset val="100"/>
        <c:noMultiLvlLbl val="0"/>
      </c:catAx>
      <c:valAx>
        <c:axId val="44586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8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Կառավարության պարտք/ՀՆԱ աճ, %-ային կետ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18.5</c:v>
                </c:pt>
                <c:pt idx="1">
                  <c:v>-0.5</c:v>
                </c:pt>
                <c:pt idx="3">
                  <c:v>7.8</c:v>
                </c:pt>
                <c:pt idx="4">
                  <c:v>1.8</c:v>
                </c:pt>
                <c:pt idx="6">
                  <c:v>13.5</c:v>
                </c:pt>
                <c:pt idx="7" formatCode="0.0">
                  <c:v>-2.6910277827368532</c:v>
                </c:pt>
              </c:numCache>
            </c:numRef>
          </c:val>
          <c:extLst>
            <c:ext xmlns:c16="http://schemas.microsoft.com/office/drawing/2014/chart" uri="{C3380CC4-5D6E-409C-BE32-E72D297353CC}">
              <c16:uniqueId val="{00000000-2193-4819-BFC6-FD5C0078507B}"/>
            </c:ext>
          </c:extLst>
        </c:ser>
        <c:dLbls>
          <c:showLegendKey val="0"/>
          <c:showVal val="0"/>
          <c:showCatName val="0"/>
          <c:showSerName val="0"/>
          <c:showPercent val="0"/>
          <c:showBubbleSize val="0"/>
        </c:dLbls>
        <c:gapWidth val="219"/>
        <c:overlap val="-27"/>
        <c:axId val="445499648"/>
        <c:axId val="445849600"/>
      </c:barChart>
      <c:catAx>
        <c:axId val="445499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49600"/>
        <c:crosses val="autoZero"/>
        <c:auto val="1"/>
        <c:lblAlgn val="ctr"/>
        <c:lblOffset val="100"/>
        <c:noMultiLvlLbl val="0"/>
      </c:catAx>
      <c:valAx>
        <c:axId val="4458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99648"/>
        <c:crosses val="autoZero"/>
        <c:crossBetween val="between"/>
      </c:valAx>
      <c:spPr>
        <a:noFill/>
        <a:ln>
          <a:noFill/>
        </a:ln>
        <a:effectLst/>
      </c:spPr>
    </c:plotArea>
    <c:legend>
      <c:legendPos val="b"/>
      <c:layout>
        <c:manualLayout>
          <c:xMode val="edge"/>
          <c:yMode val="edge"/>
          <c:x val="2.3958333333333328E-2"/>
          <c:y val="0.8660704911886028"/>
          <c:w val="0.92604166666666665"/>
          <c:h val="0.11011998500187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Հարկեր և ծախսեր</c:v>
                </c:pt>
              </c:strCache>
            </c:strRef>
          </c:tx>
          <c:spPr>
            <a:solidFill>
              <a:schemeClr val="accent1"/>
            </a:solidFill>
            <a:ln>
              <a:noFill/>
            </a:ln>
            <a:effectLst/>
          </c:spPr>
          <c:invertIfNegative val="0"/>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Sheet1!$B$2:$B$28</c:f>
              <c:numCache>
                <c:formatCode>0.0</c:formatCode>
                <c:ptCount val="27"/>
                <c:pt idx="0">
                  <c:v>10.898555638640223</c:v>
                </c:pt>
                <c:pt idx="1">
                  <c:v>16.46834716835404</c:v>
                </c:pt>
                <c:pt idx="2">
                  <c:v>13.638352846668944</c:v>
                </c:pt>
                <c:pt idx="3">
                  <c:v>16.24023041241189</c:v>
                </c:pt>
                <c:pt idx="4">
                  <c:v>25.449751749930151</c:v>
                </c:pt>
                <c:pt idx="5">
                  <c:v>9.583735007772944</c:v>
                </c:pt>
                <c:pt idx="6">
                  <c:v>7.5786887379669032</c:v>
                </c:pt>
                <c:pt idx="7">
                  <c:v>18.373752710725405</c:v>
                </c:pt>
                <c:pt idx="8">
                  <c:v>15.882770459498252</c:v>
                </c:pt>
                <c:pt idx="9">
                  <c:v>9.2362126130761357</c:v>
                </c:pt>
                <c:pt idx="10">
                  <c:v>4.4849024836324336</c:v>
                </c:pt>
                <c:pt idx="11">
                  <c:v>2.7</c:v>
                </c:pt>
                <c:pt idx="12">
                  <c:v>5.8576606558448407</c:v>
                </c:pt>
                <c:pt idx="13">
                  <c:v>3.5079994753280079</c:v>
                </c:pt>
                <c:pt idx="14">
                  <c:v>4.5175576086619849</c:v>
                </c:pt>
                <c:pt idx="15">
                  <c:v>4.7801156546253365</c:v>
                </c:pt>
                <c:pt idx="16">
                  <c:v>4.5378286069427096</c:v>
                </c:pt>
                <c:pt idx="17">
                  <c:v>4.5321570570531771</c:v>
                </c:pt>
                <c:pt idx="18">
                  <c:v>2.4588848171158322</c:v>
                </c:pt>
                <c:pt idx="19">
                  <c:v>2.1939162799420835</c:v>
                </c:pt>
                <c:pt idx="20">
                  <c:v>0.65442396745349374</c:v>
                </c:pt>
              </c:numCache>
            </c:numRef>
          </c:val>
          <c:extLst>
            <c:ext xmlns:c16="http://schemas.microsoft.com/office/drawing/2014/chart" uri="{C3380CC4-5D6E-409C-BE32-E72D297353CC}">
              <c16:uniqueId val="{00000000-8822-404F-A2D4-EC4F321508E6}"/>
            </c:ext>
          </c:extLst>
        </c:ser>
        <c:ser>
          <c:idx val="1"/>
          <c:order val="1"/>
          <c:tx>
            <c:strRef>
              <c:f>Sheet1!$C$1</c:f>
              <c:strCache>
                <c:ptCount val="1"/>
                <c:pt idx="0">
                  <c:v>Պակասուրդի գործառնություններ և պայմ․ պարտավորություններ</c:v>
                </c:pt>
              </c:strCache>
            </c:strRef>
          </c:tx>
          <c:spPr>
            <a:solidFill>
              <a:schemeClr val="accent2"/>
            </a:solidFill>
            <a:ln>
              <a:noFill/>
            </a:ln>
            <a:effectLst/>
          </c:spPr>
          <c:invertIfNegative val="0"/>
          <c:dLbls>
            <c:dLbl>
              <c:idx val="18"/>
              <c:layout>
                <c:manualLayout>
                  <c:x val="-7.8346673280123027E-17"/>
                  <c:y val="-5.3508952459353776E-2"/>
                </c:manualLayout>
              </c:layout>
              <c:tx>
                <c:rich>
                  <a:bodyPr/>
                  <a:lstStyle/>
                  <a:p>
                    <a:r>
                      <a:rPr lang="en-US" b="1">
                        <a:solidFill>
                          <a:srgbClr val="FF0000"/>
                        </a:solidFill>
                        <a:latin typeface="GHEA Grapalat" panose="02000506050000020003" pitchFamily="50" charset="0"/>
                      </a:rPr>
                      <a:t>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822-404F-A2D4-EC4F321508E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Sheet1!$C$2:$C$28</c:f>
              <c:numCache>
                <c:formatCode>0.0</c:formatCode>
                <c:ptCount val="27"/>
                <c:pt idx="0">
                  <c:v>35.253800114434839</c:v>
                </c:pt>
                <c:pt idx="1">
                  <c:v>28.332241013425325</c:v>
                </c:pt>
                <c:pt idx="2">
                  <c:v>27.786270524971673</c:v>
                </c:pt>
                <c:pt idx="3">
                  <c:v>16.713706517730021</c:v>
                </c:pt>
                <c:pt idx="4">
                  <c:v>2.4359314213659848</c:v>
                </c:pt>
                <c:pt idx="5">
                  <c:v>15.211519588685375</c:v>
                </c:pt>
                <c:pt idx="6">
                  <c:v>14.374546446547997</c:v>
                </c:pt>
                <c:pt idx="7">
                  <c:v>1.7779412354862849</c:v>
                </c:pt>
                <c:pt idx="8">
                  <c:v>3.9502835723081042</c:v>
                </c:pt>
                <c:pt idx="9">
                  <c:v>6.1507617357903444</c:v>
                </c:pt>
                <c:pt idx="10">
                  <c:v>10.133706995889202</c:v>
                </c:pt>
                <c:pt idx="11">
                  <c:v>9.5</c:v>
                </c:pt>
                <c:pt idx="12">
                  <c:v>4.0820635535067034</c:v>
                </c:pt>
                <c:pt idx="13">
                  <c:v>5.2117755437014797</c:v>
                </c:pt>
                <c:pt idx="14">
                  <c:v>1.9984280402043679</c:v>
                </c:pt>
                <c:pt idx="15">
                  <c:v>1.296401676315599</c:v>
                </c:pt>
                <c:pt idx="16">
                  <c:v>1.464931484771163</c:v>
                </c:pt>
                <c:pt idx="17">
                  <c:v>0.87565550573371964</c:v>
                </c:pt>
                <c:pt idx="18">
                  <c:v>1.4559186417133216</c:v>
                </c:pt>
                <c:pt idx="19">
                  <c:v>0.83795413470010138</c:v>
                </c:pt>
                <c:pt idx="20">
                  <c:v>1.1974658424331148</c:v>
                </c:pt>
              </c:numCache>
            </c:numRef>
          </c:val>
          <c:extLst>
            <c:ext xmlns:c16="http://schemas.microsoft.com/office/drawing/2014/chart" uri="{C3380CC4-5D6E-409C-BE32-E72D297353CC}">
              <c16:uniqueId val="{00000002-8822-404F-A2D4-EC4F321508E6}"/>
            </c:ext>
          </c:extLst>
        </c:ser>
        <c:ser>
          <c:idx val="2"/>
          <c:order val="2"/>
          <c:tx>
            <c:strRef>
              <c:f>Sheet1!$D$1</c:f>
              <c:strCache>
                <c:ptCount val="1"/>
                <c:pt idx="0">
                  <c:v>Column2</c:v>
                </c:pt>
              </c:strCache>
            </c:strRef>
          </c:tx>
          <c:spPr>
            <a:solidFill>
              <a:schemeClr val="accent3"/>
            </a:solidFill>
            <a:ln>
              <a:noFill/>
            </a:ln>
            <a:effectLst/>
          </c:spPr>
          <c:invertIfNegative val="0"/>
          <c:dPt>
            <c:idx val="22"/>
            <c:invertIfNegative val="0"/>
            <c:bubble3D val="0"/>
            <c:spPr>
              <a:solidFill>
                <a:schemeClr val="accent1"/>
              </a:solidFill>
              <a:ln>
                <a:noFill/>
              </a:ln>
              <a:effectLst/>
            </c:spPr>
            <c:extLst>
              <c:ext xmlns:c16="http://schemas.microsoft.com/office/drawing/2014/chart" uri="{C3380CC4-5D6E-409C-BE32-E72D297353CC}">
                <c16:uniqueId val="{00000004-8822-404F-A2D4-EC4F321508E6}"/>
              </c:ext>
            </c:extLst>
          </c:dPt>
          <c:dPt>
            <c:idx val="24"/>
            <c:invertIfNegative val="0"/>
            <c:bubble3D val="0"/>
            <c:spPr>
              <a:solidFill>
                <a:schemeClr val="accent1"/>
              </a:solidFill>
              <a:ln>
                <a:noFill/>
              </a:ln>
              <a:effectLst/>
            </c:spPr>
            <c:extLst>
              <c:ext xmlns:c16="http://schemas.microsoft.com/office/drawing/2014/chart" uri="{C3380CC4-5D6E-409C-BE32-E72D297353CC}">
                <c16:uniqueId val="{00000006-8822-404F-A2D4-EC4F321508E6}"/>
              </c:ext>
            </c:extLst>
          </c:dPt>
          <c:dPt>
            <c:idx val="26"/>
            <c:invertIfNegative val="0"/>
            <c:bubble3D val="0"/>
            <c:spPr>
              <a:solidFill>
                <a:schemeClr val="accent1"/>
              </a:solidFill>
              <a:ln>
                <a:noFill/>
              </a:ln>
              <a:effectLst/>
            </c:spPr>
            <c:extLst>
              <c:ext xmlns:c16="http://schemas.microsoft.com/office/drawing/2014/chart" uri="{C3380CC4-5D6E-409C-BE32-E72D297353CC}">
                <c16:uniqueId val="{00000008-8822-404F-A2D4-EC4F321508E6}"/>
              </c:ext>
            </c:extLst>
          </c:dPt>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Sheet1!$D$2:$D$28</c:f>
              <c:numCache>
                <c:formatCode>General</c:formatCode>
                <c:ptCount val="27"/>
                <c:pt idx="22" formatCode="0.0">
                  <c:v>2.0479253649651623</c:v>
                </c:pt>
                <c:pt idx="24" formatCode="0.0">
                  <c:v>4.0999999999999996</c:v>
                </c:pt>
                <c:pt idx="26" formatCode="0.0">
                  <c:v>17.306639534787191</c:v>
                </c:pt>
              </c:numCache>
            </c:numRef>
          </c:val>
          <c:extLst>
            <c:ext xmlns:c16="http://schemas.microsoft.com/office/drawing/2014/chart" uri="{C3380CC4-5D6E-409C-BE32-E72D297353CC}">
              <c16:uniqueId val="{00000009-8822-404F-A2D4-EC4F321508E6}"/>
            </c:ext>
          </c:extLst>
        </c:ser>
        <c:ser>
          <c:idx val="3"/>
          <c:order val="3"/>
          <c:tx>
            <c:strRef>
              <c:f>Sheet1!$E$1</c:f>
              <c:strCache>
                <c:ptCount val="1"/>
                <c:pt idx="0">
                  <c:v>Column3</c:v>
                </c:pt>
              </c:strCache>
            </c:strRef>
          </c:tx>
          <c:spPr>
            <a:solidFill>
              <a:schemeClr val="accent4"/>
            </a:solidFill>
            <a:ln>
              <a:noFill/>
            </a:ln>
            <a:effectLst/>
          </c:spPr>
          <c:invertIfNegative val="0"/>
          <c:dPt>
            <c:idx val="22"/>
            <c:invertIfNegative val="0"/>
            <c:bubble3D val="0"/>
            <c:spPr>
              <a:solidFill>
                <a:schemeClr val="accent2"/>
              </a:solidFill>
              <a:ln>
                <a:noFill/>
              </a:ln>
              <a:effectLst/>
            </c:spPr>
            <c:extLst>
              <c:ext xmlns:c16="http://schemas.microsoft.com/office/drawing/2014/chart" uri="{C3380CC4-5D6E-409C-BE32-E72D297353CC}">
                <c16:uniqueId val="{0000000B-8822-404F-A2D4-EC4F321508E6}"/>
              </c:ext>
            </c:extLst>
          </c:dPt>
          <c:dPt>
            <c:idx val="24"/>
            <c:invertIfNegative val="0"/>
            <c:bubble3D val="0"/>
            <c:spPr>
              <a:solidFill>
                <a:schemeClr val="accent2"/>
              </a:solidFill>
              <a:ln>
                <a:noFill/>
              </a:ln>
              <a:effectLst/>
            </c:spPr>
            <c:extLst>
              <c:ext xmlns:c16="http://schemas.microsoft.com/office/drawing/2014/chart" uri="{C3380CC4-5D6E-409C-BE32-E72D297353CC}">
                <c16:uniqueId val="{0000000D-8822-404F-A2D4-EC4F321508E6}"/>
              </c:ext>
            </c:extLst>
          </c:dPt>
          <c:dPt>
            <c:idx val="26"/>
            <c:invertIfNegative val="0"/>
            <c:bubble3D val="0"/>
            <c:spPr>
              <a:solidFill>
                <a:schemeClr val="accent2"/>
              </a:solidFill>
              <a:ln>
                <a:noFill/>
              </a:ln>
              <a:effectLst/>
            </c:spPr>
            <c:extLst>
              <c:ext xmlns:c16="http://schemas.microsoft.com/office/drawing/2014/chart" uri="{C3380CC4-5D6E-409C-BE32-E72D297353CC}">
                <c16:uniqueId val="{0000000F-8822-404F-A2D4-EC4F321508E6}"/>
              </c:ext>
            </c:extLst>
          </c:dPt>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Sheet1!$E$2:$E$28</c:f>
              <c:numCache>
                <c:formatCode>General</c:formatCode>
                <c:ptCount val="27"/>
                <c:pt idx="22" formatCode="0.0">
                  <c:v>0.15671063224040413</c:v>
                </c:pt>
                <c:pt idx="24" formatCode="0.0">
                  <c:v>2.6</c:v>
                </c:pt>
                <c:pt idx="26" formatCode="0.0">
                  <c:v>11.385598314278408</c:v>
                </c:pt>
              </c:numCache>
            </c:numRef>
          </c:val>
          <c:extLst>
            <c:ext xmlns:c16="http://schemas.microsoft.com/office/drawing/2014/chart" uri="{C3380CC4-5D6E-409C-BE32-E72D297353CC}">
              <c16:uniqueId val="{00000010-8822-404F-A2D4-EC4F321508E6}"/>
            </c:ext>
          </c:extLst>
        </c:ser>
        <c:dLbls>
          <c:showLegendKey val="0"/>
          <c:showVal val="0"/>
          <c:showCatName val="0"/>
          <c:showSerName val="0"/>
          <c:showPercent val="0"/>
          <c:showBubbleSize val="0"/>
        </c:dLbls>
        <c:gapWidth val="51"/>
        <c:overlap val="100"/>
        <c:axId val="446226432"/>
        <c:axId val="446227968"/>
      </c:barChart>
      <c:catAx>
        <c:axId val="4462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6227968"/>
        <c:crosses val="autoZero"/>
        <c:auto val="1"/>
        <c:lblAlgn val="ctr"/>
        <c:lblOffset val="100"/>
        <c:noMultiLvlLbl val="0"/>
      </c:catAx>
      <c:valAx>
        <c:axId val="446227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26432"/>
        <c:crosses val="autoZero"/>
        <c:crossBetween val="between"/>
      </c:valAx>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0977596741344E-2"/>
          <c:y val="7.3260335323429362E-2"/>
          <c:w val="0.49490835030549907"/>
          <c:h val="0.89011307417966656"/>
        </c:manualLayout>
      </c:layout>
      <c:pieChart>
        <c:varyColors val="1"/>
        <c:ser>
          <c:idx val="0"/>
          <c:order val="0"/>
          <c:spPr>
            <a:solidFill>
              <a:srgbClr val="4F81BD"/>
            </a:solidFill>
            <a:ln w="25400">
              <a:noFill/>
            </a:ln>
          </c:spPr>
          <c:explosion val="25"/>
          <c:dPt>
            <c:idx val="1"/>
            <c:bubble3D val="0"/>
            <c:explosion val="24"/>
            <c:spPr>
              <a:solidFill>
                <a:srgbClr val="C0504D"/>
              </a:solidFill>
              <a:ln w="25400">
                <a:noFill/>
              </a:ln>
            </c:spPr>
            <c:extLst>
              <c:ext xmlns:c16="http://schemas.microsoft.com/office/drawing/2014/chart" uri="{C3380CC4-5D6E-409C-BE32-E72D297353CC}">
                <c16:uniqueId val="{00000002-3F67-4A92-A08C-CFBF1B2B35FD}"/>
              </c:ext>
            </c:extLst>
          </c:dPt>
          <c:dPt>
            <c:idx val="2"/>
            <c:bubble3D val="0"/>
            <c:spPr>
              <a:solidFill>
                <a:srgbClr val="9BBB59"/>
              </a:solidFill>
              <a:ln w="25400">
                <a:noFill/>
              </a:ln>
            </c:spPr>
            <c:extLst>
              <c:ext xmlns:c16="http://schemas.microsoft.com/office/drawing/2014/chart" uri="{C3380CC4-5D6E-409C-BE32-E72D297353CC}">
                <c16:uniqueId val="{00000004-3F67-4A92-A08C-CFBF1B2B35FD}"/>
              </c:ext>
            </c:extLst>
          </c:dPt>
          <c:dLbls>
            <c:dLbl>
              <c:idx val="0"/>
              <c:layout>
                <c:manualLayout>
                  <c:x val="-1.9673813685712757E-3"/>
                  <c:y val="4.496092958038999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F67-4A92-A08C-CFBF1B2B35FD}"/>
                </c:ext>
              </c:extLst>
            </c:dLbl>
            <c:dLbl>
              <c:idx val="1"/>
              <c:layout>
                <c:manualLayout>
                  <c:x val="-1.4478655983178658E-2"/>
                  <c:y val="7.1039264968204077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F67-4A92-A08C-CFBF1B2B35FD}"/>
                </c:ext>
              </c:extLst>
            </c:dLbl>
            <c:dLbl>
              <c:idx val="2"/>
              <c:layout>
                <c:manualLayout>
                  <c:x val="3.7574444817237818E-2"/>
                  <c:y val="1.447897634703789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F67-4A92-A08C-CFBF1B2B35FD}"/>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table!$N$4:$N$6</c:f>
              <c:strCache>
                <c:ptCount val="3"/>
                <c:pt idx="0">
                  <c:v>Հարկային եկամուտներ և պետական տուրքեր</c:v>
                </c:pt>
                <c:pt idx="1">
                  <c:v>Պաշտոնական դրամաշնորհներ</c:v>
                </c:pt>
                <c:pt idx="2">
                  <c:v>Այլ եկամուտներ</c:v>
                </c:pt>
              </c:strCache>
            </c:strRef>
          </c:cat>
          <c:val>
            <c:numRef>
              <c:f>table!$O$4:$O$6</c:f>
              <c:numCache>
                <c:formatCode>0.0%</c:formatCode>
                <c:ptCount val="3"/>
                <c:pt idx="0">
                  <c:v>0.94699999999999995</c:v>
                </c:pt>
                <c:pt idx="1">
                  <c:v>1.7999999999999999E-2</c:v>
                </c:pt>
                <c:pt idx="2">
                  <c:v>3.2000000000000001E-2</c:v>
                </c:pt>
              </c:numCache>
            </c:numRef>
          </c:val>
          <c:extLst>
            <c:ext xmlns:c16="http://schemas.microsoft.com/office/drawing/2014/chart" uri="{C3380CC4-5D6E-409C-BE32-E72D297353CC}">
              <c16:uniqueId val="{00000005-3F67-4A92-A08C-CFBF1B2B35F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3177189409364"/>
          <c:y val="0.19047695961081787"/>
          <c:w val="0.29327902240325865"/>
          <c:h val="0.6190499264515017"/>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2904752121119"/>
          <c:y val="4.3931262569693146E-2"/>
          <c:w val="0.75180333178147074"/>
          <c:h val="0.71448108460126669"/>
        </c:manualLayout>
      </c:layout>
      <c:barChart>
        <c:barDir val="col"/>
        <c:grouping val="clustered"/>
        <c:varyColors val="0"/>
        <c:ser>
          <c:idx val="0"/>
          <c:order val="0"/>
          <c:tx>
            <c:strRef>
              <c:f>Sheet1!$A$2</c:f>
              <c:strCache>
                <c:ptCount val="1"/>
                <c:pt idx="0">
                  <c:v> Հարկային եկամուտներ և պետական տուրքեր, մլրդ դրամ</c:v>
                </c:pt>
              </c:strCache>
            </c:strRef>
          </c:tx>
          <c:spPr>
            <a:ln w="25294" cap="rnd" cmpd="dbl">
              <a:miter lim="800000"/>
            </a:ln>
          </c:spPr>
          <c:invertIfNegative val="0"/>
          <c:dLbls>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2018 փաստ</c:v>
                </c:pt>
                <c:pt idx="1">
                  <c:v>2019 փաստ</c:v>
                </c:pt>
                <c:pt idx="2">
                  <c:v>2020 փաստ</c:v>
                </c:pt>
                <c:pt idx="3">
                  <c:v>2021  սպասում</c:v>
                </c:pt>
                <c:pt idx="4">
                  <c:v>2022 կանխատեսում</c:v>
                </c:pt>
              </c:strCache>
            </c:strRef>
          </c:cat>
          <c:val>
            <c:numRef>
              <c:f>Sheet1!$B$2:$F$2</c:f>
              <c:numCache>
                <c:formatCode>#,##0.0</c:formatCode>
                <c:ptCount val="5"/>
                <c:pt idx="0">
                  <c:v>1258.1211783709998</c:v>
                </c:pt>
                <c:pt idx="1">
                  <c:v>1464.3157574489999</c:v>
                </c:pt>
                <c:pt idx="2">
                  <c:v>1385.2054762</c:v>
                </c:pt>
                <c:pt idx="3">
                  <c:v>1581</c:v>
                </c:pt>
                <c:pt idx="4">
                  <c:v>1843.8</c:v>
                </c:pt>
              </c:numCache>
            </c:numRef>
          </c:val>
          <c:extLst>
            <c:ext xmlns:c16="http://schemas.microsoft.com/office/drawing/2014/chart" uri="{C3380CC4-5D6E-409C-BE32-E72D297353CC}">
              <c16:uniqueId val="{00000000-3413-41A2-9937-98F40B6F6E92}"/>
            </c:ext>
          </c:extLst>
        </c:ser>
        <c:dLbls>
          <c:showLegendKey val="0"/>
          <c:showVal val="0"/>
          <c:showCatName val="0"/>
          <c:showSerName val="0"/>
          <c:showPercent val="0"/>
          <c:showBubbleSize val="0"/>
        </c:dLbls>
        <c:gapWidth val="308"/>
        <c:overlap val="17"/>
        <c:axId val="446523648"/>
        <c:axId val="446541824"/>
      </c:barChart>
      <c:lineChart>
        <c:grouping val="standard"/>
        <c:varyColors val="0"/>
        <c:ser>
          <c:idx val="1"/>
          <c:order val="1"/>
          <c:tx>
            <c:strRef>
              <c:f>Sheet1!$A$3</c:f>
              <c:strCache>
                <c:ptCount val="1"/>
                <c:pt idx="0">
                  <c:v> հարաբերությունը ՀՆԱ-ի նկատմամբ (%-ով) աջ առանցք</c:v>
                </c:pt>
              </c:strCache>
            </c:strRef>
          </c:tx>
          <c:marker>
            <c:symbol val="none"/>
          </c:marker>
          <c:cat>
            <c:strRef>
              <c:f>Sheet1!$B$1:$F$1</c:f>
              <c:strCache>
                <c:ptCount val="5"/>
                <c:pt idx="0">
                  <c:v>2018 փաստ</c:v>
                </c:pt>
                <c:pt idx="1">
                  <c:v>2019 փաստ</c:v>
                </c:pt>
                <c:pt idx="2">
                  <c:v>2020 փաստ</c:v>
                </c:pt>
                <c:pt idx="3">
                  <c:v>2021  սպասում</c:v>
                </c:pt>
                <c:pt idx="4">
                  <c:v>2022 կանխատեսում</c:v>
                </c:pt>
              </c:strCache>
            </c:strRef>
          </c:cat>
          <c:val>
            <c:numRef>
              <c:f>Sheet1!$B$3:$F$3</c:f>
              <c:numCache>
                <c:formatCode>0.0%</c:formatCode>
                <c:ptCount val="5"/>
                <c:pt idx="0">
                  <c:v>0.20909320563240175</c:v>
                </c:pt>
                <c:pt idx="1">
                  <c:v>0.22378857112603731</c:v>
                </c:pt>
                <c:pt idx="2">
                  <c:v>0.2240829417114398</c:v>
                </c:pt>
                <c:pt idx="3">
                  <c:v>0.22485551555964878</c:v>
                </c:pt>
                <c:pt idx="4">
                  <c:v>0.23400000000000001</c:v>
                </c:pt>
              </c:numCache>
            </c:numRef>
          </c:val>
          <c:smooth val="0"/>
          <c:extLst>
            <c:ext xmlns:c16="http://schemas.microsoft.com/office/drawing/2014/chart" uri="{C3380CC4-5D6E-409C-BE32-E72D297353CC}">
              <c16:uniqueId val="{00000001-3413-41A2-9937-98F40B6F6E92}"/>
            </c:ext>
          </c:extLst>
        </c:ser>
        <c:dLbls>
          <c:showLegendKey val="0"/>
          <c:showVal val="0"/>
          <c:showCatName val="0"/>
          <c:showSerName val="0"/>
          <c:showPercent val="0"/>
          <c:showBubbleSize val="0"/>
        </c:dLbls>
        <c:marker val="1"/>
        <c:smooth val="0"/>
        <c:axId val="446543360"/>
        <c:axId val="446544896"/>
      </c:lineChart>
      <c:catAx>
        <c:axId val="446523648"/>
        <c:scaling>
          <c:orientation val="minMax"/>
        </c:scaling>
        <c:delete val="0"/>
        <c:axPos val="b"/>
        <c:numFmt formatCode="General" sourceLinked="1"/>
        <c:majorTickMark val="out"/>
        <c:minorTickMark val="none"/>
        <c:tickLblPos val="nextTo"/>
        <c:crossAx val="446541824"/>
        <c:crosses val="autoZero"/>
        <c:auto val="1"/>
        <c:lblAlgn val="ctr"/>
        <c:lblOffset val="100"/>
        <c:noMultiLvlLbl val="0"/>
      </c:catAx>
      <c:valAx>
        <c:axId val="446541824"/>
        <c:scaling>
          <c:orientation val="minMax"/>
        </c:scaling>
        <c:delete val="0"/>
        <c:axPos val="l"/>
        <c:majorGridlines/>
        <c:numFmt formatCode="#,##0.0" sourceLinked="1"/>
        <c:majorTickMark val="out"/>
        <c:minorTickMark val="none"/>
        <c:tickLblPos val="nextTo"/>
        <c:crossAx val="446523648"/>
        <c:crosses val="autoZero"/>
        <c:crossBetween val="between"/>
        <c:majorUnit val="500"/>
      </c:valAx>
      <c:catAx>
        <c:axId val="446543360"/>
        <c:scaling>
          <c:orientation val="minMax"/>
        </c:scaling>
        <c:delete val="1"/>
        <c:axPos val="b"/>
        <c:numFmt formatCode="General" sourceLinked="1"/>
        <c:majorTickMark val="out"/>
        <c:minorTickMark val="none"/>
        <c:tickLblPos val="none"/>
        <c:crossAx val="446544896"/>
        <c:crosses val="autoZero"/>
        <c:auto val="1"/>
        <c:lblAlgn val="ctr"/>
        <c:lblOffset val="100"/>
        <c:noMultiLvlLbl val="0"/>
      </c:catAx>
      <c:valAx>
        <c:axId val="446544896"/>
        <c:scaling>
          <c:orientation val="minMax"/>
          <c:max val="0.25"/>
          <c:min val="0.2"/>
        </c:scaling>
        <c:delete val="0"/>
        <c:axPos val="r"/>
        <c:numFmt formatCode="0.0%" sourceLinked="1"/>
        <c:majorTickMark val="out"/>
        <c:minorTickMark val="none"/>
        <c:tickLblPos val="nextTo"/>
        <c:crossAx val="446543360"/>
        <c:crosses val="max"/>
        <c:crossBetween val="between"/>
        <c:majorUnit val="1.0000000000000005E-2"/>
      </c:valAx>
    </c:plotArea>
    <c:legend>
      <c:legendPos val="r"/>
      <c:layout>
        <c:manualLayout>
          <c:xMode val="edge"/>
          <c:yMode val="edge"/>
          <c:x val="0.13291130687871941"/>
          <c:y val="0.88008722212961243"/>
          <c:w val="0.73575963895602192"/>
          <c:h val="9.0283484178425383E-2"/>
        </c:manualLayout>
      </c:layout>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3293849295147"/>
          <c:y val="3.2707203266258401E-2"/>
          <c:w val="0.84521276129266509"/>
          <c:h val="0.75897428379963161"/>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3363734209482839E-2"/>
                  <c:y val="-0.1286095071449401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43-4218-A538-36BDDAC1E40B}"/>
                </c:ext>
              </c:extLst>
            </c:dLbl>
            <c:dLbl>
              <c:idx val="1"/>
              <c:layout>
                <c:manualLayout>
                  <c:x val="-9.3638777167242726E-2"/>
                  <c:y val="1.352843394575678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43-4218-A538-36BDDAC1E40B}"/>
                </c:ext>
              </c:extLst>
            </c:dLbl>
            <c:dLbl>
              <c:idx val="2"/>
              <c:layout>
                <c:manualLayout>
                  <c:x val="-8.9792560527441015E-2"/>
                  <c:y val="-2.364271395209457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143-4218-A538-36BDDAC1E40B}"/>
                </c:ext>
              </c:extLst>
            </c:dLbl>
            <c:dLbl>
              <c:idx val="3"/>
              <c:layout>
                <c:manualLayout>
                  <c:x val="-9.1698408202571829E-2"/>
                  <c:y val="-4.7273257509484773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43-4218-A538-36BDDAC1E40B}"/>
                </c:ext>
              </c:extLst>
            </c:dLbl>
            <c:dLbl>
              <c:idx val="4"/>
              <c:layout>
                <c:manualLayout>
                  <c:x val="-8.6330935251798552E-2"/>
                  <c:y val="-6.7900450176106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143-4218-A538-36BDDAC1E40B}"/>
                </c:ext>
              </c:extLst>
            </c:dLbl>
            <c:spPr>
              <a:noFill/>
              <a:ln w="25382">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 թ</c:v>
                </c:pt>
                <c:pt idx="3">
                  <c:v>2021 թ</c:v>
                </c:pt>
                <c:pt idx="4">
                  <c:v>2022 թ</c:v>
                </c:pt>
              </c:strCache>
            </c:strRef>
          </c:cat>
          <c:val>
            <c:numRef>
              <c:f>Sheet1!$C$5:$G$5</c:f>
              <c:numCache>
                <c:formatCode>_(* #,##0.0_);_(* \(#,##0.0\);_(* "-"??_);_(@_)</c:formatCode>
                <c:ptCount val="5"/>
                <c:pt idx="0">
                  <c:v>1447.1</c:v>
                </c:pt>
                <c:pt idx="1">
                  <c:v>1629.4</c:v>
                </c:pt>
                <c:pt idx="2">
                  <c:v>1894.64709341</c:v>
                </c:pt>
                <c:pt idx="3">
                  <c:v>1850.8775411900001</c:v>
                </c:pt>
                <c:pt idx="4">
                  <c:v>2189.1999999999998</c:v>
                </c:pt>
              </c:numCache>
            </c:numRef>
          </c:val>
          <c:extLst>
            <c:ext xmlns:c16="http://schemas.microsoft.com/office/drawing/2014/chart" uri="{C3380CC4-5D6E-409C-BE32-E72D297353CC}">
              <c16:uniqueId val="{00000005-E143-4218-A538-36BDDAC1E40B}"/>
            </c:ext>
          </c:extLst>
        </c:ser>
        <c:dLbls>
          <c:showLegendKey val="0"/>
          <c:showVal val="0"/>
          <c:showCatName val="0"/>
          <c:showSerName val="0"/>
          <c:showPercent val="0"/>
          <c:showBubbleSize val="0"/>
        </c:dLbls>
        <c:gapWidth val="34"/>
        <c:overlap val="100"/>
        <c:axId val="447298176"/>
        <c:axId val="447308160"/>
      </c:barChart>
      <c:barChart>
        <c:barDir val="col"/>
        <c:grouping val="stacked"/>
        <c:varyColors val="0"/>
        <c:ser>
          <c:idx val="1"/>
          <c:order val="1"/>
          <c:tx>
            <c:strRef>
              <c:f>Sheet1!$B$6</c:f>
              <c:strCache>
                <c:ptCount val="1"/>
                <c:pt idx="0">
                  <c:v>Ընթացիկ ծախսեր</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dLbl>
              <c:idx val="0"/>
              <c:layout>
                <c:manualLayout>
                  <c:x val="-1.5290519877675841E-3"/>
                  <c:y val="-2.39361702127659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143-4218-A538-36BDDAC1E40B}"/>
                </c:ext>
              </c:extLst>
            </c:dLbl>
            <c:dLbl>
              <c:idx val="4"/>
              <c:layout>
                <c:manualLayout>
                  <c:x val="-3.8369304556354934E-3"/>
                  <c:y val="-4.07407407407407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143-4218-A538-36BDDAC1E40B}"/>
                </c:ext>
              </c:extLst>
            </c:dLbl>
            <c:spPr>
              <a:noFill/>
              <a:ln w="25382">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Sheet1!$C$6:$G$6</c:f>
              <c:numCache>
                <c:formatCode>_(* #,##0.0_);_(* \(#,##0.0\);_(* "-"??_);_(@_)</c:formatCode>
                <c:ptCount val="5"/>
                <c:pt idx="0">
                  <c:v>1299</c:v>
                </c:pt>
                <c:pt idx="1">
                  <c:v>1437.1</c:v>
                </c:pt>
                <c:pt idx="2">
                  <c:v>1668.458374</c:v>
                </c:pt>
                <c:pt idx="3">
                  <c:v>1634.55862359</c:v>
                </c:pt>
                <c:pt idx="4">
                  <c:v>1842.7</c:v>
                </c:pt>
              </c:numCache>
            </c:numRef>
          </c:val>
          <c:extLst>
            <c:ext xmlns:c16="http://schemas.microsoft.com/office/drawing/2014/chart" uri="{C3380CC4-5D6E-409C-BE32-E72D297353CC}">
              <c16:uniqueId val="{00000008-E143-4218-A538-36BDDAC1E40B}"/>
            </c:ext>
          </c:extLst>
        </c:ser>
        <c:ser>
          <c:idx val="2"/>
          <c:order val="2"/>
          <c:tx>
            <c:strRef>
              <c:f>Sheet1!$B$7</c:f>
              <c:strCache>
                <c:ptCount val="1"/>
                <c:pt idx="0">
                  <c:v>Ոչ ֆինանսական ակտիվների գծով գործառնություններ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dLbl>
              <c:idx val="0"/>
              <c:layout>
                <c:manualLayout>
                  <c:x val="-2.1128248468202373E-3"/>
                  <c:y val="-6.7491563554555684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143-4218-A538-36BDDAC1E40B}"/>
                </c:ext>
              </c:extLst>
            </c:dLbl>
            <c:dLbl>
              <c:idx val="1"/>
              <c:layout>
                <c:manualLayout>
                  <c:x val="-1.0564124234101031E-2"/>
                  <c:y val="-7.124109486314214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143-4218-A538-36BDDAC1E40B}"/>
                </c:ext>
              </c:extLst>
            </c:dLbl>
            <c:dLbl>
              <c:idx val="2"/>
              <c:layout>
                <c:manualLayout>
                  <c:x val="4.2256496936403974E-3"/>
                  <c:y val="-8.6239220097487815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143-4218-A538-36BDDAC1E40B}"/>
                </c:ext>
              </c:extLst>
            </c:dLbl>
            <c:dLbl>
              <c:idx val="3"/>
              <c:layout>
                <c:manualLayout>
                  <c:x val="2.1128248468201987E-3"/>
                  <c:y val="-8.998875140607423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143-4218-A538-36BDDAC1E40B}"/>
                </c:ext>
              </c:extLst>
            </c:dLbl>
            <c:dLbl>
              <c:idx val="4"/>
              <c:layout>
                <c:manualLayout>
                  <c:x val="0"/>
                  <c:y val="-0.10123734533183354"/>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143-4218-A538-36BDDAC1E40B}"/>
                </c:ext>
              </c:extLst>
            </c:dLbl>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 թ</c:v>
                </c:pt>
                <c:pt idx="3">
                  <c:v>2021 թ</c:v>
                </c:pt>
                <c:pt idx="4">
                  <c:v>2022 թ</c:v>
                </c:pt>
              </c:strCache>
            </c:strRef>
          </c:cat>
          <c:val>
            <c:numRef>
              <c:f>Sheet1!$C$7:$G$7</c:f>
              <c:numCache>
                <c:formatCode>_(* #,##0.0_);_(* \(#,##0.0\);_(* "-"??_);_(@_)</c:formatCode>
                <c:ptCount val="5"/>
                <c:pt idx="0">
                  <c:v>148.1</c:v>
                </c:pt>
                <c:pt idx="1">
                  <c:v>192.3</c:v>
                </c:pt>
                <c:pt idx="2">
                  <c:v>226.18871941</c:v>
                </c:pt>
                <c:pt idx="3">
                  <c:v>216.31891759999999</c:v>
                </c:pt>
                <c:pt idx="4">
                  <c:v>346.5</c:v>
                </c:pt>
              </c:numCache>
            </c:numRef>
          </c:val>
          <c:extLst>
            <c:ext xmlns:c16="http://schemas.microsoft.com/office/drawing/2014/chart" uri="{C3380CC4-5D6E-409C-BE32-E72D297353CC}">
              <c16:uniqueId val="{0000000E-E143-4218-A538-36BDDAC1E40B}"/>
            </c:ext>
          </c:extLst>
        </c:ser>
        <c:dLbls>
          <c:showLegendKey val="0"/>
          <c:showVal val="0"/>
          <c:showCatName val="0"/>
          <c:showSerName val="0"/>
          <c:showPercent val="0"/>
          <c:showBubbleSize val="0"/>
        </c:dLbls>
        <c:gapWidth val="232"/>
        <c:overlap val="100"/>
        <c:axId val="447310080"/>
        <c:axId val="447320064"/>
      </c:barChart>
      <c:catAx>
        <c:axId val="447298176"/>
        <c:scaling>
          <c:orientation val="minMax"/>
        </c:scaling>
        <c:delete val="0"/>
        <c:axPos val="b"/>
        <c:numFmt formatCode="General" sourceLinked="1"/>
        <c:majorTickMark val="none"/>
        <c:minorTickMark val="none"/>
        <c:tickLblPos val="nextTo"/>
        <c:spPr>
          <a:noFill/>
          <a:ln w="25382" cap="flat" cmpd="sng" algn="ctr">
            <a:solidFill>
              <a:schemeClr val="tx2">
                <a:lumMod val="50000"/>
              </a:schemeClr>
            </a:solidFill>
            <a:round/>
          </a:ln>
          <a:effectLst/>
        </c:spPr>
        <c:txPr>
          <a:bodyPr rot="-60000000" spcFirstLastPara="1" vertOverflow="ellipsis" vert="horz" wrap="square" anchor="ctr" anchorCtr="1"/>
          <a:lstStyle/>
          <a:p>
            <a:pPr>
              <a:defRPr sz="1196" b="1" i="0" u="none" strike="noStrike" kern="1200" baseline="0">
                <a:solidFill>
                  <a:schemeClr val="tx1">
                    <a:lumMod val="65000"/>
                    <a:lumOff val="35000"/>
                  </a:schemeClr>
                </a:solidFill>
                <a:latin typeface="+mn-lt"/>
                <a:ea typeface="+mn-ea"/>
                <a:cs typeface="+mn-cs"/>
              </a:defRPr>
            </a:pPr>
            <a:endParaRPr lang="en-US"/>
          </a:p>
        </c:txPr>
        <c:crossAx val="447308160"/>
        <c:crosses val="autoZero"/>
        <c:auto val="1"/>
        <c:lblAlgn val="ctr"/>
        <c:lblOffset val="100"/>
        <c:noMultiLvlLbl val="0"/>
      </c:catAx>
      <c:valAx>
        <c:axId val="447308160"/>
        <c:scaling>
          <c:orientation val="minMax"/>
          <c:max val="2400"/>
          <c:min val="0"/>
        </c:scaling>
        <c:delete val="0"/>
        <c:axPos val="l"/>
        <c:majorGridlines>
          <c:spPr>
            <a:ln w="9518"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GHEA Grapalat"/>
                    <a:ea typeface="GHEA Grapalat"/>
                    <a:cs typeface="GHEA Grapalat"/>
                  </a:defRPr>
                </a:pPr>
                <a:r>
                  <a:rPr lang="hy-AM" sz="1200" b="0"/>
                  <a:t>մլրդ դրամ</a:t>
                </a:r>
              </a:p>
            </c:rich>
          </c:tx>
          <c:layout/>
          <c:overlay val="0"/>
          <c:spPr>
            <a:noFill/>
            <a:ln w="25382">
              <a:noFill/>
            </a:ln>
          </c:spPr>
        </c:title>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47298176"/>
        <c:crosses val="autoZero"/>
        <c:crossBetween val="between"/>
        <c:majorUnit val="400"/>
      </c:valAx>
      <c:catAx>
        <c:axId val="447310080"/>
        <c:scaling>
          <c:orientation val="minMax"/>
        </c:scaling>
        <c:delete val="1"/>
        <c:axPos val="b"/>
        <c:numFmt formatCode="General" sourceLinked="1"/>
        <c:majorTickMark val="out"/>
        <c:minorTickMark val="none"/>
        <c:tickLblPos val="none"/>
        <c:crossAx val="447320064"/>
        <c:crosses val="autoZero"/>
        <c:auto val="1"/>
        <c:lblAlgn val="ctr"/>
        <c:lblOffset val="100"/>
        <c:noMultiLvlLbl val="0"/>
      </c:catAx>
      <c:valAx>
        <c:axId val="447320064"/>
        <c:scaling>
          <c:orientation val="minMax"/>
          <c:max val="1800"/>
          <c:min val="0"/>
        </c:scaling>
        <c:delete val="1"/>
        <c:axPos val="r"/>
        <c:numFmt formatCode="_(* #,##0.0_);_(* \(#,##0.0\);_(* &quot;-&quot;??_);_(@_)" sourceLinked="1"/>
        <c:majorTickMark val="out"/>
        <c:minorTickMark val="none"/>
        <c:tickLblPos val="none"/>
        <c:crossAx val="447310080"/>
        <c:crosses val="max"/>
        <c:crossBetween val="between"/>
        <c:majorUnit val="200"/>
      </c:valAx>
      <c:spPr>
        <a:noFill/>
        <a:ln w="25382">
          <a:noFill/>
        </a:ln>
      </c:spPr>
    </c:plotArea>
    <c:legend>
      <c:legendPos val="b"/>
      <c:legendEntry>
        <c:idx val="0"/>
        <c:delete val="1"/>
      </c:legendEntry>
      <c:layout>
        <c:manualLayout>
          <c:xMode val="edge"/>
          <c:yMode val="edge"/>
          <c:x val="5.8816782230579442E-2"/>
          <c:y val="0.92351471814054742"/>
          <c:w val="0.934860657343206"/>
          <c:h val="5.9144260510743334E-2"/>
        </c:manualLayout>
      </c:layout>
      <c:overlay val="0"/>
      <c:spPr>
        <a:noFill/>
        <a:ln w="25382">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8137748213571"/>
          <c:y val="2.1045606922897041E-2"/>
          <c:w val="0.86293549726037466"/>
          <c:h val="0.651164782619995"/>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noFill/>
            </a:ln>
            <a:effectLst/>
            <a:scene3d>
              <a:camera prst="orthographicFront"/>
              <a:lightRig rig="threePt" dir="t"/>
            </a:scene3d>
            <a:sp3d prstMaterial="metal">
              <a:bevelT/>
            </a:sp3d>
          </c:spPr>
          <c:invertIfNegative val="0"/>
          <c:dLbls>
            <c:dLbl>
              <c:idx val="0"/>
              <c:layout>
                <c:manualLayout>
                  <c:x val="-7.288317256162917E-2"/>
                  <c:y val="-8.2644628099173591E-3"/>
                </c:manualLayout>
              </c:layout>
              <c:tx>
                <c:rich>
                  <a:bodyPr/>
                  <a:lstStyle/>
                  <a:p>
                    <a:r>
                      <a:rPr lang="en-US"/>
                      <a:t>21.6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52B-41F2-AEE4-21B78F25E348}"/>
                </c:ext>
              </c:extLst>
            </c:dLbl>
            <c:dLbl>
              <c:idx val="1"/>
              <c:layout>
                <c:manualLayout>
                  <c:x val="-9.952747466052278E-2"/>
                  <c:y val="1.08457517140012E-7"/>
                </c:manualLayout>
              </c:layout>
              <c:tx>
                <c:rich>
                  <a:bodyPr rot="-5400000" spcFirstLastPara="1" vertOverflow="ellipsis" wrap="square" lIns="38100" tIns="19050" rIns="38100" bIns="19050" anchor="ctr" anchorCtr="1">
                    <a:no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r>
                      <a:rPr lang="en-US"/>
                      <a:t>22.0</a:t>
                    </a:r>
                  </a:p>
                </c:rich>
              </c:tx>
              <c:spPr>
                <a:noFill/>
                <a:ln w="25384">
                  <a:noFill/>
                </a:ln>
              </c:spPr>
              <c:dLblPos val="ctr"/>
              <c:showLegendKey val="0"/>
              <c:showVal val="1"/>
              <c:showCatName val="0"/>
              <c:showSerName val="0"/>
              <c:showPercent val="0"/>
              <c:showBubbleSize val="0"/>
              <c:extLst>
                <c:ext xmlns:c15="http://schemas.microsoft.com/office/drawing/2012/chart" uri="{CE6537A1-D6FC-4f65-9D91-7224C49458BB}">
                  <c15:layout>
                    <c:manualLayout>
                      <c:w val="0.11762057877813503"/>
                      <c:h val="6.1639226914817456E-2"/>
                    </c:manualLayout>
                  </c15:layout>
                </c:ext>
                <c:ext xmlns:c16="http://schemas.microsoft.com/office/drawing/2014/chart" uri="{C3380CC4-5D6E-409C-BE32-E72D297353CC}">
                  <c16:uniqueId val="{00000001-B52B-41F2-AEE4-21B78F25E348}"/>
                </c:ext>
              </c:extLst>
            </c:dLbl>
            <c:dLbl>
              <c:idx val="2"/>
              <c:layout>
                <c:manualLayout>
                  <c:x val="-0.10593479673561718"/>
                  <c:y val="3.0255308995466492E-3"/>
                </c:manualLayout>
              </c:layout>
              <c:tx>
                <c:rich>
                  <a:bodyPr/>
                  <a:lstStyle/>
                  <a:p>
                    <a:r>
                      <a:rPr lang="en-US"/>
                      <a:t>27.0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52B-41F2-AEE4-21B78F25E348}"/>
                </c:ext>
              </c:extLst>
            </c:dLbl>
            <c:dLbl>
              <c:idx val="3"/>
              <c:layout>
                <c:manualLayout>
                  <c:x val="-0.10234397549180961"/>
                  <c:y val="-3.1923385609856632E-3"/>
                </c:manualLayout>
              </c:layout>
              <c:tx>
                <c:rich>
                  <a:bodyPr/>
                  <a:lstStyle/>
                  <a:p>
                    <a:r>
                      <a:rPr lang="en-US"/>
                      <a:t>25.6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52B-41F2-AEE4-21B78F25E348}"/>
                </c:ext>
              </c:extLst>
            </c:dLbl>
            <c:dLbl>
              <c:idx val="4"/>
              <c:layout>
                <c:manualLayout>
                  <c:x val="-7.5451637677123318E-2"/>
                  <c:y val="5.414199258150582E-4"/>
                </c:manualLayout>
              </c:layout>
              <c:tx>
                <c:rich>
                  <a:bodyPr/>
                  <a:lstStyle/>
                  <a:p>
                    <a:r>
                      <a:rPr lang="en-US"/>
                      <a:t>23.4</a:t>
                    </a:r>
                  </a:p>
                  <a:p>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52B-41F2-AEE4-21B78F25E348}"/>
                </c:ext>
              </c:extLst>
            </c:dLbl>
            <c:spPr>
              <a:noFill/>
              <a:ln w="25384">
                <a:noFill/>
              </a:ln>
            </c:spPr>
            <c:txPr>
              <a:bodyPr rot="-5400000" spcFirstLastPara="1" vertOverflow="ellipsis" wrap="square" lIns="38100" tIns="19050" rIns="38100" bIns="19050" anchor="ctr" anchorCtr="1">
                <a:sp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 թ</c:v>
                </c:pt>
                <c:pt idx="3">
                  <c:v>2021 թ</c:v>
                </c:pt>
                <c:pt idx="4">
                  <c:v>2022 թ</c:v>
                </c:pt>
              </c:strCache>
            </c:strRef>
          </c:cat>
          <c:val>
            <c:numRef>
              <c:f>Sheet1!$C$5:$G$5</c:f>
              <c:numCache>
                <c:formatCode>_ * #,##0.0_)\ _ _ ;_ * \(#,##0.0\)\ _ _ ;_ * "-"??_)\ _ _ ;_ @_ </c:formatCode>
                <c:ptCount val="5"/>
                <c:pt idx="0">
                  <c:v>21.588337472248792</c:v>
                </c:pt>
                <c:pt idx="1">
                  <c:v>21.963506332517529</c:v>
                </c:pt>
                <c:pt idx="2">
                  <c:v>26.990440551113089</c:v>
                </c:pt>
                <c:pt idx="3">
                  <c:v>25.558707027535878</c:v>
                </c:pt>
                <c:pt idx="4">
                  <c:v>23.416139249981093</c:v>
                </c:pt>
              </c:numCache>
            </c:numRef>
          </c:val>
          <c:extLst>
            <c:ext xmlns:c16="http://schemas.microsoft.com/office/drawing/2014/chart" uri="{C3380CC4-5D6E-409C-BE32-E72D297353CC}">
              <c16:uniqueId val="{00000005-B52B-41F2-AEE4-21B78F25E348}"/>
            </c:ext>
          </c:extLst>
        </c:ser>
        <c:dLbls>
          <c:showLegendKey val="0"/>
          <c:showVal val="0"/>
          <c:showCatName val="0"/>
          <c:showSerName val="0"/>
          <c:showPercent val="0"/>
          <c:showBubbleSize val="0"/>
        </c:dLbls>
        <c:gapWidth val="34"/>
        <c:overlap val="100"/>
        <c:axId val="447526784"/>
        <c:axId val="447528320"/>
      </c:barChart>
      <c:barChart>
        <c:barDir val="col"/>
        <c:grouping val="stacked"/>
        <c:varyColors val="0"/>
        <c:ser>
          <c:idx val="1"/>
          <c:order val="1"/>
          <c:tx>
            <c:strRef>
              <c:f>Sheet1!$B$6</c:f>
              <c:strCache>
                <c:ptCount val="1"/>
                <c:pt idx="0">
                  <c:v>Աշխատանքի վարձատրություն</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Sheet1!$C$6:$G$6</c:f>
              <c:numCache>
                <c:formatCode>_ * #,##0.0_)\ _ _ ;_ * \(#,##0.0\)\ _ _ ;_ * "-"??_)\ _ _ ;_ @_ </c:formatCode>
                <c:ptCount val="5"/>
                <c:pt idx="0">
                  <c:v>2.5387103238152902</c:v>
                </c:pt>
                <c:pt idx="1">
                  <c:v>2.6374771129245089</c:v>
                </c:pt>
                <c:pt idx="2">
                  <c:v>2.8487691403355289</c:v>
                </c:pt>
                <c:pt idx="3">
                  <c:v>2.8313755697416667</c:v>
                </c:pt>
                <c:pt idx="4">
                  <c:v>2.3507218061459083</c:v>
                </c:pt>
              </c:numCache>
            </c:numRef>
          </c:val>
          <c:extLst>
            <c:ext xmlns:c16="http://schemas.microsoft.com/office/drawing/2014/chart" uri="{C3380CC4-5D6E-409C-BE32-E72D297353CC}">
              <c16:uniqueId val="{00000006-B52B-41F2-AEE4-21B78F25E348}"/>
            </c:ext>
          </c:extLst>
        </c:ser>
        <c:ser>
          <c:idx val="2"/>
          <c:order val="2"/>
          <c:tx>
            <c:strRef>
              <c:f>Sheet1!$B$7</c:f>
              <c:strCache>
                <c:ptCount val="1"/>
                <c:pt idx="0">
                  <c:v>Ծառայությունների և ապրանքների ձեռքբերում</c:v>
                </c:pt>
              </c:strCache>
            </c:strRef>
          </c:tx>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Sheet1!$C$7:$G$7</c:f>
              <c:numCache>
                <c:formatCode>_ * #,##0.0_)\ _ _ ;_ * \(#,##0.0\)\ _ _ ;_ * "-"??_)\ _ _ ;_ @_ </c:formatCode>
                <c:ptCount val="5"/>
                <c:pt idx="0">
                  <c:v>2.5867730966573035</c:v>
                </c:pt>
                <c:pt idx="1">
                  <c:v>2.9361427203534451</c:v>
                </c:pt>
                <c:pt idx="2">
                  <c:v>2.8982839361976986</c:v>
                </c:pt>
                <c:pt idx="3">
                  <c:v>2.6446796138587114</c:v>
                </c:pt>
                <c:pt idx="4">
                  <c:v>2.1911551712291701</c:v>
                </c:pt>
              </c:numCache>
            </c:numRef>
          </c:val>
          <c:extLst>
            <c:ext xmlns:c16="http://schemas.microsoft.com/office/drawing/2014/chart" uri="{C3380CC4-5D6E-409C-BE32-E72D297353CC}">
              <c16:uniqueId val="{00000007-B52B-41F2-AEE4-21B78F25E348}"/>
            </c:ext>
          </c:extLst>
        </c:ser>
        <c:ser>
          <c:idx val="3"/>
          <c:order val="3"/>
          <c:tx>
            <c:strRef>
              <c:f>Sheet1!$B$8</c:f>
              <c:strCache>
                <c:ptCount val="1"/>
                <c:pt idx="0">
                  <c:v>Տոկոսավճարներ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Sheet1!$C$8:$G$8</c:f>
              <c:numCache>
                <c:formatCode>_ * #,##0.0_)\ _ _ ;_ * \(#,##0.0\)\ _ _ ;_ * "-"??_)\ _ _ ;_ @_ </c:formatCode>
                <c:ptCount val="5"/>
                <c:pt idx="0">
                  <c:v>2.3103554228833496</c:v>
                </c:pt>
                <c:pt idx="1">
                  <c:v>2.4078397672570526</c:v>
                </c:pt>
                <c:pt idx="2">
                  <c:v>2.6654207937309309</c:v>
                </c:pt>
                <c:pt idx="3">
                  <c:v>3.0444195903850297</c:v>
                </c:pt>
                <c:pt idx="4">
                  <c:v>2.7246698456509009</c:v>
                </c:pt>
              </c:numCache>
            </c:numRef>
          </c:val>
          <c:extLst>
            <c:ext xmlns:c16="http://schemas.microsoft.com/office/drawing/2014/chart" uri="{C3380CC4-5D6E-409C-BE32-E72D297353CC}">
              <c16:uniqueId val="{00000008-B52B-41F2-AEE4-21B78F25E348}"/>
            </c:ext>
          </c:extLst>
        </c:ser>
        <c:ser>
          <c:idx val="4"/>
          <c:order val="4"/>
          <c:tx>
            <c:strRef>
              <c:f>Sheet1!$B$9</c:f>
              <c:strCache>
                <c:ptCount val="1"/>
                <c:pt idx="0">
                  <c:v>Սուբսիդիաներ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Sheet1!$C$9:$G$9</c:f>
              <c:numCache>
                <c:formatCode>_ * #,##0.0_)\ _ _ ;_ * \(#,##0.0\)\ _ _ ;_ * "-"??_)\ _ _ ;_ @_ </c:formatCode>
                <c:ptCount val="5"/>
                <c:pt idx="0">
                  <c:v>1.8485136909287152</c:v>
                </c:pt>
                <c:pt idx="1">
                  <c:v>1.7326900153374698</c:v>
                </c:pt>
                <c:pt idx="2">
                  <c:v>1.9263290886348872</c:v>
                </c:pt>
                <c:pt idx="3">
                  <c:v>1.9134355507618026</c:v>
                </c:pt>
                <c:pt idx="4">
                  <c:v>1.7930633288515172</c:v>
                </c:pt>
              </c:numCache>
            </c:numRef>
          </c:val>
          <c:extLst>
            <c:ext xmlns:c16="http://schemas.microsoft.com/office/drawing/2014/chart" uri="{C3380CC4-5D6E-409C-BE32-E72D297353CC}">
              <c16:uniqueId val="{00000009-B52B-41F2-AEE4-21B78F25E348}"/>
            </c:ext>
          </c:extLst>
        </c:ser>
        <c:ser>
          <c:idx val="5"/>
          <c:order val="5"/>
          <c:tx>
            <c:strRef>
              <c:f>Sheet1!$B$10</c:f>
              <c:strCache>
                <c:ptCount val="1"/>
                <c:pt idx="0">
                  <c:v>Դրամաշնորհներ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Sheet1!$C$10:$G$10</c:f>
              <c:numCache>
                <c:formatCode>_ * #,##0.0_)\ _ _ ;_ * \(#,##0.0\)\ _ _ ;_ * "-"??_)\ _ _ ;_ @_ </c:formatCode>
                <c:ptCount val="5"/>
                <c:pt idx="0">
                  <c:v>2.0993402807415853</c:v>
                </c:pt>
                <c:pt idx="1">
                  <c:v>2.2924096962493881</c:v>
                </c:pt>
                <c:pt idx="2">
                  <c:v>3.0227166624922246</c:v>
                </c:pt>
                <c:pt idx="3">
                  <c:v>2.5473898609587748</c:v>
                </c:pt>
                <c:pt idx="4">
                  <c:v>2.9013406275980662</c:v>
                </c:pt>
              </c:numCache>
            </c:numRef>
          </c:val>
          <c:extLst>
            <c:ext xmlns:c16="http://schemas.microsoft.com/office/drawing/2014/chart" uri="{C3380CC4-5D6E-409C-BE32-E72D297353CC}">
              <c16:uniqueId val="{0000000A-B52B-41F2-AEE4-21B78F25E348}"/>
            </c:ext>
          </c:extLst>
        </c:ser>
        <c:ser>
          <c:idx val="6"/>
          <c:order val="6"/>
          <c:tx>
            <c:strRef>
              <c:f>Sheet1!$B$11</c:f>
              <c:strCache>
                <c:ptCount val="1"/>
                <c:pt idx="0">
                  <c:v>Սոցիալական նպաստներ և կենսաթոշակներ</c:v>
                </c:pt>
              </c:strCache>
            </c:strRef>
          </c:tx>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Sheet1!$C$11:$G$11</c:f>
              <c:numCache>
                <c:formatCode>_ * #,##0.0_)\ _ _ ;_ * \(#,##0.0\)\ _ _ ;_ * "-"??_)\ _ _ ;_ @_ </c:formatCode>
                <c:ptCount val="5"/>
                <c:pt idx="0">
                  <c:v>7.0712352478842071</c:v>
                </c:pt>
                <c:pt idx="1">
                  <c:v>6.9264304775595784</c:v>
                </c:pt>
                <c:pt idx="2">
                  <c:v>9.0440396344084757</c:v>
                </c:pt>
                <c:pt idx="3">
                  <c:v>8.2540608157030118</c:v>
                </c:pt>
                <c:pt idx="4">
                  <c:v>7.2666396263346629</c:v>
                </c:pt>
              </c:numCache>
            </c:numRef>
          </c:val>
          <c:extLst>
            <c:ext xmlns:c16="http://schemas.microsoft.com/office/drawing/2014/chart" uri="{C3380CC4-5D6E-409C-BE32-E72D297353CC}">
              <c16:uniqueId val="{0000000B-B52B-41F2-AEE4-21B78F25E348}"/>
            </c:ext>
          </c:extLst>
        </c:ser>
        <c:ser>
          <c:idx val="7"/>
          <c:order val="7"/>
          <c:tx>
            <c:strRef>
              <c:f>Sheet1!$B$12</c:f>
              <c:strCache>
                <c:ptCount val="1"/>
                <c:pt idx="0">
                  <c:v>Այլ ծախսեր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Sheet1!$C$4:$G$4</c:f>
              <c:strCache>
                <c:ptCount val="5"/>
                <c:pt idx="0">
                  <c:v>2018 թ</c:v>
                </c:pt>
                <c:pt idx="1">
                  <c:v>2019 թ</c:v>
                </c:pt>
                <c:pt idx="2">
                  <c:v>2020 թ</c:v>
                </c:pt>
                <c:pt idx="3">
                  <c:v>2021 թ</c:v>
                </c:pt>
                <c:pt idx="4">
                  <c:v>2022 թ</c:v>
                </c:pt>
              </c:strCache>
            </c:strRef>
          </c:cat>
          <c:val>
            <c:numRef>
              <c:f>Sheet1!$C$12:$G$12</c:f>
              <c:numCache>
                <c:formatCode>_ * #,##0.0_)\ _ _ ;_ * \(#,##0.0\)\ _ _ ;_ * "-"??_)\ _ _ ;_ @_ </c:formatCode>
                <c:ptCount val="5"/>
                <c:pt idx="0">
                  <c:v>3.13340940933834</c:v>
                </c:pt>
                <c:pt idx="1">
                  <c:v>3.0305165428360867</c:v>
                </c:pt>
                <c:pt idx="2">
                  <c:v>4.5848812953133447</c:v>
                </c:pt>
                <c:pt idx="3">
                  <c:v>4.3233460261268801</c:v>
                </c:pt>
                <c:pt idx="4">
                  <c:v>4.1885488441708683</c:v>
                </c:pt>
              </c:numCache>
            </c:numRef>
          </c:val>
          <c:extLst>
            <c:ext xmlns:c16="http://schemas.microsoft.com/office/drawing/2014/chart" uri="{C3380CC4-5D6E-409C-BE32-E72D297353CC}">
              <c16:uniqueId val="{0000000C-B52B-41F2-AEE4-21B78F25E348}"/>
            </c:ext>
          </c:extLst>
        </c:ser>
        <c:dLbls>
          <c:showLegendKey val="0"/>
          <c:showVal val="0"/>
          <c:showCatName val="0"/>
          <c:showSerName val="0"/>
          <c:showPercent val="0"/>
          <c:showBubbleSize val="0"/>
        </c:dLbls>
        <c:gapWidth val="174"/>
        <c:overlap val="100"/>
        <c:axId val="447538688"/>
        <c:axId val="447540224"/>
      </c:barChart>
      <c:catAx>
        <c:axId val="447526784"/>
        <c:scaling>
          <c:orientation val="minMax"/>
        </c:scaling>
        <c:delete val="0"/>
        <c:axPos val="b"/>
        <c:numFmt formatCode="General" sourceLinked="1"/>
        <c:majorTickMark val="none"/>
        <c:minorTickMark val="none"/>
        <c:tickLblPos val="nextTo"/>
        <c:spPr>
          <a:noFill/>
          <a:ln w="25365" cap="flat" cmpd="sng" algn="ctr">
            <a:solidFill>
              <a:schemeClr val="tx2">
                <a:lumMod val="50000"/>
              </a:schemeClr>
            </a:solidFill>
            <a:round/>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447528320"/>
        <c:crosses val="autoZero"/>
        <c:auto val="1"/>
        <c:lblAlgn val="ctr"/>
        <c:lblOffset val="100"/>
        <c:noMultiLvlLbl val="0"/>
      </c:catAx>
      <c:valAx>
        <c:axId val="447528320"/>
        <c:scaling>
          <c:orientation val="minMax"/>
          <c:max val="30"/>
          <c:min val="0"/>
        </c:scaling>
        <c:delete val="0"/>
        <c:axPos val="l"/>
        <c:majorGridlines>
          <c:spPr>
            <a:ln w="9512"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Times Armenian"/>
                    <a:ea typeface="Times Armenian"/>
                    <a:cs typeface="Times Armenian"/>
                  </a:defRPr>
                </a:pPr>
                <a:r>
                  <a:rPr lang="en-US" sz="1324" b="1" i="0" u="none" strike="noStrike" baseline="0">
                    <a:solidFill>
                      <a:srgbClr val="003366"/>
                    </a:solidFill>
                    <a:latin typeface="GHEA Grapalat"/>
                  </a:rPr>
                  <a:t>%-ով</a:t>
                </a:r>
              </a:p>
            </c:rich>
          </c:tx>
          <c:layout>
            <c:manualLayout>
              <c:xMode val="edge"/>
              <c:yMode val="edge"/>
              <c:x val="6.3495455351039329E-2"/>
              <c:y val="0.34186785536105524"/>
            </c:manualLayout>
          </c:layout>
          <c:overlay val="0"/>
          <c:spPr>
            <a:noFill/>
            <a:ln w="25384">
              <a:noFill/>
            </a:ln>
          </c:spPr>
        </c:title>
        <c:numFmt formatCode="_ * #,##0.0_)\ _ _ ;_ * \(#,##0.0\)\ _ _ ;_ * &quot;-&quot;??_)\ _ _ ;_ @_ " sourceLinked="1"/>
        <c:majorTickMark val="none"/>
        <c:minorTickMark val="none"/>
        <c:tickLblPos val="nextTo"/>
        <c:spPr>
          <a:noFill/>
          <a:ln w="28535">
            <a:solidFill>
              <a:schemeClr val="tx2">
                <a:lumMod val="50000"/>
              </a:schemeClr>
            </a:solidFill>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447526784"/>
        <c:crosses val="autoZero"/>
        <c:crossBetween val="between"/>
        <c:majorUnit val="9"/>
      </c:valAx>
      <c:catAx>
        <c:axId val="447538688"/>
        <c:scaling>
          <c:orientation val="minMax"/>
        </c:scaling>
        <c:delete val="1"/>
        <c:axPos val="b"/>
        <c:numFmt formatCode="General" sourceLinked="1"/>
        <c:majorTickMark val="out"/>
        <c:minorTickMark val="none"/>
        <c:tickLblPos val="none"/>
        <c:crossAx val="447540224"/>
        <c:crosses val="autoZero"/>
        <c:auto val="1"/>
        <c:lblAlgn val="ctr"/>
        <c:lblOffset val="100"/>
        <c:noMultiLvlLbl val="0"/>
      </c:catAx>
      <c:valAx>
        <c:axId val="447540224"/>
        <c:scaling>
          <c:orientation val="minMax"/>
          <c:max val="1800"/>
          <c:min val="0"/>
        </c:scaling>
        <c:delete val="1"/>
        <c:axPos val="r"/>
        <c:numFmt formatCode="_ * #,##0.0_)\ _ _ ;_ * \(#,##0.0\)\ _ _ ;_ * &quot;-&quot;??_)\ _ _ ;_ @_ " sourceLinked="1"/>
        <c:majorTickMark val="out"/>
        <c:minorTickMark val="none"/>
        <c:tickLblPos val="none"/>
        <c:crossAx val="447538688"/>
        <c:crosses val="max"/>
        <c:crossBetween val="between"/>
        <c:majorUnit val="200"/>
      </c:valAx>
      <c:spPr>
        <a:noFill/>
        <a:ln w="25384">
          <a:noFill/>
        </a:ln>
      </c:spPr>
    </c:plotArea>
    <c:legend>
      <c:legendPos val="b"/>
      <c:legendEntry>
        <c:idx val="0"/>
        <c:delete val="1"/>
      </c:legendEntry>
      <c:layout>
        <c:manualLayout>
          <c:xMode val="edge"/>
          <c:yMode val="edge"/>
          <c:x val="2.4081482352019432E-2"/>
          <c:y val="0.73774320634163226"/>
          <c:w val="0.93770531095188703"/>
          <c:h val="0.26225678401770031"/>
        </c:manualLayout>
      </c:layout>
      <c:overlay val="0"/>
      <c:spPr>
        <a:noFill/>
        <a:ln w="2538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54904248080105"/>
          <c:y val="3.4598351262430223E-2"/>
          <c:w val="0.89231829274929153"/>
          <c:h val="0.71384989534536081"/>
        </c:manualLayout>
      </c:layout>
      <c:barChart>
        <c:barDir val="col"/>
        <c:grouping val="stacked"/>
        <c:varyColors val="0"/>
        <c:ser>
          <c:idx val="0"/>
          <c:order val="0"/>
          <c:tx>
            <c:strRef>
              <c:f>Sheet1!$B$7</c:f>
              <c:strCache>
                <c:ptCount val="1"/>
                <c:pt idx="0">
                  <c:v>Կապիտալ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7083697871099482E-2"/>
                  <c:y val="-5.9544071075622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38A-44D2-9E24-08402B190ACD}"/>
                </c:ext>
              </c:extLst>
            </c:dLbl>
            <c:dLbl>
              <c:idx val="1"/>
              <c:layout>
                <c:manualLayout>
                  <c:x val="-8.9120089497009641E-2"/>
                  <c:y val="-8.214258931919217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8A-44D2-9E24-08402B190ACD}"/>
                </c:ext>
              </c:extLst>
            </c:dLbl>
            <c:dLbl>
              <c:idx val="2"/>
              <c:layout>
                <c:manualLayout>
                  <c:x val="-9.4399864115598905E-2"/>
                  <c:y val="4.0759882988194223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38A-44D2-9E24-08402B190ACD}"/>
                </c:ext>
              </c:extLst>
            </c:dLbl>
            <c:dLbl>
              <c:idx val="3"/>
              <c:layout>
                <c:manualLayout>
                  <c:x val="-0.10822873370336905"/>
                  <c:y val="-5.723927366222141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38A-44D2-9E24-08402B190ACD}"/>
                </c:ext>
              </c:extLst>
            </c:dLbl>
            <c:dLbl>
              <c:idx val="4"/>
              <c:layout>
                <c:manualLayout>
                  <c:x val="-0.10257185444412042"/>
                  <c:y val="-2.210343425381686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38A-44D2-9E24-08402B190ACD}"/>
                </c:ext>
              </c:extLst>
            </c:dLbl>
            <c:spPr>
              <a:noFill/>
              <a:ln w="25383">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2020թ</c:v>
                </c:pt>
                <c:pt idx="3">
                  <c:v>2021 թ</c:v>
                </c:pt>
                <c:pt idx="4">
                  <c:v>2022 թ</c:v>
                </c:pt>
              </c:strCache>
            </c:strRef>
          </c:cat>
          <c:val>
            <c:numRef>
              <c:f>Sheet1!$C$7:$G$7</c:f>
              <c:numCache>
                <c:formatCode>_(* #,##0.0_);_(* \(#,##0.0\);_(* "-"??_);_(@_)</c:formatCode>
                <c:ptCount val="5"/>
                <c:pt idx="0">
                  <c:v>152</c:v>
                </c:pt>
                <c:pt idx="1">
                  <c:v>193</c:v>
                </c:pt>
                <c:pt idx="2">
                  <c:v>227.7</c:v>
                </c:pt>
                <c:pt idx="3">
                  <c:v>215.9</c:v>
                </c:pt>
                <c:pt idx="4">
                  <c:v>356.6</c:v>
                </c:pt>
              </c:numCache>
            </c:numRef>
          </c:val>
          <c:extLst>
            <c:ext xmlns:c16="http://schemas.microsoft.com/office/drawing/2014/chart" uri="{C3380CC4-5D6E-409C-BE32-E72D297353CC}">
              <c16:uniqueId val="{00000005-838A-44D2-9E24-08402B190ACD}"/>
            </c:ext>
          </c:extLst>
        </c:ser>
        <c:dLbls>
          <c:showLegendKey val="0"/>
          <c:showVal val="0"/>
          <c:showCatName val="0"/>
          <c:showSerName val="0"/>
          <c:showPercent val="0"/>
          <c:showBubbleSize val="0"/>
        </c:dLbls>
        <c:gapWidth val="34"/>
        <c:overlap val="100"/>
        <c:axId val="258369408"/>
        <c:axId val="258370944"/>
      </c:barChart>
      <c:barChart>
        <c:barDir val="col"/>
        <c:grouping val="stacked"/>
        <c:varyColors val="0"/>
        <c:ser>
          <c:idx val="1"/>
          <c:order val="1"/>
          <c:tx>
            <c:strRef>
              <c:f>Sheet1!$B$8</c:f>
              <c:strCache>
                <c:ptCount val="1"/>
                <c:pt idx="0">
                  <c:v>արտաքին ռեսուրսների հաշվին իրականացվող ծրագրեր (ներառյալ ՀՀ կառավարության համաֆինանսավորումը)</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2020թ</c:v>
                </c:pt>
                <c:pt idx="3">
                  <c:v>2021 թ</c:v>
                </c:pt>
                <c:pt idx="4">
                  <c:v>2022 թ</c:v>
                </c:pt>
              </c:strCache>
            </c:strRef>
          </c:cat>
          <c:val>
            <c:numRef>
              <c:f>Sheet1!$C$8:$G$8</c:f>
              <c:numCache>
                <c:formatCode>_(* #,##0.0_);_(* \(#,##0.0\);_(* "-"??_);_(@_)</c:formatCode>
                <c:ptCount val="5"/>
                <c:pt idx="0">
                  <c:v>67.7</c:v>
                </c:pt>
                <c:pt idx="1">
                  <c:v>71.599999999999994</c:v>
                </c:pt>
                <c:pt idx="2">
                  <c:v>44.3</c:v>
                </c:pt>
                <c:pt idx="3">
                  <c:v>82.9</c:v>
                </c:pt>
                <c:pt idx="4">
                  <c:v>134.80000000000001</c:v>
                </c:pt>
              </c:numCache>
            </c:numRef>
          </c:val>
          <c:extLst>
            <c:ext xmlns:c16="http://schemas.microsoft.com/office/drawing/2014/chart" uri="{C3380CC4-5D6E-409C-BE32-E72D297353CC}">
              <c16:uniqueId val="{00000006-838A-44D2-9E24-08402B190ACD}"/>
            </c:ext>
          </c:extLst>
        </c:ser>
        <c:ser>
          <c:idx val="2"/>
          <c:order val="2"/>
          <c:tx>
            <c:strRef>
              <c:f>Sheet1!$B$9</c:f>
              <c:strCache>
                <c:ptCount val="1"/>
                <c:pt idx="0">
                  <c:v>ներքին ռեսուրսների հաշվին իրականացվող ծրագրեր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2020թ</c:v>
                </c:pt>
                <c:pt idx="3">
                  <c:v>2021 թ</c:v>
                </c:pt>
                <c:pt idx="4">
                  <c:v>2022 թ</c:v>
                </c:pt>
              </c:strCache>
            </c:strRef>
          </c:cat>
          <c:val>
            <c:numRef>
              <c:f>Sheet1!$C$9:$G$9</c:f>
              <c:numCache>
                <c:formatCode>_(* #,##0.0_);_(* \(#,##0.0\);_(* "-"??_);_(@_)</c:formatCode>
                <c:ptCount val="5"/>
                <c:pt idx="0">
                  <c:v>84.3</c:v>
                </c:pt>
                <c:pt idx="1">
                  <c:v>121.4</c:v>
                </c:pt>
                <c:pt idx="2">
                  <c:v>183.4</c:v>
                </c:pt>
                <c:pt idx="3">
                  <c:v>133</c:v>
                </c:pt>
                <c:pt idx="4">
                  <c:v>221.8</c:v>
                </c:pt>
              </c:numCache>
            </c:numRef>
          </c:val>
          <c:extLst>
            <c:ext xmlns:c16="http://schemas.microsoft.com/office/drawing/2014/chart" uri="{C3380CC4-5D6E-409C-BE32-E72D297353CC}">
              <c16:uniqueId val="{00000007-838A-44D2-9E24-08402B190ACD}"/>
            </c:ext>
          </c:extLst>
        </c:ser>
        <c:dLbls>
          <c:showLegendKey val="0"/>
          <c:showVal val="0"/>
          <c:showCatName val="0"/>
          <c:showSerName val="0"/>
          <c:showPercent val="0"/>
          <c:showBubbleSize val="0"/>
        </c:dLbls>
        <c:gapWidth val="232"/>
        <c:overlap val="100"/>
        <c:axId val="258376832"/>
        <c:axId val="258378368"/>
      </c:barChart>
      <c:catAx>
        <c:axId val="258369408"/>
        <c:scaling>
          <c:orientation val="minMax"/>
        </c:scaling>
        <c:delete val="0"/>
        <c:axPos val="b"/>
        <c:numFmt formatCode="General" sourceLinked="1"/>
        <c:majorTickMark val="none"/>
        <c:minorTickMark val="none"/>
        <c:tickLblPos val="nextTo"/>
        <c:spPr>
          <a:noFill/>
          <a:ln w="25383" cap="flat" cmpd="sng" algn="ctr">
            <a:solidFill>
              <a:schemeClr val="tx2">
                <a:lumMod val="50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258370944"/>
        <c:crosses val="autoZero"/>
        <c:auto val="1"/>
        <c:lblAlgn val="ctr"/>
        <c:lblOffset val="100"/>
        <c:noMultiLvlLbl val="0"/>
      </c:catAx>
      <c:valAx>
        <c:axId val="258370944"/>
        <c:scaling>
          <c:orientation val="minMax"/>
          <c:max val="400"/>
        </c:scaling>
        <c:delete val="0"/>
        <c:axPos val="l"/>
        <c:majorGridlines>
          <c:spPr>
            <a:ln w="9518"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258369408"/>
        <c:crosses val="autoZero"/>
        <c:crossBetween val="between"/>
        <c:majorUnit val="100"/>
      </c:valAx>
      <c:catAx>
        <c:axId val="258376832"/>
        <c:scaling>
          <c:orientation val="minMax"/>
        </c:scaling>
        <c:delete val="1"/>
        <c:axPos val="b"/>
        <c:numFmt formatCode="General" sourceLinked="1"/>
        <c:majorTickMark val="out"/>
        <c:minorTickMark val="none"/>
        <c:tickLblPos val="none"/>
        <c:crossAx val="258378368"/>
        <c:crosses val="autoZero"/>
        <c:auto val="1"/>
        <c:lblAlgn val="ctr"/>
        <c:lblOffset val="100"/>
        <c:noMultiLvlLbl val="0"/>
      </c:catAx>
      <c:valAx>
        <c:axId val="258378368"/>
        <c:scaling>
          <c:orientation val="minMax"/>
          <c:max val="1800"/>
          <c:min val="0"/>
        </c:scaling>
        <c:delete val="1"/>
        <c:axPos val="r"/>
        <c:numFmt formatCode="_(* #,##0.0_);_(* \(#,##0.0\);_(* &quot;-&quot;??_);_(@_)" sourceLinked="1"/>
        <c:majorTickMark val="out"/>
        <c:minorTickMark val="none"/>
        <c:tickLblPos val="none"/>
        <c:crossAx val="258376832"/>
        <c:crosses val="max"/>
        <c:crossBetween val="between"/>
        <c:majorUnit val="200"/>
      </c:valAx>
      <c:spPr>
        <a:noFill/>
        <a:ln w="25383">
          <a:noFill/>
        </a:ln>
      </c:spPr>
    </c:plotArea>
    <c:legend>
      <c:legendPos val="b"/>
      <c:legendEntry>
        <c:idx val="0"/>
        <c:delete val="1"/>
      </c:legendEntry>
      <c:layout>
        <c:manualLayout>
          <c:xMode val="edge"/>
          <c:yMode val="edge"/>
          <c:x val="8.8978571708387216E-2"/>
          <c:y val="0.82125816362506932"/>
          <c:w val="0.89454930074039252"/>
          <c:h val="0.16204041658971741"/>
        </c:manualLayout>
      </c:layout>
      <c:overlay val="0"/>
      <c:spPr>
        <a:noFill/>
        <a:ln w="2538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 2018-2022թ․ ընդամենը ծախսեր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Sheet1!$B$1:$F$1</c:f>
              <c:strCache>
                <c:ptCount val="5"/>
                <c:pt idx="0">
                  <c:v>2018թ․ փաստացի</c:v>
                </c:pt>
                <c:pt idx="1">
                  <c:v>2019թ․ փաստացի</c:v>
                </c:pt>
                <c:pt idx="2">
                  <c:v>2020թ․ փաստացի</c:v>
                </c:pt>
                <c:pt idx="3">
                  <c:v>2021թ․ հաստատված</c:v>
                </c:pt>
                <c:pt idx="4">
                  <c:v>2022թ․ նախագիծ</c:v>
                </c:pt>
              </c:strCache>
            </c:strRef>
          </c:cat>
          <c:val>
            <c:numRef>
              <c:f>Sheet1!$B$2:$F$2</c:f>
              <c:numCache>
                <c:formatCode>_(* #,##0_);_(* \(#,##0\);_(* "-"??_);_(@_)</c:formatCode>
                <c:ptCount val="5"/>
                <c:pt idx="0" formatCode="#,##0.0">
                  <c:v>1447</c:v>
                </c:pt>
                <c:pt idx="1">
                  <c:v>1629</c:v>
                </c:pt>
                <c:pt idx="2" formatCode="_(* #,##0.0_);_(* \(#,##0.0\);_(* &quot;-&quot;??_);_(@_)">
                  <c:v>1894.6</c:v>
                </c:pt>
                <c:pt idx="3" formatCode="_(* #,##0.0_);_(* \(#,##0.0\);_(* &quot;-&quot;??_);_(@_)">
                  <c:v>1850.9</c:v>
                </c:pt>
                <c:pt idx="4" formatCode="_(* #,##0.0_);_(* \(#,##0.0\);_(* &quot;-&quot;??_);_(@_)">
                  <c:v>2189.1999999999998</c:v>
                </c:pt>
              </c:numCache>
            </c:numRef>
          </c:val>
          <c:extLst>
            <c:ext xmlns:c16="http://schemas.microsoft.com/office/drawing/2014/chart" uri="{C3380CC4-5D6E-409C-BE32-E72D297353CC}">
              <c16:uniqueId val="{00000000-082D-4F1A-9EED-7FD9EC3E0B96}"/>
            </c:ext>
          </c:extLst>
        </c:ser>
        <c:ser>
          <c:idx val="1"/>
          <c:order val="1"/>
          <c:tx>
            <c:strRef>
              <c:f>Sheet1!$A$3</c:f>
              <c:strCache>
                <c:ptCount val="1"/>
                <c:pt idx="0">
                  <c:v>տարբերությունը նախորդ տարվա համեմատությամբ</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Sheet1!$B$1:$F$1</c:f>
              <c:strCache>
                <c:ptCount val="5"/>
                <c:pt idx="0">
                  <c:v>2018թ․ փաստացի</c:v>
                </c:pt>
                <c:pt idx="1">
                  <c:v>2019թ․ փաստացի</c:v>
                </c:pt>
                <c:pt idx="2">
                  <c:v>2020թ․ փաստացի</c:v>
                </c:pt>
                <c:pt idx="3">
                  <c:v>2021թ․ հաստատված</c:v>
                </c:pt>
                <c:pt idx="4">
                  <c:v>2022թ․ նախագիծ</c:v>
                </c:pt>
              </c:strCache>
            </c:strRef>
          </c:cat>
          <c:val>
            <c:numRef>
              <c:f>Sheet1!$B$3:$F$3</c:f>
              <c:numCache>
                <c:formatCode>0.0</c:formatCode>
                <c:ptCount val="5"/>
                <c:pt idx="1">
                  <c:v>182</c:v>
                </c:pt>
                <c:pt idx="2" formatCode="_(* #,##0.0_);_(* \(#,##0.0\);_(* &quot;-&quot;?_);_(@_)">
                  <c:v>265.59999999999991</c:v>
                </c:pt>
                <c:pt idx="3" formatCode="_(* #,##0.00_);_(* \(#,##0.00\);_(* &quot;-&quot;??_);_(@_)">
                  <c:v>-43.699999999999818</c:v>
                </c:pt>
                <c:pt idx="4" formatCode="_(* #,##0_);_(* \(#,##0\);_(* &quot;-&quot;??_);_(@_)">
                  <c:v>338.29999999999973</c:v>
                </c:pt>
              </c:numCache>
            </c:numRef>
          </c:val>
          <c:extLst>
            <c:ext xmlns:c16="http://schemas.microsoft.com/office/drawing/2014/chart" uri="{C3380CC4-5D6E-409C-BE32-E72D297353CC}">
              <c16:uniqueId val="{00000001-082D-4F1A-9EED-7FD9EC3E0B96}"/>
            </c:ext>
          </c:extLst>
        </c:ser>
        <c:dLbls>
          <c:showLegendKey val="0"/>
          <c:showVal val="0"/>
          <c:showCatName val="0"/>
          <c:showSerName val="0"/>
          <c:showPercent val="0"/>
          <c:showBubbleSize val="0"/>
        </c:dLbls>
        <c:gapWidth val="100"/>
        <c:overlap val="-24"/>
        <c:axId val="134290816"/>
        <c:axId val="134304896"/>
      </c:barChart>
      <c:catAx>
        <c:axId val="134290816"/>
        <c:scaling>
          <c:orientation val="minMax"/>
        </c:scaling>
        <c:delete val="0"/>
        <c:axPos val="b"/>
        <c:numFmt formatCode="General" sourceLinked="0"/>
        <c:majorTickMark val="none"/>
        <c:minorTickMark val="none"/>
        <c:tickLblPos val="nextTo"/>
        <c:spPr>
          <a:noFill/>
          <a:ln w="9268" cap="flat" cmpd="sng" algn="ctr">
            <a:solidFill>
              <a:schemeClr val="tx2">
                <a:lumMod val="15000"/>
                <a:lumOff val="85000"/>
              </a:schemeClr>
            </a:solidFill>
            <a:round/>
          </a:ln>
          <a:effectLst/>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134304896"/>
        <c:crosses val="autoZero"/>
        <c:auto val="1"/>
        <c:lblAlgn val="ctr"/>
        <c:lblOffset val="100"/>
        <c:noMultiLvlLbl val="0"/>
      </c:catAx>
      <c:valAx>
        <c:axId val="134304896"/>
        <c:scaling>
          <c:orientation val="minMax"/>
        </c:scaling>
        <c:delete val="0"/>
        <c:axPos val="l"/>
        <c:majorGridlines>
          <c:spPr>
            <a:ln w="9268" cap="flat" cmpd="sng" algn="ctr">
              <a:solidFill>
                <a:schemeClr val="tx2">
                  <a:lumMod val="15000"/>
                  <a:lumOff val="85000"/>
                </a:schemeClr>
              </a:solidFill>
              <a:round/>
            </a:ln>
            <a:effectLst/>
          </c:spPr>
        </c:majorGridlines>
        <c:numFmt formatCode="#,##0.0" sourceLinked="1"/>
        <c:majorTickMark val="none"/>
        <c:minorTickMark val="none"/>
        <c:tickLblPos val="nextTo"/>
        <c:spPr>
          <a:ln w="9268">
            <a:noFill/>
          </a:ln>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134290816"/>
        <c:crosses val="autoZero"/>
        <c:crossBetween val="between"/>
      </c:valAx>
      <c:dTable>
        <c:showHorzBorder val="1"/>
        <c:showVertBorder val="1"/>
        <c:showOutline val="1"/>
        <c:showKeys val="0"/>
        <c:spPr>
          <a:noFill/>
          <a:ln w="9268">
            <a:solidFill>
              <a:schemeClr val="tx2">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2"/>
                </a:solidFill>
                <a:latin typeface="+mn-lt"/>
                <a:ea typeface="+mn-ea"/>
                <a:cs typeface="+mn-cs"/>
              </a:defRPr>
            </a:pPr>
            <a:endParaRPr lang="en-US"/>
          </a:p>
        </c:txPr>
      </c:dTable>
      <c:spPr>
        <a:noFill/>
        <a:ln w="25357">
          <a:noFill/>
        </a:ln>
      </c:spPr>
    </c:plotArea>
    <c:legend>
      <c:legendPos val="b"/>
      <c:layout>
        <c:manualLayout>
          <c:xMode val="edge"/>
          <c:yMode val="edge"/>
          <c:x val="4.6738665148153377E-2"/>
          <c:y val="0.91527637598916056"/>
          <c:w val="0.9"/>
          <c:h val="7.7194934411213542E-2"/>
        </c:manualLayout>
      </c:layout>
      <c:overlay val="0"/>
      <c:spPr>
        <a:noFill/>
        <a:ln w="24717">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31038709981612"/>
          <c:y val="7.4597024825874922E-2"/>
          <c:w val="0.79223505744416678"/>
          <c:h val="0.57827361283427725"/>
        </c:manualLayout>
      </c:layout>
      <c:lineChart>
        <c:grouping val="standard"/>
        <c:varyColors val="0"/>
        <c:ser>
          <c:idx val="0"/>
          <c:order val="0"/>
          <c:tx>
            <c:strRef>
              <c:f>Sheet1!$B$1</c:f>
              <c:strCache>
                <c:ptCount val="1"/>
                <c:pt idx="0">
                  <c:v>Հայաստան (2025թ.)</c:v>
                </c:pt>
              </c:strCache>
            </c:strRef>
          </c:tx>
          <c:spPr>
            <a:ln w="28575" cap="rnd">
              <a:solidFill>
                <a:schemeClr val="accent1"/>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Sheet1!$B$2:$B$707</c:f>
              <c:numCache>
                <c:formatCode>_(* #,##0_);_(* \(#,##0\);_(* "-"??_);_(@_)</c:formatCode>
                <c:ptCount val="706"/>
                <c:pt idx="0">
                  <c:v>349.47500000000002</c:v>
                </c:pt>
                <c:pt idx="1">
                  <c:v>352.94799999999998</c:v>
                </c:pt>
                <c:pt idx="2">
                  <c:v>360.71100000000001</c:v>
                </c:pt>
                <c:pt idx="3">
                  <c:v>346.64499999999998</c:v>
                </c:pt>
                <c:pt idx="4">
                  <c:v>333.41800000000001</c:v>
                </c:pt>
                <c:pt idx="5">
                  <c:v>327.08300000000003</c:v>
                </c:pt>
                <c:pt idx="6">
                  <c:v>328.05900000000003</c:v>
                </c:pt>
                <c:pt idx="7">
                  <c:v>327.00799999999998</c:v>
                </c:pt>
                <c:pt idx="8">
                  <c:v>328.87900000000002</c:v>
                </c:pt>
                <c:pt idx="9">
                  <c:v>327.29500000000002</c:v>
                </c:pt>
                <c:pt idx="10">
                  <c:v>323.40800000000002</c:v>
                </c:pt>
                <c:pt idx="11">
                  <c:v>317.42200000000003</c:v>
                </c:pt>
                <c:pt idx="12">
                  <c:v>312.34699999999998</c:v>
                </c:pt>
                <c:pt idx="13">
                  <c:v>284.11</c:v>
                </c:pt>
                <c:pt idx="14">
                  <c:v>288.69499999999999</c:v>
                </c:pt>
                <c:pt idx="15">
                  <c:v>285.29399999999998</c:v>
                </c:pt>
                <c:pt idx="16">
                  <c:v>284.07600000000002</c:v>
                </c:pt>
                <c:pt idx="17">
                  <c:v>279.541</c:v>
                </c:pt>
                <c:pt idx="18">
                  <c:v>280.17700000000002</c:v>
                </c:pt>
                <c:pt idx="19">
                  <c:v>285.596</c:v>
                </c:pt>
                <c:pt idx="20">
                  <c:v>292.20100000000002</c:v>
                </c:pt>
                <c:pt idx="21">
                  <c:v>295.45499999999998</c:v>
                </c:pt>
                <c:pt idx="22">
                  <c:v>291.26400000000001</c:v>
                </c:pt>
                <c:pt idx="23">
                  <c:v>284.47000000000003</c:v>
                </c:pt>
                <c:pt idx="24">
                  <c:v>281.05799999999999</c:v>
                </c:pt>
                <c:pt idx="25">
                  <c:v>272.69</c:v>
                </c:pt>
                <c:pt idx="26">
                  <c:v>274.69900000000001</c:v>
                </c:pt>
                <c:pt idx="27">
                  <c:v>274.39999999999998</c:v>
                </c:pt>
                <c:pt idx="28">
                  <c:v>277.911</c:v>
                </c:pt>
                <c:pt idx="29">
                  <c:v>277.22300000000001</c:v>
                </c:pt>
                <c:pt idx="30">
                  <c:v>271.29500000000002</c:v>
                </c:pt>
                <c:pt idx="31">
                  <c:v>264.51299999999998</c:v>
                </c:pt>
                <c:pt idx="32">
                  <c:v>269.43</c:v>
                </c:pt>
                <c:pt idx="33">
                  <c:v>268.61900000000003</c:v>
                </c:pt>
                <c:pt idx="34">
                  <c:v>268.214</c:v>
                </c:pt>
                <c:pt idx="35">
                  <c:v>268.15199999999999</c:v>
                </c:pt>
                <c:pt idx="36">
                  <c:v>265.80200000000002</c:v>
                </c:pt>
                <c:pt idx="37">
                  <c:v>266.00299999999999</c:v>
                </c:pt>
                <c:pt idx="38">
                  <c:v>267.53199999999998</c:v>
                </c:pt>
                <c:pt idx="39">
                  <c:v>265.25</c:v>
                </c:pt>
                <c:pt idx="40">
                  <c:v>267.57799999999997</c:v>
                </c:pt>
                <c:pt idx="41">
                  <c:v>257.74599999999998</c:v>
                </c:pt>
                <c:pt idx="42">
                  <c:v>251.11</c:v>
                </c:pt>
                <c:pt idx="43">
                  <c:v>250.22499999999999</c:v>
                </c:pt>
                <c:pt idx="44">
                  <c:v>251.34700000000001</c:v>
                </c:pt>
                <c:pt idx="45">
                  <c:v>253.07</c:v>
                </c:pt>
                <c:pt idx="46">
                  <c:v>253.52</c:v>
                </c:pt>
                <c:pt idx="47">
                  <c:v>255.77099999999999</c:v>
                </c:pt>
                <c:pt idx="48">
                  <c:v>254.97800000000001</c:v>
                </c:pt>
                <c:pt idx="49">
                  <c:v>253.73599999999999</c:v>
                </c:pt>
                <c:pt idx="50">
                  <c:v>255.499</c:v>
                </c:pt>
                <c:pt idx="51">
                  <c:v>254.63200000000001</c:v>
                </c:pt>
                <c:pt idx="52">
                  <c:v>255.214</c:v>
                </c:pt>
                <c:pt idx="53">
                  <c:v>256.41399999999999</c:v>
                </c:pt>
                <c:pt idx="54">
                  <c:v>254.30799999999999</c:v>
                </c:pt>
                <c:pt idx="55">
                  <c:v>257.048</c:v>
                </c:pt>
                <c:pt idx="56">
                  <c:v>262.00799999999998</c:v>
                </c:pt>
                <c:pt idx="57">
                  <c:v>255.96799999999999</c:v>
                </c:pt>
                <c:pt idx="58">
                  <c:v>264.55500000000001</c:v>
                </c:pt>
                <c:pt idx="59">
                  <c:v>269.7</c:v>
                </c:pt>
                <c:pt idx="60">
                  <c:v>268.01100000000002</c:v>
                </c:pt>
                <c:pt idx="61">
                  <c:v>273.04000000000002</c:v>
                </c:pt>
                <c:pt idx="62">
                  <c:v>270.59699999999998</c:v>
                </c:pt>
                <c:pt idx="63">
                  <c:v>261.90100000000001</c:v>
                </c:pt>
                <c:pt idx="64">
                  <c:v>251.36500000000001</c:v>
                </c:pt>
                <c:pt idx="65">
                  <c:v>255.54</c:v>
                </c:pt>
                <c:pt idx="66">
                  <c:v>253.035</c:v>
                </c:pt>
                <c:pt idx="67">
                  <c:v>253.166</c:v>
                </c:pt>
                <c:pt idx="68">
                  <c:v>254.38</c:v>
                </c:pt>
                <c:pt idx="69">
                  <c:v>251.375</c:v>
                </c:pt>
                <c:pt idx="70">
                  <c:v>252.429</c:v>
                </c:pt>
                <c:pt idx="71">
                  <c:v>257.97300000000001</c:v>
                </c:pt>
                <c:pt idx="72">
                  <c:v>255.78800000000001</c:v>
                </c:pt>
                <c:pt idx="73">
                  <c:v>249.745</c:v>
                </c:pt>
                <c:pt idx="74">
                  <c:v>247.036</c:v>
                </c:pt>
                <c:pt idx="75">
                  <c:v>244.05500000000001</c:v>
                </c:pt>
                <c:pt idx="76">
                  <c:v>242.33600000000001</c:v>
                </c:pt>
                <c:pt idx="77">
                  <c:v>247.244</c:v>
                </c:pt>
                <c:pt idx="78">
                  <c:v>247.244</c:v>
                </c:pt>
                <c:pt idx="79">
                  <c:v>245.321</c:v>
                </c:pt>
                <c:pt idx="80">
                  <c:v>246.20400000000001</c:v>
                </c:pt>
                <c:pt idx="81">
                  <c:v>250.18199999999999</c:v>
                </c:pt>
                <c:pt idx="82">
                  <c:v>248.32400000000001</c:v>
                </c:pt>
                <c:pt idx="83">
                  <c:v>252.935</c:v>
                </c:pt>
                <c:pt idx="84">
                  <c:v>248.447</c:v>
                </c:pt>
                <c:pt idx="85">
                  <c:v>249.13300000000001</c:v>
                </c:pt>
                <c:pt idx="86">
                  <c:v>245.702</c:v>
                </c:pt>
                <c:pt idx="87">
                  <c:v>240.01599999999999</c:v>
                </c:pt>
                <c:pt idx="88">
                  <c:v>240.239</c:v>
                </c:pt>
                <c:pt idx="89">
                  <c:v>243.018</c:v>
                </c:pt>
                <c:pt idx="90">
                  <c:v>246.096</c:v>
                </c:pt>
                <c:pt idx="91">
                  <c:v>240.44200000000001</c:v>
                </c:pt>
                <c:pt idx="92">
                  <c:v>246.167</c:v>
                </c:pt>
                <c:pt idx="93">
                  <c:v>239.13399999999999</c:v>
                </c:pt>
                <c:pt idx="94">
                  <c:v>250.78</c:v>
                </c:pt>
                <c:pt idx="95">
                  <c:v>245.28299999999999</c:v>
                </c:pt>
                <c:pt idx="96">
                  <c:v>248.61199999999999</c:v>
                </c:pt>
                <c:pt idx="97">
                  <c:v>240.10599999999999</c:v>
                </c:pt>
                <c:pt idx="98">
                  <c:v>240.28</c:v>
                </c:pt>
                <c:pt idx="99">
                  <c:v>236.18100000000001</c:v>
                </c:pt>
                <c:pt idx="100">
                  <c:v>233.351</c:v>
                </c:pt>
                <c:pt idx="101">
                  <c:v>236.441</c:v>
                </c:pt>
                <c:pt idx="102">
                  <c:v>244.11799999999999</c:v>
                </c:pt>
                <c:pt idx="103">
                  <c:v>242.44499999999999</c:v>
                </c:pt>
                <c:pt idx="104">
                  <c:v>245.92099999999999</c:v>
                </c:pt>
                <c:pt idx="105">
                  <c:v>245.84800000000001</c:v>
                </c:pt>
                <c:pt idx="106">
                  <c:v>245.02099999999999</c:v>
                </c:pt>
                <c:pt idx="107">
                  <c:v>246.56</c:v>
                </c:pt>
                <c:pt idx="108">
                  <c:v>257.137</c:v>
                </c:pt>
                <c:pt idx="109">
                  <c:v>269.28800000000001</c:v>
                </c:pt>
                <c:pt idx="110">
                  <c:v>258.68299999999999</c:v>
                </c:pt>
                <c:pt idx="111">
                  <c:v>255.99299999999999</c:v>
                </c:pt>
                <c:pt idx="112">
                  <c:v>254.43100000000001</c:v>
                </c:pt>
                <c:pt idx="113">
                  <c:v>253.54599999999999</c:v>
                </c:pt>
                <c:pt idx="114">
                  <c:v>248.25200000000001</c:v>
                </c:pt>
                <c:pt idx="115">
                  <c:v>249.374</c:v>
                </c:pt>
                <c:pt idx="116">
                  <c:v>255.46600000000001</c:v>
                </c:pt>
                <c:pt idx="117">
                  <c:v>259.90199999999999</c:v>
                </c:pt>
                <c:pt idx="118">
                  <c:v>259.697</c:v>
                </c:pt>
                <c:pt idx="119">
                  <c:v>249.31100000000001</c:v>
                </c:pt>
                <c:pt idx="120">
                  <c:v>246.73099999999999</c:v>
                </c:pt>
                <c:pt idx="121">
                  <c:v>249.767</c:v>
                </c:pt>
                <c:pt idx="122">
                  <c:v>234.29499999999999</c:v>
                </c:pt>
                <c:pt idx="123">
                  <c:v>243.559</c:v>
                </c:pt>
                <c:pt idx="124">
                  <c:v>242.59200000000001</c:v>
                </c:pt>
                <c:pt idx="125">
                  <c:v>242.964</c:v>
                </c:pt>
                <c:pt idx="126">
                  <c:v>232.833</c:v>
                </c:pt>
                <c:pt idx="127">
                  <c:v>234.86500000000001</c:v>
                </c:pt>
                <c:pt idx="128">
                  <c:v>231.083</c:v>
                </c:pt>
                <c:pt idx="129">
                  <c:v>221.816</c:v>
                </c:pt>
                <c:pt idx="130">
                  <c:v>227.14</c:v>
                </c:pt>
                <c:pt idx="131">
                  <c:v>227.93799999999999</c:v>
                </c:pt>
                <c:pt idx="132">
                  <c:v>229.422</c:v>
                </c:pt>
                <c:pt idx="133">
                  <c:v>221.08600000000001</c:v>
                </c:pt>
                <c:pt idx="134">
                  <c:v>221.709</c:v>
                </c:pt>
                <c:pt idx="135">
                  <c:v>218.86500000000001</c:v>
                </c:pt>
                <c:pt idx="136">
                  <c:v>218.95400000000001</c:v>
                </c:pt>
                <c:pt idx="137">
                  <c:v>212.48599999999999</c:v>
                </c:pt>
                <c:pt idx="138">
                  <c:v>215.98699999999999</c:v>
                </c:pt>
                <c:pt idx="139">
                  <c:v>218.90700000000001</c:v>
                </c:pt>
                <c:pt idx="140">
                  <c:v>217.34800000000001</c:v>
                </c:pt>
                <c:pt idx="141">
                  <c:v>221.732</c:v>
                </c:pt>
                <c:pt idx="142">
                  <c:v>223.006</c:v>
                </c:pt>
                <c:pt idx="143">
                  <c:v>218.78</c:v>
                </c:pt>
                <c:pt idx="144">
                  <c:v>216.58699999999999</c:v>
                </c:pt>
                <c:pt idx="145">
                  <c:v>213.65600000000001</c:v>
                </c:pt>
                <c:pt idx="146">
                  <c:v>215.03200000000001</c:v>
                </c:pt>
                <c:pt idx="147">
                  <c:v>211.107</c:v>
                </c:pt>
                <c:pt idx="148">
                  <c:v>211.27500000000001</c:v>
                </c:pt>
                <c:pt idx="149">
                  <c:v>212.96600000000001</c:v>
                </c:pt>
                <c:pt idx="150">
                  <c:v>214.77099999999999</c:v>
                </c:pt>
                <c:pt idx="151">
                  <c:v>217.23500000000001</c:v>
                </c:pt>
                <c:pt idx="152">
                  <c:v>235.572</c:v>
                </c:pt>
                <c:pt idx="153">
                  <c:v>237.85</c:v>
                </c:pt>
                <c:pt idx="154">
                  <c:v>261.81799999999998</c:v>
                </c:pt>
                <c:pt idx="155">
                  <c:v>260.96800000000002</c:v>
                </c:pt>
                <c:pt idx="156">
                  <c:v>258.53100000000001</c:v>
                </c:pt>
                <c:pt idx="157">
                  <c:v>254.566</c:v>
                </c:pt>
                <c:pt idx="158">
                  <c:v>249.92</c:v>
                </c:pt>
                <c:pt idx="159">
                  <c:v>259.60300000000001</c:v>
                </c:pt>
                <c:pt idx="160">
                  <c:v>252.15199999999999</c:v>
                </c:pt>
                <c:pt idx="161">
                  <c:v>262.06200000000001</c:v>
                </c:pt>
                <c:pt idx="162">
                  <c:v>270.98099999999999</c:v>
                </c:pt>
                <c:pt idx="163">
                  <c:v>267.11700000000002</c:v>
                </c:pt>
                <c:pt idx="164">
                  <c:v>267.70999999999998</c:v>
                </c:pt>
                <c:pt idx="165">
                  <c:v>269.221</c:v>
                </c:pt>
                <c:pt idx="166">
                  <c:v>264.26900000000001</c:v>
                </c:pt>
                <c:pt idx="167">
                  <c:v>260.98899999999998</c:v>
                </c:pt>
                <c:pt idx="168">
                  <c:v>268.72399999999999</c:v>
                </c:pt>
                <c:pt idx="169">
                  <c:v>269.28500000000003</c:v>
                </c:pt>
                <c:pt idx="170">
                  <c:v>272.11900000000003</c:v>
                </c:pt>
                <c:pt idx="171">
                  <c:v>271.85899999999998</c:v>
                </c:pt>
                <c:pt idx="172">
                  <c:v>272.75400000000002</c:v>
                </c:pt>
                <c:pt idx="173">
                  <c:v>269</c:v>
                </c:pt>
                <c:pt idx="174">
                  <c:v>270.40600000000001</c:v>
                </c:pt>
                <c:pt idx="175">
                  <c:v>274.291</c:v>
                </c:pt>
                <c:pt idx="176">
                  <c:v>273.41199999999998</c:v>
                </c:pt>
                <c:pt idx="177">
                  <c:v>261.69499999999999</c:v>
                </c:pt>
                <c:pt idx="178">
                  <c:v>259.91699999999997</c:v>
                </c:pt>
                <c:pt idx="179">
                  <c:v>253.935</c:v>
                </c:pt>
                <c:pt idx="180">
                  <c:v>245.29900000000001</c:v>
                </c:pt>
                <c:pt idx="181">
                  <c:v>245.154</c:v>
                </c:pt>
                <c:pt idx="182">
                  <c:v>239.91399999999999</c:v>
                </c:pt>
                <c:pt idx="183">
                  <c:v>231.126</c:v>
                </c:pt>
                <c:pt idx="184">
                  <c:v>232.76499999999999</c:v>
                </c:pt>
                <c:pt idx="185">
                  <c:v>236.17599999999999</c:v>
                </c:pt>
                <c:pt idx="186">
                  <c:v>236.648</c:v>
                </c:pt>
                <c:pt idx="187">
                  <c:v>231.07400000000001</c:v>
                </c:pt>
                <c:pt idx="188">
                  <c:v>224.596</c:v>
                </c:pt>
                <c:pt idx="189">
                  <c:v>222.35499999999999</c:v>
                </c:pt>
                <c:pt idx="190">
                  <c:v>222.495</c:v>
                </c:pt>
                <c:pt idx="191">
                  <c:v>222.083</c:v>
                </c:pt>
                <c:pt idx="192">
                  <c:v>220.89</c:v>
                </c:pt>
                <c:pt idx="193">
                  <c:v>222.84399999999999</c:v>
                </c:pt>
                <c:pt idx="194">
                  <c:v>223.047</c:v>
                </c:pt>
                <c:pt idx="195">
                  <c:v>232.994</c:v>
                </c:pt>
                <c:pt idx="196">
                  <c:v>237.73699999999999</c:v>
                </c:pt>
                <c:pt idx="197">
                  <c:v>246.542</c:v>
                </c:pt>
                <c:pt idx="198">
                  <c:v>242.08699999999999</c:v>
                </c:pt>
                <c:pt idx="199">
                  <c:v>238.92099999999999</c:v>
                </c:pt>
                <c:pt idx="200">
                  <c:v>243.477</c:v>
                </c:pt>
                <c:pt idx="201">
                  <c:v>240.05699999999999</c:v>
                </c:pt>
                <c:pt idx="202">
                  <c:v>232.08099999999999</c:v>
                </c:pt>
                <c:pt idx="203">
                  <c:v>223.55099999999999</c:v>
                </c:pt>
                <c:pt idx="204">
                  <c:v>224.25299999999999</c:v>
                </c:pt>
                <c:pt idx="205">
                  <c:v>215.035</c:v>
                </c:pt>
                <c:pt idx="206">
                  <c:v>218.43299999999999</c:v>
                </c:pt>
                <c:pt idx="207">
                  <c:v>217.41399999999999</c:v>
                </c:pt>
                <c:pt idx="208">
                  <c:v>216.53299999999999</c:v>
                </c:pt>
                <c:pt idx="209">
                  <c:v>213.95699999999999</c:v>
                </c:pt>
                <c:pt idx="210">
                  <c:v>217.804</c:v>
                </c:pt>
                <c:pt idx="211">
                  <c:v>214.989</c:v>
                </c:pt>
                <c:pt idx="212">
                  <c:v>215.54300000000001</c:v>
                </c:pt>
                <c:pt idx="213">
                  <c:v>211.44900000000001</c:v>
                </c:pt>
                <c:pt idx="214">
                  <c:v>210.78299999999999</c:v>
                </c:pt>
                <c:pt idx="215">
                  <c:v>208.096</c:v>
                </c:pt>
                <c:pt idx="216">
                  <c:v>213.52600000000001</c:v>
                </c:pt>
                <c:pt idx="217">
                  <c:v>221.202</c:v>
                </c:pt>
                <c:pt idx="218">
                  <c:v>217.607</c:v>
                </c:pt>
                <c:pt idx="219">
                  <c:v>211.15299999999999</c:v>
                </c:pt>
                <c:pt idx="220">
                  <c:v>205.03299999999999</c:v>
                </c:pt>
                <c:pt idx="221">
                  <c:v>210.34299999999999</c:v>
                </c:pt>
                <c:pt idx="222">
                  <c:v>199.965</c:v>
                </c:pt>
                <c:pt idx="223">
                  <c:v>197.458</c:v>
                </c:pt>
                <c:pt idx="224">
                  <c:v>202.96600000000001</c:v>
                </c:pt>
                <c:pt idx="225">
                  <c:v>206.67400000000001</c:v>
                </c:pt>
                <c:pt idx="226">
                  <c:v>207.553</c:v>
                </c:pt>
                <c:pt idx="227">
                  <c:v>206.90100000000001</c:v>
                </c:pt>
                <c:pt idx="228">
                  <c:v>204.25800000000001</c:v>
                </c:pt>
                <c:pt idx="229">
                  <c:v>205.42099999999999</c:v>
                </c:pt>
                <c:pt idx="230">
                  <c:v>209.19200000000001</c:v>
                </c:pt>
                <c:pt idx="231">
                  <c:v>212.11</c:v>
                </c:pt>
                <c:pt idx="232">
                  <c:v>209.578</c:v>
                </c:pt>
                <c:pt idx="233">
                  <c:v>209.81899999999999</c:v>
                </c:pt>
                <c:pt idx="234">
                  <c:v>208.119</c:v>
                </c:pt>
                <c:pt idx="235">
                  <c:v>208.64400000000001</c:v>
                </c:pt>
                <c:pt idx="236">
                  <c:v>203.96100000000001</c:v>
                </c:pt>
                <c:pt idx="237">
                  <c:v>208.065</c:v>
                </c:pt>
                <c:pt idx="238">
                  <c:v>202.946</c:v>
                </c:pt>
                <c:pt idx="239">
                  <c:v>203.149</c:v>
                </c:pt>
                <c:pt idx="240">
                  <c:v>211.66900000000001</c:v>
                </c:pt>
                <c:pt idx="241">
                  <c:v>204.584</c:v>
                </c:pt>
                <c:pt idx="242">
                  <c:v>200.703</c:v>
                </c:pt>
                <c:pt idx="243">
                  <c:v>196.38300000000001</c:v>
                </c:pt>
                <c:pt idx="244">
                  <c:v>195.553</c:v>
                </c:pt>
                <c:pt idx="245">
                  <c:v>195.113</c:v>
                </c:pt>
                <c:pt idx="246">
                  <c:v>198.83199999999999</c:v>
                </c:pt>
                <c:pt idx="247">
                  <c:v>186.376</c:v>
                </c:pt>
                <c:pt idx="248">
                  <c:v>194.458</c:v>
                </c:pt>
                <c:pt idx="249">
                  <c:v>187.04599999999999</c:v>
                </c:pt>
                <c:pt idx="250">
                  <c:v>180.46600000000001</c:v>
                </c:pt>
                <c:pt idx="251">
                  <c:v>180.203</c:v>
                </c:pt>
                <c:pt idx="252">
                  <c:v>177.66200000000001</c:v>
                </c:pt>
                <c:pt idx="253">
                  <c:v>176.982</c:v>
                </c:pt>
                <c:pt idx="254">
                  <c:v>172.048</c:v>
                </c:pt>
                <c:pt idx="255">
                  <c:v>173.309</c:v>
                </c:pt>
                <c:pt idx="256">
                  <c:v>173.309</c:v>
                </c:pt>
                <c:pt idx="257">
                  <c:v>173.309</c:v>
                </c:pt>
                <c:pt idx="258">
                  <c:v>175.804</c:v>
                </c:pt>
                <c:pt idx="259">
                  <c:v>173.416</c:v>
                </c:pt>
                <c:pt idx="260">
                  <c:v>169.86699999999999</c:v>
                </c:pt>
                <c:pt idx="261">
                  <c:v>169.86699999999999</c:v>
                </c:pt>
                <c:pt idx="262">
                  <c:v>174.434</c:v>
                </c:pt>
                <c:pt idx="263">
                  <c:v>182.50399999999999</c:v>
                </c:pt>
                <c:pt idx="264">
                  <c:v>184.16300000000001</c:v>
                </c:pt>
                <c:pt idx="265">
                  <c:v>184.577</c:v>
                </c:pt>
                <c:pt idx="266">
                  <c:v>168.9</c:v>
                </c:pt>
                <c:pt idx="267">
                  <c:v>169.214</c:v>
                </c:pt>
                <c:pt idx="268">
                  <c:v>162.48500000000001</c:v>
                </c:pt>
                <c:pt idx="269">
                  <c:v>162.989</c:v>
                </c:pt>
                <c:pt idx="270">
                  <c:v>160.15899999999999</c:v>
                </c:pt>
                <c:pt idx="271">
                  <c:v>159.863</c:v>
                </c:pt>
                <c:pt idx="272">
                  <c:v>157.845</c:v>
                </c:pt>
                <c:pt idx="273">
                  <c:v>157.14400000000001</c:v>
                </c:pt>
                <c:pt idx="274">
                  <c:v>158.321</c:v>
                </c:pt>
                <c:pt idx="275">
                  <c:v>162.48099999999999</c:v>
                </c:pt>
                <c:pt idx="276">
                  <c:v>162.316</c:v>
                </c:pt>
                <c:pt idx="277">
                  <c:v>165.07400000000001</c:v>
                </c:pt>
                <c:pt idx="278">
                  <c:v>171.49799999999999</c:v>
                </c:pt>
                <c:pt idx="279">
                  <c:v>182.94900000000001</c:v>
                </c:pt>
                <c:pt idx="280">
                  <c:v>176.92500000000001</c:v>
                </c:pt>
                <c:pt idx="281">
                  <c:v>184.255</c:v>
                </c:pt>
                <c:pt idx="282">
                  <c:v>182.691</c:v>
                </c:pt>
                <c:pt idx="283">
                  <c:v>184.55799999999999</c:v>
                </c:pt>
                <c:pt idx="284">
                  <c:v>181.03100000000001</c:v>
                </c:pt>
                <c:pt idx="285">
                  <c:v>179.30199999999999</c:v>
                </c:pt>
                <c:pt idx="286">
                  <c:v>174.99600000000001</c:v>
                </c:pt>
                <c:pt idx="287">
                  <c:v>170.898</c:v>
                </c:pt>
                <c:pt idx="288">
                  <c:v>175.524</c:v>
                </c:pt>
                <c:pt idx="289">
                  <c:v>178.398</c:v>
                </c:pt>
                <c:pt idx="290">
                  <c:v>176.398</c:v>
                </c:pt>
                <c:pt idx="291">
                  <c:v>172.804</c:v>
                </c:pt>
                <c:pt idx="292">
                  <c:v>173.983</c:v>
                </c:pt>
                <c:pt idx="293">
                  <c:v>175.00700000000001</c:v>
                </c:pt>
                <c:pt idx="294">
                  <c:v>174.857</c:v>
                </c:pt>
                <c:pt idx="295">
                  <c:v>175.053</c:v>
                </c:pt>
                <c:pt idx="296">
                  <c:v>172.994</c:v>
                </c:pt>
                <c:pt idx="297">
                  <c:v>173.55199999999999</c:v>
                </c:pt>
                <c:pt idx="298">
                  <c:v>174.70699999999999</c:v>
                </c:pt>
                <c:pt idx="299">
                  <c:v>187.22800000000001</c:v>
                </c:pt>
                <c:pt idx="300">
                  <c:v>191.56</c:v>
                </c:pt>
                <c:pt idx="301">
                  <c:v>198.17</c:v>
                </c:pt>
                <c:pt idx="302">
                  <c:v>214.40199999999999</c:v>
                </c:pt>
                <c:pt idx="303">
                  <c:v>233.96299999999999</c:v>
                </c:pt>
                <c:pt idx="304">
                  <c:v>219.74199999999999</c:v>
                </c:pt>
                <c:pt idx="305">
                  <c:v>233.23</c:v>
                </c:pt>
                <c:pt idx="306">
                  <c:v>233.70500000000001</c:v>
                </c:pt>
                <c:pt idx="307">
                  <c:v>234.01</c:v>
                </c:pt>
                <c:pt idx="308">
                  <c:v>237.929</c:v>
                </c:pt>
                <c:pt idx="309">
                  <c:v>328.05599999999998</c:v>
                </c:pt>
                <c:pt idx="310">
                  <c:v>322.47800000000001</c:v>
                </c:pt>
                <c:pt idx="311">
                  <c:v>334.92399999999998</c:v>
                </c:pt>
                <c:pt idx="312">
                  <c:v>405.69</c:v>
                </c:pt>
                <c:pt idx="313">
                  <c:v>392.029</c:v>
                </c:pt>
                <c:pt idx="314">
                  <c:v>415.37400000000002</c:v>
                </c:pt>
                <c:pt idx="315">
                  <c:v>430.666</c:v>
                </c:pt>
                <c:pt idx="316">
                  <c:v>535.89300000000003</c:v>
                </c:pt>
                <c:pt idx="317">
                  <c:v>571.58299999999997</c:v>
                </c:pt>
                <c:pt idx="318">
                  <c:v>617.51900000000001</c:v>
                </c:pt>
                <c:pt idx="319">
                  <c:v>662.09799999999996</c:v>
                </c:pt>
                <c:pt idx="320">
                  <c:v>644.15200000000004</c:v>
                </c:pt>
                <c:pt idx="321">
                  <c:v>621.154</c:v>
                </c:pt>
                <c:pt idx="322">
                  <c:v>589.59799999999996</c:v>
                </c:pt>
                <c:pt idx="323">
                  <c:v>593.14700000000005</c:v>
                </c:pt>
                <c:pt idx="324">
                  <c:v>601.90599999999995</c:v>
                </c:pt>
                <c:pt idx="325">
                  <c:v>596.14099999999996</c:v>
                </c:pt>
                <c:pt idx="326">
                  <c:v>600.46900000000005</c:v>
                </c:pt>
                <c:pt idx="327">
                  <c:v>595.53200000000004</c:v>
                </c:pt>
                <c:pt idx="328">
                  <c:v>567.79999999999995</c:v>
                </c:pt>
                <c:pt idx="329">
                  <c:v>555.20399999999995</c:v>
                </c:pt>
                <c:pt idx="330">
                  <c:v>555.25300000000004</c:v>
                </c:pt>
                <c:pt idx="331">
                  <c:v>562.673</c:v>
                </c:pt>
                <c:pt idx="332">
                  <c:v>537.58699999999999</c:v>
                </c:pt>
                <c:pt idx="333">
                  <c:v>537.58699999999999</c:v>
                </c:pt>
                <c:pt idx="334">
                  <c:v>537.58699999999999</c:v>
                </c:pt>
                <c:pt idx="335">
                  <c:v>543.88499999999999</c:v>
                </c:pt>
                <c:pt idx="336">
                  <c:v>531.19200000000001</c:v>
                </c:pt>
                <c:pt idx="337">
                  <c:v>534.67200000000003</c:v>
                </c:pt>
                <c:pt idx="338">
                  <c:v>509.017</c:v>
                </c:pt>
                <c:pt idx="339">
                  <c:v>510.82600000000002</c:v>
                </c:pt>
                <c:pt idx="340">
                  <c:v>517.87800000000004</c:v>
                </c:pt>
                <c:pt idx="341">
                  <c:v>516.16099999999994</c:v>
                </c:pt>
                <c:pt idx="342">
                  <c:v>517.26900000000001</c:v>
                </c:pt>
                <c:pt idx="343">
                  <c:v>518.58299999999997</c:v>
                </c:pt>
                <c:pt idx="344">
                  <c:v>517.82799999999997</c:v>
                </c:pt>
                <c:pt idx="345">
                  <c:v>521.07899999999995</c:v>
                </c:pt>
                <c:pt idx="346">
                  <c:v>522.14599999999996</c:v>
                </c:pt>
                <c:pt idx="347">
                  <c:v>514.21400000000006</c:v>
                </c:pt>
                <c:pt idx="348">
                  <c:v>514.01499999999999</c:v>
                </c:pt>
                <c:pt idx="349">
                  <c:v>511.54</c:v>
                </c:pt>
                <c:pt idx="350">
                  <c:v>477.85899999999998</c:v>
                </c:pt>
                <c:pt idx="351">
                  <c:v>471.73399999999998</c:v>
                </c:pt>
                <c:pt idx="352">
                  <c:v>488.00200000000001</c:v>
                </c:pt>
                <c:pt idx="353">
                  <c:v>471.86599999999999</c:v>
                </c:pt>
                <c:pt idx="354">
                  <c:v>435.41899999999998</c:v>
                </c:pt>
                <c:pt idx="355">
                  <c:v>430.75599999999997</c:v>
                </c:pt>
                <c:pt idx="356">
                  <c:v>448.69499999999999</c:v>
                </c:pt>
                <c:pt idx="357">
                  <c:v>367.43</c:v>
                </c:pt>
                <c:pt idx="358">
                  <c:v>355.36399999999998</c:v>
                </c:pt>
                <c:pt idx="359">
                  <c:v>340.87299999999999</c:v>
                </c:pt>
                <c:pt idx="360">
                  <c:v>342.54199999999997</c:v>
                </c:pt>
                <c:pt idx="361">
                  <c:v>332.505</c:v>
                </c:pt>
                <c:pt idx="362">
                  <c:v>333.39299999999997</c:v>
                </c:pt>
                <c:pt idx="363">
                  <c:v>346.08199999999999</c:v>
                </c:pt>
                <c:pt idx="364">
                  <c:v>346.08199999999999</c:v>
                </c:pt>
                <c:pt idx="365">
                  <c:v>329.6</c:v>
                </c:pt>
                <c:pt idx="366">
                  <c:v>330.06200000000001</c:v>
                </c:pt>
                <c:pt idx="367">
                  <c:v>333.80099999999999</c:v>
                </c:pt>
                <c:pt idx="368">
                  <c:v>336.66199999999998</c:v>
                </c:pt>
                <c:pt idx="369">
                  <c:v>334.66899999999998</c:v>
                </c:pt>
                <c:pt idx="370">
                  <c:v>334.40600000000001</c:v>
                </c:pt>
                <c:pt idx="371">
                  <c:v>327.88</c:v>
                </c:pt>
                <c:pt idx="372">
                  <c:v>321.846</c:v>
                </c:pt>
                <c:pt idx="373">
                  <c:v>318.69</c:v>
                </c:pt>
                <c:pt idx="374">
                  <c:v>323.23599999999999</c:v>
                </c:pt>
                <c:pt idx="375">
                  <c:v>323.73399999999998</c:v>
                </c:pt>
                <c:pt idx="376">
                  <c:v>337.99200000000002</c:v>
                </c:pt>
                <c:pt idx="377">
                  <c:v>347.49099999999999</c:v>
                </c:pt>
                <c:pt idx="378">
                  <c:v>344.23200000000003</c:v>
                </c:pt>
                <c:pt idx="379">
                  <c:v>382.98599999999999</c:v>
                </c:pt>
                <c:pt idx="380">
                  <c:v>379.1</c:v>
                </c:pt>
                <c:pt idx="381">
                  <c:v>381.64299999999997</c:v>
                </c:pt>
                <c:pt idx="382">
                  <c:v>380.93799999999999</c:v>
                </c:pt>
                <c:pt idx="383">
                  <c:v>382.47399999999999</c:v>
                </c:pt>
                <c:pt idx="384">
                  <c:v>380.363</c:v>
                </c:pt>
                <c:pt idx="385">
                  <c:v>383.76100000000002</c:v>
                </c:pt>
                <c:pt idx="386">
                  <c:v>384.87200000000001</c:v>
                </c:pt>
                <c:pt idx="387">
                  <c:v>392.12</c:v>
                </c:pt>
                <c:pt idx="388">
                  <c:v>391.44200000000001</c:v>
                </c:pt>
                <c:pt idx="389">
                  <c:v>392.41399999999999</c:v>
                </c:pt>
                <c:pt idx="390">
                  <c:v>388.73099999999999</c:v>
                </c:pt>
                <c:pt idx="391">
                  <c:v>390.685</c:v>
                </c:pt>
                <c:pt idx="392">
                  <c:v>355.42399999999998</c:v>
                </c:pt>
                <c:pt idx="393">
                  <c:v>357.05</c:v>
                </c:pt>
                <c:pt idx="394">
                  <c:v>348.74599999999998</c:v>
                </c:pt>
                <c:pt idx="395">
                  <c:v>349.2</c:v>
                </c:pt>
                <c:pt idx="396">
                  <c:v>348.66899999999998</c:v>
                </c:pt>
                <c:pt idx="397">
                  <c:v>347.697</c:v>
                </c:pt>
                <c:pt idx="398">
                  <c:v>348.19200000000001</c:v>
                </c:pt>
                <c:pt idx="399">
                  <c:v>349.45699999999999</c:v>
                </c:pt>
                <c:pt idx="400">
                  <c:v>358.483</c:v>
                </c:pt>
                <c:pt idx="401">
                  <c:v>357.94200000000001</c:v>
                </c:pt>
                <c:pt idx="402">
                  <c:v>353.91699999999997</c:v>
                </c:pt>
                <c:pt idx="403">
                  <c:v>365.762</c:v>
                </c:pt>
                <c:pt idx="404">
                  <c:v>364.92399999999998</c:v>
                </c:pt>
                <c:pt idx="405">
                  <c:v>364.66399999999999</c:v>
                </c:pt>
                <c:pt idx="406">
                  <c:v>359.858</c:v>
                </c:pt>
                <c:pt idx="407">
                  <c:v>352.33300000000003</c:v>
                </c:pt>
                <c:pt idx="408">
                  <c:v>353.61099999999999</c:v>
                </c:pt>
                <c:pt idx="409">
                  <c:v>346.98700000000002</c:v>
                </c:pt>
                <c:pt idx="410">
                  <c:v>351.40600000000001</c:v>
                </c:pt>
                <c:pt idx="411">
                  <c:v>352.46899999999999</c:v>
                </c:pt>
                <c:pt idx="412">
                  <c:v>354.08699999999999</c:v>
                </c:pt>
                <c:pt idx="413">
                  <c:v>354.89699999999999</c:v>
                </c:pt>
                <c:pt idx="414">
                  <c:v>350.28100000000001</c:v>
                </c:pt>
                <c:pt idx="415">
                  <c:v>347.12</c:v>
                </c:pt>
                <c:pt idx="416">
                  <c:v>342.18799999999999</c:v>
                </c:pt>
                <c:pt idx="417">
                  <c:v>333.137</c:v>
                </c:pt>
                <c:pt idx="418">
                  <c:v>330.66899999999998</c:v>
                </c:pt>
                <c:pt idx="419">
                  <c:v>344.73099999999999</c:v>
                </c:pt>
                <c:pt idx="420">
                  <c:v>330.65699999999998</c:v>
                </c:pt>
                <c:pt idx="421">
                  <c:v>324.10899999999998</c:v>
                </c:pt>
                <c:pt idx="422">
                  <c:v>317.23399999999998</c:v>
                </c:pt>
                <c:pt idx="423">
                  <c:v>315.72000000000003</c:v>
                </c:pt>
                <c:pt idx="424">
                  <c:v>320.93299999999999</c:v>
                </c:pt>
                <c:pt idx="425">
                  <c:v>322.24599999999998</c:v>
                </c:pt>
                <c:pt idx="426">
                  <c:v>321.65499999999997</c:v>
                </c:pt>
                <c:pt idx="427">
                  <c:v>321.19</c:v>
                </c:pt>
                <c:pt idx="428">
                  <c:v>325.399</c:v>
                </c:pt>
                <c:pt idx="429">
                  <c:v>323.69</c:v>
                </c:pt>
                <c:pt idx="430">
                  <c:v>319.76900000000001</c:v>
                </c:pt>
                <c:pt idx="431">
                  <c:v>318.26600000000002</c:v>
                </c:pt>
                <c:pt idx="432">
                  <c:v>314.86799999999999</c:v>
                </c:pt>
                <c:pt idx="433">
                  <c:v>317.95100000000002</c:v>
                </c:pt>
                <c:pt idx="434">
                  <c:v>317.95100000000002</c:v>
                </c:pt>
                <c:pt idx="435">
                  <c:v>317.11599999999999</c:v>
                </c:pt>
                <c:pt idx="436">
                  <c:v>315.95100000000002</c:v>
                </c:pt>
                <c:pt idx="437">
                  <c:v>315.51</c:v>
                </c:pt>
                <c:pt idx="438">
                  <c:v>312.86799999999999</c:v>
                </c:pt>
                <c:pt idx="439">
                  <c:v>316.99599999999998</c:v>
                </c:pt>
                <c:pt idx="440">
                  <c:v>319.82499999999999</c:v>
                </c:pt>
                <c:pt idx="441">
                  <c:v>318.80700000000002</c:v>
                </c:pt>
                <c:pt idx="442">
                  <c:v>315.673</c:v>
                </c:pt>
                <c:pt idx="443">
                  <c:v>315.34199999999998</c:v>
                </c:pt>
                <c:pt idx="444">
                  <c:v>314.92</c:v>
                </c:pt>
                <c:pt idx="445">
                  <c:v>315.03699999999998</c:v>
                </c:pt>
                <c:pt idx="446">
                  <c:v>311.863</c:v>
                </c:pt>
                <c:pt idx="447">
                  <c:v>313.14</c:v>
                </c:pt>
                <c:pt idx="448">
                  <c:v>310.42200000000003</c:v>
                </c:pt>
                <c:pt idx="449">
                  <c:v>314.60000000000002</c:v>
                </c:pt>
                <c:pt idx="450">
                  <c:v>317.09399999999999</c:v>
                </c:pt>
                <c:pt idx="451">
                  <c:v>315.63099999999997</c:v>
                </c:pt>
                <c:pt idx="452">
                  <c:v>333.83499999999998</c:v>
                </c:pt>
                <c:pt idx="453">
                  <c:v>338.11099999999999</c:v>
                </c:pt>
                <c:pt idx="454">
                  <c:v>427.69400000000002</c:v>
                </c:pt>
                <c:pt idx="455">
                  <c:v>441.89400000000001</c:v>
                </c:pt>
                <c:pt idx="456">
                  <c:v>451.44799999999998</c:v>
                </c:pt>
                <c:pt idx="457">
                  <c:v>418.22399999999999</c:v>
                </c:pt>
                <c:pt idx="458">
                  <c:v>407.85399999999998</c:v>
                </c:pt>
                <c:pt idx="459">
                  <c:v>406.00700000000001</c:v>
                </c:pt>
                <c:pt idx="460">
                  <c:v>407.798</c:v>
                </c:pt>
                <c:pt idx="461">
                  <c:v>412.87400000000002</c:v>
                </c:pt>
                <c:pt idx="462">
                  <c:v>405.25</c:v>
                </c:pt>
                <c:pt idx="463">
                  <c:v>400.00299999999999</c:v>
                </c:pt>
                <c:pt idx="464">
                  <c:v>399.94</c:v>
                </c:pt>
                <c:pt idx="465">
                  <c:v>407.50799999999998</c:v>
                </c:pt>
                <c:pt idx="466">
                  <c:v>425.07</c:v>
                </c:pt>
                <c:pt idx="467">
                  <c:v>421.85399999999998</c:v>
                </c:pt>
                <c:pt idx="468">
                  <c:v>418.01600000000002</c:v>
                </c:pt>
                <c:pt idx="469">
                  <c:v>416.30900000000003</c:v>
                </c:pt>
                <c:pt idx="470">
                  <c:v>416.24299999999999</c:v>
                </c:pt>
                <c:pt idx="471">
                  <c:v>425.42899999999997</c:v>
                </c:pt>
                <c:pt idx="472">
                  <c:v>428.18099999999998</c:v>
                </c:pt>
                <c:pt idx="473">
                  <c:v>426.18</c:v>
                </c:pt>
                <c:pt idx="474">
                  <c:v>448.35199999999998</c:v>
                </c:pt>
                <c:pt idx="475">
                  <c:v>459.10899999999998</c:v>
                </c:pt>
                <c:pt idx="476">
                  <c:v>468.923</c:v>
                </c:pt>
                <c:pt idx="477">
                  <c:v>477.05900000000003</c:v>
                </c:pt>
                <c:pt idx="478">
                  <c:v>475.02</c:v>
                </c:pt>
                <c:pt idx="479">
                  <c:v>482.77300000000002</c:v>
                </c:pt>
                <c:pt idx="480">
                  <c:v>453.96600000000001</c:v>
                </c:pt>
                <c:pt idx="481">
                  <c:v>445.10500000000002</c:v>
                </c:pt>
                <c:pt idx="482">
                  <c:v>438.96800000000002</c:v>
                </c:pt>
                <c:pt idx="483">
                  <c:v>440.113</c:v>
                </c:pt>
                <c:pt idx="484">
                  <c:v>406.97899999999998</c:v>
                </c:pt>
                <c:pt idx="485">
                  <c:v>352.84399999999999</c:v>
                </c:pt>
                <c:pt idx="486">
                  <c:v>344.85599999999999</c:v>
                </c:pt>
                <c:pt idx="487">
                  <c:v>348.01900000000001</c:v>
                </c:pt>
                <c:pt idx="488">
                  <c:v>353.39400000000001</c:v>
                </c:pt>
                <c:pt idx="489">
                  <c:v>344.87299999999999</c:v>
                </c:pt>
                <c:pt idx="490">
                  <c:v>360.233</c:v>
                </c:pt>
                <c:pt idx="491">
                  <c:v>355.67399999999998</c:v>
                </c:pt>
                <c:pt idx="492">
                  <c:v>358.399</c:v>
                </c:pt>
                <c:pt idx="493">
                  <c:v>373.67399999999998</c:v>
                </c:pt>
                <c:pt idx="494">
                  <c:v>358.51600000000002</c:v>
                </c:pt>
                <c:pt idx="495">
                  <c:v>348.59399999999999</c:v>
                </c:pt>
                <c:pt idx="496">
                  <c:v>346.04</c:v>
                </c:pt>
                <c:pt idx="497">
                  <c:v>364.27499999999998</c:v>
                </c:pt>
                <c:pt idx="498">
                  <c:v>364.27699999999999</c:v>
                </c:pt>
                <c:pt idx="499">
                  <c:v>364.11</c:v>
                </c:pt>
                <c:pt idx="500">
                  <c:v>363.99400000000003</c:v>
                </c:pt>
                <c:pt idx="501">
                  <c:v>357.44400000000002</c:v>
                </c:pt>
                <c:pt idx="502">
                  <c:v>350.42</c:v>
                </c:pt>
                <c:pt idx="503">
                  <c:v>302.649</c:v>
                </c:pt>
                <c:pt idx="504">
                  <c:v>306.16199999999998</c:v>
                </c:pt>
                <c:pt idx="505">
                  <c:v>323.024</c:v>
                </c:pt>
                <c:pt idx="506">
                  <c:v>308.36</c:v>
                </c:pt>
                <c:pt idx="507">
                  <c:v>326.92500000000001</c:v>
                </c:pt>
                <c:pt idx="508">
                  <c:v>321.99599999999998</c:v>
                </c:pt>
                <c:pt idx="509">
                  <c:v>319.04199999999997</c:v>
                </c:pt>
                <c:pt idx="510">
                  <c:v>313.62400000000002</c:v>
                </c:pt>
                <c:pt idx="511">
                  <c:v>304.41899999999998</c:v>
                </c:pt>
                <c:pt idx="512">
                  <c:v>297.24700000000001</c:v>
                </c:pt>
                <c:pt idx="513">
                  <c:v>308.77699999999999</c:v>
                </c:pt>
                <c:pt idx="514">
                  <c:v>306.41500000000002</c:v>
                </c:pt>
                <c:pt idx="515">
                  <c:v>303.06299999999999</c:v>
                </c:pt>
                <c:pt idx="516">
                  <c:v>298.36200000000002</c:v>
                </c:pt>
                <c:pt idx="517">
                  <c:v>306.60500000000002</c:v>
                </c:pt>
                <c:pt idx="518">
                  <c:v>306.60500000000002</c:v>
                </c:pt>
                <c:pt idx="519">
                  <c:v>306.60500000000002</c:v>
                </c:pt>
                <c:pt idx="520">
                  <c:v>286.26600000000002</c:v>
                </c:pt>
                <c:pt idx="521">
                  <c:v>283.363</c:v>
                </c:pt>
                <c:pt idx="522">
                  <c:v>288.20100000000002</c:v>
                </c:pt>
                <c:pt idx="523">
                  <c:v>288.20100000000002</c:v>
                </c:pt>
                <c:pt idx="524">
                  <c:v>285.505</c:v>
                </c:pt>
                <c:pt idx="525">
                  <c:v>278.84500000000003</c:v>
                </c:pt>
                <c:pt idx="526">
                  <c:v>276.536</c:v>
                </c:pt>
                <c:pt idx="527">
                  <c:v>272.392</c:v>
                </c:pt>
                <c:pt idx="528">
                  <c:v>268.24299999999999</c:v>
                </c:pt>
                <c:pt idx="529">
                  <c:v>267.06400000000002</c:v>
                </c:pt>
                <c:pt idx="530">
                  <c:v>265.79300000000001</c:v>
                </c:pt>
                <c:pt idx="531">
                  <c:v>264.74</c:v>
                </c:pt>
                <c:pt idx="532">
                  <c:v>246.50899999999999</c:v>
                </c:pt>
                <c:pt idx="533">
                  <c:v>242.02199999999999</c:v>
                </c:pt>
                <c:pt idx="534">
                  <c:v>241.97300000000001</c:v>
                </c:pt>
                <c:pt idx="535">
                  <c:v>243.83199999999999</c:v>
                </c:pt>
                <c:pt idx="536">
                  <c:v>241.917</c:v>
                </c:pt>
                <c:pt idx="537">
                  <c:v>247.029</c:v>
                </c:pt>
                <c:pt idx="538">
                  <c:v>247.43199999999999</c:v>
                </c:pt>
                <c:pt idx="539">
                  <c:v>269.02100000000002</c:v>
                </c:pt>
                <c:pt idx="540">
                  <c:v>258.26799999999997</c:v>
                </c:pt>
                <c:pt idx="541">
                  <c:v>272.41199999999998</c:v>
                </c:pt>
                <c:pt idx="542">
                  <c:v>271.565</c:v>
                </c:pt>
                <c:pt idx="543">
                  <c:v>270.577</c:v>
                </c:pt>
                <c:pt idx="544">
                  <c:v>271.00400000000002</c:v>
                </c:pt>
                <c:pt idx="545">
                  <c:v>269.29399999999998</c:v>
                </c:pt>
                <c:pt idx="546">
                  <c:v>263.53100000000001</c:v>
                </c:pt>
                <c:pt idx="547">
                  <c:v>267.99</c:v>
                </c:pt>
                <c:pt idx="548">
                  <c:v>267.49400000000003</c:v>
                </c:pt>
                <c:pt idx="549">
                  <c:v>272.33300000000003</c:v>
                </c:pt>
                <c:pt idx="550">
                  <c:v>274.80099999999999</c:v>
                </c:pt>
                <c:pt idx="551">
                  <c:v>277.76600000000002</c:v>
                </c:pt>
                <c:pt idx="552">
                  <c:v>279.95</c:v>
                </c:pt>
                <c:pt idx="553">
                  <c:v>281.178</c:v>
                </c:pt>
                <c:pt idx="554">
                  <c:v>284.79300000000001</c:v>
                </c:pt>
                <c:pt idx="555">
                  <c:v>286.79199999999997</c:v>
                </c:pt>
                <c:pt idx="556">
                  <c:v>293.79399999999998</c:v>
                </c:pt>
                <c:pt idx="557">
                  <c:v>292.15699999999998</c:v>
                </c:pt>
                <c:pt idx="558">
                  <c:v>288.19799999999998</c:v>
                </c:pt>
                <c:pt idx="559">
                  <c:v>293.81299999999999</c:v>
                </c:pt>
                <c:pt idx="560">
                  <c:v>296.03500000000003</c:v>
                </c:pt>
                <c:pt idx="561">
                  <c:v>291.86799999999999</c:v>
                </c:pt>
                <c:pt idx="562">
                  <c:v>327.18400000000003</c:v>
                </c:pt>
                <c:pt idx="563">
                  <c:v>332.62099999999998</c:v>
                </c:pt>
                <c:pt idx="564">
                  <c:v>326.32499999999999</c:v>
                </c:pt>
                <c:pt idx="565">
                  <c:v>330.596</c:v>
                </c:pt>
                <c:pt idx="566">
                  <c:v>324.22699999999998</c:v>
                </c:pt>
                <c:pt idx="567">
                  <c:v>321.74200000000002</c:v>
                </c:pt>
                <c:pt idx="568">
                  <c:v>326.02300000000002</c:v>
                </c:pt>
                <c:pt idx="569">
                  <c:v>337.60399999999998</c:v>
                </c:pt>
                <c:pt idx="570">
                  <c:v>335.68400000000003</c:v>
                </c:pt>
                <c:pt idx="571">
                  <c:v>337.86200000000002</c:v>
                </c:pt>
                <c:pt idx="572">
                  <c:v>330.03399999999999</c:v>
                </c:pt>
                <c:pt idx="573">
                  <c:v>325.98</c:v>
                </c:pt>
                <c:pt idx="574">
                  <c:v>324.28699999999998</c:v>
                </c:pt>
                <c:pt idx="575">
                  <c:v>327.47699999999998</c:v>
                </c:pt>
                <c:pt idx="576">
                  <c:v>337.73599999999999</c:v>
                </c:pt>
                <c:pt idx="577">
                  <c:v>340.42500000000001</c:v>
                </c:pt>
                <c:pt idx="578">
                  <c:v>340.786</c:v>
                </c:pt>
                <c:pt idx="579">
                  <c:v>343.91399999999999</c:v>
                </c:pt>
                <c:pt idx="580">
                  <c:v>345.10300000000001</c:v>
                </c:pt>
                <c:pt idx="581">
                  <c:v>345.44499999999999</c:v>
                </c:pt>
                <c:pt idx="582">
                  <c:v>344.41800000000001</c:v>
                </c:pt>
                <c:pt idx="583">
                  <c:v>352.47199999999998</c:v>
                </c:pt>
                <c:pt idx="584">
                  <c:v>341.05799999999999</c:v>
                </c:pt>
                <c:pt idx="585">
                  <c:v>343.93400000000003</c:v>
                </c:pt>
                <c:pt idx="586">
                  <c:v>331.88499999999999</c:v>
                </c:pt>
                <c:pt idx="587">
                  <c:v>334.97899999999998</c:v>
                </c:pt>
                <c:pt idx="588">
                  <c:v>332.45400000000001</c:v>
                </c:pt>
                <c:pt idx="589">
                  <c:v>332.45400000000001</c:v>
                </c:pt>
                <c:pt idx="590">
                  <c:v>334.74099999999999</c:v>
                </c:pt>
                <c:pt idx="591">
                  <c:v>337.577</c:v>
                </c:pt>
                <c:pt idx="592">
                  <c:v>339.35199999999998</c:v>
                </c:pt>
                <c:pt idx="593">
                  <c:v>336.92599999999999</c:v>
                </c:pt>
                <c:pt idx="594">
                  <c:v>334.67399999999998</c:v>
                </c:pt>
                <c:pt idx="595">
                  <c:v>338.767</c:v>
                </c:pt>
                <c:pt idx="596">
                  <c:v>335.36099999999999</c:v>
                </c:pt>
                <c:pt idx="597">
                  <c:v>334.31</c:v>
                </c:pt>
                <c:pt idx="598">
                  <c:v>329.27699999999999</c:v>
                </c:pt>
                <c:pt idx="599">
                  <c:v>324.57299999999998</c:v>
                </c:pt>
                <c:pt idx="600">
                  <c:v>328.22199999999998</c:v>
                </c:pt>
                <c:pt idx="601">
                  <c:v>331.34399999999999</c:v>
                </c:pt>
                <c:pt idx="602">
                  <c:v>326.16899999999998</c:v>
                </c:pt>
                <c:pt idx="603">
                  <c:v>324.178</c:v>
                </c:pt>
                <c:pt idx="604">
                  <c:v>322.50799999999998</c:v>
                </c:pt>
                <c:pt idx="605">
                  <c:v>320.12200000000001</c:v>
                </c:pt>
                <c:pt idx="606">
                  <c:v>324.18299999999999</c:v>
                </c:pt>
                <c:pt idx="607">
                  <c:v>326.72399999999999</c:v>
                </c:pt>
                <c:pt idx="608">
                  <c:v>331.70600000000002</c:v>
                </c:pt>
                <c:pt idx="609">
                  <c:v>331.70600000000002</c:v>
                </c:pt>
                <c:pt idx="610">
                  <c:v>325.30700000000002</c:v>
                </c:pt>
                <c:pt idx="611">
                  <c:v>319.47399999999999</c:v>
                </c:pt>
                <c:pt idx="612">
                  <c:v>315.51600000000002</c:v>
                </c:pt>
                <c:pt idx="613">
                  <c:v>325.15800000000002</c:v>
                </c:pt>
                <c:pt idx="614">
                  <c:v>283.49700000000001</c:v>
                </c:pt>
                <c:pt idx="615">
                  <c:v>284.09399999999999</c:v>
                </c:pt>
                <c:pt idx="616">
                  <c:v>280.63799999999998</c:v>
                </c:pt>
                <c:pt idx="617">
                  <c:v>284.59699999999998</c:v>
                </c:pt>
                <c:pt idx="618">
                  <c:v>283.50700000000001</c:v>
                </c:pt>
                <c:pt idx="619">
                  <c:v>291.96499999999997</c:v>
                </c:pt>
                <c:pt idx="620">
                  <c:v>293.892</c:v>
                </c:pt>
                <c:pt idx="621">
                  <c:v>293.33999999999997</c:v>
                </c:pt>
                <c:pt idx="622">
                  <c:v>291.92200000000003</c:v>
                </c:pt>
                <c:pt idx="623">
                  <c:v>289.96699999999998</c:v>
                </c:pt>
                <c:pt idx="624">
                  <c:v>294.25400000000002</c:v>
                </c:pt>
                <c:pt idx="625">
                  <c:v>295.19099999999997</c:v>
                </c:pt>
                <c:pt idx="626">
                  <c:v>295.762</c:v>
                </c:pt>
                <c:pt idx="627">
                  <c:v>293.33199999999999</c:v>
                </c:pt>
                <c:pt idx="628">
                  <c:v>293.15300000000002</c:v>
                </c:pt>
                <c:pt idx="629">
                  <c:v>293.15300000000002</c:v>
                </c:pt>
                <c:pt idx="630">
                  <c:v>293.375</c:v>
                </c:pt>
                <c:pt idx="631">
                  <c:v>293.94099999999997</c:v>
                </c:pt>
                <c:pt idx="632">
                  <c:v>290.35399999999998</c:v>
                </c:pt>
                <c:pt idx="633">
                  <c:v>293.86</c:v>
                </c:pt>
                <c:pt idx="634">
                  <c:v>292.33699999999999</c:v>
                </c:pt>
                <c:pt idx="635">
                  <c:v>288.71199999999999</c:v>
                </c:pt>
                <c:pt idx="636">
                  <c:v>286.59399999999999</c:v>
                </c:pt>
                <c:pt idx="637">
                  <c:v>290.10500000000002</c:v>
                </c:pt>
                <c:pt idx="638">
                  <c:v>284.13400000000001</c:v>
                </c:pt>
                <c:pt idx="639">
                  <c:v>276.67700000000002</c:v>
                </c:pt>
                <c:pt idx="640">
                  <c:v>284.25200000000001</c:v>
                </c:pt>
                <c:pt idx="641">
                  <c:v>271.55799999999999</c:v>
                </c:pt>
                <c:pt idx="642">
                  <c:v>272.57</c:v>
                </c:pt>
                <c:pt idx="643">
                  <c:v>269.72000000000003</c:v>
                </c:pt>
                <c:pt idx="644">
                  <c:v>272.14299999999997</c:v>
                </c:pt>
                <c:pt idx="645">
                  <c:v>271.58199999999999</c:v>
                </c:pt>
                <c:pt idx="646">
                  <c:v>268.52199999999999</c:v>
                </c:pt>
                <c:pt idx="647">
                  <c:v>266.45299999999997</c:v>
                </c:pt>
                <c:pt idx="648">
                  <c:v>265.89400000000001</c:v>
                </c:pt>
                <c:pt idx="649">
                  <c:v>260.85199999999998</c:v>
                </c:pt>
                <c:pt idx="650">
                  <c:v>251.96700000000001</c:v>
                </c:pt>
                <c:pt idx="651">
                  <c:v>250.45099999999999</c:v>
                </c:pt>
                <c:pt idx="652">
                  <c:v>250.435</c:v>
                </c:pt>
                <c:pt idx="653">
                  <c:v>251.03200000000001</c:v>
                </c:pt>
                <c:pt idx="654">
                  <c:v>255.53200000000001</c:v>
                </c:pt>
                <c:pt idx="655">
                  <c:v>248.517</c:v>
                </c:pt>
                <c:pt idx="656">
                  <c:v>238.60599999999999</c:v>
                </c:pt>
                <c:pt idx="657">
                  <c:v>245.02799999999999</c:v>
                </c:pt>
                <c:pt idx="658">
                  <c:v>245.24199999999999</c:v>
                </c:pt>
                <c:pt idx="659">
                  <c:v>241.054</c:v>
                </c:pt>
                <c:pt idx="660">
                  <c:v>235.512</c:v>
                </c:pt>
                <c:pt idx="661">
                  <c:v>241.08099999999999</c:v>
                </c:pt>
                <c:pt idx="662">
                  <c:v>243.59899999999999</c:v>
                </c:pt>
                <c:pt idx="663">
                  <c:v>243.48699999999999</c:v>
                </c:pt>
                <c:pt idx="664">
                  <c:v>250.631</c:v>
                </c:pt>
                <c:pt idx="665">
                  <c:v>253.179</c:v>
                </c:pt>
                <c:pt idx="666">
                  <c:v>249.03700000000001</c:v>
                </c:pt>
                <c:pt idx="667">
                  <c:v>249.08199999999999</c:v>
                </c:pt>
                <c:pt idx="668">
                  <c:v>246.66200000000001</c:v>
                </c:pt>
                <c:pt idx="669">
                  <c:v>244.541</c:v>
                </c:pt>
                <c:pt idx="670">
                  <c:v>248.935</c:v>
                </c:pt>
                <c:pt idx="671">
                  <c:v>249.63499999999999</c:v>
                </c:pt>
                <c:pt idx="672">
                  <c:v>245.501</c:v>
                </c:pt>
                <c:pt idx="673">
                  <c:v>250.88399999999999</c:v>
                </c:pt>
                <c:pt idx="674">
                  <c:v>250.07599999999999</c:v>
                </c:pt>
                <c:pt idx="675">
                  <c:v>245.46899999999999</c:v>
                </c:pt>
                <c:pt idx="676">
                  <c:v>240.66</c:v>
                </c:pt>
                <c:pt idx="677">
                  <c:v>236.35400000000001</c:v>
                </c:pt>
                <c:pt idx="678">
                  <c:v>237.04499999999999</c:v>
                </c:pt>
                <c:pt idx="679">
                  <c:v>229.96199999999999</c:v>
                </c:pt>
                <c:pt idx="680">
                  <c:v>227.423</c:v>
                </c:pt>
                <c:pt idx="681">
                  <c:v>232.5</c:v>
                </c:pt>
                <c:pt idx="682">
                  <c:v>230.17099999999999</c:v>
                </c:pt>
                <c:pt idx="683">
                  <c:v>235.005</c:v>
                </c:pt>
                <c:pt idx="684">
                  <c:v>234.322</c:v>
                </c:pt>
                <c:pt idx="685">
                  <c:v>234.72200000000001</c:v>
                </c:pt>
                <c:pt idx="686">
                  <c:v>232.68799999999999</c:v>
                </c:pt>
                <c:pt idx="687">
                  <c:v>233.54900000000001</c:v>
                </c:pt>
                <c:pt idx="688">
                  <c:v>236.393</c:v>
                </c:pt>
                <c:pt idx="689">
                  <c:v>232.178</c:v>
                </c:pt>
                <c:pt idx="690">
                  <c:v>227.73500000000001</c:v>
                </c:pt>
                <c:pt idx="691">
                  <c:v>224.08099999999999</c:v>
                </c:pt>
                <c:pt idx="692">
                  <c:v>218.54499999999999</c:v>
                </c:pt>
                <c:pt idx="693">
                  <c:v>220.39099999999999</c:v>
                </c:pt>
                <c:pt idx="694">
                  <c:v>220.39099999999999</c:v>
                </c:pt>
                <c:pt idx="695">
                  <c:v>215.48</c:v>
                </c:pt>
                <c:pt idx="696">
                  <c:v>210.92</c:v>
                </c:pt>
                <c:pt idx="697">
                  <c:v>209.095</c:v>
                </c:pt>
                <c:pt idx="698">
                  <c:v>212.62100000000001</c:v>
                </c:pt>
                <c:pt idx="699">
                  <c:v>205.73400000000001</c:v>
                </c:pt>
                <c:pt idx="700">
                  <c:v>202.417</c:v>
                </c:pt>
                <c:pt idx="701">
                  <c:v>201.85900000000001</c:v>
                </c:pt>
                <c:pt idx="702">
                  <c:v>199.756</c:v>
                </c:pt>
                <c:pt idx="703">
                  <c:v>196.97</c:v>
                </c:pt>
                <c:pt idx="704">
                  <c:v>193.59700000000001</c:v>
                </c:pt>
                <c:pt idx="705">
                  <c:v>191.59800000000001</c:v>
                </c:pt>
              </c:numCache>
            </c:numRef>
          </c:val>
          <c:smooth val="0"/>
          <c:extLst>
            <c:ext xmlns:c16="http://schemas.microsoft.com/office/drawing/2014/chart" uri="{C3380CC4-5D6E-409C-BE32-E72D297353CC}">
              <c16:uniqueId val="{00000000-6184-4726-8727-A5CE2BEB2AFE}"/>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Sheet1!$C$2:$C$707</c:f>
              <c:numCache>
                <c:formatCode>_(* #,##0_);_(* \(#,##0\);_(* "-"??_);_(@_)</c:formatCode>
                <c:ptCount val="706"/>
                <c:pt idx="0">
                  <c:v>220.47</c:v>
                </c:pt>
                <c:pt idx="1">
                  <c:v>222.61600000000001</c:v>
                </c:pt>
                <c:pt idx="2">
                  <c:v>228.64</c:v>
                </c:pt>
                <c:pt idx="3">
                  <c:v>203.69300000000001</c:v>
                </c:pt>
                <c:pt idx="4">
                  <c:v>194.91399999999999</c:v>
                </c:pt>
                <c:pt idx="5">
                  <c:v>190.78800000000001</c:v>
                </c:pt>
                <c:pt idx="6">
                  <c:v>188.86799999999999</c:v>
                </c:pt>
                <c:pt idx="7">
                  <c:v>190.86099999999999</c:v>
                </c:pt>
                <c:pt idx="8">
                  <c:v>190.322</c:v>
                </c:pt>
                <c:pt idx="9">
                  <c:v>190.33799999999999</c:v>
                </c:pt>
                <c:pt idx="10">
                  <c:v>187.42599999999999</c:v>
                </c:pt>
                <c:pt idx="11">
                  <c:v>184.25200000000001</c:v>
                </c:pt>
                <c:pt idx="12">
                  <c:v>182.411</c:v>
                </c:pt>
                <c:pt idx="13">
                  <c:v>174.941</c:v>
                </c:pt>
                <c:pt idx="14">
                  <c:v>174.941</c:v>
                </c:pt>
                <c:pt idx="15">
                  <c:v>181.71899999999999</c:v>
                </c:pt>
                <c:pt idx="16">
                  <c:v>180.08799999999999</c:v>
                </c:pt>
                <c:pt idx="17">
                  <c:v>179.535</c:v>
                </c:pt>
                <c:pt idx="18">
                  <c:v>180.68899999999999</c:v>
                </c:pt>
                <c:pt idx="19">
                  <c:v>183.042</c:v>
                </c:pt>
                <c:pt idx="20">
                  <c:v>186.56100000000001</c:v>
                </c:pt>
                <c:pt idx="21">
                  <c:v>185.767</c:v>
                </c:pt>
                <c:pt idx="22">
                  <c:v>184.21299999999999</c:v>
                </c:pt>
                <c:pt idx="23">
                  <c:v>187.19800000000001</c:v>
                </c:pt>
                <c:pt idx="24">
                  <c:v>183.68899999999999</c:v>
                </c:pt>
                <c:pt idx="25">
                  <c:v>184.858</c:v>
                </c:pt>
                <c:pt idx="26">
                  <c:v>184.22399999999999</c:v>
                </c:pt>
                <c:pt idx="27">
                  <c:v>188.13</c:v>
                </c:pt>
                <c:pt idx="28">
                  <c:v>195.702</c:v>
                </c:pt>
                <c:pt idx="29">
                  <c:v>192.81</c:v>
                </c:pt>
                <c:pt idx="30">
                  <c:v>190.14099999999999</c:v>
                </c:pt>
                <c:pt idx="31">
                  <c:v>189.18299999999999</c:v>
                </c:pt>
                <c:pt idx="32">
                  <c:v>202.322</c:v>
                </c:pt>
                <c:pt idx="33">
                  <c:v>201.553</c:v>
                </c:pt>
                <c:pt idx="34">
                  <c:v>197.084</c:v>
                </c:pt>
                <c:pt idx="35">
                  <c:v>200.726</c:v>
                </c:pt>
                <c:pt idx="36">
                  <c:v>197.63399999999999</c:v>
                </c:pt>
                <c:pt idx="37">
                  <c:v>195.68</c:v>
                </c:pt>
                <c:pt idx="38">
                  <c:v>197.51300000000001</c:v>
                </c:pt>
                <c:pt idx="39">
                  <c:v>191.53700000000001</c:v>
                </c:pt>
                <c:pt idx="40">
                  <c:v>193.12</c:v>
                </c:pt>
                <c:pt idx="41">
                  <c:v>187.99199999999999</c:v>
                </c:pt>
                <c:pt idx="42">
                  <c:v>181.21299999999999</c:v>
                </c:pt>
                <c:pt idx="43">
                  <c:v>183.69399999999999</c:v>
                </c:pt>
                <c:pt idx="44">
                  <c:v>180.36199999999999</c:v>
                </c:pt>
                <c:pt idx="45">
                  <c:v>181.018</c:v>
                </c:pt>
                <c:pt idx="46">
                  <c:v>182.005</c:v>
                </c:pt>
                <c:pt idx="47">
                  <c:v>185.40299999999999</c:v>
                </c:pt>
                <c:pt idx="48">
                  <c:v>188.215</c:v>
                </c:pt>
                <c:pt idx="49">
                  <c:v>180.041</c:v>
                </c:pt>
                <c:pt idx="50">
                  <c:v>178.89400000000001</c:v>
                </c:pt>
                <c:pt idx="51">
                  <c:v>178.21700000000001</c:v>
                </c:pt>
                <c:pt idx="52">
                  <c:v>177.172</c:v>
                </c:pt>
                <c:pt idx="53">
                  <c:v>182.084</c:v>
                </c:pt>
                <c:pt idx="54">
                  <c:v>178.44300000000001</c:v>
                </c:pt>
                <c:pt idx="55">
                  <c:v>176.13499999999999</c:v>
                </c:pt>
                <c:pt idx="56">
                  <c:v>184.18899999999999</c:v>
                </c:pt>
                <c:pt idx="57">
                  <c:v>181.828</c:v>
                </c:pt>
                <c:pt idx="58">
                  <c:v>190.333</c:v>
                </c:pt>
                <c:pt idx="59">
                  <c:v>194.73</c:v>
                </c:pt>
                <c:pt idx="60">
                  <c:v>187.976</c:v>
                </c:pt>
                <c:pt idx="61">
                  <c:v>195.23500000000001</c:v>
                </c:pt>
                <c:pt idx="62">
                  <c:v>190.71199999999999</c:v>
                </c:pt>
                <c:pt idx="63">
                  <c:v>189.29400000000001</c:v>
                </c:pt>
                <c:pt idx="64">
                  <c:v>180.93299999999999</c:v>
                </c:pt>
                <c:pt idx="65">
                  <c:v>182.21700000000001</c:v>
                </c:pt>
                <c:pt idx="66">
                  <c:v>182.06700000000001</c:v>
                </c:pt>
                <c:pt idx="67">
                  <c:v>182.215</c:v>
                </c:pt>
                <c:pt idx="68">
                  <c:v>179.923</c:v>
                </c:pt>
                <c:pt idx="69">
                  <c:v>178.18299999999999</c:v>
                </c:pt>
                <c:pt idx="70">
                  <c:v>178.82300000000001</c:v>
                </c:pt>
                <c:pt idx="71">
                  <c:v>182.16900000000001</c:v>
                </c:pt>
                <c:pt idx="72">
                  <c:v>178.756</c:v>
                </c:pt>
                <c:pt idx="73">
                  <c:v>177.315</c:v>
                </c:pt>
                <c:pt idx="74">
                  <c:v>175.22</c:v>
                </c:pt>
                <c:pt idx="75">
                  <c:v>171.541</c:v>
                </c:pt>
                <c:pt idx="76">
                  <c:v>168.61500000000001</c:v>
                </c:pt>
                <c:pt idx="77">
                  <c:v>173.81899999999999</c:v>
                </c:pt>
                <c:pt idx="78">
                  <c:v>173.81899999999999</c:v>
                </c:pt>
                <c:pt idx="79">
                  <c:v>173.81899999999999</c:v>
                </c:pt>
                <c:pt idx="80">
                  <c:v>170.02600000000001</c:v>
                </c:pt>
                <c:pt idx="81">
                  <c:v>173.369</c:v>
                </c:pt>
                <c:pt idx="82">
                  <c:v>173.547</c:v>
                </c:pt>
                <c:pt idx="83">
                  <c:v>174.36600000000001</c:v>
                </c:pt>
                <c:pt idx="84">
                  <c:v>169.33099999999999</c:v>
                </c:pt>
                <c:pt idx="85">
                  <c:v>169.196</c:v>
                </c:pt>
                <c:pt idx="86">
                  <c:v>167.797</c:v>
                </c:pt>
                <c:pt idx="87">
                  <c:v>170.71199999999999</c:v>
                </c:pt>
                <c:pt idx="88">
                  <c:v>172.20400000000001</c:v>
                </c:pt>
                <c:pt idx="89">
                  <c:v>172.20400000000001</c:v>
                </c:pt>
                <c:pt idx="90">
                  <c:v>182.655</c:v>
                </c:pt>
                <c:pt idx="91">
                  <c:v>184.08600000000001</c:v>
                </c:pt>
                <c:pt idx="92">
                  <c:v>184.38</c:v>
                </c:pt>
                <c:pt idx="93">
                  <c:v>184.80099999999999</c:v>
                </c:pt>
                <c:pt idx="94">
                  <c:v>191.227</c:v>
                </c:pt>
                <c:pt idx="95">
                  <c:v>189.58500000000001</c:v>
                </c:pt>
                <c:pt idx="96">
                  <c:v>192.88</c:v>
                </c:pt>
                <c:pt idx="97">
                  <c:v>183.01900000000001</c:v>
                </c:pt>
                <c:pt idx="98">
                  <c:v>179.34899999999999</c:v>
                </c:pt>
                <c:pt idx="99">
                  <c:v>175.02600000000001</c:v>
                </c:pt>
                <c:pt idx="100">
                  <c:v>170.119</c:v>
                </c:pt>
                <c:pt idx="101">
                  <c:v>174.001</c:v>
                </c:pt>
                <c:pt idx="102">
                  <c:v>183.63300000000001</c:v>
                </c:pt>
                <c:pt idx="103">
                  <c:v>180.81</c:v>
                </c:pt>
                <c:pt idx="104">
                  <c:v>180.81</c:v>
                </c:pt>
                <c:pt idx="105">
                  <c:v>182.161</c:v>
                </c:pt>
                <c:pt idx="106">
                  <c:v>184.13399999999999</c:v>
                </c:pt>
                <c:pt idx="107">
                  <c:v>186.828</c:v>
                </c:pt>
                <c:pt idx="108">
                  <c:v>192.01900000000001</c:v>
                </c:pt>
                <c:pt idx="109">
                  <c:v>202.62299999999999</c:v>
                </c:pt>
                <c:pt idx="110">
                  <c:v>193.38399999999999</c:v>
                </c:pt>
                <c:pt idx="111">
                  <c:v>185.79900000000001</c:v>
                </c:pt>
                <c:pt idx="112">
                  <c:v>184.20400000000001</c:v>
                </c:pt>
                <c:pt idx="113">
                  <c:v>185.922</c:v>
                </c:pt>
                <c:pt idx="114">
                  <c:v>175.822</c:v>
                </c:pt>
                <c:pt idx="115">
                  <c:v>177.95500000000001</c:v>
                </c:pt>
                <c:pt idx="116">
                  <c:v>182.14400000000001</c:v>
                </c:pt>
                <c:pt idx="117">
                  <c:v>187.02099999999999</c:v>
                </c:pt>
                <c:pt idx="118">
                  <c:v>188.13</c:v>
                </c:pt>
                <c:pt idx="119">
                  <c:v>186.99</c:v>
                </c:pt>
                <c:pt idx="120">
                  <c:v>181.41900000000001</c:v>
                </c:pt>
                <c:pt idx="121">
                  <c:v>182.62899999999999</c:v>
                </c:pt>
                <c:pt idx="122">
                  <c:v>168.601</c:v>
                </c:pt>
                <c:pt idx="123">
                  <c:v>181.87</c:v>
                </c:pt>
                <c:pt idx="124">
                  <c:v>187.42500000000001</c:v>
                </c:pt>
                <c:pt idx="125">
                  <c:v>189.51499999999999</c:v>
                </c:pt>
                <c:pt idx="126">
                  <c:v>190.28399999999999</c:v>
                </c:pt>
                <c:pt idx="127">
                  <c:v>187.233</c:v>
                </c:pt>
                <c:pt idx="128">
                  <c:v>182.886</c:v>
                </c:pt>
                <c:pt idx="129">
                  <c:v>174.417</c:v>
                </c:pt>
                <c:pt idx="130">
                  <c:v>178.922</c:v>
                </c:pt>
                <c:pt idx="131">
                  <c:v>178.666</c:v>
                </c:pt>
                <c:pt idx="132">
                  <c:v>178.80799999999999</c:v>
                </c:pt>
                <c:pt idx="133">
                  <c:v>176.39400000000001</c:v>
                </c:pt>
                <c:pt idx="134">
                  <c:v>171.553</c:v>
                </c:pt>
                <c:pt idx="135">
                  <c:v>174.74700000000001</c:v>
                </c:pt>
                <c:pt idx="136">
                  <c:v>180.143</c:v>
                </c:pt>
                <c:pt idx="137">
                  <c:v>175.655</c:v>
                </c:pt>
                <c:pt idx="138">
                  <c:v>178.364</c:v>
                </c:pt>
                <c:pt idx="139">
                  <c:v>174.33799999999999</c:v>
                </c:pt>
                <c:pt idx="140">
                  <c:v>169.30500000000001</c:v>
                </c:pt>
                <c:pt idx="141">
                  <c:v>171.316</c:v>
                </c:pt>
                <c:pt idx="142">
                  <c:v>173.75200000000001</c:v>
                </c:pt>
                <c:pt idx="143">
                  <c:v>170.12100000000001</c:v>
                </c:pt>
                <c:pt idx="144">
                  <c:v>170.476</c:v>
                </c:pt>
                <c:pt idx="145">
                  <c:v>165.11199999999999</c:v>
                </c:pt>
                <c:pt idx="146">
                  <c:v>167.52199999999999</c:v>
                </c:pt>
                <c:pt idx="147">
                  <c:v>163.04599999999999</c:v>
                </c:pt>
                <c:pt idx="148">
                  <c:v>162.96899999999999</c:v>
                </c:pt>
                <c:pt idx="149">
                  <c:v>162.19399999999999</c:v>
                </c:pt>
                <c:pt idx="150">
                  <c:v>163</c:v>
                </c:pt>
                <c:pt idx="151">
                  <c:v>167.01499999999999</c:v>
                </c:pt>
                <c:pt idx="152">
                  <c:v>183.78899999999999</c:v>
                </c:pt>
                <c:pt idx="153">
                  <c:v>187.166</c:v>
                </c:pt>
                <c:pt idx="154">
                  <c:v>197.922</c:v>
                </c:pt>
                <c:pt idx="155">
                  <c:v>197.68</c:v>
                </c:pt>
                <c:pt idx="156">
                  <c:v>198.76400000000001</c:v>
                </c:pt>
                <c:pt idx="157">
                  <c:v>187.483</c:v>
                </c:pt>
                <c:pt idx="158">
                  <c:v>189.81399999999999</c:v>
                </c:pt>
                <c:pt idx="159">
                  <c:v>195.34100000000001</c:v>
                </c:pt>
                <c:pt idx="160">
                  <c:v>189.38800000000001</c:v>
                </c:pt>
                <c:pt idx="161">
                  <c:v>194.435</c:v>
                </c:pt>
                <c:pt idx="162">
                  <c:v>198.15899999999999</c:v>
                </c:pt>
                <c:pt idx="163">
                  <c:v>197.78299999999999</c:v>
                </c:pt>
                <c:pt idx="164">
                  <c:v>192.083</c:v>
                </c:pt>
                <c:pt idx="165">
                  <c:v>191.72300000000001</c:v>
                </c:pt>
                <c:pt idx="166">
                  <c:v>187.441</c:v>
                </c:pt>
                <c:pt idx="167">
                  <c:v>184.49799999999999</c:v>
                </c:pt>
                <c:pt idx="168">
                  <c:v>193.935</c:v>
                </c:pt>
                <c:pt idx="169">
                  <c:v>193.935</c:v>
                </c:pt>
                <c:pt idx="170">
                  <c:v>188.88</c:v>
                </c:pt>
                <c:pt idx="171">
                  <c:v>188.77199999999999</c:v>
                </c:pt>
                <c:pt idx="172">
                  <c:v>182.72800000000001</c:v>
                </c:pt>
                <c:pt idx="173">
                  <c:v>182.38800000000001</c:v>
                </c:pt>
                <c:pt idx="174">
                  <c:v>182.173</c:v>
                </c:pt>
                <c:pt idx="175">
                  <c:v>181.59899999999999</c:v>
                </c:pt>
                <c:pt idx="176">
                  <c:v>174.374</c:v>
                </c:pt>
                <c:pt idx="177">
                  <c:v>167.85900000000001</c:v>
                </c:pt>
                <c:pt idx="178">
                  <c:v>169.79499999999999</c:v>
                </c:pt>
                <c:pt idx="179">
                  <c:v>165.93199999999999</c:v>
                </c:pt>
                <c:pt idx="180">
                  <c:v>163.298</c:v>
                </c:pt>
                <c:pt idx="181">
                  <c:v>162.18100000000001</c:v>
                </c:pt>
                <c:pt idx="182">
                  <c:v>158.28</c:v>
                </c:pt>
                <c:pt idx="183">
                  <c:v>151.82</c:v>
                </c:pt>
                <c:pt idx="184">
                  <c:v>155.33099999999999</c:v>
                </c:pt>
                <c:pt idx="185">
                  <c:v>156.499</c:v>
                </c:pt>
                <c:pt idx="186">
                  <c:v>153.09200000000001</c:v>
                </c:pt>
                <c:pt idx="187">
                  <c:v>153.56399999999999</c:v>
                </c:pt>
                <c:pt idx="188">
                  <c:v>154.24700000000001</c:v>
                </c:pt>
                <c:pt idx="189">
                  <c:v>149.71600000000001</c:v>
                </c:pt>
                <c:pt idx="190">
                  <c:v>160.53200000000001</c:v>
                </c:pt>
                <c:pt idx="191">
                  <c:v>155.22800000000001</c:v>
                </c:pt>
                <c:pt idx="192">
                  <c:v>161.185</c:v>
                </c:pt>
                <c:pt idx="193">
                  <c:v>163.53800000000001</c:v>
                </c:pt>
                <c:pt idx="194">
                  <c:v>166.42099999999999</c:v>
                </c:pt>
                <c:pt idx="195">
                  <c:v>172.67599999999999</c:v>
                </c:pt>
                <c:pt idx="196">
                  <c:v>179.77</c:v>
                </c:pt>
                <c:pt idx="197">
                  <c:v>182.221</c:v>
                </c:pt>
                <c:pt idx="198">
                  <c:v>180.22900000000001</c:v>
                </c:pt>
                <c:pt idx="199">
                  <c:v>175.11199999999999</c:v>
                </c:pt>
                <c:pt idx="200">
                  <c:v>181.26300000000001</c:v>
                </c:pt>
                <c:pt idx="201">
                  <c:v>176.654</c:v>
                </c:pt>
                <c:pt idx="202">
                  <c:v>172.941</c:v>
                </c:pt>
                <c:pt idx="203">
                  <c:v>160.679</c:v>
                </c:pt>
                <c:pt idx="204">
                  <c:v>164.048</c:v>
                </c:pt>
                <c:pt idx="205">
                  <c:v>156.50299999999999</c:v>
                </c:pt>
                <c:pt idx="206">
                  <c:v>156.898</c:v>
                </c:pt>
                <c:pt idx="207">
                  <c:v>155.65799999999999</c:v>
                </c:pt>
                <c:pt idx="208">
                  <c:v>156.78800000000001</c:v>
                </c:pt>
                <c:pt idx="209">
                  <c:v>150.32599999999999</c:v>
                </c:pt>
                <c:pt idx="210">
                  <c:v>152.09</c:v>
                </c:pt>
                <c:pt idx="211">
                  <c:v>149.357</c:v>
                </c:pt>
                <c:pt idx="212">
                  <c:v>149.01599999999999</c:v>
                </c:pt>
                <c:pt idx="213">
                  <c:v>145.33099999999999</c:v>
                </c:pt>
                <c:pt idx="214">
                  <c:v>143.309</c:v>
                </c:pt>
                <c:pt idx="215">
                  <c:v>143.45099999999999</c:v>
                </c:pt>
                <c:pt idx="216">
                  <c:v>147.46700000000001</c:v>
                </c:pt>
                <c:pt idx="217">
                  <c:v>150.02000000000001</c:v>
                </c:pt>
                <c:pt idx="218">
                  <c:v>143.78800000000001</c:v>
                </c:pt>
                <c:pt idx="219">
                  <c:v>137.36500000000001</c:v>
                </c:pt>
                <c:pt idx="220">
                  <c:v>135.18600000000001</c:v>
                </c:pt>
                <c:pt idx="221">
                  <c:v>136.941</c:v>
                </c:pt>
                <c:pt idx="222">
                  <c:v>131.54300000000001</c:v>
                </c:pt>
                <c:pt idx="223">
                  <c:v>128.46700000000001</c:v>
                </c:pt>
                <c:pt idx="224">
                  <c:v>127.599</c:v>
                </c:pt>
                <c:pt idx="225">
                  <c:v>128.15</c:v>
                </c:pt>
                <c:pt idx="226">
                  <c:v>132.90899999999999</c:v>
                </c:pt>
                <c:pt idx="227">
                  <c:v>134.148</c:v>
                </c:pt>
                <c:pt idx="228">
                  <c:v>133.12299999999999</c:v>
                </c:pt>
                <c:pt idx="229">
                  <c:v>134.541</c:v>
                </c:pt>
                <c:pt idx="230">
                  <c:v>137.90700000000001</c:v>
                </c:pt>
                <c:pt idx="231">
                  <c:v>136.19900000000001</c:v>
                </c:pt>
                <c:pt idx="232">
                  <c:v>131.785</c:v>
                </c:pt>
                <c:pt idx="233">
                  <c:v>131.012</c:v>
                </c:pt>
                <c:pt idx="234">
                  <c:v>131.179</c:v>
                </c:pt>
                <c:pt idx="235">
                  <c:v>132.12799999999999</c:v>
                </c:pt>
                <c:pt idx="236">
                  <c:v>127.896</c:v>
                </c:pt>
                <c:pt idx="237">
                  <c:v>125.325</c:v>
                </c:pt>
                <c:pt idx="238">
                  <c:v>126.52</c:v>
                </c:pt>
                <c:pt idx="239">
                  <c:v>126.017</c:v>
                </c:pt>
                <c:pt idx="240">
                  <c:v>134.637</c:v>
                </c:pt>
                <c:pt idx="241">
                  <c:v>128.36500000000001</c:v>
                </c:pt>
                <c:pt idx="242">
                  <c:v>122.666</c:v>
                </c:pt>
                <c:pt idx="243">
                  <c:v>120.76</c:v>
                </c:pt>
                <c:pt idx="244">
                  <c:v>119.771</c:v>
                </c:pt>
                <c:pt idx="245">
                  <c:v>116.18300000000001</c:v>
                </c:pt>
                <c:pt idx="246">
                  <c:v>113.79</c:v>
                </c:pt>
                <c:pt idx="247">
                  <c:v>103.974</c:v>
                </c:pt>
                <c:pt idx="248">
                  <c:v>110.374</c:v>
                </c:pt>
                <c:pt idx="249">
                  <c:v>99.992000000000004</c:v>
                </c:pt>
                <c:pt idx="250">
                  <c:v>98.933000000000007</c:v>
                </c:pt>
                <c:pt idx="251">
                  <c:v>96.567999999999998</c:v>
                </c:pt>
                <c:pt idx="252">
                  <c:v>101.67100000000001</c:v>
                </c:pt>
                <c:pt idx="253">
                  <c:v>99.706000000000003</c:v>
                </c:pt>
                <c:pt idx="254">
                  <c:v>96.239000000000004</c:v>
                </c:pt>
                <c:pt idx="255">
                  <c:v>100.36799999999999</c:v>
                </c:pt>
                <c:pt idx="256">
                  <c:v>100.36799999999999</c:v>
                </c:pt>
                <c:pt idx="257">
                  <c:v>100.36799999999999</c:v>
                </c:pt>
                <c:pt idx="258">
                  <c:v>101.43</c:v>
                </c:pt>
                <c:pt idx="259">
                  <c:v>98.611999999999995</c:v>
                </c:pt>
                <c:pt idx="260">
                  <c:v>94.194000000000003</c:v>
                </c:pt>
                <c:pt idx="261">
                  <c:v>94.194000000000003</c:v>
                </c:pt>
                <c:pt idx="262">
                  <c:v>100.93600000000001</c:v>
                </c:pt>
                <c:pt idx="263">
                  <c:v>111.648</c:v>
                </c:pt>
                <c:pt idx="264">
                  <c:v>114.494</c:v>
                </c:pt>
                <c:pt idx="265">
                  <c:v>114.39</c:v>
                </c:pt>
                <c:pt idx="266">
                  <c:v>106.19199999999999</c:v>
                </c:pt>
                <c:pt idx="267">
                  <c:v>107.033</c:v>
                </c:pt>
                <c:pt idx="268">
                  <c:v>110.688</c:v>
                </c:pt>
                <c:pt idx="269">
                  <c:v>102.11199999999999</c:v>
                </c:pt>
                <c:pt idx="270">
                  <c:v>103.60599999999999</c:v>
                </c:pt>
                <c:pt idx="271">
                  <c:v>103.291</c:v>
                </c:pt>
                <c:pt idx="272">
                  <c:v>100.496</c:v>
                </c:pt>
                <c:pt idx="273">
                  <c:v>100.22199999999999</c:v>
                </c:pt>
                <c:pt idx="274">
                  <c:v>99.262</c:v>
                </c:pt>
                <c:pt idx="275">
                  <c:v>103.64100000000001</c:v>
                </c:pt>
                <c:pt idx="276">
                  <c:v>102.696</c:v>
                </c:pt>
                <c:pt idx="277">
                  <c:v>105.20099999999999</c:v>
                </c:pt>
                <c:pt idx="278">
                  <c:v>109.562</c:v>
                </c:pt>
                <c:pt idx="279">
                  <c:v>116.07899999999999</c:v>
                </c:pt>
                <c:pt idx="280">
                  <c:v>109.01900000000001</c:v>
                </c:pt>
                <c:pt idx="281">
                  <c:v>114.27</c:v>
                </c:pt>
                <c:pt idx="282">
                  <c:v>107.89</c:v>
                </c:pt>
                <c:pt idx="283">
                  <c:v>111.60299999999999</c:v>
                </c:pt>
                <c:pt idx="284">
                  <c:v>112.84399999999999</c:v>
                </c:pt>
                <c:pt idx="285">
                  <c:v>112.34099999999999</c:v>
                </c:pt>
                <c:pt idx="286">
                  <c:v>106.116</c:v>
                </c:pt>
                <c:pt idx="287">
                  <c:v>107.691</c:v>
                </c:pt>
                <c:pt idx="288">
                  <c:v>113.491</c:v>
                </c:pt>
                <c:pt idx="289">
                  <c:v>115.01900000000001</c:v>
                </c:pt>
                <c:pt idx="290">
                  <c:v>101.31100000000001</c:v>
                </c:pt>
                <c:pt idx="291">
                  <c:v>99.956999999999994</c:v>
                </c:pt>
                <c:pt idx="292">
                  <c:v>100.726</c:v>
                </c:pt>
                <c:pt idx="293">
                  <c:v>101.929</c:v>
                </c:pt>
                <c:pt idx="294">
                  <c:v>98.477000000000004</c:v>
                </c:pt>
                <c:pt idx="295">
                  <c:v>104.703</c:v>
                </c:pt>
                <c:pt idx="296">
                  <c:v>101.744</c:v>
                </c:pt>
                <c:pt idx="297">
                  <c:v>105.26</c:v>
                </c:pt>
                <c:pt idx="298">
                  <c:v>107.235</c:v>
                </c:pt>
                <c:pt idx="299">
                  <c:v>111.428</c:v>
                </c:pt>
                <c:pt idx="300">
                  <c:v>115.85899999999999</c:v>
                </c:pt>
                <c:pt idx="301">
                  <c:v>117.76</c:v>
                </c:pt>
                <c:pt idx="302">
                  <c:v>128.886</c:v>
                </c:pt>
                <c:pt idx="303">
                  <c:v>150.929</c:v>
                </c:pt>
                <c:pt idx="304">
                  <c:v>147.44300000000001</c:v>
                </c:pt>
                <c:pt idx="305">
                  <c:v>145.12</c:v>
                </c:pt>
                <c:pt idx="306">
                  <c:v>151.506</c:v>
                </c:pt>
                <c:pt idx="307">
                  <c:v>151.506</c:v>
                </c:pt>
                <c:pt idx="308">
                  <c:v>159.226</c:v>
                </c:pt>
                <c:pt idx="309">
                  <c:v>204.905</c:v>
                </c:pt>
                <c:pt idx="310">
                  <c:v>187.87100000000001</c:v>
                </c:pt>
                <c:pt idx="311">
                  <c:v>192.14</c:v>
                </c:pt>
                <c:pt idx="312">
                  <c:v>255.07400000000001</c:v>
                </c:pt>
                <c:pt idx="313">
                  <c:v>235.77500000000001</c:v>
                </c:pt>
                <c:pt idx="314">
                  <c:v>276.42700000000002</c:v>
                </c:pt>
                <c:pt idx="315">
                  <c:v>268.709</c:v>
                </c:pt>
                <c:pt idx="316">
                  <c:v>350.71800000000002</c:v>
                </c:pt>
                <c:pt idx="317">
                  <c:v>369.35700000000003</c:v>
                </c:pt>
                <c:pt idx="318">
                  <c:v>373.596</c:v>
                </c:pt>
                <c:pt idx="319">
                  <c:v>391.041</c:v>
                </c:pt>
                <c:pt idx="320">
                  <c:v>391.041</c:v>
                </c:pt>
                <c:pt idx="321">
                  <c:v>300.49799999999999</c:v>
                </c:pt>
                <c:pt idx="322">
                  <c:v>307.61399999999998</c:v>
                </c:pt>
                <c:pt idx="323">
                  <c:v>289.13</c:v>
                </c:pt>
                <c:pt idx="324">
                  <c:v>316.29300000000001</c:v>
                </c:pt>
                <c:pt idx="325">
                  <c:v>302.995</c:v>
                </c:pt>
                <c:pt idx="326">
                  <c:v>304.36200000000002</c:v>
                </c:pt>
                <c:pt idx="327">
                  <c:v>297.51</c:v>
                </c:pt>
                <c:pt idx="328">
                  <c:v>297.51</c:v>
                </c:pt>
                <c:pt idx="329">
                  <c:v>257.024</c:v>
                </c:pt>
                <c:pt idx="330">
                  <c:v>226.33099999999999</c:v>
                </c:pt>
                <c:pt idx="331">
                  <c:v>233.64099999999999</c:v>
                </c:pt>
                <c:pt idx="332">
                  <c:v>226.18899999999999</c:v>
                </c:pt>
                <c:pt idx="333">
                  <c:v>226.18899999999999</c:v>
                </c:pt>
                <c:pt idx="334">
                  <c:v>226.18899999999999</c:v>
                </c:pt>
                <c:pt idx="335">
                  <c:v>223.184</c:v>
                </c:pt>
                <c:pt idx="336">
                  <c:v>240.17099999999999</c:v>
                </c:pt>
                <c:pt idx="337">
                  <c:v>236.28700000000001</c:v>
                </c:pt>
                <c:pt idx="338">
                  <c:v>233.61699999999999</c:v>
                </c:pt>
                <c:pt idx="339">
                  <c:v>241.256</c:v>
                </c:pt>
                <c:pt idx="340">
                  <c:v>253.69</c:v>
                </c:pt>
                <c:pt idx="341">
                  <c:v>249.61199999999999</c:v>
                </c:pt>
                <c:pt idx="342">
                  <c:v>238.85400000000001</c:v>
                </c:pt>
                <c:pt idx="343">
                  <c:v>242.83600000000001</c:v>
                </c:pt>
                <c:pt idx="344">
                  <c:v>238.036</c:v>
                </c:pt>
                <c:pt idx="345">
                  <c:v>243.584</c:v>
                </c:pt>
                <c:pt idx="346">
                  <c:v>240.95099999999999</c:v>
                </c:pt>
                <c:pt idx="347">
                  <c:v>228.006</c:v>
                </c:pt>
                <c:pt idx="348">
                  <c:v>230.893</c:v>
                </c:pt>
                <c:pt idx="349">
                  <c:v>232.702</c:v>
                </c:pt>
                <c:pt idx="350">
                  <c:v>225.27600000000001</c:v>
                </c:pt>
                <c:pt idx="351">
                  <c:v>225.036</c:v>
                </c:pt>
                <c:pt idx="352">
                  <c:v>231.078</c:v>
                </c:pt>
                <c:pt idx="353">
                  <c:v>231.078</c:v>
                </c:pt>
                <c:pt idx="354">
                  <c:v>220.053</c:v>
                </c:pt>
                <c:pt idx="355">
                  <c:v>216.86699999999999</c:v>
                </c:pt>
                <c:pt idx="356">
                  <c:v>219.04400000000001</c:v>
                </c:pt>
                <c:pt idx="357">
                  <c:v>221.32400000000001</c:v>
                </c:pt>
                <c:pt idx="358">
                  <c:v>209.649</c:v>
                </c:pt>
                <c:pt idx="359">
                  <c:v>192.946</c:v>
                </c:pt>
                <c:pt idx="360">
                  <c:v>189.46899999999999</c:v>
                </c:pt>
                <c:pt idx="361">
                  <c:v>175.03200000000001</c:v>
                </c:pt>
                <c:pt idx="362">
                  <c:v>170.89</c:v>
                </c:pt>
                <c:pt idx="363">
                  <c:v>175.52099999999999</c:v>
                </c:pt>
                <c:pt idx="364">
                  <c:v>175.52099999999999</c:v>
                </c:pt>
                <c:pt idx="365">
                  <c:v>169.767</c:v>
                </c:pt>
                <c:pt idx="366">
                  <c:v>171.91300000000001</c:v>
                </c:pt>
                <c:pt idx="367">
                  <c:v>168.52</c:v>
                </c:pt>
                <c:pt idx="368">
                  <c:v>171.929</c:v>
                </c:pt>
                <c:pt idx="369">
                  <c:v>168.64</c:v>
                </c:pt>
                <c:pt idx="370">
                  <c:v>166.846</c:v>
                </c:pt>
                <c:pt idx="371">
                  <c:v>162.49700000000001</c:v>
                </c:pt>
                <c:pt idx="372">
                  <c:v>160.99100000000001</c:v>
                </c:pt>
                <c:pt idx="373">
                  <c:v>162.14099999999999</c:v>
                </c:pt>
                <c:pt idx="374">
                  <c:v>165.70099999999999</c:v>
                </c:pt>
                <c:pt idx="375">
                  <c:v>168.18700000000001</c:v>
                </c:pt>
                <c:pt idx="376">
                  <c:v>174.41300000000001</c:v>
                </c:pt>
                <c:pt idx="377">
                  <c:v>182.74100000000001</c:v>
                </c:pt>
                <c:pt idx="378">
                  <c:v>177.62899999999999</c:v>
                </c:pt>
                <c:pt idx="379">
                  <c:v>176.715</c:v>
                </c:pt>
                <c:pt idx="380">
                  <c:v>161.70699999999999</c:v>
                </c:pt>
                <c:pt idx="381">
                  <c:v>165.25800000000001</c:v>
                </c:pt>
                <c:pt idx="382">
                  <c:v>166.69399999999999</c:v>
                </c:pt>
                <c:pt idx="383">
                  <c:v>165.608</c:v>
                </c:pt>
                <c:pt idx="384">
                  <c:v>163.506</c:v>
                </c:pt>
                <c:pt idx="385">
                  <c:v>165.03200000000001</c:v>
                </c:pt>
                <c:pt idx="386">
                  <c:v>168.82900000000001</c:v>
                </c:pt>
                <c:pt idx="387">
                  <c:v>172.83199999999999</c:v>
                </c:pt>
                <c:pt idx="388">
                  <c:v>172.86</c:v>
                </c:pt>
                <c:pt idx="389">
                  <c:v>178.542</c:v>
                </c:pt>
                <c:pt idx="390">
                  <c:v>179.38399999999999</c:v>
                </c:pt>
                <c:pt idx="391">
                  <c:v>168.65</c:v>
                </c:pt>
                <c:pt idx="392">
                  <c:v>169.613</c:v>
                </c:pt>
                <c:pt idx="393">
                  <c:v>169.94900000000001</c:v>
                </c:pt>
                <c:pt idx="394">
                  <c:v>173.94399999999999</c:v>
                </c:pt>
                <c:pt idx="395">
                  <c:v>176.82499999999999</c:v>
                </c:pt>
                <c:pt idx="396">
                  <c:v>173.47300000000001</c:v>
                </c:pt>
                <c:pt idx="397">
                  <c:v>172.804</c:v>
                </c:pt>
                <c:pt idx="398">
                  <c:v>170.607</c:v>
                </c:pt>
                <c:pt idx="399">
                  <c:v>169.083</c:v>
                </c:pt>
                <c:pt idx="400">
                  <c:v>167.18</c:v>
                </c:pt>
                <c:pt idx="401">
                  <c:v>163.11600000000001</c:v>
                </c:pt>
                <c:pt idx="402">
                  <c:v>162.096</c:v>
                </c:pt>
                <c:pt idx="403">
                  <c:v>162.28800000000001</c:v>
                </c:pt>
                <c:pt idx="404">
                  <c:v>159.21899999999999</c:v>
                </c:pt>
                <c:pt idx="405">
                  <c:v>158.88399999999999</c:v>
                </c:pt>
                <c:pt idx="406">
                  <c:v>158.51300000000001</c:v>
                </c:pt>
                <c:pt idx="407">
                  <c:v>158.09800000000001</c:v>
                </c:pt>
                <c:pt idx="408">
                  <c:v>155.03700000000001</c:v>
                </c:pt>
                <c:pt idx="409">
                  <c:v>152.244</c:v>
                </c:pt>
                <c:pt idx="410">
                  <c:v>155.66800000000001</c:v>
                </c:pt>
                <c:pt idx="411">
                  <c:v>154.691</c:v>
                </c:pt>
                <c:pt idx="412">
                  <c:v>158.30000000000001</c:v>
                </c:pt>
                <c:pt idx="413">
                  <c:v>159.84800000000001</c:v>
                </c:pt>
                <c:pt idx="414">
                  <c:v>155.268</c:v>
                </c:pt>
                <c:pt idx="415">
                  <c:v>152.245</c:v>
                </c:pt>
                <c:pt idx="416">
                  <c:v>142.267</c:v>
                </c:pt>
                <c:pt idx="417">
                  <c:v>137.17400000000001</c:v>
                </c:pt>
                <c:pt idx="418">
                  <c:v>137.17400000000001</c:v>
                </c:pt>
                <c:pt idx="419">
                  <c:v>127.146</c:v>
                </c:pt>
                <c:pt idx="420">
                  <c:v>130.64599999999999</c:v>
                </c:pt>
                <c:pt idx="421">
                  <c:v>129.95599999999999</c:v>
                </c:pt>
                <c:pt idx="422">
                  <c:v>131.44</c:v>
                </c:pt>
                <c:pt idx="423">
                  <c:v>136.256</c:v>
                </c:pt>
                <c:pt idx="424">
                  <c:v>149.66</c:v>
                </c:pt>
                <c:pt idx="425">
                  <c:v>143.90199999999999</c:v>
                </c:pt>
                <c:pt idx="426">
                  <c:v>146.75899999999999</c:v>
                </c:pt>
                <c:pt idx="427">
                  <c:v>152.072</c:v>
                </c:pt>
                <c:pt idx="428">
                  <c:v>150.10300000000001</c:v>
                </c:pt>
                <c:pt idx="429">
                  <c:v>150.47200000000001</c:v>
                </c:pt>
                <c:pt idx="430">
                  <c:v>150.21899999999999</c:v>
                </c:pt>
                <c:pt idx="431">
                  <c:v>153.64500000000001</c:v>
                </c:pt>
                <c:pt idx="432">
                  <c:v>151.291</c:v>
                </c:pt>
                <c:pt idx="433">
                  <c:v>151.63999999999999</c:v>
                </c:pt>
                <c:pt idx="434">
                  <c:v>151.63999999999999</c:v>
                </c:pt>
                <c:pt idx="435">
                  <c:v>148.99299999999999</c:v>
                </c:pt>
                <c:pt idx="436">
                  <c:v>152.291</c:v>
                </c:pt>
                <c:pt idx="437">
                  <c:v>155.12799999999999</c:v>
                </c:pt>
                <c:pt idx="438">
                  <c:v>152.88999999999999</c:v>
                </c:pt>
                <c:pt idx="439">
                  <c:v>158.11799999999999</c:v>
                </c:pt>
                <c:pt idx="440">
                  <c:v>160.483</c:v>
                </c:pt>
                <c:pt idx="441">
                  <c:v>157.26599999999999</c:v>
                </c:pt>
                <c:pt idx="442">
                  <c:v>157.34700000000001</c:v>
                </c:pt>
                <c:pt idx="443">
                  <c:v>159.75700000000001</c:v>
                </c:pt>
                <c:pt idx="444">
                  <c:v>157.69</c:v>
                </c:pt>
                <c:pt idx="445">
                  <c:v>154.07599999999999</c:v>
                </c:pt>
                <c:pt idx="446">
                  <c:v>150.214</c:v>
                </c:pt>
                <c:pt idx="447">
                  <c:v>151.02699999999999</c:v>
                </c:pt>
                <c:pt idx="448">
                  <c:v>150.65899999999999</c:v>
                </c:pt>
                <c:pt idx="449">
                  <c:v>156.999</c:v>
                </c:pt>
                <c:pt idx="450">
                  <c:v>156.04300000000001</c:v>
                </c:pt>
                <c:pt idx="451">
                  <c:v>153.71100000000001</c:v>
                </c:pt>
                <c:pt idx="452">
                  <c:v>158.91999999999999</c:v>
                </c:pt>
                <c:pt idx="453">
                  <c:v>158.51900000000001</c:v>
                </c:pt>
                <c:pt idx="454">
                  <c:v>159.83500000000001</c:v>
                </c:pt>
                <c:pt idx="455">
                  <c:v>160.22499999999999</c:v>
                </c:pt>
                <c:pt idx="456">
                  <c:v>154.822</c:v>
                </c:pt>
                <c:pt idx="457">
                  <c:v>151.76900000000001</c:v>
                </c:pt>
                <c:pt idx="458">
                  <c:v>154.34299999999999</c:v>
                </c:pt>
                <c:pt idx="459">
                  <c:v>152.1</c:v>
                </c:pt>
                <c:pt idx="460">
                  <c:v>153.77799999999999</c:v>
                </c:pt>
                <c:pt idx="461">
                  <c:v>151.489</c:v>
                </c:pt>
                <c:pt idx="462">
                  <c:v>151.374</c:v>
                </c:pt>
                <c:pt idx="463">
                  <c:v>144.625</c:v>
                </c:pt>
                <c:pt idx="464">
                  <c:v>146.09200000000001</c:v>
                </c:pt>
                <c:pt idx="465">
                  <c:v>147.791</c:v>
                </c:pt>
                <c:pt idx="466">
                  <c:v>148.404</c:v>
                </c:pt>
                <c:pt idx="467">
                  <c:v>146.77600000000001</c:v>
                </c:pt>
                <c:pt idx="468">
                  <c:v>143.16499999999999</c:v>
                </c:pt>
                <c:pt idx="469">
                  <c:v>141.09</c:v>
                </c:pt>
                <c:pt idx="470">
                  <c:v>142.01400000000001</c:v>
                </c:pt>
                <c:pt idx="471">
                  <c:v>141.458</c:v>
                </c:pt>
                <c:pt idx="472">
                  <c:v>139.571</c:v>
                </c:pt>
                <c:pt idx="473">
                  <c:v>140.77799999999999</c:v>
                </c:pt>
                <c:pt idx="474">
                  <c:v>144.428</c:v>
                </c:pt>
                <c:pt idx="475">
                  <c:v>145.63499999999999</c:v>
                </c:pt>
                <c:pt idx="476">
                  <c:v>151.10900000000001</c:v>
                </c:pt>
                <c:pt idx="477">
                  <c:v>148.04</c:v>
                </c:pt>
                <c:pt idx="478">
                  <c:v>148.27799999999999</c:v>
                </c:pt>
                <c:pt idx="479">
                  <c:v>153.107</c:v>
                </c:pt>
                <c:pt idx="480">
                  <c:v>147.03299999999999</c:v>
                </c:pt>
                <c:pt idx="481">
                  <c:v>145.39500000000001</c:v>
                </c:pt>
                <c:pt idx="482">
                  <c:v>137.852</c:v>
                </c:pt>
                <c:pt idx="483">
                  <c:v>138.315</c:v>
                </c:pt>
                <c:pt idx="484">
                  <c:v>127.708</c:v>
                </c:pt>
                <c:pt idx="485">
                  <c:v>127.569</c:v>
                </c:pt>
                <c:pt idx="486">
                  <c:v>127.173</c:v>
                </c:pt>
                <c:pt idx="487">
                  <c:v>131.322</c:v>
                </c:pt>
                <c:pt idx="488">
                  <c:v>127.744</c:v>
                </c:pt>
                <c:pt idx="489">
                  <c:v>126.554</c:v>
                </c:pt>
                <c:pt idx="490">
                  <c:v>129.685</c:v>
                </c:pt>
                <c:pt idx="491">
                  <c:v>127.309</c:v>
                </c:pt>
                <c:pt idx="492">
                  <c:v>129.41499999999999</c:v>
                </c:pt>
                <c:pt idx="493">
                  <c:v>128.13499999999999</c:v>
                </c:pt>
                <c:pt idx="494">
                  <c:v>127.89400000000001</c:v>
                </c:pt>
                <c:pt idx="495">
                  <c:v>126.66200000000001</c:v>
                </c:pt>
                <c:pt idx="496">
                  <c:v>126.1</c:v>
                </c:pt>
                <c:pt idx="497">
                  <c:v>126.32299999999999</c:v>
                </c:pt>
                <c:pt idx="498">
                  <c:v>128.32</c:v>
                </c:pt>
                <c:pt idx="499">
                  <c:v>129.20400000000001</c:v>
                </c:pt>
                <c:pt idx="500">
                  <c:v>127.221</c:v>
                </c:pt>
                <c:pt idx="501">
                  <c:v>126.711</c:v>
                </c:pt>
                <c:pt idx="502">
                  <c:v>124.399</c:v>
                </c:pt>
                <c:pt idx="503">
                  <c:v>121.66800000000001</c:v>
                </c:pt>
                <c:pt idx="504">
                  <c:v>125.011</c:v>
                </c:pt>
                <c:pt idx="505">
                  <c:v>124.43300000000001</c:v>
                </c:pt>
                <c:pt idx="506">
                  <c:v>123.916</c:v>
                </c:pt>
                <c:pt idx="507">
                  <c:v>125.762</c:v>
                </c:pt>
                <c:pt idx="508">
                  <c:v>126.91800000000001</c:v>
                </c:pt>
                <c:pt idx="509">
                  <c:v>126.128</c:v>
                </c:pt>
                <c:pt idx="510">
                  <c:v>121.52200000000001</c:v>
                </c:pt>
                <c:pt idx="511">
                  <c:v>119.56100000000001</c:v>
                </c:pt>
                <c:pt idx="512">
                  <c:v>119.361</c:v>
                </c:pt>
                <c:pt idx="513">
                  <c:v>118.624</c:v>
                </c:pt>
                <c:pt idx="514">
                  <c:v>119.672</c:v>
                </c:pt>
                <c:pt idx="515">
                  <c:v>120.91800000000001</c:v>
                </c:pt>
                <c:pt idx="516">
                  <c:v>121.069</c:v>
                </c:pt>
                <c:pt idx="517">
                  <c:v>120.893</c:v>
                </c:pt>
                <c:pt idx="518">
                  <c:v>120.893</c:v>
                </c:pt>
                <c:pt idx="519">
                  <c:v>120.893</c:v>
                </c:pt>
                <c:pt idx="520">
                  <c:v>121.627</c:v>
                </c:pt>
                <c:pt idx="521">
                  <c:v>121.556</c:v>
                </c:pt>
                <c:pt idx="522">
                  <c:v>122.462</c:v>
                </c:pt>
                <c:pt idx="523">
                  <c:v>122.462</c:v>
                </c:pt>
                <c:pt idx="524">
                  <c:v>122.092</c:v>
                </c:pt>
                <c:pt idx="525">
                  <c:v>120.697</c:v>
                </c:pt>
                <c:pt idx="526">
                  <c:v>122.367</c:v>
                </c:pt>
                <c:pt idx="527">
                  <c:v>121.178</c:v>
                </c:pt>
                <c:pt idx="528">
                  <c:v>116.93</c:v>
                </c:pt>
                <c:pt idx="529">
                  <c:v>115.233</c:v>
                </c:pt>
                <c:pt idx="530">
                  <c:v>120.155</c:v>
                </c:pt>
                <c:pt idx="531">
                  <c:v>118.80200000000001</c:v>
                </c:pt>
                <c:pt idx="532">
                  <c:v>113.639</c:v>
                </c:pt>
                <c:pt idx="533">
                  <c:v>118.652</c:v>
                </c:pt>
                <c:pt idx="534">
                  <c:v>117.349</c:v>
                </c:pt>
                <c:pt idx="535">
                  <c:v>114.602</c:v>
                </c:pt>
                <c:pt idx="536">
                  <c:v>113.962</c:v>
                </c:pt>
                <c:pt idx="537">
                  <c:v>113.833</c:v>
                </c:pt>
                <c:pt idx="538">
                  <c:v>122.59</c:v>
                </c:pt>
                <c:pt idx="539">
                  <c:v>121.715</c:v>
                </c:pt>
                <c:pt idx="540">
                  <c:v>121.47199999999999</c:v>
                </c:pt>
                <c:pt idx="541">
                  <c:v>119.295</c:v>
                </c:pt>
                <c:pt idx="542">
                  <c:v>118.70099999999999</c:v>
                </c:pt>
                <c:pt idx="543">
                  <c:v>117.474</c:v>
                </c:pt>
                <c:pt idx="544">
                  <c:v>117.161</c:v>
                </c:pt>
                <c:pt idx="545">
                  <c:v>116.246</c:v>
                </c:pt>
                <c:pt idx="546">
                  <c:v>113.783</c:v>
                </c:pt>
                <c:pt idx="547">
                  <c:v>111.521</c:v>
                </c:pt>
                <c:pt idx="548">
                  <c:v>109.983</c:v>
                </c:pt>
                <c:pt idx="549">
                  <c:v>109.32899999999999</c:v>
                </c:pt>
                <c:pt idx="550">
                  <c:v>110.908</c:v>
                </c:pt>
                <c:pt idx="551">
                  <c:v>112.96299999999999</c:v>
                </c:pt>
                <c:pt idx="552">
                  <c:v>108.36199999999999</c:v>
                </c:pt>
                <c:pt idx="553">
                  <c:v>105.083</c:v>
                </c:pt>
                <c:pt idx="554">
                  <c:v>103.387</c:v>
                </c:pt>
                <c:pt idx="555">
                  <c:v>96.822000000000003</c:v>
                </c:pt>
                <c:pt idx="556">
                  <c:v>101.68</c:v>
                </c:pt>
                <c:pt idx="557">
                  <c:v>97.625</c:v>
                </c:pt>
                <c:pt idx="558">
                  <c:v>95.838999999999999</c:v>
                </c:pt>
                <c:pt idx="559">
                  <c:v>95.531000000000006</c:v>
                </c:pt>
                <c:pt idx="560">
                  <c:v>98.826999999999998</c:v>
                </c:pt>
                <c:pt idx="561">
                  <c:v>96.162000000000006</c:v>
                </c:pt>
                <c:pt idx="562">
                  <c:v>82.981999999999999</c:v>
                </c:pt>
                <c:pt idx="563">
                  <c:v>93.917000000000002</c:v>
                </c:pt>
                <c:pt idx="564">
                  <c:v>88.536000000000001</c:v>
                </c:pt>
                <c:pt idx="565">
                  <c:v>92.936999999999998</c:v>
                </c:pt>
                <c:pt idx="566">
                  <c:v>89.457999999999998</c:v>
                </c:pt>
                <c:pt idx="567">
                  <c:v>83.536000000000001</c:v>
                </c:pt>
                <c:pt idx="568">
                  <c:v>95.515000000000001</c:v>
                </c:pt>
                <c:pt idx="569">
                  <c:v>100.708</c:v>
                </c:pt>
                <c:pt idx="570">
                  <c:v>103.425</c:v>
                </c:pt>
                <c:pt idx="571">
                  <c:v>102.375</c:v>
                </c:pt>
                <c:pt idx="572">
                  <c:v>101.52800000000001</c:v>
                </c:pt>
                <c:pt idx="573">
                  <c:v>103.6</c:v>
                </c:pt>
                <c:pt idx="574">
                  <c:v>102.492</c:v>
                </c:pt>
                <c:pt idx="575">
                  <c:v>100.45099999999999</c:v>
                </c:pt>
                <c:pt idx="576">
                  <c:v>109.556</c:v>
                </c:pt>
                <c:pt idx="577">
                  <c:v>110.834</c:v>
                </c:pt>
                <c:pt idx="578">
                  <c:v>109.669</c:v>
                </c:pt>
                <c:pt idx="579">
                  <c:v>108.864</c:v>
                </c:pt>
                <c:pt idx="580">
                  <c:v>121.41800000000001</c:v>
                </c:pt>
                <c:pt idx="581">
                  <c:v>120.973</c:v>
                </c:pt>
                <c:pt idx="582">
                  <c:v>119.489</c:v>
                </c:pt>
                <c:pt idx="583">
                  <c:v>119.28400000000001</c:v>
                </c:pt>
                <c:pt idx="584">
                  <c:v>115.419</c:v>
                </c:pt>
                <c:pt idx="585">
                  <c:v>118.554</c:v>
                </c:pt>
                <c:pt idx="586">
                  <c:v>109.937</c:v>
                </c:pt>
                <c:pt idx="587">
                  <c:v>116.947</c:v>
                </c:pt>
                <c:pt idx="588">
                  <c:v>116.947</c:v>
                </c:pt>
                <c:pt idx="589">
                  <c:v>116.947</c:v>
                </c:pt>
                <c:pt idx="590">
                  <c:v>121.065</c:v>
                </c:pt>
                <c:pt idx="591">
                  <c:v>129.99799999999999</c:v>
                </c:pt>
                <c:pt idx="592">
                  <c:v>132.691</c:v>
                </c:pt>
                <c:pt idx="593">
                  <c:v>133.53399999999999</c:v>
                </c:pt>
                <c:pt idx="594">
                  <c:v>129.81700000000001</c:v>
                </c:pt>
                <c:pt idx="595">
                  <c:v>137.28</c:v>
                </c:pt>
                <c:pt idx="596">
                  <c:v>128.75299999999999</c:v>
                </c:pt>
                <c:pt idx="597">
                  <c:v>135.261</c:v>
                </c:pt>
                <c:pt idx="598">
                  <c:v>119.63500000000001</c:v>
                </c:pt>
                <c:pt idx="599">
                  <c:v>116.964</c:v>
                </c:pt>
                <c:pt idx="600">
                  <c:v>128.244</c:v>
                </c:pt>
                <c:pt idx="601">
                  <c:v>127.434</c:v>
                </c:pt>
                <c:pt idx="602">
                  <c:v>116.41800000000001</c:v>
                </c:pt>
                <c:pt idx="603">
                  <c:v>114.86</c:v>
                </c:pt>
                <c:pt idx="604">
                  <c:v>114.453</c:v>
                </c:pt>
                <c:pt idx="605">
                  <c:v>111.459</c:v>
                </c:pt>
                <c:pt idx="606">
                  <c:v>112.03100000000001</c:v>
                </c:pt>
                <c:pt idx="607">
                  <c:v>108.943</c:v>
                </c:pt>
                <c:pt idx="608">
                  <c:v>107.096</c:v>
                </c:pt>
                <c:pt idx="609">
                  <c:v>107.096</c:v>
                </c:pt>
                <c:pt idx="610">
                  <c:v>108.99299999999999</c:v>
                </c:pt>
                <c:pt idx="611">
                  <c:v>109.675</c:v>
                </c:pt>
                <c:pt idx="612">
                  <c:v>107.815</c:v>
                </c:pt>
                <c:pt idx="613">
                  <c:v>110.291</c:v>
                </c:pt>
                <c:pt idx="614">
                  <c:v>106.86</c:v>
                </c:pt>
                <c:pt idx="615">
                  <c:v>107.086</c:v>
                </c:pt>
                <c:pt idx="616">
                  <c:v>103.33499999999999</c:v>
                </c:pt>
                <c:pt idx="617">
                  <c:v>108.496</c:v>
                </c:pt>
                <c:pt idx="618">
                  <c:v>102.95399999999999</c:v>
                </c:pt>
                <c:pt idx="619">
                  <c:v>103.215</c:v>
                </c:pt>
                <c:pt idx="620">
                  <c:v>105.309</c:v>
                </c:pt>
                <c:pt idx="621">
                  <c:v>101.657</c:v>
                </c:pt>
                <c:pt idx="622">
                  <c:v>102.438</c:v>
                </c:pt>
                <c:pt idx="623">
                  <c:v>99.977999999999994</c:v>
                </c:pt>
                <c:pt idx="624">
                  <c:v>102.474</c:v>
                </c:pt>
                <c:pt idx="625">
                  <c:v>106.09</c:v>
                </c:pt>
                <c:pt idx="626">
                  <c:v>101.211</c:v>
                </c:pt>
                <c:pt idx="627">
                  <c:v>98.558999999999997</c:v>
                </c:pt>
                <c:pt idx="628">
                  <c:v>98.852999999999994</c:v>
                </c:pt>
                <c:pt idx="629">
                  <c:v>98.852999999999994</c:v>
                </c:pt>
                <c:pt idx="630">
                  <c:v>98.483000000000004</c:v>
                </c:pt>
                <c:pt idx="631">
                  <c:v>100.348</c:v>
                </c:pt>
                <c:pt idx="632">
                  <c:v>97.408000000000001</c:v>
                </c:pt>
                <c:pt idx="633">
                  <c:v>104.502</c:v>
                </c:pt>
                <c:pt idx="634">
                  <c:v>101.596</c:v>
                </c:pt>
                <c:pt idx="635">
                  <c:v>100.517</c:v>
                </c:pt>
                <c:pt idx="636">
                  <c:v>98.906999999999996</c:v>
                </c:pt>
                <c:pt idx="637">
                  <c:v>100.9</c:v>
                </c:pt>
                <c:pt idx="638">
                  <c:v>93.346999999999994</c:v>
                </c:pt>
                <c:pt idx="639">
                  <c:v>90.203000000000003</c:v>
                </c:pt>
                <c:pt idx="640">
                  <c:v>91.790999999999997</c:v>
                </c:pt>
                <c:pt idx="641">
                  <c:v>79.319000000000003</c:v>
                </c:pt>
                <c:pt idx="642">
                  <c:v>83.905000000000001</c:v>
                </c:pt>
                <c:pt idx="643">
                  <c:v>81.022999999999996</c:v>
                </c:pt>
                <c:pt idx="644">
                  <c:v>78.421999999999997</c:v>
                </c:pt>
                <c:pt idx="645">
                  <c:v>83.147999999999996</c:v>
                </c:pt>
                <c:pt idx="646">
                  <c:v>78.191999999999993</c:v>
                </c:pt>
                <c:pt idx="647">
                  <c:v>80.022000000000006</c:v>
                </c:pt>
                <c:pt idx="648">
                  <c:v>78.561999999999998</c:v>
                </c:pt>
                <c:pt idx="649">
                  <c:v>80.802999999999997</c:v>
                </c:pt>
                <c:pt idx="650">
                  <c:v>79.738</c:v>
                </c:pt>
                <c:pt idx="651">
                  <c:v>81.751000000000005</c:v>
                </c:pt>
                <c:pt idx="652">
                  <c:v>81.331000000000003</c:v>
                </c:pt>
                <c:pt idx="653">
                  <c:v>83.222999999999999</c:v>
                </c:pt>
                <c:pt idx="654">
                  <c:v>84.914000000000001</c:v>
                </c:pt>
                <c:pt idx="655">
                  <c:v>88.518000000000001</c:v>
                </c:pt>
                <c:pt idx="656">
                  <c:v>91.04</c:v>
                </c:pt>
                <c:pt idx="657">
                  <c:v>92.513999999999996</c:v>
                </c:pt>
                <c:pt idx="658">
                  <c:v>88.397000000000006</c:v>
                </c:pt>
                <c:pt idx="659">
                  <c:v>86.134</c:v>
                </c:pt>
                <c:pt idx="660">
                  <c:v>82.581000000000003</c:v>
                </c:pt>
                <c:pt idx="661">
                  <c:v>85.706000000000003</c:v>
                </c:pt>
                <c:pt idx="662">
                  <c:v>88.522000000000006</c:v>
                </c:pt>
                <c:pt idx="663">
                  <c:v>87.245999999999995</c:v>
                </c:pt>
                <c:pt idx="664">
                  <c:v>97.072000000000003</c:v>
                </c:pt>
                <c:pt idx="665">
                  <c:v>95.533000000000001</c:v>
                </c:pt>
                <c:pt idx="666">
                  <c:v>87.269000000000005</c:v>
                </c:pt>
                <c:pt idx="667">
                  <c:v>89.204999999999998</c:v>
                </c:pt>
                <c:pt idx="668">
                  <c:v>91.608999999999995</c:v>
                </c:pt>
                <c:pt idx="669">
                  <c:v>88.742000000000004</c:v>
                </c:pt>
                <c:pt idx="670">
                  <c:v>91.747</c:v>
                </c:pt>
                <c:pt idx="671">
                  <c:v>90.468999999999994</c:v>
                </c:pt>
                <c:pt idx="672">
                  <c:v>87.542000000000002</c:v>
                </c:pt>
                <c:pt idx="673">
                  <c:v>92.491</c:v>
                </c:pt>
                <c:pt idx="674">
                  <c:v>94.869</c:v>
                </c:pt>
                <c:pt idx="675">
                  <c:v>94.869</c:v>
                </c:pt>
                <c:pt idx="676">
                  <c:v>94.869</c:v>
                </c:pt>
                <c:pt idx="677">
                  <c:v>84.375</c:v>
                </c:pt>
                <c:pt idx="678">
                  <c:v>81.463999999999999</c:v>
                </c:pt>
                <c:pt idx="679">
                  <c:v>79.62</c:v>
                </c:pt>
                <c:pt idx="680">
                  <c:v>79.42</c:v>
                </c:pt>
                <c:pt idx="681">
                  <c:v>79.42</c:v>
                </c:pt>
                <c:pt idx="682">
                  <c:v>78.948999999999998</c:v>
                </c:pt>
                <c:pt idx="683">
                  <c:v>78.948999999999998</c:v>
                </c:pt>
                <c:pt idx="684">
                  <c:v>78.948999999999998</c:v>
                </c:pt>
                <c:pt idx="685">
                  <c:v>78.948999999999998</c:v>
                </c:pt>
                <c:pt idx="686">
                  <c:v>78.948999999999998</c:v>
                </c:pt>
                <c:pt idx="687">
                  <c:v>78.948999999999998</c:v>
                </c:pt>
                <c:pt idx="688">
                  <c:v>78.948999999999998</c:v>
                </c:pt>
                <c:pt idx="689">
                  <c:v>78.948999999999998</c:v>
                </c:pt>
                <c:pt idx="690">
                  <c:v>78.948999999999998</c:v>
                </c:pt>
                <c:pt idx="691">
                  <c:v>78.948999999999998</c:v>
                </c:pt>
                <c:pt idx="692">
                  <c:v>80.084000000000003</c:v>
                </c:pt>
                <c:pt idx="693">
                  <c:v>86.784000000000006</c:v>
                </c:pt>
                <c:pt idx="694">
                  <c:v>86.784000000000006</c:v>
                </c:pt>
                <c:pt idx="695">
                  <c:v>88.930999999999997</c:v>
                </c:pt>
                <c:pt idx="696">
                  <c:v>87.513999999999996</c:v>
                </c:pt>
                <c:pt idx="697">
                  <c:v>87.385000000000005</c:v>
                </c:pt>
                <c:pt idx="698">
                  <c:v>87.385000000000005</c:v>
                </c:pt>
                <c:pt idx="699">
                  <c:v>87.385000000000005</c:v>
                </c:pt>
                <c:pt idx="700">
                  <c:v>86.100999999999999</c:v>
                </c:pt>
                <c:pt idx="701">
                  <c:v>86.382999999999996</c:v>
                </c:pt>
                <c:pt idx="702">
                  <c:v>86.548000000000002</c:v>
                </c:pt>
                <c:pt idx="703">
                  <c:v>84.051000000000002</c:v>
                </c:pt>
                <c:pt idx="704">
                  <c:v>84.567999999999998</c:v>
                </c:pt>
                <c:pt idx="705">
                  <c:v>84.567999999999998</c:v>
                </c:pt>
              </c:numCache>
            </c:numRef>
          </c:val>
          <c:smooth val="0"/>
          <c:extLst>
            <c:ext xmlns:c16="http://schemas.microsoft.com/office/drawing/2014/chart" uri="{C3380CC4-5D6E-409C-BE32-E72D297353CC}">
              <c16:uniqueId val="{00000001-6184-4726-8727-A5CE2BEB2AFE}"/>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Sheet1!$D$2:$D$707</c:f>
            </c:numRef>
          </c:val>
          <c:smooth val="0"/>
          <c:extLst>
            <c:ext xmlns:c16="http://schemas.microsoft.com/office/drawing/2014/chart" uri="{C3380CC4-5D6E-409C-BE32-E72D297353CC}">
              <c16:uniqueId val="{00000002-6184-4726-8727-A5CE2BEB2AFE}"/>
            </c:ext>
          </c:extLst>
        </c:ser>
        <c:ser>
          <c:idx val="3"/>
          <c:order val="3"/>
          <c:tx>
            <c:strRef>
              <c:f>Sheet1!$E$1</c:f>
              <c:strCache>
                <c:ptCount val="1"/>
                <c:pt idx="0">
                  <c:v>Հայաստան (2029թ.)</c:v>
                </c:pt>
              </c:strCache>
            </c:strRef>
          </c:tx>
          <c:spPr>
            <a:ln w="28575" cap="rnd">
              <a:solidFill>
                <a:srgbClr val="C00000"/>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Sheet1!$E$2:$E$707</c:f>
              <c:numCache>
                <c:formatCode>General</c:formatCode>
                <c:ptCount val="706"/>
                <c:pt idx="190" formatCode="_(* #,##0_);_(* \(#,##0\);_(* &quot;-&quot;??_);_(@_)">
                  <c:v>259.19799999999998</c:v>
                </c:pt>
                <c:pt idx="191" formatCode="_(* #,##0_);_(* \(#,##0\);_(* &quot;-&quot;??_);_(@_)">
                  <c:v>256.65100000000001</c:v>
                </c:pt>
                <c:pt idx="192" formatCode="_(* #,##0_);_(* \(#,##0\);_(* &quot;-&quot;??_);_(@_)">
                  <c:v>257.65199999999999</c:v>
                </c:pt>
                <c:pt idx="193" formatCode="_(* #,##0_);_(* \(#,##0\);_(* &quot;-&quot;??_);_(@_)">
                  <c:v>260.23899999999998</c:v>
                </c:pt>
                <c:pt idx="194" formatCode="_(* #,##0_);_(* \(#,##0\);_(* &quot;-&quot;??_);_(@_)">
                  <c:v>260.40100000000001</c:v>
                </c:pt>
                <c:pt idx="195" formatCode="_(* #,##0_);_(* \(#,##0\);_(* &quot;-&quot;??_);_(@_)">
                  <c:v>265.23700000000002</c:v>
                </c:pt>
                <c:pt idx="196" formatCode="_(* #,##0_);_(* \(#,##0\);_(* &quot;-&quot;??_);_(@_)">
                  <c:v>273.62299999999999</c:v>
                </c:pt>
                <c:pt idx="197" formatCode="_(* #,##0_);_(* \(#,##0\);_(* &quot;-&quot;??_);_(@_)">
                  <c:v>278.80599999999998</c:v>
                </c:pt>
                <c:pt idx="198" formatCode="_(* #,##0_);_(* \(#,##0\);_(* &quot;-&quot;??_);_(@_)">
                  <c:v>274.01799999999997</c:v>
                </c:pt>
                <c:pt idx="199" formatCode="_(* #,##0_);_(* \(#,##0\);_(* &quot;-&quot;??_);_(@_)">
                  <c:v>274.16399999999999</c:v>
                </c:pt>
                <c:pt idx="200" formatCode="_(* #,##0_);_(* \(#,##0\);_(* &quot;-&quot;??_);_(@_)">
                  <c:v>279.48500000000001</c:v>
                </c:pt>
                <c:pt idx="201" formatCode="_(* #,##0_);_(* \(#,##0\);_(* &quot;-&quot;??_);_(@_)">
                  <c:v>275.13</c:v>
                </c:pt>
                <c:pt idx="202" formatCode="_(* #,##0_);_(* \(#,##0\);_(* &quot;-&quot;??_);_(@_)">
                  <c:v>267.25900000000001</c:v>
                </c:pt>
                <c:pt idx="203" formatCode="_(* #,##0_);_(* \(#,##0\);_(* &quot;-&quot;??_);_(@_)">
                  <c:v>258.62799999999999</c:v>
                </c:pt>
                <c:pt idx="204" formatCode="_(* #,##0_);_(* \(#,##0\);_(* &quot;-&quot;??_);_(@_)">
                  <c:v>258.62799999999999</c:v>
                </c:pt>
                <c:pt idx="205" formatCode="_(* #,##0_);_(* \(#,##0\);_(* &quot;-&quot;??_);_(@_)">
                  <c:v>252.482</c:v>
                </c:pt>
                <c:pt idx="206" formatCode="_(* #,##0_);_(* \(#,##0\);_(* &quot;-&quot;??_);_(@_)">
                  <c:v>257.404</c:v>
                </c:pt>
                <c:pt idx="207" formatCode="_(* #,##0_);_(* \(#,##0\);_(* &quot;-&quot;??_);_(@_)">
                  <c:v>252.45500000000001</c:v>
                </c:pt>
                <c:pt idx="208" formatCode="_(* #,##0_);_(* \(#,##0\);_(* &quot;-&quot;??_);_(@_)">
                  <c:v>250.827</c:v>
                </c:pt>
                <c:pt idx="209" formatCode="_(* #,##0_);_(* \(#,##0\);_(* &quot;-&quot;??_);_(@_)">
                  <c:v>250.988</c:v>
                </c:pt>
                <c:pt idx="210" formatCode="_(* #,##0_);_(* \(#,##0\);_(* &quot;-&quot;??_);_(@_)">
                  <c:v>255.48099999999999</c:v>
                </c:pt>
                <c:pt idx="211" formatCode="_(* #,##0_);_(* \(#,##0\);_(* &quot;-&quot;??_);_(@_)">
                  <c:v>255.161</c:v>
                </c:pt>
                <c:pt idx="212" formatCode="_(* #,##0_);_(* \(#,##0\);_(* &quot;-&quot;??_);_(@_)">
                  <c:v>254.65899999999999</c:v>
                </c:pt>
                <c:pt idx="213" formatCode="_(* #,##0_);_(* \(#,##0\);_(* &quot;-&quot;??_);_(@_)">
                  <c:v>252.042</c:v>
                </c:pt>
                <c:pt idx="214" formatCode="_(* #,##0_);_(* \(#,##0\);_(* &quot;-&quot;??_);_(@_)">
                  <c:v>249.73500000000001</c:v>
                </c:pt>
                <c:pt idx="215" formatCode="_(* #,##0_);_(* \(#,##0\);_(* &quot;-&quot;??_);_(@_)">
                  <c:v>249.523</c:v>
                </c:pt>
                <c:pt idx="216" formatCode="_(* #,##0_);_(* \(#,##0\);_(* &quot;-&quot;??_);_(@_)">
                  <c:v>256.125</c:v>
                </c:pt>
                <c:pt idx="217" formatCode="_(* #,##0_);_(* \(#,##0\);_(* &quot;-&quot;??_);_(@_)">
                  <c:v>263.428</c:v>
                </c:pt>
                <c:pt idx="218" formatCode="_(* #,##0_);_(* \(#,##0\);_(* &quot;-&quot;??_);_(@_)">
                  <c:v>259.11599999999999</c:v>
                </c:pt>
                <c:pt idx="219" formatCode="_(* #,##0_);_(* \(#,##0\);_(* &quot;-&quot;??_);_(@_)">
                  <c:v>252.64099999999999</c:v>
                </c:pt>
                <c:pt idx="220" formatCode="_(* #,##0_);_(* \(#,##0\);_(* &quot;-&quot;??_);_(@_)">
                  <c:v>247.06399999999999</c:v>
                </c:pt>
                <c:pt idx="221" formatCode="_(* #,##0_);_(* \(#,##0\);_(* &quot;-&quot;??_);_(@_)">
                  <c:v>252.62100000000001</c:v>
                </c:pt>
                <c:pt idx="222" formatCode="_(* #,##0_);_(* \(#,##0\);_(* &quot;-&quot;??_);_(@_)">
                  <c:v>246.07400000000001</c:v>
                </c:pt>
                <c:pt idx="223" formatCode="_(* #,##0_);_(* \(#,##0\);_(* &quot;-&quot;??_);_(@_)">
                  <c:v>244.93899999999999</c:v>
                </c:pt>
                <c:pt idx="224" formatCode="_(* #,##0_);_(* \(#,##0\);_(* &quot;-&quot;??_);_(@_)">
                  <c:v>245.09899999999999</c:v>
                </c:pt>
                <c:pt idx="225" formatCode="_(* #,##0_);_(* \(#,##0\);_(* &quot;-&quot;??_);_(@_)">
                  <c:v>249.73500000000001</c:v>
                </c:pt>
                <c:pt idx="226" formatCode="_(* #,##0_);_(* \(#,##0\);_(* &quot;-&quot;??_);_(@_)">
                  <c:v>253.48</c:v>
                </c:pt>
                <c:pt idx="227" formatCode="_(* #,##0_);_(* \(#,##0\);_(* &quot;-&quot;??_);_(@_)">
                  <c:v>254.90199999999999</c:v>
                </c:pt>
                <c:pt idx="228" formatCode="_(* #,##0_);_(* \(#,##0\);_(* &quot;-&quot;??_);_(@_)">
                  <c:v>249.90299999999999</c:v>
                </c:pt>
                <c:pt idx="229" formatCode="_(* #,##0_);_(* \(#,##0\);_(* &quot;-&quot;??_);_(@_)">
                  <c:v>251.71</c:v>
                </c:pt>
                <c:pt idx="230" formatCode="_(* #,##0_);_(* \(#,##0\);_(* &quot;-&quot;??_);_(@_)">
                  <c:v>255.44200000000001</c:v>
                </c:pt>
                <c:pt idx="231" formatCode="_(* #,##0_);_(* \(#,##0\);_(* &quot;-&quot;??_);_(@_)">
                  <c:v>255.15199999999999</c:v>
                </c:pt>
                <c:pt idx="232" formatCode="_(* #,##0_);_(* \(#,##0\);_(* &quot;-&quot;??_);_(@_)">
                  <c:v>252.173</c:v>
                </c:pt>
                <c:pt idx="233" formatCode="_(* #,##0_);_(* \(#,##0\);_(* &quot;-&quot;??_);_(@_)">
                  <c:v>246.83</c:v>
                </c:pt>
                <c:pt idx="234" formatCode="_(* #,##0_);_(* \(#,##0\);_(* &quot;-&quot;??_);_(@_)">
                  <c:v>244.12799999999999</c:v>
                </c:pt>
                <c:pt idx="235" formatCode="_(* #,##0_);_(* \(#,##0\);_(* &quot;-&quot;??_);_(@_)">
                  <c:v>243.922</c:v>
                </c:pt>
                <c:pt idx="236" formatCode="_(* #,##0_);_(* \(#,##0\);_(* &quot;-&quot;??_);_(@_)">
                  <c:v>240.816</c:v>
                </c:pt>
                <c:pt idx="237" formatCode="_(* #,##0_);_(* \(#,##0\);_(* &quot;-&quot;??_);_(@_)">
                  <c:v>236.803</c:v>
                </c:pt>
                <c:pt idx="238" formatCode="_(* #,##0_);_(* \(#,##0\);_(* &quot;-&quot;??_);_(@_)">
                  <c:v>234.91800000000001</c:v>
                </c:pt>
                <c:pt idx="239" formatCode="_(* #,##0_);_(* \(#,##0\);_(* &quot;-&quot;??_);_(@_)">
                  <c:v>235.54300000000001</c:v>
                </c:pt>
                <c:pt idx="240" formatCode="_(* #,##0_);_(* \(#,##0\);_(* &quot;-&quot;??_);_(@_)">
                  <c:v>245.68799999999999</c:v>
                </c:pt>
                <c:pt idx="241" formatCode="_(* #,##0_);_(* \(#,##0\);_(* &quot;-&quot;??_);_(@_)">
                  <c:v>238.10599999999999</c:v>
                </c:pt>
                <c:pt idx="242" formatCode="_(* #,##0_);_(* \(#,##0\);_(* &quot;-&quot;??_);_(@_)">
                  <c:v>234.346</c:v>
                </c:pt>
                <c:pt idx="243" formatCode="_(* #,##0_);_(* \(#,##0\);_(* &quot;-&quot;??_);_(@_)">
                  <c:v>230.233</c:v>
                </c:pt>
                <c:pt idx="244" formatCode="_(* #,##0_);_(* \(#,##0\);_(* &quot;-&quot;??_);_(@_)">
                  <c:v>232.78200000000001</c:v>
                </c:pt>
                <c:pt idx="245" formatCode="_(* #,##0_);_(* \(#,##0\);_(* &quot;-&quot;??_);_(@_)">
                  <c:v>232.47</c:v>
                </c:pt>
                <c:pt idx="246" formatCode="_(* #,##0_);_(* \(#,##0\);_(* &quot;-&quot;??_);_(@_)">
                  <c:v>236.34</c:v>
                </c:pt>
                <c:pt idx="247" formatCode="_(* #,##0_);_(* \(#,##0\);_(* &quot;-&quot;??_);_(@_)">
                  <c:v>223.37700000000001</c:v>
                </c:pt>
                <c:pt idx="248" formatCode="_(* #,##0_);_(* \(#,##0\);_(* &quot;-&quot;??_);_(@_)">
                  <c:v>232.37899999999999</c:v>
                </c:pt>
                <c:pt idx="249" formatCode="_(* #,##0_);_(* \(#,##0\);_(* &quot;-&quot;??_);_(@_)">
                  <c:v>224.751</c:v>
                </c:pt>
                <c:pt idx="250" formatCode="_(* #,##0_);_(* \(#,##0\);_(* &quot;-&quot;??_);_(@_)">
                  <c:v>220.03800000000001</c:v>
                </c:pt>
                <c:pt idx="251" formatCode="_(* #,##0_);_(* \(#,##0\);_(* &quot;-&quot;??_);_(@_)">
                  <c:v>218.66</c:v>
                </c:pt>
                <c:pt idx="252" formatCode="_(* #,##0_);_(* \(#,##0\);_(* &quot;-&quot;??_);_(@_)">
                  <c:v>216.81899999999999</c:v>
                </c:pt>
                <c:pt idx="253" formatCode="_(* #,##0_);_(* \(#,##0\);_(* &quot;-&quot;??_);_(@_)">
                  <c:v>215.81800000000001</c:v>
                </c:pt>
                <c:pt idx="254" formatCode="_(* #,##0_);_(* \(#,##0\);_(* &quot;-&quot;??_);_(@_)">
                  <c:v>215.92699999999999</c:v>
                </c:pt>
                <c:pt idx="255" formatCode="_(* #,##0_);_(* \(#,##0\);_(* &quot;-&quot;??_);_(@_)">
                  <c:v>217.625</c:v>
                </c:pt>
                <c:pt idx="256" formatCode="_(* #,##0_);_(* \(#,##0\);_(* &quot;-&quot;??_);_(@_)">
                  <c:v>217.625</c:v>
                </c:pt>
                <c:pt idx="257" formatCode="_(* #,##0_);_(* \(#,##0\);_(* &quot;-&quot;??_);_(@_)">
                  <c:v>217.625</c:v>
                </c:pt>
                <c:pt idx="258" formatCode="_(* #,##0_);_(* \(#,##0\);_(* &quot;-&quot;??_);_(@_)">
                  <c:v>219.49299999999999</c:v>
                </c:pt>
                <c:pt idx="259" formatCode="_(* #,##0_);_(* \(#,##0\);_(* &quot;-&quot;??_);_(@_)">
                  <c:v>220.79</c:v>
                </c:pt>
                <c:pt idx="260" formatCode="_(* #,##0_);_(* \(#,##0\);_(* &quot;-&quot;??_);_(@_)">
                  <c:v>215.73500000000001</c:v>
                </c:pt>
                <c:pt idx="261" formatCode="_(* #,##0_);_(* \(#,##0\);_(* &quot;-&quot;??_);_(@_)">
                  <c:v>215.73500000000001</c:v>
                </c:pt>
                <c:pt idx="262" formatCode="_(* #,##0_);_(* \(#,##0\);_(* &quot;-&quot;??_);_(@_)">
                  <c:v>218.01599999999999</c:v>
                </c:pt>
                <c:pt idx="263" formatCode="_(* #,##0_);_(* \(#,##0\);_(* &quot;-&quot;??_);_(@_)">
                  <c:v>227.416</c:v>
                </c:pt>
                <c:pt idx="264" formatCode="_(* #,##0_);_(* \(#,##0\);_(* &quot;-&quot;??_);_(@_)">
                  <c:v>227.48</c:v>
                </c:pt>
                <c:pt idx="265" formatCode="_(* #,##0_);_(* \(#,##0\);_(* &quot;-&quot;??_);_(@_)">
                  <c:v>225.864</c:v>
                </c:pt>
                <c:pt idx="266" formatCode="_(* #,##0_);_(* \(#,##0\);_(* &quot;-&quot;??_);_(@_)">
                  <c:v>212.47900000000001</c:v>
                </c:pt>
                <c:pt idx="267" formatCode="_(* #,##0_);_(* \(#,##0\);_(* &quot;-&quot;??_);_(@_)">
                  <c:v>213.59200000000001</c:v>
                </c:pt>
                <c:pt idx="268" formatCode="_(* #,##0_);_(* \(#,##0\);_(* &quot;-&quot;??_);_(@_)">
                  <c:v>212.102</c:v>
                </c:pt>
                <c:pt idx="269" formatCode="_(* #,##0_);_(* \(#,##0\);_(* &quot;-&quot;??_);_(@_)">
                  <c:v>210.18799999999999</c:v>
                </c:pt>
                <c:pt idx="270" formatCode="_(* #,##0_);_(* \(#,##0\);_(* &quot;-&quot;??_);_(@_)">
                  <c:v>208.06100000000001</c:v>
                </c:pt>
                <c:pt idx="271" formatCode="_(* #,##0_);_(* \(#,##0\);_(* &quot;-&quot;??_);_(@_)">
                  <c:v>210.995</c:v>
                </c:pt>
                <c:pt idx="272" formatCode="_(* #,##0_);_(* \(#,##0\);_(* &quot;-&quot;??_);_(@_)">
                  <c:v>200.47</c:v>
                </c:pt>
                <c:pt idx="273" formatCode="_(* #,##0_);_(* \(#,##0\);_(* &quot;-&quot;??_);_(@_)">
                  <c:v>201.64599999999999</c:v>
                </c:pt>
                <c:pt idx="274" formatCode="_(* #,##0_);_(* \(#,##0\);_(* &quot;-&quot;??_);_(@_)">
                  <c:v>202.673</c:v>
                </c:pt>
                <c:pt idx="275" formatCode="_(* #,##0_);_(* \(#,##0\);_(* &quot;-&quot;??_);_(@_)">
                  <c:v>206.327</c:v>
                </c:pt>
                <c:pt idx="276" formatCode="_(* #,##0_);_(* \(#,##0\);_(* &quot;-&quot;??_);_(@_)">
                  <c:v>207.60599999999999</c:v>
                </c:pt>
                <c:pt idx="277" formatCode="_(* #,##0_);_(* \(#,##0\);_(* &quot;-&quot;??_);_(@_)">
                  <c:v>210.655</c:v>
                </c:pt>
                <c:pt idx="278" formatCode="_(* #,##0_);_(* \(#,##0\);_(* &quot;-&quot;??_);_(@_)">
                  <c:v>216.11</c:v>
                </c:pt>
                <c:pt idx="279" formatCode="_(* #,##0_);_(* \(#,##0\);_(* &quot;-&quot;??_);_(@_)">
                  <c:v>226.17699999999999</c:v>
                </c:pt>
                <c:pt idx="280" formatCode="_(* #,##0_);_(* \(#,##0\);_(* &quot;-&quot;??_);_(@_)">
                  <c:v>219.88</c:v>
                </c:pt>
                <c:pt idx="281" formatCode="_(* #,##0_);_(* \(#,##0\);_(* &quot;-&quot;??_);_(@_)">
                  <c:v>226.971</c:v>
                </c:pt>
                <c:pt idx="282" formatCode="_(* #,##0_);_(* \(#,##0\);_(* &quot;-&quot;??_);_(@_)">
                  <c:v>226.643</c:v>
                </c:pt>
                <c:pt idx="283" formatCode="_(* #,##0_);_(* \(#,##0\);_(* &quot;-&quot;??_);_(@_)">
                  <c:v>233.95</c:v>
                </c:pt>
                <c:pt idx="284" formatCode="_(* #,##0_);_(* \(#,##0\);_(* &quot;-&quot;??_);_(@_)">
                  <c:v>229.86500000000001</c:v>
                </c:pt>
                <c:pt idx="285" formatCode="_(* #,##0_);_(* \(#,##0\);_(* &quot;-&quot;??_);_(@_)">
                  <c:v>224.58600000000001</c:v>
                </c:pt>
                <c:pt idx="286" formatCode="_(* #,##0_);_(* \(#,##0\);_(* &quot;-&quot;??_);_(@_)">
                  <c:v>219.608</c:v>
                </c:pt>
                <c:pt idx="287" formatCode="_(* #,##0_);_(* \(#,##0\);_(* &quot;-&quot;??_);_(@_)">
                  <c:v>218.321</c:v>
                </c:pt>
                <c:pt idx="288" formatCode="_(* #,##0_);_(* \(#,##0\);_(* &quot;-&quot;??_);_(@_)">
                  <c:v>223.73099999999999</c:v>
                </c:pt>
                <c:pt idx="289" formatCode="_(* #,##0_);_(* \(#,##0\);_(* &quot;-&quot;??_);_(@_)">
                  <c:v>226.251</c:v>
                </c:pt>
                <c:pt idx="290" formatCode="_(* #,##0_);_(* \(#,##0\);_(* &quot;-&quot;??_);_(@_)">
                  <c:v>221.453</c:v>
                </c:pt>
                <c:pt idx="291" formatCode="_(* #,##0_);_(* \(#,##0\);_(* &quot;-&quot;??_);_(@_)">
                  <c:v>217.792</c:v>
                </c:pt>
                <c:pt idx="292" formatCode="_(* #,##0_);_(* \(#,##0\);_(* &quot;-&quot;??_);_(@_)">
                  <c:v>219.74100000000001</c:v>
                </c:pt>
                <c:pt idx="293" formatCode="_(* #,##0_);_(* \(#,##0\);_(* &quot;-&quot;??_);_(@_)">
                  <c:v>219.238</c:v>
                </c:pt>
                <c:pt idx="294" formatCode="_(* #,##0_);_(* \(#,##0\);_(* &quot;-&quot;??_);_(@_)">
                  <c:v>217.83099999999999</c:v>
                </c:pt>
                <c:pt idx="295" formatCode="_(* #,##0_);_(* \(#,##0\);_(* &quot;-&quot;??_);_(@_)">
                  <c:v>220.51900000000001</c:v>
                </c:pt>
                <c:pt idx="296" formatCode="_(* #,##0_);_(* \(#,##0\);_(* &quot;-&quot;??_);_(@_)">
                  <c:v>218.62799999999999</c:v>
                </c:pt>
                <c:pt idx="297" formatCode="_(* #,##0_);_(* \(#,##0\);_(* &quot;-&quot;??_);_(@_)">
                  <c:v>219.792</c:v>
                </c:pt>
                <c:pt idx="298" formatCode="_(* #,##0_);_(* \(#,##0\);_(* &quot;-&quot;??_);_(@_)">
                  <c:v>223.03800000000001</c:v>
                </c:pt>
                <c:pt idx="299" formatCode="_(* #,##0_);_(* \(#,##0\);_(* &quot;-&quot;??_);_(@_)">
                  <c:v>235.584</c:v>
                </c:pt>
                <c:pt idx="300" formatCode="_(* #,##0_);_(* \(#,##0\);_(* &quot;-&quot;??_);_(@_)">
                  <c:v>237.24700000000001</c:v>
                </c:pt>
                <c:pt idx="301" formatCode="_(* #,##0_);_(* \(#,##0\);_(* &quot;-&quot;??_);_(@_)">
                  <c:v>237.27199999999999</c:v>
                </c:pt>
                <c:pt idx="302" formatCode="_(* #,##0_);_(* \(#,##0\);_(* &quot;-&quot;??_);_(@_)">
                  <c:v>253.74</c:v>
                </c:pt>
                <c:pt idx="303" formatCode="_(* #,##0_);_(* \(#,##0\);_(* &quot;-&quot;??_);_(@_)">
                  <c:v>282.02499999999998</c:v>
                </c:pt>
                <c:pt idx="304" formatCode="_(* #,##0_);_(* \(#,##0\);_(* &quot;-&quot;??_);_(@_)">
                  <c:v>280.02800000000002</c:v>
                </c:pt>
                <c:pt idx="305" formatCode="_(* #,##0_);_(* \(#,##0\);_(* &quot;-&quot;??_);_(@_)">
                  <c:v>273.78800000000001</c:v>
                </c:pt>
                <c:pt idx="306" formatCode="_(* #,##0_);_(* \(#,##0\);_(* &quot;-&quot;??_);_(@_)">
                  <c:v>270.24799999999999</c:v>
                </c:pt>
                <c:pt idx="307" formatCode="_(* #,##0_);_(* \(#,##0\);_(* &quot;-&quot;??_);_(@_)">
                  <c:v>271.43299999999999</c:v>
                </c:pt>
                <c:pt idx="308" formatCode="_(* #,##0_);_(* \(#,##0\);_(* &quot;-&quot;??_);_(@_)">
                  <c:v>282.71600000000001</c:v>
                </c:pt>
                <c:pt idx="309" formatCode="_(* #,##0_);_(* \(#,##0\);_(* &quot;-&quot;??_);_(@_)">
                  <c:v>361.85399999999998</c:v>
                </c:pt>
                <c:pt idx="310" formatCode="_(* #,##0_);_(* \(#,##0\);_(* &quot;-&quot;??_);_(@_)">
                  <c:v>346.03199999999998</c:v>
                </c:pt>
                <c:pt idx="311" formatCode="_(* #,##0_);_(* \(#,##0\);_(* &quot;-&quot;??_);_(@_)">
                  <c:v>349.685</c:v>
                </c:pt>
                <c:pt idx="312" formatCode="_(* #,##0_);_(* \(#,##0\);_(* &quot;-&quot;??_);_(@_)">
                  <c:v>398.47199999999998</c:v>
                </c:pt>
                <c:pt idx="313" formatCode="_(* #,##0_);_(* \(#,##0\);_(* &quot;-&quot;??_);_(@_)">
                  <c:v>373.23</c:v>
                </c:pt>
                <c:pt idx="314" formatCode="_(* #,##0_);_(* \(#,##0\);_(* &quot;-&quot;??_);_(@_)">
                  <c:v>401.25200000000001</c:v>
                </c:pt>
                <c:pt idx="315" formatCode="_(* #,##0_);_(* \(#,##0\);_(* &quot;-&quot;??_);_(@_)">
                  <c:v>401.57299999999998</c:v>
                </c:pt>
                <c:pt idx="316" formatCode="_(* #,##0_);_(* \(#,##0\);_(* &quot;-&quot;??_);_(@_)">
                  <c:v>481.52600000000001</c:v>
                </c:pt>
                <c:pt idx="317" formatCode="_(* #,##0_);_(* \(#,##0\);_(* &quot;-&quot;??_);_(@_)">
                  <c:v>499.471</c:v>
                </c:pt>
                <c:pt idx="318" formatCode="_(* #,##0_);_(* \(#,##0\);_(* &quot;-&quot;??_);_(@_)">
                  <c:v>512.904</c:v>
                </c:pt>
                <c:pt idx="319" formatCode="_(* #,##0_);_(* \(#,##0\);_(* &quot;-&quot;??_);_(@_)">
                  <c:v>539.40599999999995</c:v>
                </c:pt>
                <c:pt idx="320" formatCode="_(* #,##0_);_(* \(#,##0\);_(* &quot;-&quot;??_);_(@_)">
                  <c:v>526.31899999999996</c:v>
                </c:pt>
                <c:pt idx="321" formatCode="_(* #,##0_);_(* \(#,##0\);_(* &quot;-&quot;??_);_(@_)">
                  <c:v>510.30799999999999</c:v>
                </c:pt>
                <c:pt idx="322" formatCode="_(* #,##0_);_(* \(#,##0\);_(* &quot;-&quot;??_);_(@_)">
                  <c:v>462.43200000000002</c:v>
                </c:pt>
                <c:pt idx="323" formatCode="_(* #,##0_);_(* \(#,##0\);_(* &quot;-&quot;??_);_(@_)">
                  <c:v>484.096</c:v>
                </c:pt>
                <c:pt idx="324" formatCode="_(* #,##0_);_(* \(#,##0\);_(* &quot;-&quot;??_);_(@_)">
                  <c:v>481.55700000000002</c:v>
                </c:pt>
                <c:pt idx="325" formatCode="_(* #,##0_);_(* \(#,##0\);_(* &quot;-&quot;??_);_(@_)">
                  <c:v>482.39499999999998</c:v>
                </c:pt>
                <c:pt idx="326" formatCode="_(* #,##0_);_(* \(#,##0\);_(* &quot;-&quot;??_);_(@_)">
                  <c:v>475.59100000000001</c:v>
                </c:pt>
                <c:pt idx="327" formatCode="_(* #,##0_);_(* \(#,##0\);_(* &quot;-&quot;??_);_(@_)">
                  <c:v>474.512</c:v>
                </c:pt>
                <c:pt idx="328" formatCode="_(* #,##0_);_(* \(#,##0\);_(* &quot;-&quot;??_);_(@_)">
                  <c:v>457.97300000000001</c:v>
                </c:pt>
                <c:pt idx="329" formatCode="_(* #,##0_);_(* \(#,##0\);_(* &quot;-&quot;??_);_(@_)">
                  <c:v>436.721</c:v>
                </c:pt>
                <c:pt idx="330" formatCode="_(* #,##0_);_(* \(#,##0\);_(* &quot;-&quot;??_);_(@_)">
                  <c:v>434.87599999999998</c:v>
                </c:pt>
                <c:pt idx="331" formatCode="_(* #,##0_);_(* \(#,##0\);_(* &quot;-&quot;??_);_(@_)">
                  <c:v>430.399</c:v>
                </c:pt>
                <c:pt idx="332" formatCode="_(* #,##0_);_(* \(#,##0\);_(* &quot;-&quot;??_);_(@_)">
                  <c:v>419.53399999999999</c:v>
                </c:pt>
                <c:pt idx="333" formatCode="_(* #,##0_);_(* \(#,##0\);_(* &quot;-&quot;??_);_(@_)">
                  <c:v>419.53399999999999</c:v>
                </c:pt>
                <c:pt idx="334" formatCode="_(* #,##0_);_(* \(#,##0\);_(* &quot;-&quot;??_);_(@_)">
                  <c:v>419.53399999999999</c:v>
                </c:pt>
                <c:pt idx="335" formatCode="_(* #,##0_);_(* \(#,##0\);_(* &quot;-&quot;??_);_(@_)">
                  <c:v>410.209</c:v>
                </c:pt>
                <c:pt idx="336" formatCode="_(* #,##0_);_(* \(#,##0\);_(* &quot;-&quot;??_);_(@_)">
                  <c:v>422.03800000000001</c:v>
                </c:pt>
                <c:pt idx="337" formatCode="_(* #,##0_);_(* \(#,##0\);_(* &quot;-&quot;??_);_(@_)">
                  <c:v>421.654</c:v>
                </c:pt>
                <c:pt idx="338" formatCode="_(* #,##0_);_(* \(#,##0\);_(* &quot;-&quot;??_);_(@_)">
                  <c:v>412.78699999999998</c:v>
                </c:pt>
                <c:pt idx="339" formatCode="_(* #,##0_);_(* \(#,##0\);_(* &quot;-&quot;??_);_(@_)">
                  <c:v>413.5</c:v>
                </c:pt>
                <c:pt idx="340" formatCode="_(* #,##0_);_(* \(#,##0\);_(* &quot;-&quot;??_);_(@_)">
                  <c:v>421.86599999999999</c:v>
                </c:pt>
                <c:pt idx="341" formatCode="_(* #,##0_);_(* \(#,##0\);_(* &quot;-&quot;??_);_(@_)">
                  <c:v>424.26499999999999</c:v>
                </c:pt>
                <c:pt idx="342" formatCode="_(* #,##0_);_(* \(#,##0\);_(* &quot;-&quot;??_);_(@_)">
                  <c:v>424.06</c:v>
                </c:pt>
                <c:pt idx="343" formatCode="_(* #,##0_);_(* \(#,##0\);_(* &quot;-&quot;??_);_(@_)">
                  <c:v>424.31</c:v>
                </c:pt>
                <c:pt idx="344" formatCode="_(* #,##0_);_(* \(#,##0\);_(* &quot;-&quot;??_);_(@_)">
                  <c:v>421.63</c:v>
                </c:pt>
                <c:pt idx="345" formatCode="_(* #,##0_);_(* \(#,##0\);_(* &quot;-&quot;??_);_(@_)">
                  <c:v>426.274</c:v>
                </c:pt>
                <c:pt idx="346" formatCode="_(* #,##0_);_(* \(#,##0\);_(* &quot;-&quot;??_);_(@_)">
                  <c:v>425.19</c:v>
                </c:pt>
                <c:pt idx="347" formatCode="_(* #,##0_);_(* \(#,##0\);_(* &quot;-&quot;??_);_(@_)">
                  <c:v>411.024</c:v>
                </c:pt>
                <c:pt idx="348" formatCode="_(* #,##0_);_(* \(#,##0\);_(* &quot;-&quot;??_);_(@_)">
                  <c:v>413.30399999999997</c:v>
                </c:pt>
                <c:pt idx="349" formatCode="_(* #,##0_);_(* \(#,##0\);_(* &quot;-&quot;??_);_(@_)">
                  <c:v>413.459</c:v>
                </c:pt>
                <c:pt idx="350" formatCode="_(* #,##0_);_(* \(#,##0\);_(* &quot;-&quot;??_);_(@_)">
                  <c:v>391.9</c:v>
                </c:pt>
                <c:pt idx="351" formatCode="_(* #,##0_);_(* \(#,##0\);_(* &quot;-&quot;??_);_(@_)">
                  <c:v>388.77300000000002</c:v>
                </c:pt>
                <c:pt idx="352" formatCode="_(* #,##0_);_(* \(#,##0\);_(* &quot;-&quot;??_);_(@_)">
                  <c:v>394.33199999999999</c:v>
                </c:pt>
                <c:pt idx="353" formatCode="_(* #,##0_);_(* \(#,##0\);_(* &quot;-&quot;??_);_(@_)">
                  <c:v>394.33199999999999</c:v>
                </c:pt>
                <c:pt idx="354" formatCode="_(* #,##0_);_(* \(#,##0\);_(* &quot;-&quot;??_);_(@_)">
                  <c:v>377.27499999999998</c:v>
                </c:pt>
                <c:pt idx="355" formatCode="_(* #,##0_);_(* \(#,##0\);_(* &quot;-&quot;??_);_(@_)">
                  <c:v>376.28899999999999</c:v>
                </c:pt>
                <c:pt idx="356" formatCode="_(* #,##0_);_(* \(#,##0\);_(* &quot;-&quot;??_);_(@_)">
                  <c:v>373.80599999999998</c:v>
                </c:pt>
                <c:pt idx="357" formatCode="_(* #,##0_);_(* \(#,##0\);_(* &quot;-&quot;??_);_(@_)">
                  <c:v>371.14499999999998</c:v>
                </c:pt>
                <c:pt idx="358" formatCode="_(* #,##0_);_(* \(#,##0\);_(* &quot;-&quot;??_);_(@_)">
                  <c:v>366.56599999999997</c:v>
                </c:pt>
                <c:pt idx="359" formatCode="_(* #,##0_);_(* \(#,##0\);_(* &quot;-&quot;??_);_(@_)">
                  <c:v>347.65100000000001</c:v>
                </c:pt>
                <c:pt idx="360" formatCode="_(* #,##0_);_(* \(#,##0\);_(* &quot;-&quot;??_);_(@_)">
                  <c:v>348.31200000000001</c:v>
                </c:pt>
                <c:pt idx="361" formatCode="_(* #,##0_);_(* \(#,##0\);_(* &quot;-&quot;??_);_(@_)">
                  <c:v>334.72899999999998</c:v>
                </c:pt>
                <c:pt idx="362" formatCode="_(* #,##0_);_(* \(#,##0\);_(* &quot;-&quot;??_);_(@_)">
                  <c:v>331.06599999999997</c:v>
                </c:pt>
                <c:pt idx="363" formatCode="_(* #,##0_);_(* \(#,##0\);_(* &quot;-&quot;??_);_(@_)">
                  <c:v>333.98399999999998</c:v>
                </c:pt>
                <c:pt idx="364" formatCode="_(* #,##0_);_(* \(#,##0\);_(* &quot;-&quot;??_);_(@_)">
                  <c:v>333.98399999999998</c:v>
                </c:pt>
                <c:pt idx="365" formatCode="_(* #,##0_);_(* \(#,##0\);_(* &quot;-&quot;??_);_(@_)">
                  <c:v>325.42399999999998</c:v>
                </c:pt>
                <c:pt idx="366" formatCode="_(* #,##0_);_(* \(#,##0\);_(* &quot;-&quot;??_);_(@_)">
                  <c:v>325.50900000000001</c:v>
                </c:pt>
                <c:pt idx="367" formatCode="_(* #,##0_);_(* \(#,##0\);_(* &quot;-&quot;??_);_(@_)">
                  <c:v>325.95699999999999</c:v>
                </c:pt>
                <c:pt idx="368" formatCode="_(* #,##0_);_(* \(#,##0\);_(* &quot;-&quot;??_);_(@_)">
                  <c:v>329.75299999999999</c:v>
                </c:pt>
                <c:pt idx="369" formatCode="_(* #,##0_);_(* \(#,##0\);_(* &quot;-&quot;??_);_(@_)">
                  <c:v>329.85899999999998</c:v>
                </c:pt>
                <c:pt idx="370" formatCode="_(* #,##0_);_(* \(#,##0\);_(* &quot;-&quot;??_);_(@_)">
                  <c:v>328.5</c:v>
                </c:pt>
                <c:pt idx="371" formatCode="_(* #,##0_);_(* \(#,##0\);_(* &quot;-&quot;??_);_(@_)">
                  <c:v>320.08</c:v>
                </c:pt>
                <c:pt idx="372" formatCode="_(* #,##0_);_(* \(#,##0\);_(* &quot;-&quot;??_);_(@_)">
                  <c:v>314.88099999999997</c:v>
                </c:pt>
                <c:pt idx="373" formatCode="_(* #,##0_);_(* \(#,##0\);_(* &quot;-&quot;??_);_(@_)">
                  <c:v>307.50099999999998</c:v>
                </c:pt>
                <c:pt idx="374" formatCode="_(* #,##0_);_(* \(#,##0\);_(* &quot;-&quot;??_);_(@_)">
                  <c:v>311.76100000000002</c:v>
                </c:pt>
                <c:pt idx="375" formatCode="_(* #,##0_);_(* \(#,##0\);_(* &quot;-&quot;??_);_(@_)">
                  <c:v>316.005</c:v>
                </c:pt>
                <c:pt idx="376" formatCode="_(* #,##0_);_(* \(#,##0\);_(* &quot;-&quot;??_);_(@_)">
                  <c:v>326.05900000000003</c:v>
                </c:pt>
                <c:pt idx="377" formatCode="_(* #,##0_);_(* \(#,##0\);_(* &quot;-&quot;??_);_(@_)">
                  <c:v>345.745</c:v>
                </c:pt>
                <c:pt idx="378" formatCode="_(* #,##0_);_(* \(#,##0\);_(* &quot;-&quot;??_);_(@_)">
                  <c:v>344.85700000000003</c:v>
                </c:pt>
                <c:pt idx="379" formatCode="_(* #,##0_);_(* \(#,##0\);_(* &quot;-&quot;??_);_(@_)">
                  <c:v>373.37900000000002</c:v>
                </c:pt>
                <c:pt idx="380" formatCode="_(* #,##0_);_(* \(#,##0\);_(* &quot;-&quot;??_);_(@_)">
                  <c:v>363.84500000000003</c:v>
                </c:pt>
                <c:pt idx="381" formatCode="_(* #,##0_);_(* \(#,##0\);_(* &quot;-&quot;??_);_(@_)">
                  <c:v>367.94200000000001</c:v>
                </c:pt>
                <c:pt idx="382" formatCode="_(* #,##0_);_(* \(#,##0\);_(* &quot;-&quot;??_);_(@_)">
                  <c:v>371.572</c:v>
                </c:pt>
                <c:pt idx="383" formatCode="_(* #,##0_);_(* \(#,##0\);_(* &quot;-&quot;??_);_(@_)">
                  <c:v>371.51400000000001</c:v>
                </c:pt>
                <c:pt idx="384" formatCode="_(* #,##0_);_(* \(#,##0\);_(* &quot;-&quot;??_);_(@_)">
                  <c:v>371.85899999999998</c:v>
                </c:pt>
                <c:pt idx="385" formatCode="_(* #,##0_);_(* \(#,##0\);_(* &quot;-&quot;??_);_(@_)">
                  <c:v>367.428</c:v>
                </c:pt>
                <c:pt idx="386" formatCode="_(* #,##0_);_(* \(#,##0\);_(* &quot;-&quot;??_);_(@_)">
                  <c:v>369.95</c:v>
                </c:pt>
                <c:pt idx="387" formatCode="_(* #,##0_);_(* \(#,##0\);_(* &quot;-&quot;??_);_(@_)">
                  <c:v>375.85199999999998</c:v>
                </c:pt>
                <c:pt idx="388" formatCode="_(* #,##0_);_(* \(#,##0\);_(* &quot;-&quot;??_);_(@_)">
                  <c:v>380.09800000000001</c:v>
                </c:pt>
                <c:pt idx="389" formatCode="_(* #,##0_);_(* \(#,##0\);_(* &quot;-&quot;??_);_(@_)">
                  <c:v>379.791</c:v>
                </c:pt>
                <c:pt idx="390" formatCode="_(* #,##0_);_(* \(#,##0\);_(* &quot;-&quot;??_);_(@_)">
                  <c:v>377.45100000000002</c:v>
                </c:pt>
                <c:pt idx="391" formatCode="_(* #,##0_);_(* \(#,##0\);_(* &quot;-&quot;??_);_(@_)">
                  <c:v>374.18299999999999</c:v>
                </c:pt>
                <c:pt idx="392" formatCode="_(* #,##0_);_(* \(#,##0\);_(* &quot;-&quot;??_);_(@_)">
                  <c:v>355.012</c:v>
                </c:pt>
                <c:pt idx="393" formatCode="_(* #,##0_);_(* \(#,##0\);_(* &quot;-&quot;??_);_(@_)">
                  <c:v>352.19400000000002</c:v>
                </c:pt>
                <c:pt idx="394" formatCode="_(* #,##0_);_(* \(#,##0\);_(* &quot;-&quot;??_);_(@_)">
                  <c:v>350.17899999999997</c:v>
                </c:pt>
                <c:pt idx="395" formatCode="_(* #,##0_);_(* \(#,##0\);_(* &quot;-&quot;??_);_(@_)">
                  <c:v>353.452</c:v>
                </c:pt>
                <c:pt idx="396" formatCode="_(* #,##0_);_(* \(#,##0\);_(* &quot;-&quot;??_);_(@_)">
                  <c:v>352.303</c:v>
                </c:pt>
                <c:pt idx="397" formatCode="_(* #,##0_);_(* \(#,##0\);_(* &quot;-&quot;??_);_(@_)">
                  <c:v>357.464</c:v>
                </c:pt>
                <c:pt idx="398" formatCode="_(* #,##0_);_(* \(#,##0\);_(* &quot;-&quot;??_);_(@_)">
                  <c:v>354.90800000000002</c:v>
                </c:pt>
                <c:pt idx="399" formatCode="_(* #,##0_);_(* \(#,##0\);_(* &quot;-&quot;??_);_(@_)">
                  <c:v>355.27199999999999</c:v>
                </c:pt>
                <c:pt idx="400" formatCode="_(* #,##0_);_(* \(#,##0\);_(* &quot;-&quot;??_);_(@_)">
                  <c:v>356.63900000000001</c:v>
                </c:pt>
                <c:pt idx="401" formatCode="_(* #,##0_);_(* \(#,##0\);_(* &quot;-&quot;??_);_(@_)">
                  <c:v>357.19499999999999</c:v>
                </c:pt>
                <c:pt idx="402" formatCode="_(* #,##0_);_(* \(#,##0\);_(* &quot;-&quot;??_);_(@_)">
                  <c:v>359.63499999999999</c:v>
                </c:pt>
                <c:pt idx="403" formatCode="_(* #,##0_);_(* \(#,##0\);_(* &quot;-&quot;??_);_(@_)">
                  <c:v>360.61399999999998</c:v>
                </c:pt>
                <c:pt idx="404" formatCode="_(* #,##0_);_(* \(#,##0\);_(* &quot;-&quot;??_);_(@_)">
                  <c:v>361.738</c:v>
                </c:pt>
                <c:pt idx="405" formatCode="_(* #,##0_);_(* \(#,##0\);_(* &quot;-&quot;??_);_(@_)">
                  <c:v>357.80799999999999</c:v>
                </c:pt>
                <c:pt idx="406" formatCode="_(* #,##0_);_(* \(#,##0\);_(* &quot;-&quot;??_);_(@_)">
                  <c:v>355.7</c:v>
                </c:pt>
                <c:pt idx="407" formatCode="_(* #,##0_);_(* \(#,##0\);_(* &quot;-&quot;??_);_(@_)">
                  <c:v>349.12200000000001</c:v>
                </c:pt>
                <c:pt idx="408" formatCode="_(* #,##0_);_(* \(#,##0\);_(* &quot;-&quot;??_);_(@_)">
                  <c:v>346.74400000000003</c:v>
                </c:pt>
                <c:pt idx="409" formatCode="_(* #,##0_);_(* \(#,##0\);_(* &quot;-&quot;??_);_(@_)">
                  <c:v>345.50599999999997</c:v>
                </c:pt>
                <c:pt idx="410" formatCode="_(* #,##0_);_(* \(#,##0\);_(* &quot;-&quot;??_);_(@_)">
                  <c:v>348.62900000000002</c:v>
                </c:pt>
                <c:pt idx="411" formatCode="_(* #,##0_);_(* \(#,##0\);_(* &quot;-&quot;??_);_(@_)">
                  <c:v>347.44</c:v>
                </c:pt>
                <c:pt idx="412" formatCode="_(* #,##0_);_(* \(#,##0\);_(* &quot;-&quot;??_);_(@_)">
                  <c:v>350.67</c:v>
                </c:pt>
                <c:pt idx="413" formatCode="_(* #,##0_);_(* \(#,##0\);_(* &quot;-&quot;??_);_(@_)">
                  <c:v>350.20100000000002</c:v>
                </c:pt>
                <c:pt idx="414" formatCode="_(* #,##0_);_(* \(#,##0\);_(* &quot;-&quot;??_);_(@_)">
                  <c:v>345.55500000000001</c:v>
                </c:pt>
                <c:pt idx="415" formatCode="_(* #,##0_);_(* \(#,##0\);_(* &quot;-&quot;??_);_(@_)">
                  <c:v>346.73700000000002</c:v>
                </c:pt>
                <c:pt idx="416" formatCode="_(* #,##0_);_(* \(#,##0\);_(* &quot;-&quot;??_);_(@_)">
                  <c:v>336.411</c:v>
                </c:pt>
                <c:pt idx="417" formatCode="_(* #,##0_);_(* \(#,##0\);_(* &quot;-&quot;??_);_(@_)">
                  <c:v>329.82299999999998</c:v>
                </c:pt>
                <c:pt idx="418" formatCode="_(* #,##0_);_(* \(#,##0\);_(* &quot;-&quot;??_);_(@_)">
                  <c:v>326.13299999999998</c:v>
                </c:pt>
                <c:pt idx="419" formatCode="_(* #,##0_);_(* \(#,##0\);_(* &quot;-&quot;??_);_(@_)">
                  <c:v>326.36500000000001</c:v>
                </c:pt>
                <c:pt idx="420" formatCode="_(* #,##0_);_(* \(#,##0\);_(* &quot;-&quot;??_);_(@_)">
                  <c:v>319.19</c:v>
                </c:pt>
                <c:pt idx="421" formatCode="_(* #,##0_);_(* \(#,##0\);_(* &quot;-&quot;??_);_(@_)">
                  <c:v>318.37400000000002</c:v>
                </c:pt>
                <c:pt idx="422" formatCode="_(* #,##0_);_(* \(#,##0\);_(* &quot;-&quot;??_);_(@_)">
                  <c:v>312.28500000000003</c:v>
                </c:pt>
                <c:pt idx="423" formatCode="_(* #,##0_);_(* \(#,##0\);_(* &quot;-&quot;??_);_(@_)">
                  <c:v>307.35300000000001</c:v>
                </c:pt>
                <c:pt idx="424" formatCode="_(* #,##0_);_(* \(#,##0\);_(* &quot;-&quot;??_);_(@_)">
                  <c:v>311.26100000000002</c:v>
                </c:pt>
                <c:pt idx="425" formatCode="_(* #,##0_);_(* \(#,##0\);_(* &quot;-&quot;??_);_(@_)">
                  <c:v>311.55900000000003</c:v>
                </c:pt>
                <c:pt idx="426" formatCode="_(* #,##0_);_(* \(#,##0\);_(* &quot;-&quot;??_);_(@_)">
                  <c:v>310.51600000000002</c:v>
                </c:pt>
                <c:pt idx="427" formatCode="_(* #,##0_);_(* \(#,##0\);_(* &quot;-&quot;??_);_(@_)">
                  <c:v>312.947</c:v>
                </c:pt>
                <c:pt idx="428" formatCode="_(* #,##0_);_(* \(#,##0\);_(* &quot;-&quot;??_);_(@_)">
                  <c:v>313.69400000000002</c:v>
                </c:pt>
                <c:pt idx="429" formatCode="_(* #,##0_);_(* \(#,##0\);_(* &quot;-&quot;??_);_(@_)">
                  <c:v>312.56099999999998</c:v>
                </c:pt>
                <c:pt idx="430" formatCode="_(* #,##0_);_(* \(#,##0\);_(* &quot;-&quot;??_);_(@_)">
                  <c:v>309.36799999999999</c:v>
                </c:pt>
                <c:pt idx="431" formatCode="_(* #,##0_);_(* \(#,##0\);_(* &quot;-&quot;??_);_(@_)">
                  <c:v>308.44799999999998</c:v>
                </c:pt>
                <c:pt idx="432" formatCode="_(* #,##0_);_(* \(#,##0\);_(* &quot;-&quot;??_);_(@_)">
                  <c:v>300.69200000000001</c:v>
                </c:pt>
                <c:pt idx="433" formatCode="_(* #,##0_);_(* \(#,##0\);_(* &quot;-&quot;??_);_(@_)">
                  <c:v>302.49099999999999</c:v>
                </c:pt>
                <c:pt idx="434" formatCode="_(* #,##0_);_(* \(#,##0\);_(* &quot;-&quot;??_);_(@_)">
                  <c:v>302.49099999999999</c:v>
                </c:pt>
                <c:pt idx="435" formatCode="_(* #,##0_);_(* \(#,##0\);_(* &quot;-&quot;??_);_(@_)">
                  <c:v>303.13</c:v>
                </c:pt>
                <c:pt idx="436" formatCode="_(* #,##0_);_(* \(#,##0\);_(* &quot;-&quot;??_);_(@_)">
                  <c:v>302.09899999999999</c:v>
                </c:pt>
                <c:pt idx="437" formatCode="_(* #,##0_);_(* \(#,##0\);_(* &quot;-&quot;??_);_(@_)">
                  <c:v>302.24400000000003</c:v>
                </c:pt>
                <c:pt idx="438" formatCode="_(* #,##0_);_(* \(#,##0\);_(* &quot;-&quot;??_);_(@_)">
                  <c:v>296.05700000000002</c:v>
                </c:pt>
                <c:pt idx="439" formatCode="_(* #,##0_);_(* \(#,##0\);_(* &quot;-&quot;??_);_(@_)">
                  <c:v>294.39699999999999</c:v>
                </c:pt>
                <c:pt idx="440" formatCode="_(* #,##0_);_(* \(#,##0\);_(* &quot;-&quot;??_);_(@_)">
                  <c:v>302.226</c:v>
                </c:pt>
                <c:pt idx="441" formatCode="_(* #,##0_);_(* \(#,##0\);_(* &quot;-&quot;??_);_(@_)">
                  <c:v>300.72199999999998</c:v>
                </c:pt>
                <c:pt idx="442" formatCode="_(* #,##0_);_(* \(#,##0\);_(* &quot;-&quot;??_);_(@_)">
                  <c:v>302.45400000000001</c:v>
                </c:pt>
                <c:pt idx="443" formatCode="_(* #,##0_);_(* \(#,##0\);_(* &quot;-&quot;??_);_(@_)">
                  <c:v>303.53100000000001</c:v>
                </c:pt>
                <c:pt idx="444" formatCode="_(* #,##0_);_(* \(#,##0\);_(* &quot;-&quot;??_);_(@_)">
                  <c:v>302.49</c:v>
                </c:pt>
                <c:pt idx="445" formatCode="_(* #,##0_);_(* \(#,##0\);_(* &quot;-&quot;??_);_(@_)">
                  <c:v>301.92599999999999</c:v>
                </c:pt>
                <c:pt idx="446" formatCode="_(* #,##0_);_(* \(#,##0\);_(* &quot;-&quot;??_);_(@_)">
                  <c:v>301.40499999999997</c:v>
                </c:pt>
                <c:pt idx="447" formatCode="_(* #,##0_);_(* \(#,##0\);_(* &quot;-&quot;??_);_(@_)">
                  <c:v>301.904</c:v>
                </c:pt>
                <c:pt idx="448" formatCode="_(* #,##0_);_(* \(#,##0\);_(* &quot;-&quot;??_);_(@_)">
                  <c:v>300.42200000000003</c:v>
                </c:pt>
                <c:pt idx="449" formatCode="_(* #,##0_);_(* \(#,##0\);_(* &quot;-&quot;??_);_(@_)">
                  <c:v>309.45499999999998</c:v>
                </c:pt>
                <c:pt idx="450" formatCode="_(* #,##0_);_(* \(#,##0\);_(* &quot;-&quot;??_);_(@_)">
                  <c:v>309.608</c:v>
                </c:pt>
                <c:pt idx="451" formatCode="_(* #,##0_);_(* \(#,##0\);_(* &quot;-&quot;??_);_(@_)">
                  <c:v>308.13299999999998</c:v>
                </c:pt>
                <c:pt idx="452" formatCode="_(* #,##0_);_(* \(#,##0\);_(* &quot;-&quot;??_);_(@_)">
                  <c:v>316.084</c:v>
                </c:pt>
                <c:pt idx="453" formatCode="_(* #,##0_);_(* \(#,##0\);_(* &quot;-&quot;??_);_(@_)">
                  <c:v>316.70400000000001</c:v>
                </c:pt>
                <c:pt idx="454" formatCode="_(* #,##0_);_(* \(#,##0\);_(* &quot;-&quot;??_);_(@_)">
                  <c:v>365.39100000000002</c:v>
                </c:pt>
                <c:pt idx="455" formatCode="_(* #,##0_);_(* \(#,##0\);_(* &quot;-&quot;??_);_(@_)">
                  <c:v>398.19499999999999</c:v>
                </c:pt>
                <c:pt idx="456" formatCode="_(* #,##0_);_(* \(#,##0\);_(* &quot;-&quot;??_);_(@_)">
                  <c:v>368.70400000000001</c:v>
                </c:pt>
                <c:pt idx="457" formatCode="_(* #,##0_);_(* \(#,##0\);_(* &quot;-&quot;??_);_(@_)">
                  <c:v>345.31599999999997</c:v>
                </c:pt>
                <c:pt idx="458" formatCode="_(* #,##0_);_(* \(#,##0\);_(* &quot;-&quot;??_);_(@_)">
                  <c:v>337.96899999999999</c:v>
                </c:pt>
                <c:pt idx="459" formatCode="_(* #,##0_);_(* \(#,##0\);_(* &quot;-&quot;??_);_(@_)">
                  <c:v>329.43400000000003</c:v>
                </c:pt>
                <c:pt idx="460" formatCode="_(* #,##0_);_(* \(#,##0\);_(* &quot;-&quot;??_);_(@_)">
                  <c:v>335.83199999999999</c:v>
                </c:pt>
                <c:pt idx="461" formatCode="_(* #,##0_);_(* \(#,##0\);_(* &quot;-&quot;??_);_(@_)">
                  <c:v>340.97</c:v>
                </c:pt>
                <c:pt idx="462" formatCode="_(* #,##0_);_(* \(#,##0\);_(* &quot;-&quot;??_);_(@_)">
                  <c:v>338.85899999999998</c:v>
                </c:pt>
                <c:pt idx="463" formatCode="_(* #,##0_);_(* \(#,##0\);_(* &quot;-&quot;??_);_(@_)">
                  <c:v>332.52600000000001</c:v>
                </c:pt>
                <c:pt idx="464" formatCode="_(* #,##0_);_(* \(#,##0\);_(* &quot;-&quot;??_);_(@_)">
                  <c:v>329.69</c:v>
                </c:pt>
                <c:pt idx="465" formatCode="_(* #,##0_);_(* \(#,##0\);_(* &quot;-&quot;??_);_(@_)">
                  <c:v>336.59800000000001</c:v>
                </c:pt>
                <c:pt idx="466" formatCode="_(* #,##0_);_(* \(#,##0\);_(* &quot;-&quot;??_);_(@_)">
                  <c:v>345.73599999999999</c:v>
                </c:pt>
                <c:pt idx="467" formatCode="_(* #,##0_);_(* \(#,##0\);_(* &quot;-&quot;??_);_(@_)">
                  <c:v>357.75299999999999</c:v>
                </c:pt>
                <c:pt idx="468" formatCode="_(* #,##0_);_(* \(#,##0\);_(* &quot;-&quot;??_);_(@_)">
                  <c:v>356.97899999999998</c:v>
                </c:pt>
                <c:pt idx="469" formatCode="_(* #,##0_);_(* \(#,##0\);_(* &quot;-&quot;??_);_(@_)">
                  <c:v>351.63499999999999</c:v>
                </c:pt>
                <c:pt idx="470" formatCode="_(* #,##0_);_(* \(#,##0\);_(* &quot;-&quot;??_);_(@_)">
                  <c:v>350.02499999999998</c:v>
                </c:pt>
                <c:pt idx="471" formatCode="_(* #,##0_);_(* \(#,##0\);_(* &quot;-&quot;??_);_(@_)">
                  <c:v>354.15800000000002</c:v>
                </c:pt>
                <c:pt idx="472" formatCode="_(* #,##0_);_(* \(#,##0\);_(* &quot;-&quot;??_);_(@_)">
                  <c:v>356.82900000000001</c:v>
                </c:pt>
                <c:pt idx="473" formatCode="_(* #,##0_);_(* \(#,##0\);_(* &quot;-&quot;??_);_(@_)">
                  <c:v>359.33</c:v>
                </c:pt>
                <c:pt idx="474" formatCode="_(* #,##0_);_(* \(#,##0\);_(* &quot;-&quot;??_);_(@_)">
                  <c:v>370.40699999999998</c:v>
                </c:pt>
                <c:pt idx="475" formatCode="_(* #,##0_);_(* \(#,##0\);_(* &quot;-&quot;??_);_(@_)">
                  <c:v>381.214</c:v>
                </c:pt>
                <c:pt idx="476" formatCode="_(* #,##0_);_(* \(#,##0\);_(* &quot;-&quot;??_);_(@_)">
                  <c:v>382.733</c:v>
                </c:pt>
                <c:pt idx="477" formatCode="_(* #,##0_);_(* \(#,##0\);_(* &quot;-&quot;??_);_(@_)">
                  <c:v>387.77199999999999</c:v>
                </c:pt>
                <c:pt idx="478" formatCode="_(* #,##0_);_(* \(#,##0\);_(* &quot;-&quot;??_);_(@_)">
                  <c:v>394.327</c:v>
                </c:pt>
                <c:pt idx="479" formatCode="_(* #,##0_);_(* \(#,##0\);_(* &quot;-&quot;??_);_(@_)">
                  <c:v>404.58800000000002</c:v>
                </c:pt>
                <c:pt idx="480" formatCode="_(* #,##0_);_(* \(#,##0\);_(* &quot;-&quot;??_);_(@_)">
                  <c:v>392.512</c:v>
                </c:pt>
                <c:pt idx="481" formatCode="_(* #,##0_);_(* \(#,##0\);_(* &quot;-&quot;??_);_(@_)">
                  <c:v>399.34100000000001</c:v>
                </c:pt>
                <c:pt idx="482" formatCode="_(* #,##0_);_(* \(#,##0\);_(* &quot;-&quot;??_);_(@_)">
                  <c:v>392.74299999999999</c:v>
                </c:pt>
                <c:pt idx="483" formatCode="_(* #,##0_);_(* \(#,##0\);_(* &quot;-&quot;??_);_(@_)">
                  <c:v>387.19299999999998</c:v>
                </c:pt>
                <c:pt idx="484" formatCode="_(* #,##0_);_(* \(#,##0\);_(* &quot;-&quot;??_);_(@_)">
                  <c:v>370.99299999999999</c:v>
                </c:pt>
                <c:pt idx="485" formatCode="_(* #,##0_);_(* \(#,##0\);_(* &quot;-&quot;??_);_(@_)">
                  <c:v>328.339</c:v>
                </c:pt>
                <c:pt idx="486" formatCode="_(* #,##0_);_(* \(#,##0\);_(* &quot;-&quot;??_);_(@_)">
                  <c:v>324.90199999999999</c:v>
                </c:pt>
                <c:pt idx="487" formatCode="_(* #,##0_);_(* \(#,##0\);_(* &quot;-&quot;??_);_(@_)">
                  <c:v>336.65699999999998</c:v>
                </c:pt>
                <c:pt idx="488" formatCode="_(* #,##0_);_(* \(#,##0\);_(* &quot;-&quot;??_);_(@_)">
                  <c:v>338.91800000000001</c:v>
                </c:pt>
                <c:pt idx="489" formatCode="_(* #,##0_);_(* \(#,##0\);_(* &quot;-&quot;??_);_(@_)">
                  <c:v>340.43599999999998</c:v>
                </c:pt>
                <c:pt idx="490" formatCode="_(* #,##0_);_(* \(#,##0\);_(* &quot;-&quot;??_);_(@_)">
                  <c:v>351.02</c:v>
                </c:pt>
                <c:pt idx="491" formatCode="_(* #,##0_);_(* \(#,##0\);_(* &quot;-&quot;??_);_(@_)">
                  <c:v>348.12200000000001</c:v>
                </c:pt>
                <c:pt idx="492" formatCode="_(* #,##0_);_(* \(#,##0\);_(* &quot;-&quot;??_);_(@_)">
                  <c:v>357.29</c:v>
                </c:pt>
                <c:pt idx="493" formatCode="_(* #,##0_);_(* \(#,##0\);_(* &quot;-&quot;??_);_(@_)">
                  <c:v>361.58800000000002</c:v>
                </c:pt>
                <c:pt idx="494" formatCode="_(* #,##0_);_(* \(#,##0\);_(* &quot;-&quot;??_);_(@_)">
                  <c:v>355.66899999999998</c:v>
                </c:pt>
                <c:pt idx="495" formatCode="_(* #,##0_);_(* \(#,##0\);_(* &quot;-&quot;??_);_(@_)">
                  <c:v>349.16899999999998</c:v>
                </c:pt>
                <c:pt idx="496" formatCode="_(* #,##0_);_(* \(#,##0\);_(* &quot;-&quot;??_);_(@_)">
                  <c:v>346.55799999999999</c:v>
                </c:pt>
                <c:pt idx="497" formatCode="_(* #,##0_);_(* \(#,##0\);_(* &quot;-&quot;??_);_(@_)">
                  <c:v>343.58600000000001</c:v>
                </c:pt>
                <c:pt idx="498" formatCode="_(* #,##0_);_(* \(#,##0\);_(* &quot;-&quot;??_);_(@_)">
                  <c:v>353.50599999999997</c:v>
                </c:pt>
                <c:pt idx="499" formatCode="_(* #,##0_);_(* \(#,##0\);_(* &quot;-&quot;??_);_(@_)">
                  <c:v>354.12599999999998</c:v>
                </c:pt>
                <c:pt idx="500" formatCode="_(* #,##0_);_(* \(#,##0\);_(* &quot;-&quot;??_);_(@_)">
                  <c:v>347.87599999999998</c:v>
                </c:pt>
                <c:pt idx="501" formatCode="_(* #,##0_);_(* \(#,##0\);_(* &quot;-&quot;??_);_(@_)">
                  <c:v>346.13099999999997</c:v>
                </c:pt>
                <c:pt idx="502" formatCode="_(* #,##0_);_(* \(#,##0\);_(* &quot;-&quot;??_);_(@_)">
                  <c:v>334.43700000000001</c:v>
                </c:pt>
                <c:pt idx="503" formatCode="_(* #,##0_);_(* \(#,##0\);_(* &quot;-&quot;??_);_(@_)">
                  <c:v>304.19400000000002</c:v>
                </c:pt>
                <c:pt idx="504" formatCode="_(* #,##0_);_(* \(#,##0\);_(* &quot;-&quot;??_);_(@_)">
                  <c:v>308.60500000000002</c:v>
                </c:pt>
                <c:pt idx="505" formatCode="_(* #,##0_);_(* \(#,##0\);_(* &quot;-&quot;??_);_(@_)">
                  <c:v>312.55900000000003</c:v>
                </c:pt>
                <c:pt idx="506" formatCode="_(* #,##0_);_(* \(#,##0\);_(* &quot;-&quot;??_);_(@_)">
                  <c:v>308.55200000000002</c:v>
                </c:pt>
                <c:pt idx="507" formatCode="_(* #,##0_);_(* \(#,##0\);_(* &quot;-&quot;??_);_(@_)">
                  <c:v>311.67599999999999</c:v>
                </c:pt>
                <c:pt idx="508" formatCode="_(* #,##0_);_(* \(#,##0\);_(* &quot;-&quot;??_);_(@_)">
                  <c:v>316.40499999999997</c:v>
                </c:pt>
                <c:pt idx="509" formatCode="_(* #,##0_);_(* \(#,##0\);_(* &quot;-&quot;??_);_(@_)">
                  <c:v>314.76100000000002</c:v>
                </c:pt>
                <c:pt idx="510" formatCode="_(* #,##0_);_(* \(#,##0\);_(* &quot;-&quot;??_);_(@_)">
                  <c:v>309.70999999999998</c:v>
                </c:pt>
                <c:pt idx="511" formatCode="_(* #,##0_);_(* \(#,##0\);_(* &quot;-&quot;??_);_(@_)">
                  <c:v>302.99</c:v>
                </c:pt>
                <c:pt idx="512" formatCode="_(* #,##0_);_(* \(#,##0\);_(* &quot;-&quot;??_);_(@_)">
                  <c:v>299.80799999999999</c:v>
                </c:pt>
                <c:pt idx="513" formatCode="_(* #,##0_);_(* \(#,##0\);_(* &quot;-&quot;??_);_(@_)">
                  <c:v>293.15300000000002</c:v>
                </c:pt>
                <c:pt idx="514" formatCode="_(* #,##0_);_(* \(#,##0\);_(* &quot;-&quot;??_);_(@_)">
                  <c:v>296.85700000000003</c:v>
                </c:pt>
                <c:pt idx="515" formatCode="_(* #,##0_);_(* \(#,##0\);_(* &quot;-&quot;??_);_(@_)">
                  <c:v>298.37</c:v>
                </c:pt>
                <c:pt idx="516" formatCode="_(* #,##0_);_(* \(#,##0\);_(* &quot;-&quot;??_);_(@_)">
                  <c:v>298.48200000000003</c:v>
                </c:pt>
                <c:pt idx="517" formatCode="_(* #,##0_);_(* \(#,##0\);_(* &quot;-&quot;??_);_(@_)">
                  <c:v>302.637</c:v>
                </c:pt>
                <c:pt idx="518" formatCode="_(* #,##0_);_(* \(#,##0\);_(* &quot;-&quot;??_);_(@_)">
                  <c:v>302.637</c:v>
                </c:pt>
                <c:pt idx="519" formatCode="_(* #,##0_);_(* \(#,##0\);_(* &quot;-&quot;??_);_(@_)">
                  <c:v>302.637</c:v>
                </c:pt>
                <c:pt idx="520" formatCode="_(* #,##0_);_(* \(#,##0\);_(* &quot;-&quot;??_);_(@_)">
                  <c:v>302.95499999999998</c:v>
                </c:pt>
                <c:pt idx="521" formatCode="_(* #,##0_);_(* \(#,##0\);_(* &quot;-&quot;??_);_(@_)">
                  <c:v>301.23899999999998</c:v>
                </c:pt>
                <c:pt idx="522" formatCode="_(* #,##0_);_(* \(#,##0\);_(* &quot;-&quot;??_);_(@_)">
                  <c:v>303.363</c:v>
                </c:pt>
                <c:pt idx="523" formatCode="_(* #,##0_);_(* \(#,##0\);_(* &quot;-&quot;??_);_(@_)">
                  <c:v>303.363</c:v>
                </c:pt>
                <c:pt idx="524" formatCode="_(* #,##0_);_(* \(#,##0\);_(* &quot;-&quot;??_);_(@_)">
                  <c:v>296.71899999999999</c:v>
                </c:pt>
                <c:pt idx="525" formatCode="_(* #,##0_);_(* \(#,##0\);_(* &quot;-&quot;??_);_(@_)">
                  <c:v>288.11399999999998</c:v>
                </c:pt>
                <c:pt idx="526" formatCode="_(* #,##0_);_(* \(#,##0\);_(* &quot;-&quot;??_);_(@_)">
                  <c:v>281.07799999999997</c:v>
                </c:pt>
                <c:pt idx="527" formatCode="_(* #,##0_);_(* \(#,##0\);_(* &quot;-&quot;??_);_(@_)">
                  <c:v>275.09399999999999</c:v>
                </c:pt>
                <c:pt idx="528" formatCode="_(* #,##0_);_(* \(#,##0\);_(* &quot;-&quot;??_);_(@_)">
                  <c:v>268.62200000000001</c:v>
                </c:pt>
                <c:pt idx="529" formatCode="_(* #,##0_);_(* \(#,##0\);_(* &quot;-&quot;??_);_(@_)">
                  <c:v>266.89400000000001</c:v>
                </c:pt>
                <c:pt idx="530" formatCode="_(* #,##0_);_(* \(#,##0\);_(* &quot;-&quot;??_);_(@_)">
                  <c:v>269.90100000000001</c:v>
                </c:pt>
                <c:pt idx="531" formatCode="_(* #,##0_);_(* \(#,##0\);_(* &quot;-&quot;??_);_(@_)">
                  <c:v>271.07799999999997</c:v>
                </c:pt>
                <c:pt idx="532" formatCode="_(* #,##0_);_(* \(#,##0\);_(* &quot;-&quot;??_);_(@_)">
                  <c:v>257.02499999999998</c:v>
                </c:pt>
                <c:pt idx="533" formatCode="_(* #,##0_);_(* \(#,##0\);_(* &quot;-&quot;??_);_(@_)">
                  <c:v>258.68299999999999</c:v>
                </c:pt>
                <c:pt idx="534" formatCode="_(* #,##0_);_(* \(#,##0\);_(* &quot;-&quot;??_);_(@_)">
                  <c:v>256.14</c:v>
                </c:pt>
                <c:pt idx="535" formatCode="_(* #,##0_);_(* \(#,##0\);_(* &quot;-&quot;??_);_(@_)">
                  <c:v>259.39100000000002</c:v>
                </c:pt>
                <c:pt idx="536" formatCode="_(* #,##0_);_(* \(#,##0\);_(* &quot;-&quot;??_);_(@_)">
                  <c:v>260.96600000000001</c:v>
                </c:pt>
                <c:pt idx="537" formatCode="_(* #,##0_);_(* \(#,##0\);_(* &quot;-&quot;??_);_(@_)">
                  <c:v>260.63400000000001</c:v>
                </c:pt>
                <c:pt idx="538" formatCode="_(* #,##0_);_(* \(#,##0\);_(* &quot;-&quot;??_);_(@_)">
                  <c:v>261.346</c:v>
                </c:pt>
                <c:pt idx="539" formatCode="_(* #,##0_);_(* \(#,##0\);_(* &quot;-&quot;??_);_(@_)">
                  <c:v>277.77199999999999</c:v>
                </c:pt>
                <c:pt idx="540" formatCode="_(* #,##0_);_(* \(#,##0\);_(* &quot;-&quot;??_);_(@_)">
                  <c:v>271.05099999999999</c:v>
                </c:pt>
                <c:pt idx="541" formatCode="_(* #,##0_);_(* \(#,##0\);_(* &quot;-&quot;??_);_(@_)">
                  <c:v>280.45600000000002</c:v>
                </c:pt>
                <c:pt idx="542" formatCode="_(* #,##0_);_(* \(#,##0\);_(* &quot;-&quot;??_);_(@_)">
                  <c:v>277.577</c:v>
                </c:pt>
                <c:pt idx="543" formatCode="_(* #,##0_);_(* \(#,##0\);_(* &quot;-&quot;??_);_(@_)">
                  <c:v>275.524</c:v>
                </c:pt>
                <c:pt idx="544" formatCode="_(* #,##0_);_(* \(#,##0\);_(* &quot;-&quot;??_);_(@_)">
                  <c:v>273.66199999999998</c:v>
                </c:pt>
                <c:pt idx="545" formatCode="_(* #,##0_);_(* \(#,##0\);_(* &quot;-&quot;??_);_(@_)">
                  <c:v>268.89400000000001</c:v>
                </c:pt>
                <c:pt idx="546" formatCode="_(* #,##0_);_(* \(#,##0\);_(* &quot;-&quot;??_);_(@_)">
                  <c:v>263.73</c:v>
                </c:pt>
                <c:pt idx="547" formatCode="_(* #,##0_);_(* \(#,##0\);_(* &quot;-&quot;??_);_(@_)">
                  <c:v>265.14499999999998</c:v>
                </c:pt>
                <c:pt idx="548" formatCode="_(* #,##0_);_(* \(#,##0\);_(* &quot;-&quot;??_);_(@_)">
                  <c:v>263.94900000000001</c:v>
                </c:pt>
                <c:pt idx="549" formatCode="_(* #,##0_);_(* \(#,##0\);_(* &quot;-&quot;??_);_(@_)">
                  <c:v>267.82900000000001</c:v>
                </c:pt>
                <c:pt idx="550" formatCode="_(* #,##0_);_(* \(#,##0\);_(* &quot;-&quot;??_);_(@_)">
                  <c:v>273.98</c:v>
                </c:pt>
                <c:pt idx="551" formatCode="_(* #,##0_);_(* \(#,##0\);_(* &quot;-&quot;??_);_(@_)">
                  <c:v>276.87799999999999</c:v>
                </c:pt>
                <c:pt idx="552" formatCode="_(* #,##0_);_(* \(#,##0\);_(* &quot;-&quot;??_);_(@_)">
                  <c:v>277.90300000000002</c:v>
                </c:pt>
                <c:pt idx="553" formatCode="_(* #,##0_);_(* \(#,##0\);_(* &quot;-&quot;??_);_(@_)">
                  <c:v>276.46800000000002</c:v>
                </c:pt>
                <c:pt idx="554" formatCode="_(* #,##0_);_(* \(#,##0\);_(* &quot;-&quot;??_);_(@_)">
                  <c:v>287.577</c:v>
                </c:pt>
                <c:pt idx="555" formatCode="_(* #,##0_);_(* \(#,##0\);_(* &quot;-&quot;??_);_(@_)">
                  <c:v>278.822</c:v>
                </c:pt>
                <c:pt idx="556" formatCode="_(* #,##0_);_(* \(#,##0\);_(* &quot;-&quot;??_);_(@_)">
                  <c:v>288.779</c:v>
                </c:pt>
                <c:pt idx="557" formatCode="_(* #,##0_);_(* \(#,##0\);_(* &quot;-&quot;??_);_(@_)">
                  <c:v>284.26799999999997</c:v>
                </c:pt>
                <c:pt idx="558" formatCode="_(* #,##0_);_(* \(#,##0\);_(* &quot;-&quot;??_);_(@_)">
                  <c:v>274.959</c:v>
                </c:pt>
                <c:pt idx="559" formatCode="_(* #,##0_);_(* \(#,##0\);_(* &quot;-&quot;??_);_(@_)">
                  <c:v>274.69900000000001</c:v>
                </c:pt>
                <c:pt idx="560" formatCode="_(* #,##0_);_(* \(#,##0\);_(* &quot;-&quot;??_);_(@_)">
                  <c:v>277.23700000000002</c:v>
                </c:pt>
                <c:pt idx="561" formatCode="_(* #,##0_);_(* \(#,##0\);_(* &quot;-&quot;??_);_(@_)">
                  <c:v>274.98599999999999</c:v>
                </c:pt>
                <c:pt idx="562" formatCode="_(* #,##0_);_(* \(#,##0\);_(* &quot;-&quot;??_);_(@_)">
                  <c:v>294.90100000000001</c:v>
                </c:pt>
                <c:pt idx="563" formatCode="_(* #,##0_);_(* \(#,##0\);_(* &quot;-&quot;??_);_(@_)">
                  <c:v>297.32</c:v>
                </c:pt>
                <c:pt idx="564" formatCode="_(* #,##0_);_(* \(#,##0\);_(* &quot;-&quot;??_);_(@_)">
                  <c:v>289.48399999999998</c:v>
                </c:pt>
                <c:pt idx="565" formatCode="_(* #,##0_);_(* \(#,##0\);_(* &quot;-&quot;??_);_(@_)">
                  <c:v>288.875</c:v>
                </c:pt>
                <c:pt idx="566" formatCode="_(* #,##0_);_(* \(#,##0\);_(* &quot;-&quot;??_);_(@_)">
                  <c:v>282.262</c:v>
                </c:pt>
                <c:pt idx="567" formatCode="_(* #,##0_);_(* \(#,##0\);_(* &quot;-&quot;??_);_(@_)">
                  <c:v>279.16699999999997</c:v>
                </c:pt>
                <c:pt idx="568" formatCode="_(* #,##0_);_(* \(#,##0\);_(* &quot;-&quot;??_);_(@_)">
                  <c:v>287.32799999999997</c:v>
                </c:pt>
                <c:pt idx="569" formatCode="_(* #,##0_);_(* \(#,##0\);_(* &quot;-&quot;??_);_(@_)">
                  <c:v>298.68700000000001</c:v>
                </c:pt>
                <c:pt idx="570" formatCode="_(* #,##0_);_(* \(#,##0\);_(* &quot;-&quot;??_);_(@_)">
                  <c:v>302.77</c:v>
                </c:pt>
                <c:pt idx="571" formatCode="_(* #,##0_);_(* \(#,##0\);_(* &quot;-&quot;??_);_(@_)">
                  <c:v>301.78199999999998</c:v>
                </c:pt>
                <c:pt idx="572" formatCode="_(* #,##0_);_(* \(#,##0\);_(* &quot;-&quot;??_);_(@_)">
                  <c:v>294.89</c:v>
                </c:pt>
                <c:pt idx="573" formatCode="_(* #,##0_);_(* \(#,##0\);_(* &quot;-&quot;??_);_(@_)">
                  <c:v>293.14999999999998</c:v>
                </c:pt>
                <c:pt idx="574" formatCode="_(* #,##0_);_(* \(#,##0\);_(* &quot;-&quot;??_);_(@_)">
                  <c:v>292.05900000000003</c:v>
                </c:pt>
                <c:pt idx="575" formatCode="_(* #,##0_);_(* \(#,##0\);_(* &quot;-&quot;??_);_(@_)">
                  <c:v>296.34399999999999</c:v>
                </c:pt>
                <c:pt idx="576" formatCode="_(* #,##0_);_(* \(#,##0\);_(* &quot;-&quot;??_);_(@_)">
                  <c:v>308.67899999999997</c:v>
                </c:pt>
                <c:pt idx="577" formatCode="_(* #,##0_);_(* \(#,##0\);_(* &quot;-&quot;??_);_(@_)">
                  <c:v>307.815</c:v>
                </c:pt>
                <c:pt idx="578" formatCode="_(* #,##0_);_(* \(#,##0\);_(* &quot;-&quot;??_);_(@_)">
                  <c:v>301.108</c:v>
                </c:pt>
                <c:pt idx="579" formatCode="_(* #,##0_);_(* \(#,##0\);_(* &quot;-&quot;??_);_(@_)">
                  <c:v>310.70699999999999</c:v>
                </c:pt>
                <c:pt idx="580" formatCode="_(* #,##0_);_(* \(#,##0\);_(* &quot;-&quot;??_);_(@_)">
                  <c:v>314.62200000000001</c:v>
                </c:pt>
                <c:pt idx="581" formatCode="_(* #,##0_);_(* \(#,##0\);_(* &quot;-&quot;??_);_(@_)">
                  <c:v>314.01600000000002</c:v>
                </c:pt>
                <c:pt idx="582" formatCode="_(* #,##0_);_(* \(#,##0\);_(* &quot;-&quot;??_);_(@_)">
                  <c:v>313.73399999999998</c:v>
                </c:pt>
                <c:pt idx="583" formatCode="_(* #,##0_);_(* \(#,##0\);_(* &quot;-&quot;??_);_(@_)">
                  <c:v>314.459</c:v>
                </c:pt>
                <c:pt idx="584" formatCode="_(* #,##0_);_(* \(#,##0\);_(* &quot;-&quot;??_);_(@_)">
                  <c:v>302.23200000000003</c:v>
                </c:pt>
                <c:pt idx="585" formatCode="_(* #,##0_);_(* \(#,##0\);_(* &quot;-&quot;??_);_(@_)">
                  <c:v>301.73</c:v>
                </c:pt>
                <c:pt idx="586" formatCode="_(* #,##0_);_(* \(#,##0\);_(* &quot;-&quot;??_);_(@_)">
                  <c:v>302.26100000000002</c:v>
                </c:pt>
                <c:pt idx="587" formatCode="_(* #,##0_);_(* \(#,##0\);_(* &quot;-&quot;??_);_(@_)">
                  <c:v>302.02</c:v>
                </c:pt>
                <c:pt idx="588" formatCode="_(* #,##0_);_(* \(#,##0\);_(* &quot;-&quot;??_);_(@_)">
                  <c:v>302.02</c:v>
                </c:pt>
                <c:pt idx="589" formatCode="_(* #,##0_);_(* \(#,##0\);_(* &quot;-&quot;??_);_(@_)">
                  <c:v>302.02</c:v>
                </c:pt>
                <c:pt idx="590" formatCode="_(* #,##0_);_(* \(#,##0\);_(* &quot;-&quot;??_);_(@_)">
                  <c:v>309.56799999999998</c:v>
                </c:pt>
                <c:pt idx="591" formatCode="_(* #,##0_);_(* \(#,##0\);_(* &quot;-&quot;??_);_(@_)">
                  <c:v>307.75299999999999</c:v>
                </c:pt>
                <c:pt idx="592" formatCode="_(* #,##0_);_(* \(#,##0\);_(* &quot;-&quot;??_);_(@_)">
                  <c:v>311.34899999999999</c:v>
                </c:pt>
                <c:pt idx="593" formatCode="_(* #,##0_);_(* \(#,##0\);_(* &quot;-&quot;??_);_(@_)">
                  <c:v>309.45999999999998</c:v>
                </c:pt>
                <c:pt idx="594" formatCode="_(* #,##0_);_(* \(#,##0\);_(* &quot;-&quot;??_);_(@_)">
                  <c:v>309.755</c:v>
                </c:pt>
                <c:pt idx="595" formatCode="_(* #,##0_);_(* \(#,##0\);_(* &quot;-&quot;??_);_(@_)">
                  <c:v>317.01</c:v>
                </c:pt>
                <c:pt idx="596" formatCode="_(* #,##0_);_(* \(#,##0\);_(* &quot;-&quot;??_);_(@_)">
                  <c:v>314.464</c:v>
                </c:pt>
                <c:pt idx="597" formatCode="_(* #,##0_);_(* \(#,##0\);_(* &quot;-&quot;??_);_(@_)">
                  <c:v>318.48</c:v>
                </c:pt>
                <c:pt idx="598" formatCode="_(* #,##0_);_(* \(#,##0\);_(* &quot;-&quot;??_);_(@_)">
                  <c:v>311.93700000000001</c:v>
                </c:pt>
                <c:pt idx="599" formatCode="_(* #,##0_);_(* \(#,##0\);_(* &quot;-&quot;??_);_(@_)">
                  <c:v>304.48399999999998</c:v>
                </c:pt>
                <c:pt idx="600" formatCode="_(* #,##0_);_(* \(#,##0\);_(* &quot;-&quot;??_);_(@_)">
                  <c:v>307.94900000000001</c:v>
                </c:pt>
                <c:pt idx="601" formatCode="_(* #,##0_);_(* \(#,##0\);_(* &quot;-&quot;??_);_(@_)">
                  <c:v>309.142</c:v>
                </c:pt>
                <c:pt idx="602" formatCode="_(* #,##0_);_(* \(#,##0\);_(* &quot;-&quot;??_);_(@_)">
                  <c:v>309.29199999999997</c:v>
                </c:pt>
                <c:pt idx="603" formatCode="_(* #,##0_);_(* \(#,##0\);_(* &quot;-&quot;??_);_(@_)">
                  <c:v>306.17899999999997</c:v>
                </c:pt>
                <c:pt idx="604" formatCode="_(* #,##0_);_(* \(#,##0\);_(* &quot;-&quot;??_);_(@_)">
                  <c:v>304.72699999999998</c:v>
                </c:pt>
                <c:pt idx="605" formatCode="_(* #,##0_);_(* \(#,##0\);_(* &quot;-&quot;??_);_(@_)">
                  <c:v>303.416</c:v>
                </c:pt>
                <c:pt idx="606" formatCode="_(* #,##0_);_(* \(#,##0\);_(* &quot;-&quot;??_);_(@_)">
                  <c:v>304.35599999999999</c:v>
                </c:pt>
                <c:pt idx="607" formatCode="_(* #,##0_);_(* \(#,##0\);_(* &quot;-&quot;??_);_(@_)">
                  <c:v>302.18799999999999</c:v>
                </c:pt>
                <c:pt idx="608" formatCode="_(* #,##0_);_(* \(#,##0\);_(* &quot;-&quot;??_);_(@_)">
                  <c:v>301.33100000000002</c:v>
                </c:pt>
                <c:pt idx="609" formatCode="_(* #,##0_);_(* \(#,##0\);_(* &quot;-&quot;??_);_(@_)">
                  <c:v>301.33100000000002</c:v>
                </c:pt>
                <c:pt idx="610" formatCode="_(* #,##0_);_(* \(#,##0\);_(* &quot;-&quot;??_);_(@_)">
                  <c:v>304.21600000000001</c:v>
                </c:pt>
                <c:pt idx="611" formatCode="_(* #,##0_);_(* \(#,##0\);_(* &quot;-&quot;??_);_(@_)">
                  <c:v>298.02100000000002</c:v>
                </c:pt>
                <c:pt idx="612" formatCode="_(* #,##0_);_(* \(#,##0\);_(* &quot;-&quot;??_);_(@_)">
                  <c:v>298.74700000000001</c:v>
                </c:pt>
                <c:pt idx="613" formatCode="_(* #,##0_);_(* \(#,##0\);_(* &quot;-&quot;??_);_(@_)">
                  <c:v>289.75200000000001</c:v>
                </c:pt>
                <c:pt idx="614" formatCode="_(* #,##0_);_(* \(#,##0\);_(* &quot;-&quot;??_);_(@_)">
                  <c:v>281.149</c:v>
                </c:pt>
                <c:pt idx="615" formatCode="_(* #,##0_);_(* \(#,##0\);_(* &quot;-&quot;??_);_(@_)">
                  <c:v>280.06099999999998</c:v>
                </c:pt>
                <c:pt idx="616" formatCode="_(* #,##0_);_(* \(#,##0\);_(* &quot;-&quot;??_);_(@_)">
                  <c:v>278.17599999999999</c:v>
                </c:pt>
                <c:pt idx="617" formatCode="_(* #,##0_);_(* \(#,##0\);_(* &quot;-&quot;??_);_(@_)">
                  <c:v>285.87700000000001</c:v>
                </c:pt>
                <c:pt idx="618" formatCode="_(* #,##0_);_(* \(#,##0\);_(* &quot;-&quot;??_);_(@_)">
                  <c:v>287.66699999999997</c:v>
                </c:pt>
                <c:pt idx="619" formatCode="_(* #,##0_);_(* \(#,##0\);_(* &quot;-&quot;??_);_(@_)">
                  <c:v>287.19799999999998</c:v>
                </c:pt>
                <c:pt idx="620" formatCode="_(* #,##0_);_(* \(#,##0\);_(* &quot;-&quot;??_);_(@_)">
                  <c:v>287.738</c:v>
                </c:pt>
                <c:pt idx="621" formatCode="_(* #,##0_);_(* \(#,##0\);_(* &quot;-&quot;??_);_(@_)">
                  <c:v>284.67700000000002</c:v>
                </c:pt>
                <c:pt idx="622" formatCode="_(* #,##0_);_(* \(#,##0\);_(* &quot;-&quot;??_);_(@_)">
                  <c:v>292.10500000000002</c:v>
                </c:pt>
                <c:pt idx="623" formatCode="_(* #,##0_);_(* \(#,##0\);_(* &quot;-&quot;??_);_(@_)">
                  <c:v>291.80900000000003</c:v>
                </c:pt>
                <c:pt idx="624" formatCode="_(* #,##0_);_(* \(#,##0\);_(* &quot;-&quot;??_);_(@_)">
                  <c:v>292.51</c:v>
                </c:pt>
                <c:pt idx="625" formatCode="_(* #,##0_);_(* \(#,##0\);_(* &quot;-&quot;??_);_(@_)">
                  <c:v>297.57100000000003</c:v>
                </c:pt>
                <c:pt idx="626" formatCode="_(* #,##0_);_(* \(#,##0\);_(* &quot;-&quot;??_);_(@_)">
                  <c:v>293.464</c:v>
                </c:pt>
                <c:pt idx="627" formatCode="_(* #,##0_);_(* \(#,##0\);_(* &quot;-&quot;??_);_(@_)">
                  <c:v>294.69200000000001</c:v>
                </c:pt>
                <c:pt idx="628" formatCode="_(* #,##0_);_(* \(#,##0\);_(* &quot;-&quot;??_);_(@_)">
                  <c:v>297.75799999999998</c:v>
                </c:pt>
                <c:pt idx="629" formatCode="_(* #,##0_);_(* \(#,##0\);_(* &quot;-&quot;??_);_(@_)">
                  <c:v>297.75799999999998</c:v>
                </c:pt>
                <c:pt idx="630" formatCode="_(* #,##0_);_(* \(#,##0\);_(* &quot;-&quot;??_);_(@_)">
                  <c:v>294.358</c:v>
                </c:pt>
                <c:pt idx="631" formatCode="_(* #,##0_);_(* \(#,##0\);_(* &quot;-&quot;??_);_(@_)">
                  <c:v>295.54899999999998</c:v>
                </c:pt>
                <c:pt idx="632" formatCode="_(* #,##0_);_(* \(#,##0\);_(* &quot;-&quot;??_);_(@_)">
                  <c:v>291.803</c:v>
                </c:pt>
                <c:pt idx="633" formatCode="_(* #,##0_);_(* \(#,##0\);_(* &quot;-&quot;??_);_(@_)">
                  <c:v>296.608</c:v>
                </c:pt>
                <c:pt idx="634" formatCode="_(* #,##0_);_(* \(#,##0\);_(* &quot;-&quot;??_);_(@_)">
                  <c:v>297.68</c:v>
                </c:pt>
                <c:pt idx="635" formatCode="_(* #,##0_);_(* \(#,##0\);_(* &quot;-&quot;??_);_(@_)">
                  <c:v>295.72399999999999</c:v>
                </c:pt>
                <c:pt idx="636" formatCode="_(* #,##0_);_(* \(#,##0\);_(* &quot;-&quot;??_);_(@_)">
                  <c:v>296.72699999999998</c:v>
                </c:pt>
                <c:pt idx="637" formatCode="_(* #,##0_);_(* \(#,##0\);_(* &quot;-&quot;??_);_(@_)">
                  <c:v>301.459</c:v>
                </c:pt>
                <c:pt idx="638" formatCode="_(* #,##0_);_(* \(#,##0\);_(* &quot;-&quot;??_);_(@_)">
                  <c:v>297.67</c:v>
                </c:pt>
                <c:pt idx="639" formatCode="_(* #,##0_);_(* \(#,##0\);_(* &quot;-&quot;??_);_(@_)">
                  <c:v>292.81799999999998</c:v>
                </c:pt>
                <c:pt idx="640" formatCode="_(* #,##0_);_(* \(#,##0\);_(* &quot;-&quot;??_);_(@_)">
                  <c:v>298.029</c:v>
                </c:pt>
                <c:pt idx="641" formatCode="_(* #,##0_);_(* \(#,##0\);_(* &quot;-&quot;??_);_(@_)">
                  <c:v>289.49099999999999</c:v>
                </c:pt>
                <c:pt idx="642" formatCode="_(* #,##0_);_(* \(#,##0\);_(* &quot;-&quot;??_);_(@_)">
                  <c:v>298.30200000000002</c:v>
                </c:pt>
                <c:pt idx="643" formatCode="_(* #,##0_);_(* \(#,##0\);_(* &quot;-&quot;??_);_(@_)">
                  <c:v>301.678</c:v>
                </c:pt>
                <c:pt idx="644" formatCode="_(* #,##0_);_(* \(#,##0\);_(* &quot;-&quot;??_);_(@_)">
                  <c:v>293.72500000000002</c:v>
                </c:pt>
                <c:pt idx="645" formatCode="_(* #,##0_);_(* \(#,##0\);_(* &quot;-&quot;??_);_(@_)">
                  <c:v>295.25200000000001</c:v>
                </c:pt>
                <c:pt idx="646" formatCode="_(* #,##0_);_(* \(#,##0\);_(* &quot;-&quot;??_);_(@_)">
                  <c:v>289.39400000000001</c:v>
                </c:pt>
                <c:pt idx="647" formatCode="_(* #,##0_);_(* \(#,##0\);_(* &quot;-&quot;??_);_(@_)">
                  <c:v>283.66800000000001</c:v>
                </c:pt>
                <c:pt idx="648" formatCode="_(* #,##0_);_(* \(#,##0\);_(* &quot;-&quot;??_);_(@_)">
                  <c:v>281.68200000000002</c:v>
                </c:pt>
                <c:pt idx="649" formatCode="_(* #,##0_);_(* \(#,##0\);_(* &quot;-&quot;??_);_(@_)">
                  <c:v>277.90699999999998</c:v>
                </c:pt>
                <c:pt idx="650" formatCode="_(* #,##0_);_(* \(#,##0\);_(* &quot;-&quot;??_);_(@_)">
                  <c:v>275.97800000000001</c:v>
                </c:pt>
                <c:pt idx="651" formatCode="_(* #,##0_);_(* \(#,##0\);_(* &quot;-&quot;??_);_(@_)">
                  <c:v>275.84399999999999</c:v>
                </c:pt>
                <c:pt idx="652" formatCode="_(* #,##0_);_(* \(#,##0\);_(* &quot;-&quot;??_);_(@_)">
                  <c:v>276.06</c:v>
                </c:pt>
                <c:pt idx="653" formatCode="_(* #,##0_);_(* \(#,##0\);_(* &quot;-&quot;??_);_(@_)">
                  <c:v>275.80599999999998</c:v>
                </c:pt>
                <c:pt idx="654" formatCode="_(* #,##0_);_(* \(#,##0\);_(* &quot;-&quot;??_);_(@_)">
                  <c:v>276.02999999999997</c:v>
                </c:pt>
                <c:pt idx="655" formatCode="_(* #,##0_);_(* \(#,##0\);_(* &quot;-&quot;??_);_(@_)">
                  <c:v>284.83199999999999</c:v>
                </c:pt>
                <c:pt idx="656" formatCode="_(* #,##0_);_(* \(#,##0\);_(* &quot;-&quot;??_);_(@_)">
                  <c:v>278.94099999999997</c:v>
                </c:pt>
                <c:pt idx="657" formatCode="_(* #,##0_);_(* \(#,##0\);_(* &quot;-&quot;??_);_(@_)">
                  <c:v>283.47800000000001</c:v>
                </c:pt>
                <c:pt idx="658" formatCode="_(* #,##0_);_(* \(#,##0\);_(* &quot;-&quot;??_);_(@_)">
                  <c:v>279.56299999999999</c:v>
                </c:pt>
                <c:pt idx="659" formatCode="_(* #,##0_);_(* \(#,##0\);_(* &quot;-&quot;??_);_(@_)">
                  <c:v>276.17399999999998</c:v>
                </c:pt>
                <c:pt idx="660" formatCode="_(* #,##0_);_(* \(#,##0\);_(* &quot;-&quot;??_);_(@_)">
                  <c:v>269.92599999999999</c:v>
                </c:pt>
                <c:pt idx="661" formatCode="_(* #,##0_);_(* \(#,##0\);_(* &quot;-&quot;??_);_(@_)">
                  <c:v>278.762</c:v>
                </c:pt>
                <c:pt idx="662" formatCode="_(* #,##0_);_(* \(#,##0\);_(* &quot;-&quot;??_);_(@_)">
                  <c:v>282.38799999999998</c:v>
                </c:pt>
                <c:pt idx="663" formatCode="_(* #,##0_);_(* \(#,##0\);_(* &quot;-&quot;??_);_(@_)">
                  <c:v>281.21600000000001</c:v>
                </c:pt>
                <c:pt idx="664" formatCode="_(* #,##0_);_(* \(#,##0\);_(* &quot;-&quot;??_);_(@_)">
                  <c:v>293.93</c:v>
                </c:pt>
                <c:pt idx="665" formatCode="_(* #,##0_);_(* \(#,##0\);_(* &quot;-&quot;??_);_(@_)">
                  <c:v>290.56400000000002</c:v>
                </c:pt>
                <c:pt idx="666" formatCode="_(* #,##0_);_(* \(#,##0\);_(* &quot;-&quot;??_);_(@_)">
                  <c:v>284.21499999999997</c:v>
                </c:pt>
                <c:pt idx="667" formatCode="_(* #,##0_);_(* \(#,##0\);_(* &quot;-&quot;??_);_(@_)">
                  <c:v>286.83699999999999</c:v>
                </c:pt>
                <c:pt idx="668" formatCode="_(* #,##0_);_(* \(#,##0\);_(* &quot;-&quot;??_);_(@_)">
                  <c:v>286.88099999999997</c:v>
                </c:pt>
                <c:pt idx="669" formatCode="_(* #,##0_);_(* \(#,##0\);_(* &quot;-&quot;??_);_(@_)">
                  <c:v>285.16699999999997</c:v>
                </c:pt>
                <c:pt idx="670" formatCode="_(* #,##0_);_(* \(#,##0\);_(* &quot;-&quot;??_);_(@_)">
                  <c:v>290.87</c:v>
                </c:pt>
                <c:pt idx="671" formatCode="_(* #,##0_);_(* \(#,##0\);_(* &quot;-&quot;??_);_(@_)">
                  <c:v>291.24700000000001</c:v>
                </c:pt>
                <c:pt idx="672" formatCode="_(* #,##0_);_(* \(#,##0\);_(* &quot;-&quot;??_);_(@_)">
                  <c:v>287.178</c:v>
                </c:pt>
                <c:pt idx="673" formatCode="_(* #,##0_);_(* \(#,##0\);_(* &quot;-&quot;??_);_(@_)">
                  <c:v>290.976</c:v>
                </c:pt>
                <c:pt idx="674" formatCode="_(* #,##0_);_(* \(#,##0\);_(* &quot;-&quot;??_);_(@_)">
                  <c:v>293.74</c:v>
                </c:pt>
                <c:pt idx="675" formatCode="_(* #,##0_);_(* \(#,##0\);_(* &quot;-&quot;??_);_(@_)">
                  <c:v>297.053</c:v>
                </c:pt>
                <c:pt idx="676" formatCode="_(* #,##0_);_(* \(#,##0\);_(* &quot;-&quot;??_);_(@_)">
                  <c:v>295.66899999999998</c:v>
                </c:pt>
                <c:pt idx="677" formatCode="_(* #,##0_);_(* \(#,##0\);_(* &quot;-&quot;??_);_(@_)">
                  <c:v>291.06299999999999</c:v>
                </c:pt>
                <c:pt idx="678" formatCode="_(* #,##0_);_(* \(#,##0\);_(* &quot;-&quot;??_);_(@_)">
                  <c:v>283.08499999999998</c:v>
                </c:pt>
                <c:pt idx="679" formatCode="_(* #,##0_);_(* \(#,##0\);_(* &quot;-&quot;??_);_(@_)">
                  <c:v>284.63</c:v>
                </c:pt>
                <c:pt idx="680" formatCode="_(* #,##0_);_(* \(#,##0\);_(* &quot;-&quot;??_);_(@_)">
                  <c:v>283.59699999999998</c:v>
                </c:pt>
                <c:pt idx="681" formatCode="_(* #,##0_);_(* \(#,##0\);_(* &quot;-&quot;??_);_(@_)">
                  <c:v>288.065</c:v>
                </c:pt>
                <c:pt idx="682" formatCode="_(* #,##0_);_(* \(#,##0\);_(* &quot;-&quot;??_);_(@_)">
                  <c:v>286.04700000000003</c:v>
                </c:pt>
                <c:pt idx="683" formatCode="_(* #,##0_);_(* \(#,##0\);_(* &quot;-&quot;??_);_(@_)">
                  <c:v>291.27199999999999</c:v>
                </c:pt>
                <c:pt idx="684" formatCode="_(* #,##0_);_(* \(#,##0\);_(* &quot;-&quot;??_);_(@_)">
                  <c:v>294.096</c:v>
                </c:pt>
                <c:pt idx="685" formatCode="_(* #,##0_);_(* \(#,##0\);_(* &quot;-&quot;??_);_(@_)">
                  <c:v>290.17</c:v>
                </c:pt>
                <c:pt idx="686" formatCode="_(* #,##0_);_(* \(#,##0\);_(* &quot;-&quot;??_);_(@_)">
                  <c:v>293.09399999999999</c:v>
                </c:pt>
                <c:pt idx="687" formatCode="_(* #,##0_);_(* \(#,##0\);_(* &quot;-&quot;??_);_(@_)">
                  <c:v>294.84300000000002</c:v>
                </c:pt>
                <c:pt idx="688" formatCode="_(* #,##0_);_(* \(#,##0\);_(* &quot;-&quot;??_);_(@_)">
                  <c:v>290.97899999999998</c:v>
                </c:pt>
                <c:pt idx="689" formatCode="_(* #,##0_);_(* \(#,##0\);_(* &quot;-&quot;??_);_(@_)">
                  <c:v>295.14400000000001</c:v>
                </c:pt>
                <c:pt idx="690" formatCode="_(* #,##0_);_(* \(#,##0\);_(* &quot;-&quot;??_);_(@_)">
                  <c:v>290.20800000000003</c:v>
                </c:pt>
                <c:pt idx="691" formatCode="_(* #,##0_);_(* \(#,##0\);_(* &quot;-&quot;??_);_(@_)">
                  <c:v>284.41500000000002</c:v>
                </c:pt>
                <c:pt idx="692" formatCode="_(* #,##0_);_(* \(#,##0\);_(* &quot;-&quot;??_);_(@_)">
                  <c:v>284.351</c:v>
                </c:pt>
                <c:pt idx="693" formatCode="_(* #,##0_);_(* \(#,##0\);_(* &quot;-&quot;??_);_(@_)">
                  <c:v>286.41899999999998</c:v>
                </c:pt>
                <c:pt idx="694" formatCode="_(* #,##0_);_(* \(#,##0\);_(* &quot;-&quot;??_);_(@_)">
                  <c:v>286.41899999999998</c:v>
                </c:pt>
                <c:pt idx="695" formatCode="_(* #,##0_);_(* \(#,##0\);_(* &quot;-&quot;??_);_(@_)">
                  <c:v>285.10300000000001</c:v>
                </c:pt>
                <c:pt idx="696" formatCode="_(* #,##0_);_(* \(#,##0\);_(* &quot;-&quot;??_);_(@_)">
                  <c:v>284.56200000000001</c:v>
                </c:pt>
                <c:pt idx="697" formatCode="_(* #,##0_);_(* \(#,##0\);_(* &quot;-&quot;??_);_(@_)">
                  <c:v>280.35300000000001</c:v>
                </c:pt>
                <c:pt idx="698" formatCode="_(* #,##0_);_(* \(#,##0\);_(* &quot;-&quot;??_);_(@_)">
                  <c:v>278.48700000000002</c:v>
                </c:pt>
                <c:pt idx="699" formatCode="_(* #,##0_);_(* \(#,##0\);_(* &quot;-&quot;??_);_(@_)">
                  <c:v>277.69299999999998</c:v>
                </c:pt>
                <c:pt idx="700" formatCode="_(* #,##0_);_(* \(#,##0\);_(* &quot;-&quot;??_);_(@_)">
                  <c:v>273.67599999999999</c:v>
                </c:pt>
                <c:pt idx="701" formatCode="_(* #,##0_);_(* \(#,##0\);_(* &quot;-&quot;??_);_(@_)">
                  <c:v>273.88299999999998</c:v>
                </c:pt>
                <c:pt idx="702" formatCode="_(* #,##0_);_(* \(#,##0\);_(* &quot;-&quot;??_);_(@_)">
                  <c:v>275.834</c:v>
                </c:pt>
                <c:pt idx="703" formatCode="_(* #,##0_);_(* \(#,##0\);_(* &quot;-&quot;??_);_(@_)">
                  <c:v>271.024</c:v>
                </c:pt>
                <c:pt idx="704" formatCode="_(* #,##0_);_(* \(#,##0\);_(* &quot;-&quot;??_);_(@_)">
                  <c:v>270.83999999999997</c:v>
                </c:pt>
                <c:pt idx="705" formatCode="_(* #,##0_);_(* \(#,##0\);_(* &quot;-&quot;??_);_(@_)">
                  <c:v>269.709</c:v>
                </c:pt>
              </c:numCache>
            </c:numRef>
          </c:val>
          <c:smooth val="0"/>
          <c:extLst>
            <c:ext xmlns:c16="http://schemas.microsoft.com/office/drawing/2014/chart" uri="{C3380CC4-5D6E-409C-BE32-E72D297353CC}">
              <c16:uniqueId val="{00000003-6184-4726-8727-A5CE2BEB2AFE}"/>
            </c:ext>
          </c:extLst>
        </c:ser>
        <c:ser>
          <c:idx val="4"/>
          <c:order val="4"/>
          <c:tx>
            <c:strRef>
              <c:f>Sheet1!$F$1</c:f>
              <c:strCache>
                <c:ptCount val="1"/>
                <c:pt idx="0">
                  <c:v>Ադրբեջան (2024թ.)</c:v>
                </c:pt>
              </c:strCache>
            </c:strRef>
          </c:tx>
          <c:spPr>
            <a:ln w="28575" cap="rnd">
              <a:solidFill>
                <a:schemeClr val="accent6">
                  <a:lumMod val="75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Sheet1!$F$2:$F$707</c:f>
              <c:numCache>
                <c:formatCode>_(* #,##0_);_(* \(#,##0\);_(* "-"??_);_(@_)</c:formatCode>
                <c:ptCount val="706"/>
                <c:pt idx="0">
                  <c:v>219.73599999999999</c:v>
                </c:pt>
                <c:pt idx="1">
                  <c:v>218.94</c:v>
                </c:pt>
                <c:pt idx="2">
                  <c:v>224.01599999999999</c:v>
                </c:pt>
                <c:pt idx="3">
                  <c:v>208.94</c:v>
                </c:pt>
                <c:pt idx="4">
                  <c:v>193.09700000000001</c:v>
                </c:pt>
                <c:pt idx="5">
                  <c:v>193.083</c:v>
                </c:pt>
                <c:pt idx="6">
                  <c:v>195.28</c:v>
                </c:pt>
                <c:pt idx="7">
                  <c:v>199.90899999999999</c:v>
                </c:pt>
                <c:pt idx="8">
                  <c:v>198.30199999999999</c:v>
                </c:pt>
                <c:pt idx="9">
                  <c:v>199.68299999999999</c:v>
                </c:pt>
                <c:pt idx="10">
                  <c:v>196.39699999999999</c:v>
                </c:pt>
                <c:pt idx="11">
                  <c:v>188.75299999999999</c:v>
                </c:pt>
                <c:pt idx="12">
                  <c:v>183.23099999999999</c:v>
                </c:pt>
                <c:pt idx="13">
                  <c:v>166.274</c:v>
                </c:pt>
                <c:pt idx="14">
                  <c:v>165.505</c:v>
                </c:pt>
                <c:pt idx="15">
                  <c:v>170.036</c:v>
                </c:pt>
                <c:pt idx="16">
                  <c:v>170.88200000000001</c:v>
                </c:pt>
                <c:pt idx="17">
                  <c:v>169.494</c:v>
                </c:pt>
                <c:pt idx="18">
                  <c:v>170.256</c:v>
                </c:pt>
                <c:pt idx="19">
                  <c:v>187.989</c:v>
                </c:pt>
                <c:pt idx="20">
                  <c:v>188.595</c:v>
                </c:pt>
                <c:pt idx="21">
                  <c:v>187.114</c:v>
                </c:pt>
                <c:pt idx="22">
                  <c:v>178.70099999999999</c:v>
                </c:pt>
                <c:pt idx="23">
                  <c:v>168.60599999999999</c:v>
                </c:pt>
                <c:pt idx="24">
                  <c:v>162.84299999999999</c:v>
                </c:pt>
                <c:pt idx="25">
                  <c:v>155.25899999999999</c:v>
                </c:pt>
                <c:pt idx="26">
                  <c:v>157.43700000000001</c:v>
                </c:pt>
                <c:pt idx="27">
                  <c:v>168.221</c:v>
                </c:pt>
                <c:pt idx="28">
                  <c:v>171.32499999999999</c:v>
                </c:pt>
                <c:pt idx="29">
                  <c:v>169.00399999999999</c:v>
                </c:pt>
                <c:pt idx="30">
                  <c:v>170.24199999999999</c:v>
                </c:pt>
                <c:pt idx="31">
                  <c:v>158.999</c:v>
                </c:pt>
                <c:pt idx="32">
                  <c:v>171.011</c:v>
                </c:pt>
                <c:pt idx="33">
                  <c:v>167.767</c:v>
                </c:pt>
                <c:pt idx="34">
                  <c:v>162.86500000000001</c:v>
                </c:pt>
                <c:pt idx="35">
                  <c:v>163.285</c:v>
                </c:pt>
                <c:pt idx="36">
                  <c:v>163.30500000000001</c:v>
                </c:pt>
                <c:pt idx="37">
                  <c:v>164.51</c:v>
                </c:pt>
                <c:pt idx="38">
                  <c:v>166.04300000000001</c:v>
                </c:pt>
                <c:pt idx="39">
                  <c:v>164.506</c:v>
                </c:pt>
                <c:pt idx="40">
                  <c:v>171.60599999999999</c:v>
                </c:pt>
                <c:pt idx="41">
                  <c:v>165.965</c:v>
                </c:pt>
                <c:pt idx="42">
                  <c:v>163.94200000000001</c:v>
                </c:pt>
                <c:pt idx="43">
                  <c:v>165.49299999999999</c:v>
                </c:pt>
                <c:pt idx="44">
                  <c:v>171.113</c:v>
                </c:pt>
                <c:pt idx="45">
                  <c:v>171.459</c:v>
                </c:pt>
                <c:pt idx="46">
                  <c:v>170.43</c:v>
                </c:pt>
                <c:pt idx="47">
                  <c:v>175.98099999999999</c:v>
                </c:pt>
                <c:pt idx="48">
                  <c:v>176.87</c:v>
                </c:pt>
                <c:pt idx="49">
                  <c:v>169.27</c:v>
                </c:pt>
                <c:pt idx="50">
                  <c:v>167.91399999999999</c:v>
                </c:pt>
                <c:pt idx="51">
                  <c:v>165.22</c:v>
                </c:pt>
                <c:pt idx="52">
                  <c:v>161.077</c:v>
                </c:pt>
                <c:pt idx="53">
                  <c:v>157.70500000000001</c:v>
                </c:pt>
                <c:pt idx="54">
                  <c:v>149.16</c:v>
                </c:pt>
                <c:pt idx="55">
                  <c:v>146.678</c:v>
                </c:pt>
                <c:pt idx="56">
                  <c:v>152.33699999999999</c:v>
                </c:pt>
                <c:pt idx="57">
                  <c:v>149.56200000000001</c:v>
                </c:pt>
                <c:pt idx="58">
                  <c:v>161.197</c:v>
                </c:pt>
                <c:pt idx="59">
                  <c:v>165.84899999999999</c:v>
                </c:pt>
                <c:pt idx="60">
                  <c:v>158.72</c:v>
                </c:pt>
                <c:pt idx="61">
                  <c:v>164.21</c:v>
                </c:pt>
                <c:pt idx="62">
                  <c:v>161.392</c:v>
                </c:pt>
                <c:pt idx="63">
                  <c:v>162.15700000000001</c:v>
                </c:pt>
                <c:pt idx="64">
                  <c:v>154.858</c:v>
                </c:pt>
                <c:pt idx="65">
                  <c:v>157.18299999999999</c:v>
                </c:pt>
                <c:pt idx="66">
                  <c:v>161.26300000000001</c:v>
                </c:pt>
                <c:pt idx="67">
                  <c:v>163.934</c:v>
                </c:pt>
                <c:pt idx="68">
                  <c:v>166.33</c:v>
                </c:pt>
                <c:pt idx="69">
                  <c:v>164.37799999999999</c:v>
                </c:pt>
                <c:pt idx="70">
                  <c:v>164.01499999999999</c:v>
                </c:pt>
                <c:pt idx="71">
                  <c:v>170.708</c:v>
                </c:pt>
                <c:pt idx="72">
                  <c:v>174.86</c:v>
                </c:pt>
                <c:pt idx="73">
                  <c:v>171.548</c:v>
                </c:pt>
                <c:pt idx="74">
                  <c:v>166.76300000000001</c:v>
                </c:pt>
                <c:pt idx="75">
                  <c:v>163.15600000000001</c:v>
                </c:pt>
                <c:pt idx="76">
                  <c:v>162.44999999999999</c:v>
                </c:pt>
                <c:pt idx="77">
                  <c:v>163.345</c:v>
                </c:pt>
                <c:pt idx="78">
                  <c:v>163.345</c:v>
                </c:pt>
                <c:pt idx="79">
                  <c:v>163.99100000000001</c:v>
                </c:pt>
                <c:pt idx="80">
                  <c:v>165.476</c:v>
                </c:pt>
                <c:pt idx="81">
                  <c:v>165.001</c:v>
                </c:pt>
                <c:pt idx="82">
                  <c:v>165.80600000000001</c:v>
                </c:pt>
                <c:pt idx="83">
                  <c:v>166.95</c:v>
                </c:pt>
                <c:pt idx="84">
                  <c:v>160.57900000000001</c:v>
                </c:pt>
                <c:pt idx="85">
                  <c:v>158.762</c:v>
                </c:pt>
                <c:pt idx="86">
                  <c:v>156.511</c:v>
                </c:pt>
                <c:pt idx="87">
                  <c:v>153.66499999999999</c:v>
                </c:pt>
                <c:pt idx="88">
                  <c:v>156.59899999999999</c:v>
                </c:pt>
                <c:pt idx="89">
                  <c:v>169.995</c:v>
                </c:pt>
                <c:pt idx="90">
                  <c:v>165.12299999999999</c:v>
                </c:pt>
                <c:pt idx="91">
                  <c:v>168.40600000000001</c:v>
                </c:pt>
                <c:pt idx="92">
                  <c:v>171.084</c:v>
                </c:pt>
                <c:pt idx="93">
                  <c:v>167.95099999999999</c:v>
                </c:pt>
                <c:pt idx="94">
                  <c:v>176.41399999999999</c:v>
                </c:pt>
                <c:pt idx="95">
                  <c:v>178.77</c:v>
                </c:pt>
                <c:pt idx="96">
                  <c:v>179.727</c:v>
                </c:pt>
                <c:pt idx="97">
                  <c:v>170.46</c:v>
                </c:pt>
                <c:pt idx="98">
                  <c:v>168.73599999999999</c:v>
                </c:pt>
                <c:pt idx="99">
                  <c:v>164.02600000000001</c:v>
                </c:pt>
                <c:pt idx="100">
                  <c:v>159.90199999999999</c:v>
                </c:pt>
                <c:pt idx="101">
                  <c:v>163.16499999999999</c:v>
                </c:pt>
                <c:pt idx="102">
                  <c:v>173.69300000000001</c:v>
                </c:pt>
                <c:pt idx="103">
                  <c:v>171.786</c:v>
                </c:pt>
                <c:pt idx="104">
                  <c:v>170.47499999999999</c:v>
                </c:pt>
                <c:pt idx="105">
                  <c:v>174.453</c:v>
                </c:pt>
                <c:pt idx="106">
                  <c:v>174.12200000000001</c:v>
                </c:pt>
                <c:pt idx="107">
                  <c:v>176.631</c:v>
                </c:pt>
                <c:pt idx="108">
                  <c:v>185.99799999999999</c:v>
                </c:pt>
                <c:pt idx="109">
                  <c:v>198.233</c:v>
                </c:pt>
                <c:pt idx="110">
                  <c:v>192.83799999999999</c:v>
                </c:pt>
                <c:pt idx="111">
                  <c:v>184.97300000000001</c:v>
                </c:pt>
                <c:pt idx="112">
                  <c:v>181.85</c:v>
                </c:pt>
                <c:pt idx="113">
                  <c:v>180.48699999999999</c:v>
                </c:pt>
                <c:pt idx="114">
                  <c:v>169.316</c:v>
                </c:pt>
                <c:pt idx="115">
                  <c:v>167.75700000000001</c:v>
                </c:pt>
                <c:pt idx="116">
                  <c:v>174.49199999999999</c:v>
                </c:pt>
                <c:pt idx="117">
                  <c:v>179.94399999999999</c:v>
                </c:pt>
                <c:pt idx="118">
                  <c:v>176.654</c:v>
                </c:pt>
                <c:pt idx="119">
                  <c:v>172.89099999999999</c:v>
                </c:pt>
                <c:pt idx="120">
                  <c:v>167.21799999999999</c:v>
                </c:pt>
                <c:pt idx="121">
                  <c:v>168.99100000000001</c:v>
                </c:pt>
                <c:pt idx="122">
                  <c:v>144.35599999999999</c:v>
                </c:pt>
                <c:pt idx="123">
                  <c:v>156.31399999999999</c:v>
                </c:pt>
                <c:pt idx="124">
                  <c:v>166.261</c:v>
                </c:pt>
                <c:pt idx="125">
                  <c:v>171.41399999999999</c:v>
                </c:pt>
                <c:pt idx="126">
                  <c:v>170.52099999999999</c:v>
                </c:pt>
                <c:pt idx="127">
                  <c:v>170.95099999999999</c:v>
                </c:pt>
                <c:pt idx="128">
                  <c:v>173.529</c:v>
                </c:pt>
                <c:pt idx="129">
                  <c:v>164.91300000000001</c:v>
                </c:pt>
                <c:pt idx="130">
                  <c:v>169.03299999999999</c:v>
                </c:pt>
                <c:pt idx="131">
                  <c:v>168.00299999999999</c:v>
                </c:pt>
                <c:pt idx="132">
                  <c:v>168.37799999999999</c:v>
                </c:pt>
                <c:pt idx="133">
                  <c:v>161.58199999999999</c:v>
                </c:pt>
                <c:pt idx="134">
                  <c:v>161.376</c:v>
                </c:pt>
                <c:pt idx="135">
                  <c:v>160.41999999999999</c:v>
                </c:pt>
                <c:pt idx="136">
                  <c:v>162.17099999999999</c:v>
                </c:pt>
                <c:pt idx="137">
                  <c:v>153.89500000000001</c:v>
                </c:pt>
                <c:pt idx="138">
                  <c:v>158.726</c:v>
                </c:pt>
                <c:pt idx="139">
                  <c:v>160.85499999999999</c:v>
                </c:pt>
                <c:pt idx="140">
                  <c:v>161.63900000000001</c:v>
                </c:pt>
                <c:pt idx="141">
                  <c:v>161.86000000000001</c:v>
                </c:pt>
                <c:pt idx="142">
                  <c:v>164.548</c:v>
                </c:pt>
                <c:pt idx="143">
                  <c:v>158.12899999999999</c:v>
                </c:pt>
                <c:pt idx="144">
                  <c:v>153.113</c:v>
                </c:pt>
                <c:pt idx="145">
                  <c:v>145.255</c:v>
                </c:pt>
                <c:pt idx="146">
                  <c:v>144.226</c:v>
                </c:pt>
                <c:pt idx="147">
                  <c:v>136.119</c:v>
                </c:pt>
                <c:pt idx="148">
                  <c:v>134.08000000000001</c:v>
                </c:pt>
                <c:pt idx="149">
                  <c:v>133.024</c:v>
                </c:pt>
                <c:pt idx="150">
                  <c:v>134.81</c:v>
                </c:pt>
                <c:pt idx="151">
                  <c:v>134.72999999999999</c:v>
                </c:pt>
                <c:pt idx="152">
                  <c:v>152.91999999999999</c:v>
                </c:pt>
                <c:pt idx="153">
                  <c:v>161.636</c:v>
                </c:pt>
                <c:pt idx="154">
                  <c:v>183.57</c:v>
                </c:pt>
                <c:pt idx="155">
                  <c:v>179.971</c:v>
                </c:pt>
                <c:pt idx="156">
                  <c:v>171.74100000000001</c:v>
                </c:pt>
                <c:pt idx="157">
                  <c:v>171.36099999999999</c:v>
                </c:pt>
                <c:pt idx="158">
                  <c:v>165.488</c:v>
                </c:pt>
                <c:pt idx="159">
                  <c:v>174.10499999999999</c:v>
                </c:pt>
                <c:pt idx="160">
                  <c:v>168.53</c:v>
                </c:pt>
                <c:pt idx="161">
                  <c:v>177.33699999999999</c:v>
                </c:pt>
                <c:pt idx="162">
                  <c:v>190.69800000000001</c:v>
                </c:pt>
                <c:pt idx="163">
                  <c:v>187.815</c:v>
                </c:pt>
                <c:pt idx="164">
                  <c:v>183.83600000000001</c:v>
                </c:pt>
                <c:pt idx="165">
                  <c:v>186.92599999999999</c:v>
                </c:pt>
                <c:pt idx="166">
                  <c:v>180.846</c:v>
                </c:pt>
                <c:pt idx="167">
                  <c:v>179.64699999999999</c:v>
                </c:pt>
                <c:pt idx="168">
                  <c:v>188.595</c:v>
                </c:pt>
                <c:pt idx="169">
                  <c:v>191.53100000000001</c:v>
                </c:pt>
                <c:pt idx="170">
                  <c:v>190.893</c:v>
                </c:pt>
                <c:pt idx="171">
                  <c:v>187.66800000000001</c:v>
                </c:pt>
                <c:pt idx="172">
                  <c:v>178.57300000000001</c:v>
                </c:pt>
                <c:pt idx="173">
                  <c:v>171.36799999999999</c:v>
                </c:pt>
                <c:pt idx="174">
                  <c:v>161.35</c:v>
                </c:pt>
                <c:pt idx="175">
                  <c:v>166.227</c:v>
                </c:pt>
                <c:pt idx="176">
                  <c:v>165.17099999999999</c:v>
                </c:pt>
                <c:pt idx="177">
                  <c:v>156.703</c:v>
                </c:pt>
                <c:pt idx="178">
                  <c:v>166.00899999999999</c:v>
                </c:pt>
                <c:pt idx="179">
                  <c:v>165.84399999999999</c:v>
                </c:pt>
                <c:pt idx="180">
                  <c:v>162.751</c:v>
                </c:pt>
                <c:pt idx="181">
                  <c:v>170.875</c:v>
                </c:pt>
                <c:pt idx="182">
                  <c:v>165.13900000000001</c:v>
                </c:pt>
                <c:pt idx="183">
                  <c:v>163.411</c:v>
                </c:pt>
                <c:pt idx="184">
                  <c:v>167.31100000000001</c:v>
                </c:pt>
                <c:pt idx="185">
                  <c:v>165.78399999999999</c:v>
                </c:pt>
                <c:pt idx="186">
                  <c:v>161.60900000000001</c:v>
                </c:pt>
                <c:pt idx="187">
                  <c:v>162.49199999999999</c:v>
                </c:pt>
                <c:pt idx="188">
                  <c:v>156.833</c:v>
                </c:pt>
                <c:pt idx="189">
                  <c:v>155.541</c:v>
                </c:pt>
                <c:pt idx="190">
                  <c:v>160.43199999999999</c:v>
                </c:pt>
                <c:pt idx="191">
                  <c:v>162.19900000000001</c:v>
                </c:pt>
                <c:pt idx="192">
                  <c:v>168.077</c:v>
                </c:pt>
                <c:pt idx="193">
                  <c:v>165.04300000000001</c:v>
                </c:pt>
                <c:pt idx="194">
                  <c:v>171.07499999999999</c:v>
                </c:pt>
                <c:pt idx="195">
                  <c:v>181.11799999999999</c:v>
                </c:pt>
                <c:pt idx="196">
                  <c:v>194.10499999999999</c:v>
                </c:pt>
                <c:pt idx="197">
                  <c:v>201.07900000000001</c:v>
                </c:pt>
                <c:pt idx="198">
                  <c:v>194.119</c:v>
                </c:pt>
                <c:pt idx="199">
                  <c:v>190.19499999999999</c:v>
                </c:pt>
                <c:pt idx="200">
                  <c:v>196.49199999999999</c:v>
                </c:pt>
                <c:pt idx="201">
                  <c:v>191.203</c:v>
                </c:pt>
                <c:pt idx="202">
                  <c:v>182.56299999999999</c:v>
                </c:pt>
                <c:pt idx="203">
                  <c:v>175.566</c:v>
                </c:pt>
                <c:pt idx="204">
                  <c:v>173.523</c:v>
                </c:pt>
                <c:pt idx="205">
                  <c:v>169.404</c:v>
                </c:pt>
                <c:pt idx="206">
                  <c:v>169.71199999999999</c:v>
                </c:pt>
                <c:pt idx="207">
                  <c:v>166.77199999999999</c:v>
                </c:pt>
                <c:pt idx="208">
                  <c:v>165.369</c:v>
                </c:pt>
                <c:pt idx="209">
                  <c:v>164.249</c:v>
                </c:pt>
                <c:pt idx="210">
                  <c:v>165.136</c:v>
                </c:pt>
                <c:pt idx="211">
                  <c:v>162.54300000000001</c:v>
                </c:pt>
                <c:pt idx="212">
                  <c:v>163.36199999999999</c:v>
                </c:pt>
                <c:pt idx="213">
                  <c:v>159.96799999999999</c:v>
                </c:pt>
                <c:pt idx="214">
                  <c:v>166.761</c:v>
                </c:pt>
                <c:pt idx="215">
                  <c:v>165.696</c:v>
                </c:pt>
                <c:pt idx="216">
                  <c:v>170.56200000000001</c:v>
                </c:pt>
                <c:pt idx="217">
                  <c:v>174.57499999999999</c:v>
                </c:pt>
                <c:pt idx="218">
                  <c:v>166.358</c:v>
                </c:pt>
                <c:pt idx="219">
                  <c:v>156.93700000000001</c:v>
                </c:pt>
                <c:pt idx="220">
                  <c:v>155.78</c:v>
                </c:pt>
                <c:pt idx="221">
                  <c:v>159.68</c:v>
                </c:pt>
                <c:pt idx="222">
                  <c:v>156.84200000000001</c:v>
                </c:pt>
                <c:pt idx="223">
                  <c:v>156.411</c:v>
                </c:pt>
                <c:pt idx="224">
                  <c:v>157.40899999999999</c:v>
                </c:pt>
                <c:pt idx="225">
                  <c:v>159.71199999999999</c:v>
                </c:pt>
                <c:pt idx="226">
                  <c:v>160.02500000000001</c:v>
                </c:pt>
                <c:pt idx="227">
                  <c:v>161.41200000000001</c:v>
                </c:pt>
                <c:pt idx="228">
                  <c:v>150.62700000000001</c:v>
                </c:pt>
                <c:pt idx="229">
                  <c:v>152.232</c:v>
                </c:pt>
                <c:pt idx="230">
                  <c:v>154.965</c:v>
                </c:pt>
                <c:pt idx="231">
                  <c:v>153.63900000000001</c:v>
                </c:pt>
                <c:pt idx="232">
                  <c:v>144.422</c:v>
                </c:pt>
                <c:pt idx="233">
                  <c:v>139.767</c:v>
                </c:pt>
                <c:pt idx="234">
                  <c:v>142.73699999999999</c:v>
                </c:pt>
                <c:pt idx="235">
                  <c:v>145.33099999999999</c:v>
                </c:pt>
                <c:pt idx="236">
                  <c:v>141.26900000000001</c:v>
                </c:pt>
                <c:pt idx="237">
                  <c:v>138.13800000000001</c:v>
                </c:pt>
                <c:pt idx="238">
                  <c:v>133.83199999999999</c:v>
                </c:pt>
                <c:pt idx="239">
                  <c:v>140.62700000000001</c:v>
                </c:pt>
                <c:pt idx="240">
                  <c:v>148.72999999999999</c:v>
                </c:pt>
                <c:pt idx="241">
                  <c:v>140.875</c:v>
                </c:pt>
                <c:pt idx="242">
                  <c:v>137.55000000000001</c:v>
                </c:pt>
                <c:pt idx="243">
                  <c:v>136.04400000000001</c:v>
                </c:pt>
                <c:pt idx="244">
                  <c:v>137.119</c:v>
                </c:pt>
                <c:pt idx="245">
                  <c:v>137.584</c:v>
                </c:pt>
                <c:pt idx="246">
                  <c:v>135.46299999999999</c:v>
                </c:pt>
                <c:pt idx="247">
                  <c:v>124.08199999999999</c:v>
                </c:pt>
                <c:pt idx="248">
                  <c:v>131.405</c:v>
                </c:pt>
                <c:pt idx="249">
                  <c:v>124.483</c:v>
                </c:pt>
                <c:pt idx="250">
                  <c:v>124.955</c:v>
                </c:pt>
                <c:pt idx="251">
                  <c:v>119.07899999999999</c:v>
                </c:pt>
                <c:pt idx="252">
                  <c:v>119.375</c:v>
                </c:pt>
                <c:pt idx="253">
                  <c:v>120.867</c:v>
                </c:pt>
                <c:pt idx="254">
                  <c:v>119.31</c:v>
                </c:pt>
                <c:pt idx="255">
                  <c:v>120.041</c:v>
                </c:pt>
                <c:pt idx="256">
                  <c:v>120.041</c:v>
                </c:pt>
                <c:pt idx="257">
                  <c:v>120.041</c:v>
                </c:pt>
                <c:pt idx="258">
                  <c:v>122.747</c:v>
                </c:pt>
                <c:pt idx="259">
                  <c:v>124.134</c:v>
                </c:pt>
                <c:pt idx="260">
                  <c:v>121.98699999999999</c:v>
                </c:pt>
                <c:pt idx="261">
                  <c:v>121.98699999999999</c:v>
                </c:pt>
                <c:pt idx="262">
                  <c:v>122.93300000000001</c:v>
                </c:pt>
                <c:pt idx="263">
                  <c:v>125.89700000000001</c:v>
                </c:pt>
                <c:pt idx="264">
                  <c:v>127.456</c:v>
                </c:pt>
                <c:pt idx="265">
                  <c:v>125.473</c:v>
                </c:pt>
                <c:pt idx="266">
                  <c:v>119.208</c:v>
                </c:pt>
                <c:pt idx="267">
                  <c:v>122.057</c:v>
                </c:pt>
                <c:pt idx="268">
                  <c:v>122.742</c:v>
                </c:pt>
                <c:pt idx="269">
                  <c:v>120.43600000000001</c:v>
                </c:pt>
                <c:pt idx="270">
                  <c:v>117.774</c:v>
                </c:pt>
                <c:pt idx="271">
                  <c:v>118.154</c:v>
                </c:pt>
                <c:pt idx="272">
                  <c:v>117.723</c:v>
                </c:pt>
                <c:pt idx="273">
                  <c:v>117.018</c:v>
                </c:pt>
                <c:pt idx="274">
                  <c:v>117.95399999999999</c:v>
                </c:pt>
                <c:pt idx="275">
                  <c:v>119.03</c:v>
                </c:pt>
                <c:pt idx="276">
                  <c:v>118.605</c:v>
                </c:pt>
                <c:pt idx="277">
                  <c:v>122.054</c:v>
                </c:pt>
                <c:pt idx="278">
                  <c:v>124.81699999999999</c:v>
                </c:pt>
                <c:pt idx="279">
                  <c:v>137.19900000000001</c:v>
                </c:pt>
                <c:pt idx="280">
                  <c:v>129.595</c:v>
                </c:pt>
                <c:pt idx="281">
                  <c:v>136.084</c:v>
                </c:pt>
                <c:pt idx="282">
                  <c:v>136.58099999999999</c:v>
                </c:pt>
                <c:pt idx="283">
                  <c:v>133.44300000000001</c:v>
                </c:pt>
                <c:pt idx="284">
                  <c:v>128.304</c:v>
                </c:pt>
                <c:pt idx="285">
                  <c:v>118.224</c:v>
                </c:pt>
                <c:pt idx="286">
                  <c:v>112.864</c:v>
                </c:pt>
                <c:pt idx="287">
                  <c:v>108.905</c:v>
                </c:pt>
                <c:pt idx="288">
                  <c:v>111.977</c:v>
                </c:pt>
                <c:pt idx="289">
                  <c:v>115.19799999999999</c:v>
                </c:pt>
                <c:pt idx="290">
                  <c:v>102.041</c:v>
                </c:pt>
                <c:pt idx="291">
                  <c:v>98.98</c:v>
                </c:pt>
                <c:pt idx="292">
                  <c:v>96.820999999999998</c:v>
                </c:pt>
                <c:pt idx="293">
                  <c:v>99.968000000000004</c:v>
                </c:pt>
                <c:pt idx="294">
                  <c:v>98.498000000000005</c:v>
                </c:pt>
                <c:pt idx="295">
                  <c:v>103.836</c:v>
                </c:pt>
                <c:pt idx="296">
                  <c:v>101.98</c:v>
                </c:pt>
                <c:pt idx="297">
                  <c:v>107.187</c:v>
                </c:pt>
                <c:pt idx="298">
                  <c:v>110.587</c:v>
                </c:pt>
                <c:pt idx="299">
                  <c:v>123.946</c:v>
                </c:pt>
                <c:pt idx="300">
                  <c:v>128.16300000000001</c:v>
                </c:pt>
                <c:pt idx="301">
                  <c:v>135.36199999999999</c:v>
                </c:pt>
                <c:pt idx="302">
                  <c:v>157.19399999999999</c:v>
                </c:pt>
                <c:pt idx="303">
                  <c:v>190.83199999999999</c:v>
                </c:pt>
                <c:pt idx="304">
                  <c:v>190.66300000000001</c:v>
                </c:pt>
                <c:pt idx="305">
                  <c:v>182.43700000000001</c:v>
                </c:pt>
                <c:pt idx="306">
                  <c:v>178.64599999999999</c:v>
                </c:pt>
                <c:pt idx="307">
                  <c:v>173.28200000000001</c:v>
                </c:pt>
                <c:pt idx="308">
                  <c:v>179.768</c:v>
                </c:pt>
                <c:pt idx="309">
                  <c:v>312.19099999999997</c:v>
                </c:pt>
                <c:pt idx="310">
                  <c:v>291.464</c:v>
                </c:pt>
                <c:pt idx="311">
                  <c:v>312.274</c:v>
                </c:pt>
                <c:pt idx="312">
                  <c:v>448.16800000000001</c:v>
                </c:pt>
                <c:pt idx="313">
                  <c:v>431.75599999999997</c:v>
                </c:pt>
                <c:pt idx="314">
                  <c:v>509.392</c:v>
                </c:pt>
                <c:pt idx="315">
                  <c:v>475.64699999999999</c:v>
                </c:pt>
                <c:pt idx="316">
                  <c:v>641.36300000000006</c:v>
                </c:pt>
                <c:pt idx="317">
                  <c:v>681.50599999999997</c:v>
                </c:pt>
                <c:pt idx="318">
                  <c:v>670.39099999999996</c:v>
                </c:pt>
                <c:pt idx="319">
                  <c:v>738.88099999999997</c:v>
                </c:pt>
                <c:pt idx="320">
                  <c:v>690.58</c:v>
                </c:pt>
                <c:pt idx="321">
                  <c:v>608.53099999999995</c:v>
                </c:pt>
                <c:pt idx="322">
                  <c:v>538.947</c:v>
                </c:pt>
                <c:pt idx="323">
                  <c:v>485.33199999999999</c:v>
                </c:pt>
                <c:pt idx="324">
                  <c:v>511.649</c:v>
                </c:pt>
                <c:pt idx="325">
                  <c:v>508.95299999999997</c:v>
                </c:pt>
                <c:pt idx="326">
                  <c:v>522.36699999999996</c:v>
                </c:pt>
                <c:pt idx="327">
                  <c:v>463.762</c:v>
                </c:pt>
                <c:pt idx="328">
                  <c:v>432.77300000000002</c:v>
                </c:pt>
                <c:pt idx="329">
                  <c:v>377.66199999999998</c:v>
                </c:pt>
                <c:pt idx="330">
                  <c:v>357.65</c:v>
                </c:pt>
                <c:pt idx="331">
                  <c:v>360.51499999999999</c:v>
                </c:pt>
                <c:pt idx="332">
                  <c:v>355.99299999999999</c:v>
                </c:pt>
                <c:pt idx="333">
                  <c:v>355.99299999999999</c:v>
                </c:pt>
                <c:pt idx="334">
                  <c:v>355.99299999999999</c:v>
                </c:pt>
                <c:pt idx="335">
                  <c:v>336.22300000000001</c:v>
                </c:pt>
                <c:pt idx="336">
                  <c:v>345.63499999999999</c:v>
                </c:pt>
                <c:pt idx="337">
                  <c:v>347.67899999999997</c:v>
                </c:pt>
                <c:pt idx="338">
                  <c:v>344.262</c:v>
                </c:pt>
                <c:pt idx="339">
                  <c:v>349.041</c:v>
                </c:pt>
                <c:pt idx="340">
                  <c:v>390.44</c:v>
                </c:pt>
                <c:pt idx="341">
                  <c:v>396.56299999999999</c:v>
                </c:pt>
                <c:pt idx="342">
                  <c:v>375.55599999999998</c:v>
                </c:pt>
                <c:pt idx="343">
                  <c:v>388.517</c:v>
                </c:pt>
                <c:pt idx="344">
                  <c:v>413.041</c:v>
                </c:pt>
                <c:pt idx="345">
                  <c:v>416.06799999999998</c:v>
                </c:pt>
                <c:pt idx="346">
                  <c:v>414.27199999999999</c:v>
                </c:pt>
                <c:pt idx="347">
                  <c:v>397.91500000000002</c:v>
                </c:pt>
                <c:pt idx="348">
                  <c:v>403.34699999999998</c:v>
                </c:pt>
                <c:pt idx="349">
                  <c:v>432.54500000000002</c:v>
                </c:pt>
                <c:pt idx="350">
                  <c:v>397.47800000000001</c:v>
                </c:pt>
                <c:pt idx="351">
                  <c:v>398.37299999999999</c:v>
                </c:pt>
                <c:pt idx="352">
                  <c:v>408.31200000000001</c:v>
                </c:pt>
                <c:pt idx="353">
                  <c:v>408.31200000000001</c:v>
                </c:pt>
                <c:pt idx="354">
                  <c:v>387.00799999999998</c:v>
                </c:pt>
                <c:pt idx="355">
                  <c:v>359.23899999999998</c:v>
                </c:pt>
                <c:pt idx="356">
                  <c:v>357.31299999999999</c:v>
                </c:pt>
                <c:pt idx="357">
                  <c:v>363.13600000000002</c:v>
                </c:pt>
                <c:pt idx="358">
                  <c:v>346.72500000000002</c:v>
                </c:pt>
                <c:pt idx="359">
                  <c:v>319.642</c:v>
                </c:pt>
                <c:pt idx="360">
                  <c:v>316.59800000000001</c:v>
                </c:pt>
                <c:pt idx="361">
                  <c:v>311.12799999999999</c:v>
                </c:pt>
                <c:pt idx="362">
                  <c:v>301.82100000000003</c:v>
                </c:pt>
                <c:pt idx="363">
                  <c:v>302.47899999999998</c:v>
                </c:pt>
                <c:pt idx="364">
                  <c:v>302.47899999999998</c:v>
                </c:pt>
                <c:pt idx="365">
                  <c:v>289.82799999999997</c:v>
                </c:pt>
                <c:pt idx="366">
                  <c:v>283.81700000000001</c:v>
                </c:pt>
                <c:pt idx="367">
                  <c:v>282.03800000000001</c:v>
                </c:pt>
                <c:pt idx="368">
                  <c:v>288.47699999999998</c:v>
                </c:pt>
                <c:pt idx="369">
                  <c:v>287.41699999999997</c:v>
                </c:pt>
                <c:pt idx="370">
                  <c:v>278.94499999999999</c:v>
                </c:pt>
                <c:pt idx="371">
                  <c:v>260.09199999999998</c:v>
                </c:pt>
                <c:pt idx="372">
                  <c:v>255.43299999999999</c:v>
                </c:pt>
                <c:pt idx="373">
                  <c:v>233.19200000000001</c:v>
                </c:pt>
                <c:pt idx="374">
                  <c:v>228.928</c:v>
                </c:pt>
                <c:pt idx="375">
                  <c:v>232.071</c:v>
                </c:pt>
                <c:pt idx="376">
                  <c:v>233.88800000000001</c:v>
                </c:pt>
                <c:pt idx="377">
                  <c:v>252.63300000000001</c:v>
                </c:pt>
                <c:pt idx="378">
                  <c:v>252.322</c:v>
                </c:pt>
                <c:pt idx="379">
                  <c:v>279.67599999999999</c:v>
                </c:pt>
                <c:pt idx="380">
                  <c:v>260.01600000000002</c:v>
                </c:pt>
                <c:pt idx="381">
                  <c:v>269.37299999999999</c:v>
                </c:pt>
                <c:pt idx="382">
                  <c:v>268.14999999999998</c:v>
                </c:pt>
                <c:pt idx="383">
                  <c:v>269.19600000000003</c:v>
                </c:pt>
                <c:pt idx="384">
                  <c:v>267.98899999999998</c:v>
                </c:pt>
                <c:pt idx="385">
                  <c:v>247.91800000000001</c:v>
                </c:pt>
                <c:pt idx="386">
                  <c:v>248.84899999999999</c:v>
                </c:pt>
                <c:pt idx="387">
                  <c:v>252.53</c:v>
                </c:pt>
                <c:pt idx="388">
                  <c:v>260.08499999999998</c:v>
                </c:pt>
                <c:pt idx="389">
                  <c:v>260.81</c:v>
                </c:pt>
                <c:pt idx="390">
                  <c:v>253.078</c:v>
                </c:pt>
                <c:pt idx="391">
                  <c:v>252.06</c:v>
                </c:pt>
                <c:pt idx="392">
                  <c:v>244.245</c:v>
                </c:pt>
                <c:pt idx="393">
                  <c:v>251.49</c:v>
                </c:pt>
                <c:pt idx="394">
                  <c:v>240.083</c:v>
                </c:pt>
                <c:pt idx="395">
                  <c:v>245.374</c:v>
                </c:pt>
                <c:pt idx="396">
                  <c:v>243.17</c:v>
                </c:pt>
                <c:pt idx="397">
                  <c:v>238.96700000000001</c:v>
                </c:pt>
                <c:pt idx="398">
                  <c:v>237.114</c:v>
                </c:pt>
                <c:pt idx="399">
                  <c:v>244.82900000000001</c:v>
                </c:pt>
                <c:pt idx="400">
                  <c:v>231.27199999999999</c:v>
                </c:pt>
                <c:pt idx="401">
                  <c:v>230.488</c:v>
                </c:pt>
                <c:pt idx="402">
                  <c:v>230.148</c:v>
                </c:pt>
                <c:pt idx="403">
                  <c:v>228.41</c:v>
                </c:pt>
                <c:pt idx="404">
                  <c:v>228.483</c:v>
                </c:pt>
                <c:pt idx="405">
                  <c:v>225.50700000000001</c:v>
                </c:pt>
                <c:pt idx="406">
                  <c:v>222.11199999999999</c:v>
                </c:pt>
                <c:pt idx="407">
                  <c:v>222.44800000000001</c:v>
                </c:pt>
                <c:pt idx="408">
                  <c:v>221.68299999999999</c:v>
                </c:pt>
                <c:pt idx="409">
                  <c:v>219.55600000000001</c:v>
                </c:pt>
                <c:pt idx="410">
                  <c:v>221.63499999999999</c:v>
                </c:pt>
                <c:pt idx="411">
                  <c:v>220.035</c:v>
                </c:pt>
                <c:pt idx="412">
                  <c:v>219.38200000000001</c:v>
                </c:pt>
                <c:pt idx="413">
                  <c:v>215.73599999999999</c:v>
                </c:pt>
                <c:pt idx="414">
                  <c:v>211.46700000000001</c:v>
                </c:pt>
                <c:pt idx="415">
                  <c:v>203.44499999999999</c:v>
                </c:pt>
                <c:pt idx="416">
                  <c:v>191.197</c:v>
                </c:pt>
                <c:pt idx="417">
                  <c:v>189.79</c:v>
                </c:pt>
                <c:pt idx="418">
                  <c:v>183.226</c:v>
                </c:pt>
                <c:pt idx="419">
                  <c:v>173.03899999999999</c:v>
                </c:pt>
                <c:pt idx="420">
                  <c:v>168.363</c:v>
                </c:pt>
                <c:pt idx="421">
                  <c:v>169.44200000000001</c:v>
                </c:pt>
                <c:pt idx="422">
                  <c:v>164.637</c:v>
                </c:pt>
                <c:pt idx="423">
                  <c:v>166.227</c:v>
                </c:pt>
                <c:pt idx="424">
                  <c:v>168.93600000000001</c:v>
                </c:pt>
                <c:pt idx="425">
                  <c:v>166.429</c:v>
                </c:pt>
                <c:pt idx="426">
                  <c:v>176.602</c:v>
                </c:pt>
                <c:pt idx="427">
                  <c:v>180.23099999999999</c:v>
                </c:pt>
                <c:pt idx="428">
                  <c:v>177.42400000000001</c:v>
                </c:pt>
                <c:pt idx="429">
                  <c:v>176.63800000000001</c:v>
                </c:pt>
                <c:pt idx="430">
                  <c:v>174.20400000000001</c:v>
                </c:pt>
                <c:pt idx="431">
                  <c:v>180.565</c:v>
                </c:pt>
                <c:pt idx="432">
                  <c:v>179.458</c:v>
                </c:pt>
                <c:pt idx="433">
                  <c:v>186.77199999999999</c:v>
                </c:pt>
                <c:pt idx="434">
                  <c:v>186.77199999999999</c:v>
                </c:pt>
                <c:pt idx="435">
                  <c:v>180.66399999999999</c:v>
                </c:pt>
                <c:pt idx="436">
                  <c:v>177.68700000000001</c:v>
                </c:pt>
                <c:pt idx="437">
                  <c:v>176.917</c:v>
                </c:pt>
                <c:pt idx="438">
                  <c:v>175.684</c:v>
                </c:pt>
                <c:pt idx="439">
                  <c:v>177.86</c:v>
                </c:pt>
                <c:pt idx="440">
                  <c:v>185.43899999999999</c:v>
                </c:pt>
                <c:pt idx="441">
                  <c:v>188.803</c:v>
                </c:pt>
                <c:pt idx="442">
                  <c:v>187.42099999999999</c:v>
                </c:pt>
                <c:pt idx="443">
                  <c:v>192.78</c:v>
                </c:pt>
                <c:pt idx="444">
                  <c:v>193.65</c:v>
                </c:pt>
                <c:pt idx="445">
                  <c:v>191.68600000000001</c:v>
                </c:pt>
                <c:pt idx="446">
                  <c:v>190.42099999999999</c:v>
                </c:pt>
                <c:pt idx="447">
                  <c:v>195.173</c:v>
                </c:pt>
                <c:pt idx="448">
                  <c:v>193.82400000000001</c:v>
                </c:pt>
                <c:pt idx="449">
                  <c:v>210.732</c:v>
                </c:pt>
                <c:pt idx="450">
                  <c:v>219.19200000000001</c:v>
                </c:pt>
                <c:pt idx="451">
                  <c:v>235.38399999999999</c:v>
                </c:pt>
                <c:pt idx="452">
                  <c:v>250.07400000000001</c:v>
                </c:pt>
                <c:pt idx="453">
                  <c:v>257.452</c:v>
                </c:pt>
                <c:pt idx="454">
                  <c:v>280.98099999999999</c:v>
                </c:pt>
                <c:pt idx="455">
                  <c:v>302.17899999999997</c:v>
                </c:pt>
                <c:pt idx="456">
                  <c:v>285.65199999999999</c:v>
                </c:pt>
                <c:pt idx="457">
                  <c:v>273.90899999999999</c:v>
                </c:pt>
                <c:pt idx="458">
                  <c:v>270.68700000000001</c:v>
                </c:pt>
                <c:pt idx="459">
                  <c:v>268.52499999999998</c:v>
                </c:pt>
                <c:pt idx="460">
                  <c:v>263.13499999999999</c:v>
                </c:pt>
                <c:pt idx="461">
                  <c:v>256.70499999999998</c:v>
                </c:pt>
                <c:pt idx="462">
                  <c:v>246.364</c:v>
                </c:pt>
                <c:pt idx="463">
                  <c:v>224.87899999999999</c:v>
                </c:pt>
                <c:pt idx="464">
                  <c:v>227.345</c:v>
                </c:pt>
                <c:pt idx="465">
                  <c:v>225.20400000000001</c:v>
                </c:pt>
                <c:pt idx="466">
                  <c:v>230.363</c:v>
                </c:pt>
                <c:pt idx="467">
                  <c:v>245.149</c:v>
                </c:pt>
                <c:pt idx="468">
                  <c:v>242.386</c:v>
                </c:pt>
                <c:pt idx="469">
                  <c:v>247.82</c:v>
                </c:pt>
                <c:pt idx="470">
                  <c:v>245.37700000000001</c:v>
                </c:pt>
                <c:pt idx="471">
                  <c:v>245.12700000000001</c:v>
                </c:pt>
                <c:pt idx="472">
                  <c:v>263.75700000000001</c:v>
                </c:pt>
                <c:pt idx="473">
                  <c:v>266.07499999999999</c:v>
                </c:pt>
                <c:pt idx="474">
                  <c:v>267.75799999999998</c:v>
                </c:pt>
                <c:pt idx="475">
                  <c:v>271.61799999999999</c:v>
                </c:pt>
                <c:pt idx="476">
                  <c:v>274.31700000000001</c:v>
                </c:pt>
                <c:pt idx="477">
                  <c:v>262.85300000000001</c:v>
                </c:pt>
                <c:pt idx="478">
                  <c:v>252.34899999999999</c:v>
                </c:pt>
                <c:pt idx="479">
                  <c:v>262.459</c:v>
                </c:pt>
                <c:pt idx="480">
                  <c:v>245.71700000000001</c:v>
                </c:pt>
                <c:pt idx="481">
                  <c:v>236.083</c:v>
                </c:pt>
                <c:pt idx="482">
                  <c:v>236.87299999999999</c:v>
                </c:pt>
                <c:pt idx="483">
                  <c:v>214.755</c:v>
                </c:pt>
                <c:pt idx="484">
                  <c:v>203.542</c:v>
                </c:pt>
                <c:pt idx="485">
                  <c:v>185.86199999999999</c:v>
                </c:pt>
                <c:pt idx="486">
                  <c:v>175.38399999999999</c:v>
                </c:pt>
                <c:pt idx="487">
                  <c:v>167.81100000000001</c:v>
                </c:pt>
                <c:pt idx="488">
                  <c:v>169.06</c:v>
                </c:pt>
                <c:pt idx="489">
                  <c:v>168.60499999999999</c:v>
                </c:pt>
                <c:pt idx="490">
                  <c:v>171.10599999999999</c:v>
                </c:pt>
                <c:pt idx="491">
                  <c:v>171.77500000000001</c:v>
                </c:pt>
                <c:pt idx="492">
                  <c:v>170.482</c:v>
                </c:pt>
                <c:pt idx="493">
                  <c:v>172.548</c:v>
                </c:pt>
                <c:pt idx="494">
                  <c:v>164.036</c:v>
                </c:pt>
                <c:pt idx="495">
                  <c:v>163.00299999999999</c:v>
                </c:pt>
                <c:pt idx="496">
                  <c:v>161.98099999999999</c:v>
                </c:pt>
                <c:pt idx="497">
                  <c:v>162.102</c:v>
                </c:pt>
                <c:pt idx="498">
                  <c:v>162.423</c:v>
                </c:pt>
                <c:pt idx="499">
                  <c:v>156.41399999999999</c:v>
                </c:pt>
                <c:pt idx="500">
                  <c:v>148.38999999999999</c:v>
                </c:pt>
                <c:pt idx="501">
                  <c:v>145.29</c:v>
                </c:pt>
                <c:pt idx="502">
                  <c:v>132.452</c:v>
                </c:pt>
                <c:pt idx="503">
                  <c:v>139.51499999999999</c:v>
                </c:pt>
                <c:pt idx="504">
                  <c:v>144.74600000000001</c:v>
                </c:pt>
                <c:pt idx="505">
                  <c:v>145.523</c:v>
                </c:pt>
                <c:pt idx="506">
                  <c:v>146.15199999999999</c:v>
                </c:pt>
                <c:pt idx="507">
                  <c:v>146.608</c:v>
                </c:pt>
                <c:pt idx="508">
                  <c:v>154.642</c:v>
                </c:pt>
                <c:pt idx="509">
                  <c:v>144.08699999999999</c:v>
                </c:pt>
                <c:pt idx="510">
                  <c:v>159.79499999999999</c:v>
                </c:pt>
                <c:pt idx="511">
                  <c:v>151.44</c:v>
                </c:pt>
                <c:pt idx="512">
                  <c:v>140.31899999999999</c:v>
                </c:pt>
                <c:pt idx="513">
                  <c:v>141.17400000000001</c:v>
                </c:pt>
                <c:pt idx="514">
                  <c:v>135.97499999999999</c:v>
                </c:pt>
                <c:pt idx="515">
                  <c:v>141.39699999999999</c:v>
                </c:pt>
                <c:pt idx="516">
                  <c:v>138.36500000000001</c:v>
                </c:pt>
                <c:pt idx="517">
                  <c:v>145.16</c:v>
                </c:pt>
                <c:pt idx="518">
                  <c:v>145.16</c:v>
                </c:pt>
                <c:pt idx="519">
                  <c:v>145.16</c:v>
                </c:pt>
                <c:pt idx="520">
                  <c:v>137.03700000000001</c:v>
                </c:pt>
                <c:pt idx="521">
                  <c:v>132.27500000000001</c:v>
                </c:pt>
                <c:pt idx="522">
                  <c:v>137.71299999999999</c:v>
                </c:pt>
                <c:pt idx="523">
                  <c:v>137.71299999999999</c:v>
                </c:pt>
                <c:pt idx="524">
                  <c:v>137.244</c:v>
                </c:pt>
                <c:pt idx="525">
                  <c:v>138.65</c:v>
                </c:pt>
                <c:pt idx="526">
                  <c:v>138.71899999999999</c:v>
                </c:pt>
                <c:pt idx="527">
                  <c:v>143.08500000000001</c:v>
                </c:pt>
                <c:pt idx="528">
                  <c:v>134.30799999999999</c:v>
                </c:pt>
                <c:pt idx="529">
                  <c:v>139.51400000000001</c:v>
                </c:pt>
                <c:pt idx="530">
                  <c:v>144.833</c:v>
                </c:pt>
                <c:pt idx="531">
                  <c:v>140.16</c:v>
                </c:pt>
                <c:pt idx="532">
                  <c:v>127.758</c:v>
                </c:pt>
                <c:pt idx="533">
                  <c:v>137.328</c:v>
                </c:pt>
                <c:pt idx="534">
                  <c:v>141.36799999999999</c:v>
                </c:pt>
                <c:pt idx="535">
                  <c:v>140.321</c:v>
                </c:pt>
                <c:pt idx="536">
                  <c:v>140.90299999999999</c:v>
                </c:pt>
                <c:pt idx="537">
                  <c:v>142.119</c:v>
                </c:pt>
                <c:pt idx="538">
                  <c:v>146.18100000000001</c:v>
                </c:pt>
                <c:pt idx="539">
                  <c:v>149.66800000000001</c:v>
                </c:pt>
                <c:pt idx="540">
                  <c:v>147.53200000000001</c:v>
                </c:pt>
                <c:pt idx="541">
                  <c:v>133.90199999999999</c:v>
                </c:pt>
                <c:pt idx="542">
                  <c:v>134.87200000000001</c:v>
                </c:pt>
                <c:pt idx="543">
                  <c:v>132.922</c:v>
                </c:pt>
                <c:pt idx="544">
                  <c:v>125.46899999999999</c:v>
                </c:pt>
                <c:pt idx="545">
                  <c:v>118.133</c:v>
                </c:pt>
                <c:pt idx="546">
                  <c:v>119.20699999999999</c:v>
                </c:pt>
                <c:pt idx="547">
                  <c:v>115.10299999999999</c:v>
                </c:pt>
                <c:pt idx="548">
                  <c:v>116.705</c:v>
                </c:pt>
                <c:pt idx="549">
                  <c:v>115.658</c:v>
                </c:pt>
                <c:pt idx="550">
                  <c:v>115.759</c:v>
                </c:pt>
                <c:pt idx="551">
                  <c:v>119.33199999999999</c:v>
                </c:pt>
                <c:pt idx="552">
                  <c:v>117.301</c:v>
                </c:pt>
                <c:pt idx="553">
                  <c:v>122.282</c:v>
                </c:pt>
                <c:pt idx="554">
                  <c:v>132.96</c:v>
                </c:pt>
                <c:pt idx="555">
                  <c:v>139.297</c:v>
                </c:pt>
                <c:pt idx="556">
                  <c:v>145.02500000000001</c:v>
                </c:pt>
                <c:pt idx="557">
                  <c:v>134.482</c:v>
                </c:pt>
                <c:pt idx="558">
                  <c:v>127.386</c:v>
                </c:pt>
                <c:pt idx="559">
                  <c:v>132.982</c:v>
                </c:pt>
                <c:pt idx="560">
                  <c:v>134.834</c:v>
                </c:pt>
                <c:pt idx="561">
                  <c:v>127.81</c:v>
                </c:pt>
                <c:pt idx="562">
                  <c:v>128.792</c:v>
                </c:pt>
                <c:pt idx="563">
                  <c:v>138.92599999999999</c:v>
                </c:pt>
                <c:pt idx="564">
                  <c:v>126.735</c:v>
                </c:pt>
                <c:pt idx="565">
                  <c:v>114.627</c:v>
                </c:pt>
                <c:pt idx="566">
                  <c:v>116.22499999999999</c:v>
                </c:pt>
                <c:pt idx="567">
                  <c:v>114.768</c:v>
                </c:pt>
                <c:pt idx="568">
                  <c:v>110.358</c:v>
                </c:pt>
                <c:pt idx="569">
                  <c:v>136.999</c:v>
                </c:pt>
                <c:pt idx="570">
                  <c:v>116.221</c:v>
                </c:pt>
                <c:pt idx="571">
                  <c:v>117.53700000000001</c:v>
                </c:pt>
                <c:pt idx="572">
                  <c:v>116.51</c:v>
                </c:pt>
                <c:pt idx="573">
                  <c:v>124.70399999999999</c:v>
                </c:pt>
                <c:pt idx="574">
                  <c:v>119.206</c:v>
                </c:pt>
                <c:pt idx="575">
                  <c:v>112.697</c:v>
                </c:pt>
                <c:pt idx="576">
                  <c:v>122.935</c:v>
                </c:pt>
                <c:pt idx="577">
                  <c:v>128.80199999999999</c:v>
                </c:pt>
                <c:pt idx="578">
                  <c:v>127.845</c:v>
                </c:pt>
                <c:pt idx="579">
                  <c:v>120.279</c:v>
                </c:pt>
                <c:pt idx="580">
                  <c:v>126.91</c:v>
                </c:pt>
                <c:pt idx="581">
                  <c:v>128.80699999999999</c:v>
                </c:pt>
                <c:pt idx="582">
                  <c:v>128.21</c:v>
                </c:pt>
                <c:pt idx="583">
                  <c:v>133.22999999999999</c:v>
                </c:pt>
                <c:pt idx="584">
                  <c:v>127.89400000000001</c:v>
                </c:pt>
                <c:pt idx="585">
                  <c:v>141.55199999999999</c:v>
                </c:pt>
                <c:pt idx="586">
                  <c:v>127.47499999999999</c:v>
                </c:pt>
                <c:pt idx="587">
                  <c:v>125.733</c:v>
                </c:pt>
                <c:pt idx="588">
                  <c:v>125.733</c:v>
                </c:pt>
                <c:pt idx="589">
                  <c:v>125.733</c:v>
                </c:pt>
                <c:pt idx="590">
                  <c:v>126.601</c:v>
                </c:pt>
                <c:pt idx="591">
                  <c:v>125.254</c:v>
                </c:pt>
                <c:pt idx="592">
                  <c:v>125.78100000000001</c:v>
                </c:pt>
                <c:pt idx="593">
                  <c:v>124.497</c:v>
                </c:pt>
                <c:pt idx="594">
                  <c:v>127.877</c:v>
                </c:pt>
                <c:pt idx="595">
                  <c:v>127.89400000000001</c:v>
                </c:pt>
                <c:pt idx="596">
                  <c:v>127.114</c:v>
                </c:pt>
                <c:pt idx="597">
                  <c:v>116.69799999999999</c:v>
                </c:pt>
                <c:pt idx="598">
                  <c:v>105.111</c:v>
                </c:pt>
                <c:pt idx="599">
                  <c:v>109.845</c:v>
                </c:pt>
                <c:pt idx="600">
                  <c:v>109.58499999999999</c:v>
                </c:pt>
                <c:pt idx="601">
                  <c:v>117.226</c:v>
                </c:pt>
                <c:pt idx="602">
                  <c:v>106</c:v>
                </c:pt>
                <c:pt idx="603">
                  <c:v>104.658</c:v>
                </c:pt>
                <c:pt idx="604">
                  <c:v>104.88500000000001</c:v>
                </c:pt>
                <c:pt idx="605">
                  <c:v>107.289</c:v>
                </c:pt>
                <c:pt idx="606">
                  <c:v>109.837</c:v>
                </c:pt>
                <c:pt idx="607">
                  <c:v>110.369</c:v>
                </c:pt>
                <c:pt idx="608">
                  <c:v>115.244</c:v>
                </c:pt>
                <c:pt idx="609">
                  <c:v>115.244</c:v>
                </c:pt>
                <c:pt idx="610">
                  <c:v>114.63500000000001</c:v>
                </c:pt>
                <c:pt idx="611">
                  <c:v>113.994</c:v>
                </c:pt>
                <c:pt idx="612">
                  <c:v>109.48099999999999</c:v>
                </c:pt>
                <c:pt idx="613">
                  <c:v>108.283</c:v>
                </c:pt>
                <c:pt idx="614">
                  <c:v>105.95</c:v>
                </c:pt>
                <c:pt idx="615">
                  <c:v>105.41500000000001</c:v>
                </c:pt>
                <c:pt idx="616">
                  <c:v>112.524</c:v>
                </c:pt>
                <c:pt idx="617">
                  <c:v>125.574</c:v>
                </c:pt>
                <c:pt idx="618">
                  <c:v>121.01600000000001</c:v>
                </c:pt>
                <c:pt idx="619">
                  <c:v>123.496</c:v>
                </c:pt>
                <c:pt idx="620">
                  <c:v>128.09200000000001</c:v>
                </c:pt>
                <c:pt idx="621">
                  <c:v>132.93700000000001</c:v>
                </c:pt>
                <c:pt idx="622">
                  <c:v>120.28400000000001</c:v>
                </c:pt>
                <c:pt idx="623">
                  <c:v>123.518</c:v>
                </c:pt>
                <c:pt idx="624">
                  <c:v>121.979</c:v>
                </c:pt>
                <c:pt idx="625">
                  <c:v>119.627</c:v>
                </c:pt>
                <c:pt idx="626">
                  <c:v>122.366</c:v>
                </c:pt>
                <c:pt idx="627">
                  <c:v>119.857</c:v>
                </c:pt>
                <c:pt idx="628">
                  <c:v>110.788</c:v>
                </c:pt>
                <c:pt idx="629">
                  <c:v>110.788</c:v>
                </c:pt>
                <c:pt idx="630">
                  <c:v>119.36199999999999</c:v>
                </c:pt>
                <c:pt idx="631">
                  <c:v>116.48</c:v>
                </c:pt>
                <c:pt idx="632">
                  <c:v>113.13200000000001</c:v>
                </c:pt>
                <c:pt idx="633">
                  <c:v>123.125</c:v>
                </c:pt>
                <c:pt idx="634">
                  <c:v>111.73699999999999</c:v>
                </c:pt>
                <c:pt idx="635">
                  <c:v>108.254</c:v>
                </c:pt>
                <c:pt idx="636">
                  <c:v>104.21</c:v>
                </c:pt>
                <c:pt idx="637">
                  <c:v>103.096</c:v>
                </c:pt>
                <c:pt idx="638">
                  <c:v>94.573999999999998</c:v>
                </c:pt>
                <c:pt idx="639">
                  <c:v>101.443</c:v>
                </c:pt>
                <c:pt idx="640">
                  <c:v>95.628</c:v>
                </c:pt>
                <c:pt idx="641">
                  <c:v>87.927000000000007</c:v>
                </c:pt>
                <c:pt idx="642">
                  <c:v>104.517</c:v>
                </c:pt>
                <c:pt idx="643">
                  <c:v>96.406999999999996</c:v>
                </c:pt>
                <c:pt idx="644">
                  <c:v>107.14400000000001</c:v>
                </c:pt>
                <c:pt idx="645">
                  <c:v>103.426</c:v>
                </c:pt>
                <c:pt idx="646">
                  <c:v>97.001999999999995</c:v>
                </c:pt>
                <c:pt idx="647">
                  <c:v>97.126999999999995</c:v>
                </c:pt>
                <c:pt idx="648">
                  <c:v>98.100999999999999</c:v>
                </c:pt>
                <c:pt idx="649">
                  <c:v>102.70099999999999</c:v>
                </c:pt>
                <c:pt idx="650">
                  <c:v>98.375</c:v>
                </c:pt>
                <c:pt idx="651">
                  <c:v>103.57599999999999</c:v>
                </c:pt>
                <c:pt idx="652">
                  <c:v>102.413</c:v>
                </c:pt>
                <c:pt idx="653">
                  <c:v>103.30800000000001</c:v>
                </c:pt>
                <c:pt idx="654">
                  <c:v>106.047</c:v>
                </c:pt>
                <c:pt idx="655">
                  <c:v>106.13800000000001</c:v>
                </c:pt>
                <c:pt idx="656">
                  <c:v>106.72199999999999</c:v>
                </c:pt>
                <c:pt idx="657">
                  <c:v>104.535</c:v>
                </c:pt>
                <c:pt idx="658">
                  <c:v>106.307</c:v>
                </c:pt>
                <c:pt idx="659">
                  <c:v>107.06699999999999</c:v>
                </c:pt>
                <c:pt idx="660">
                  <c:v>103.827</c:v>
                </c:pt>
                <c:pt idx="661">
                  <c:v>106.545</c:v>
                </c:pt>
                <c:pt idx="662">
                  <c:v>108.19499999999999</c:v>
                </c:pt>
                <c:pt idx="663">
                  <c:v>106.73699999999999</c:v>
                </c:pt>
                <c:pt idx="664">
                  <c:v>105.895</c:v>
                </c:pt>
                <c:pt idx="665">
                  <c:v>107.82</c:v>
                </c:pt>
                <c:pt idx="666">
                  <c:v>108.00700000000001</c:v>
                </c:pt>
                <c:pt idx="667">
                  <c:v>110.669</c:v>
                </c:pt>
                <c:pt idx="668">
                  <c:v>110.973</c:v>
                </c:pt>
                <c:pt idx="669">
                  <c:v>108.078</c:v>
                </c:pt>
                <c:pt idx="670">
                  <c:v>113.526</c:v>
                </c:pt>
                <c:pt idx="671">
                  <c:v>113.361</c:v>
                </c:pt>
                <c:pt idx="672">
                  <c:v>104.974</c:v>
                </c:pt>
                <c:pt idx="673">
                  <c:v>110.485</c:v>
                </c:pt>
                <c:pt idx="674">
                  <c:v>103.812</c:v>
                </c:pt>
                <c:pt idx="675">
                  <c:v>100.69499999999999</c:v>
                </c:pt>
                <c:pt idx="676">
                  <c:v>97.864999999999995</c:v>
                </c:pt>
                <c:pt idx="677">
                  <c:v>96.097999999999999</c:v>
                </c:pt>
                <c:pt idx="678">
                  <c:v>99.558000000000007</c:v>
                </c:pt>
                <c:pt idx="679">
                  <c:v>88.094999999999999</c:v>
                </c:pt>
                <c:pt idx="680">
                  <c:v>90.435000000000002</c:v>
                </c:pt>
                <c:pt idx="681">
                  <c:v>96.194000000000003</c:v>
                </c:pt>
                <c:pt idx="682">
                  <c:v>94.152000000000001</c:v>
                </c:pt>
                <c:pt idx="683">
                  <c:v>91.313999999999993</c:v>
                </c:pt>
                <c:pt idx="684">
                  <c:v>93.370999999999995</c:v>
                </c:pt>
                <c:pt idx="685">
                  <c:v>88.581000000000003</c:v>
                </c:pt>
                <c:pt idx="686">
                  <c:v>88.147000000000006</c:v>
                </c:pt>
                <c:pt idx="687">
                  <c:v>94.05</c:v>
                </c:pt>
                <c:pt idx="688">
                  <c:v>85.674000000000007</c:v>
                </c:pt>
                <c:pt idx="689">
                  <c:v>93.935000000000002</c:v>
                </c:pt>
                <c:pt idx="690">
                  <c:v>93.081999999999994</c:v>
                </c:pt>
                <c:pt idx="691">
                  <c:v>92.344999999999999</c:v>
                </c:pt>
                <c:pt idx="692">
                  <c:v>90.938000000000002</c:v>
                </c:pt>
                <c:pt idx="693">
                  <c:v>93.79</c:v>
                </c:pt>
                <c:pt idx="694">
                  <c:v>93.79</c:v>
                </c:pt>
                <c:pt idx="695">
                  <c:v>93.228999999999999</c:v>
                </c:pt>
                <c:pt idx="696">
                  <c:v>93.13</c:v>
                </c:pt>
                <c:pt idx="697">
                  <c:v>88.885999999999996</c:v>
                </c:pt>
                <c:pt idx="698">
                  <c:v>83.893000000000001</c:v>
                </c:pt>
                <c:pt idx="699">
                  <c:v>89.043000000000006</c:v>
                </c:pt>
                <c:pt idx="700">
                  <c:v>88.983999999999995</c:v>
                </c:pt>
                <c:pt idx="701">
                  <c:v>88.613</c:v>
                </c:pt>
                <c:pt idx="702">
                  <c:v>88.57</c:v>
                </c:pt>
                <c:pt idx="703">
                  <c:v>79.608000000000004</c:v>
                </c:pt>
                <c:pt idx="704">
                  <c:v>82.772000000000006</c:v>
                </c:pt>
                <c:pt idx="705">
                  <c:v>78.085999999999999</c:v>
                </c:pt>
              </c:numCache>
            </c:numRef>
          </c:val>
          <c:smooth val="0"/>
          <c:extLst>
            <c:ext xmlns:c16="http://schemas.microsoft.com/office/drawing/2014/chart" uri="{C3380CC4-5D6E-409C-BE32-E72D297353CC}">
              <c16:uniqueId val="{00000004-6184-4726-8727-A5CE2BEB2AFE}"/>
            </c:ext>
          </c:extLst>
        </c:ser>
        <c:ser>
          <c:idx val="5"/>
          <c:order val="5"/>
          <c:tx>
            <c:strRef>
              <c:f>Sheet1!$G$1</c:f>
              <c:strCache>
                <c:ptCount val="1"/>
                <c:pt idx="0">
                  <c:v>Բելառուս (2023թ.)</c:v>
                </c:pt>
              </c:strCache>
            </c:strRef>
          </c:tx>
          <c:spPr>
            <a:ln w="28575" cap="rnd">
              <a:solidFill>
                <a:schemeClr val="accent3">
                  <a:lumMod val="50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Sheet1!$G$2:$G$707</c:f>
              <c:numCache>
                <c:formatCode>_(* #,##0_);_(* \(#,##0\);_(* "-"??_);_(@_)</c:formatCode>
                <c:ptCount val="706"/>
                <c:pt idx="0">
                  <c:v>370.46300000000002</c:v>
                </c:pt>
                <c:pt idx="1">
                  <c:v>369.64699999999999</c:v>
                </c:pt>
                <c:pt idx="2">
                  <c:v>381.21199999999999</c:v>
                </c:pt>
                <c:pt idx="3">
                  <c:v>368.18700000000001</c:v>
                </c:pt>
                <c:pt idx="4">
                  <c:v>360.75400000000002</c:v>
                </c:pt>
                <c:pt idx="5">
                  <c:v>365.59300000000002</c:v>
                </c:pt>
                <c:pt idx="6">
                  <c:v>364.14400000000001</c:v>
                </c:pt>
                <c:pt idx="7">
                  <c:v>362.86099999999999</c:v>
                </c:pt>
                <c:pt idx="8">
                  <c:v>366.005</c:v>
                </c:pt>
                <c:pt idx="9">
                  <c:v>373.10899999999998</c:v>
                </c:pt>
                <c:pt idx="10">
                  <c:v>360.85500000000002</c:v>
                </c:pt>
                <c:pt idx="11">
                  <c:v>340.11</c:v>
                </c:pt>
                <c:pt idx="12">
                  <c:v>331.31400000000002</c:v>
                </c:pt>
                <c:pt idx="13">
                  <c:v>295.685</c:v>
                </c:pt>
                <c:pt idx="14">
                  <c:v>289.416</c:v>
                </c:pt>
                <c:pt idx="15">
                  <c:v>303.08</c:v>
                </c:pt>
                <c:pt idx="16">
                  <c:v>302.185</c:v>
                </c:pt>
                <c:pt idx="17">
                  <c:v>301.988</c:v>
                </c:pt>
                <c:pt idx="18">
                  <c:v>304.12599999999998</c:v>
                </c:pt>
                <c:pt idx="19">
                  <c:v>314.03800000000001</c:v>
                </c:pt>
                <c:pt idx="20">
                  <c:v>330.81599999999997</c:v>
                </c:pt>
                <c:pt idx="21">
                  <c:v>333.78199999999998</c:v>
                </c:pt>
                <c:pt idx="22">
                  <c:v>339.351</c:v>
                </c:pt>
                <c:pt idx="23">
                  <c:v>330.45499999999998</c:v>
                </c:pt>
                <c:pt idx="24">
                  <c:v>333.83499999999998</c:v>
                </c:pt>
                <c:pt idx="25">
                  <c:v>332.05500000000001</c:v>
                </c:pt>
                <c:pt idx="26">
                  <c:v>339.43200000000002</c:v>
                </c:pt>
                <c:pt idx="27">
                  <c:v>352.55799999999999</c:v>
                </c:pt>
                <c:pt idx="28">
                  <c:v>355.52199999999999</c:v>
                </c:pt>
                <c:pt idx="29">
                  <c:v>356.07600000000002</c:v>
                </c:pt>
                <c:pt idx="30">
                  <c:v>353.673</c:v>
                </c:pt>
                <c:pt idx="31">
                  <c:v>328.88200000000001</c:v>
                </c:pt>
                <c:pt idx="32">
                  <c:v>327.29500000000002</c:v>
                </c:pt>
                <c:pt idx="33">
                  <c:v>325.19799999999998</c:v>
                </c:pt>
                <c:pt idx="34">
                  <c:v>323.53300000000002</c:v>
                </c:pt>
                <c:pt idx="35">
                  <c:v>335.14400000000001</c:v>
                </c:pt>
                <c:pt idx="36">
                  <c:v>333.67700000000002</c:v>
                </c:pt>
                <c:pt idx="37">
                  <c:v>330.673</c:v>
                </c:pt>
                <c:pt idx="38">
                  <c:v>334.32100000000003</c:v>
                </c:pt>
                <c:pt idx="39">
                  <c:v>314.41199999999998</c:v>
                </c:pt>
                <c:pt idx="40">
                  <c:v>320.17899999999997</c:v>
                </c:pt>
                <c:pt idx="41">
                  <c:v>313.39</c:v>
                </c:pt>
                <c:pt idx="42">
                  <c:v>302.322</c:v>
                </c:pt>
                <c:pt idx="43">
                  <c:v>301.745</c:v>
                </c:pt>
                <c:pt idx="44">
                  <c:v>304.089</c:v>
                </c:pt>
                <c:pt idx="45">
                  <c:v>311.59199999999998</c:v>
                </c:pt>
                <c:pt idx="46">
                  <c:v>316.14600000000002</c:v>
                </c:pt>
                <c:pt idx="47">
                  <c:v>319.339</c:v>
                </c:pt>
                <c:pt idx="48">
                  <c:v>322.96499999999997</c:v>
                </c:pt>
                <c:pt idx="49">
                  <c:v>322.017</c:v>
                </c:pt>
                <c:pt idx="50">
                  <c:v>320.86599999999999</c:v>
                </c:pt>
                <c:pt idx="51">
                  <c:v>309.19099999999997</c:v>
                </c:pt>
                <c:pt idx="52">
                  <c:v>304.04300000000001</c:v>
                </c:pt>
                <c:pt idx="53">
                  <c:v>307.952</c:v>
                </c:pt>
                <c:pt idx="54">
                  <c:v>301.99299999999999</c:v>
                </c:pt>
                <c:pt idx="55">
                  <c:v>302.17399999999998</c:v>
                </c:pt>
                <c:pt idx="56">
                  <c:v>309.97500000000002</c:v>
                </c:pt>
                <c:pt idx="57">
                  <c:v>291.15899999999999</c:v>
                </c:pt>
                <c:pt idx="58">
                  <c:v>306.762</c:v>
                </c:pt>
                <c:pt idx="59">
                  <c:v>321.096</c:v>
                </c:pt>
                <c:pt idx="60">
                  <c:v>315.70400000000001</c:v>
                </c:pt>
                <c:pt idx="61">
                  <c:v>318.274</c:v>
                </c:pt>
                <c:pt idx="62">
                  <c:v>319.83100000000002</c:v>
                </c:pt>
                <c:pt idx="63">
                  <c:v>310.17099999999999</c:v>
                </c:pt>
                <c:pt idx="64">
                  <c:v>302.82400000000001</c:v>
                </c:pt>
                <c:pt idx="65">
                  <c:v>293.91199999999998</c:v>
                </c:pt>
                <c:pt idx="66">
                  <c:v>290.779</c:v>
                </c:pt>
                <c:pt idx="67">
                  <c:v>286.512</c:v>
                </c:pt>
                <c:pt idx="68">
                  <c:v>285.005</c:v>
                </c:pt>
                <c:pt idx="69">
                  <c:v>282.404</c:v>
                </c:pt>
                <c:pt idx="70">
                  <c:v>284.08100000000002</c:v>
                </c:pt>
                <c:pt idx="71">
                  <c:v>285.791</c:v>
                </c:pt>
                <c:pt idx="72">
                  <c:v>286.70699999999999</c:v>
                </c:pt>
                <c:pt idx="73">
                  <c:v>282.74799999999999</c:v>
                </c:pt>
                <c:pt idx="74">
                  <c:v>280.779</c:v>
                </c:pt>
                <c:pt idx="75">
                  <c:v>278.28399999999999</c:v>
                </c:pt>
                <c:pt idx="76">
                  <c:v>290.92399999999998</c:v>
                </c:pt>
                <c:pt idx="77">
                  <c:v>296.49299999999999</c:v>
                </c:pt>
                <c:pt idx="78">
                  <c:v>296.49299999999999</c:v>
                </c:pt>
                <c:pt idx="79">
                  <c:v>296.49299999999999</c:v>
                </c:pt>
                <c:pt idx="80">
                  <c:v>290.14299999999997</c:v>
                </c:pt>
                <c:pt idx="81">
                  <c:v>306.52699999999999</c:v>
                </c:pt>
                <c:pt idx="82">
                  <c:v>308.77600000000001</c:v>
                </c:pt>
                <c:pt idx="83">
                  <c:v>317.42500000000001</c:v>
                </c:pt>
                <c:pt idx="84">
                  <c:v>319.80599999999998</c:v>
                </c:pt>
                <c:pt idx="85">
                  <c:v>311.04599999999999</c:v>
                </c:pt>
                <c:pt idx="86">
                  <c:v>307.79199999999997</c:v>
                </c:pt>
                <c:pt idx="87">
                  <c:v>300.70999999999998</c:v>
                </c:pt>
                <c:pt idx="88">
                  <c:v>302.72000000000003</c:v>
                </c:pt>
                <c:pt idx="89">
                  <c:v>302.72000000000003</c:v>
                </c:pt>
                <c:pt idx="90">
                  <c:v>311.59100000000001</c:v>
                </c:pt>
                <c:pt idx="91">
                  <c:v>312.858</c:v>
                </c:pt>
                <c:pt idx="92">
                  <c:v>314.43299999999999</c:v>
                </c:pt>
                <c:pt idx="93">
                  <c:v>318.27199999999999</c:v>
                </c:pt>
                <c:pt idx="94">
                  <c:v>328.541</c:v>
                </c:pt>
                <c:pt idx="95">
                  <c:v>330.03100000000001</c:v>
                </c:pt>
                <c:pt idx="96">
                  <c:v>334.38200000000001</c:v>
                </c:pt>
                <c:pt idx="97">
                  <c:v>320.58300000000003</c:v>
                </c:pt>
                <c:pt idx="98">
                  <c:v>322.33</c:v>
                </c:pt>
                <c:pt idx="99">
                  <c:v>315.24099999999999</c:v>
                </c:pt>
                <c:pt idx="100">
                  <c:v>311.774</c:v>
                </c:pt>
                <c:pt idx="101">
                  <c:v>314.91399999999999</c:v>
                </c:pt>
                <c:pt idx="102">
                  <c:v>322.197</c:v>
                </c:pt>
                <c:pt idx="103">
                  <c:v>323.25</c:v>
                </c:pt>
                <c:pt idx="104">
                  <c:v>323.25</c:v>
                </c:pt>
                <c:pt idx="105">
                  <c:v>321.75200000000001</c:v>
                </c:pt>
                <c:pt idx="106">
                  <c:v>329.041</c:v>
                </c:pt>
                <c:pt idx="107">
                  <c:v>330.62200000000001</c:v>
                </c:pt>
                <c:pt idx="108">
                  <c:v>353.536</c:v>
                </c:pt>
                <c:pt idx="109">
                  <c:v>368.39499999999998</c:v>
                </c:pt>
                <c:pt idx="110">
                  <c:v>361.57400000000001</c:v>
                </c:pt>
                <c:pt idx="111">
                  <c:v>352.95600000000002</c:v>
                </c:pt>
                <c:pt idx="112">
                  <c:v>343.31200000000001</c:v>
                </c:pt>
                <c:pt idx="113">
                  <c:v>339.64400000000001</c:v>
                </c:pt>
                <c:pt idx="114">
                  <c:v>332.61200000000002</c:v>
                </c:pt>
                <c:pt idx="115">
                  <c:v>334.88200000000001</c:v>
                </c:pt>
                <c:pt idx="116">
                  <c:v>339.62</c:v>
                </c:pt>
                <c:pt idx="117">
                  <c:v>359.76400000000001</c:v>
                </c:pt>
                <c:pt idx="118">
                  <c:v>356.35300000000001</c:v>
                </c:pt>
                <c:pt idx="119">
                  <c:v>344.7</c:v>
                </c:pt>
                <c:pt idx="120">
                  <c:v>336.41699999999997</c:v>
                </c:pt>
                <c:pt idx="121">
                  <c:v>326.46600000000001</c:v>
                </c:pt>
                <c:pt idx="122">
                  <c:v>318.64699999999999</c:v>
                </c:pt>
                <c:pt idx="123">
                  <c:v>301.06900000000002</c:v>
                </c:pt>
                <c:pt idx="124">
                  <c:v>301.72300000000001</c:v>
                </c:pt>
                <c:pt idx="125">
                  <c:v>306.14299999999997</c:v>
                </c:pt>
                <c:pt idx="126">
                  <c:v>298.74200000000002</c:v>
                </c:pt>
                <c:pt idx="127">
                  <c:v>290.18099999999998</c:v>
                </c:pt>
                <c:pt idx="128">
                  <c:v>279.10300000000001</c:v>
                </c:pt>
                <c:pt idx="129">
                  <c:v>256.65300000000002</c:v>
                </c:pt>
                <c:pt idx="130">
                  <c:v>267.05900000000003</c:v>
                </c:pt>
                <c:pt idx="131">
                  <c:v>280.39600000000002</c:v>
                </c:pt>
                <c:pt idx="132">
                  <c:v>284.17200000000003</c:v>
                </c:pt>
                <c:pt idx="133">
                  <c:v>278.10899999999998</c:v>
                </c:pt>
                <c:pt idx="134">
                  <c:v>300.46100000000001</c:v>
                </c:pt>
                <c:pt idx="135">
                  <c:v>311.774</c:v>
                </c:pt>
                <c:pt idx="136">
                  <c:v>320.77499999999998</c:v>
                </c:pt>
                <c:pt idx="137">
                  <c:v>310.36099999999999</c:v>
                </c:pt>
                <c:pt idx="138">
                  <c:v>306.29599999999999</c:v>
                </c:pt>
                <c:pt idx="139">
                  <c:v>295.947</c:v>
                </c:pt>
                <c:pt idx="140">
                  <c:v>295.52</c:v>
                </c:pt>
                <c:pt idx="141">
                  <c:v>298.17200000000003</c:v>
                </c:pt>
                <c:pt idx="142">
                  <c:v>294.76</c:v>
                </c:pt>
                <c:pt idx="143">
                  <c:v>294.06099999999998</c:v>
                </c:pt>
                <c:pt idx="144">
                  <c:v>292.25900000000001</c:v>
                </c:pt>
                <c:pt idx="145">
                  <c:v>288.56400000000002</c:v>
                </c:pt>
                <c:pt idx="146">
                  <c:v>287.08600000000001</c:v>
                </c:pt>
                <c:pt idx="147">
                  <c:v>287.98399999999998</c:v>
                </c:pt>
                <c:pt idx="148">
                  <c:v>286.79599999999999</c:v>
                </c:pt>
                <c:pt idx="149">
                  <c:v>289.47000000000003</c:v>
                </c:pt>
                <c:pt idx="150">
                  <c:v>298.84399999999999</c:v>
                </c:pt>
                <c:pt idx="151">
                  <c:v>296.84100000000001</c:v>
                </c:pt>
                <c:pt idx="152">
                  <c:v>311.81700000000001</c:v>
                </c:pt>
                <c:pt idx="153">
                  <c:v>316.27199999999999</c:v>
                </c:pt>
                <c:pt idx="154">
                  <c:v>348.87799999999999</c:v>
                </c:pt>
                <c:pt idx="155">
                  <c:v>344.39600000000002</c:v>
                </c:pt>
                <c:pt idx="156">
                  <c:v>346.12799999999999</c:v>
                </c:pt>
                <c:pt idx="157">
                  <c:v>340.15300000000002</c:v>
                </c:pt>
                <c:pt idx="158">
                  <c:v>327.44799999999998</c:v>
                </c:pt>
                <c:pt idx="159">
                  <c:v>337.33100000000002</c:v>
                </c:pt>
                <c:pt idx="160">
                  <c:v>334.23899999999998</c:v>
                </c:pt>
                <c:pt idx="161">
                  <c:v>351.04899999999998</c:v>
                </c:pt>
                <c:pt idx="162">
                  <c:v>366.03300000000002</c:v>
                </c:pt>
                <c:pt idx="163">
                  <c:v>362.72300000000001</c:v>
                </c:pt>
                <c:pt idx="164">
                  <c:v>359.64100000000002</c:v>
                </c:pt>
                <c:pt idx="165">
                  <c:v>362.947</c:v>
                </c:pt>
                <c:pt idx="166">
                  <c:v>356.084</c:v>
                </c:pt>
                <c:pt idx="167">
                  <c:v>346.71699999999998</c:v>
                </c:pt>
                <c:pt idx="168">
                  <c:v>355.858</c:v>
                </c:pt>
                <c:pt idx="169">
                  <c:v>355.858</c:v>
                </c:pt>
                <c:pt idx="170">
                  <c:v>359.065</c:v>
                </c:pt>
                <c:pt idx="171">
                  <c:v>355.47399999999999</c:v>
                </c:pt>
                <c:pt idx="172">
                  <c:v>334.459</c:v>
                </c:pt>
                <c:pt idx="173">
                  <c:v>316.74799999999999</c:v>
                </c:pt>
                <c:pt idx="174">
                  <c:v>308.50700000000001</c:v>
                </c:pt>
                <c:pt idx="175">
                  <c:v>316.589</c:v>
                </c:pt>
                <c:pt idx="176">
                  <c:v>319.29300000000001</c:v>
                </c:pt>
                <c:pt idx="177">
                  <c:v>302.96600000000001</c:v>
                </c:pt>
                <c:pt idx="178">
                  <c:v>309.58100000000002</c:v>
                </c:pt>
                <c:pt idx="179">
                  <c:v>308.505</c:v>
                </c:pt>
                <c:pt idx="180">
                  <c:v>307.41699999999997</c:v>
                </c:pt>
                <c:pt idx="181">
                  <c:v>313.92500000000001</c:v>
                </c:pt>
                <c:pt idx="182">
                  <c:v>306.34300000000002</c:v>
                </c:pt>
                <c:pt idx="183">
                  <c:v>301.70100000000002</c:v>
                </c:pt>
                <c:pt idx="184">
                  <c:v>309.52699999999999</c:v>
                </c:pt>
                <c:pt idx="185">
                  <c:v>311.51</c:v>
                </c:pt>
                <c:pt idx="186">
                  <c:v>309.464</c:v>
                </c:pt>
                <c:pt idx="187">
                  <c:v>299.21100000000001</c:v>
                </c:pt>
                <c:pt idx="188">
                  <c:v>284.93299999999999</c:v>
                </c:pt>
                <c:pt idx="189">
                  <c:v>286.452</c:v>
                </c:pt>
                <c:pt idx="190">
                  <c:v>293.98599999999999</c:v>
                </c:pt>
                <c:pt idx="191">
                  <c:v>296.60899999999998</c:v>
                </c:pt>
                <c:pt idx="192">
                  <c:v>299.68700000000001</c:v>
                </c:pt>
                <c:pt idx="193">
                  <c:v>300.38799999999998</c:v>
                </c:pt>
                <c:pt idx="194">
                  <c:v>305.90100000000001</c:v>
                </c:pt>
                <c:pt idx="195">
                  <c:v>319.49400000000003</c:v>
                </c:pt>
                <c:pt idx="196">
                  <c:v>323.66000000000003</c:v>
                </c:pt>
                <c:pt idx="197">
                  <c:v>332.22399999999999</c:v>
                </c:pt>
                <c:pt idx="198">
                  <c:v>325.72399999999999</c:v>
                </c:pt>
                <c:pt idx="199">
                  <c:v>319.702</c:v>
                </c:pt>
                <c:pt idx="200">
                  <c:v>323.899</c:v>
                </c:pt>
                <c:pt idx="201">
                  <c:v>321.12200000000001</c:v>
                </c:pt>
                <c:pt idx="202">
                  <c:v>308.608</c:v>
                </c:pt>
                <c:pt idx="203">
                  <c:v>297.13600000000002</c:v>
                </c:pt>
                <c:pt idx="204">
                  <c:v>300.64800000000002</c:v>
                </c:pt>
                <c:pt idx="205">
                  <c:v>291.89</c:v>
                </c:pt>
                <c:pt idx="206">
                  <c:v>294.05099999999999</c:v>
                </c:pt>
                <c:pt idx="207">
                  <c:v>287.39699999999999</c:v>
                </c:pt>
                <c:pt idx="208">
                  <c:v>285.17700000000002</c:v>
                </c:pt>
                <c:pt idx="209">
                  <c:v>283.00599999999997</c:v>
                </c:pt>
                <c:pt idx="210">
                  <c:v>284.59399999999999</c:v>
                </c:pt>
                <c:pt idx="211">
                  <c:v>284.89600000000002</c:v>
                </c:pt>
                <c:pt idx="212">
                  <c:v>281.64600000000002</c:v>
                </c:pt>
                <c:pt idx="213">
                  <c:v>279.47800000000001</c:v>
                </c:pt>
                <c:pt idx="214">
                  <c:v>274.92399999999998</c:v>
                </c:pt>
                <c:pt idx="215">
                  <c:v>275.565</c:v>
                </c:pt>
                <c:pt idx="216">
                  <c:v>278.39999999999998</c:v>
                </c:pt>
                <c:pt idx="217">
                  <c:v>285.83699999999999</c:v>
                </c:pt>
                <c:pt idx="218">
                  <c:v>276.97300000000001</c:v>
                </c:pt>
                <c:pt idx="219">
                  <c:v>266.66399999999999</c:v>
                </c:pt>
                <c:pt idx="220">
                  <c:v>263.32</c:v>
                </c:pt>
                <c:pt idx="221">
                  <c:v>267.08499999999998</c:v>
                </c:pt>
                <c:pt idx="222">
                  <c:v>257.029</c:v>
                </c:pt>
                <c:pt idx="223">
                  <c:v>274.88</c:v>
                </c:pt>
                <c:pt idx="224">
                  <c:v>273.17899999999997</c:v>
                </c:pt>
                <c:pt idx="225">
                  <c:v>289.64400000000001</c:v>
                </c:pt>
                <c:pt idx="226">
                  <c:v>299.21499999999997</c:v>
                </c:pt>
                <c:pt idx="227">
                  <c:v>297.86099999999999</c:v>
                </c:pt>
                <c:pt idx="228">
                  <c:v>293.23</c:v>
                </c:pt>
                <c:pt idx="229">
                  <c:v>296.02499999999998</c:v>
                </c:pt>
                <c:pt idx="230">
                  <c:v>298.447</c:v>
                </c:pt>
                <c:pt idx="231">
                  <c:v>300.803</c:v>
                </c:pt>
                <c:pt idx="232">
                  <c:v>297.29300000000001</c:v>
                </c:pt>
                <c:pt idx="233">
                  <c:v>293.73700000000002</c:v>
                </c:pt>
                <c:pt idx="234">
                  <c:v>293.18799999999999</c:v>
                </c:pt>
                <c:pt idx="235">
                  <c:v>294.774</c:v>
                </c:pt>
                <c:pt idx="236">
                  <c:v>293.06400000000002</c:v>
                </c:pt>
                <c:pt idx="237">
                  <c:v>293.54500000000002</c:v>
                </c:pt>
                <c:pt idx="238">
                  <c:v>293.63099999999997</c:v>
                </c:pt>
                <c:pt idx="239">
                  <c:v>301.16899999999998</c:v>
                </c:pt>
                <c:pt idx="240">
                  <c:v>312.09500000000003</c:v>
                </c:pt>
                <c:pt idx="241">
                  <c:v>307.762</c:v>
                </c:pt>
                <c:pt idx="242">
                  <c:v>308.92599999999999</c:v>
                </c:pt>
                <c:pt idx="243">
                  <c:v>307.87299999999999</c:v>
                </c:pt>
                <c:pt idx="244">
                  <c:v>307.61399999999998</c:v>
                </c:pt>
                <c:pt idx="245">
                  <c:v>304.06400000000002</c:v>
                </c:pt>
                <c:pt idx="246">
                  <c:v>306.31799999999998</c:v>
                </c:pt>
                <c:pt idx="247">
                  <c:v>284.62700000000001</c:v>
                </c:pt>
                <c:pt idx="248">
                  <c:v>289.24299999999999</c:v>
                </c:pt>
                <c:pt idx="249">
                  <c:v>286.90899999999999</c:v>
                </c:pt>
                <c:pt idx="250">
                  <c:v>290.50400000000002</c:v>
                </c:pt>
                <c:pt idx="251">
                  <c:v>282.553</c:v>
                </c:pt>
                <c:pt idx="252">
                  <c:v>283.56200000000001</c:v>
                </c:pt>
                <c:pt idx="253">
                  <c:v>279.09399999999999</c:v>
                </c:pt>
                <c:pt idx="254">
                  <c:v>274.73399999999998</c:v>
                </c:pt>
                <c:pt idx="255">
                  <c:v>278.31900000000002</c:v>
                </c:pt>
                <c:pt idx="256">
                  <c:v>278.31900000000002</c:v>
                </c:pt>
                <c:pt idx="257">
                  <c:v>278.31900000000002</c:v>
                </c:pt>
                <c:pt idx="258">
                  <c:v>279.65899999999999</c:v>
                </c:pt>
                <c:pt idx="259">
                  <c:v>282.71699999999998</c:v>
                </c:pt>
                <c:pt idx="260">
                  <c:v>279.47399999999999</c:v>
                </c:pt>
                <c:pt idx="261">
                  <c:v>279.47399999999999</c:v>
                </c:pt>
                <c:pt idx="262">
                  <c:v>278.92200000000003</c:v>
                </c:pt>
                <c:pt idx="263">
                  <c:v>285.50299999999999</c:v>
                </c:pt>
                <c:pt idx="264">
                  <c:v>277.69299999999998</c:v>
                </c:pt>
                <c:pt idx="265">
                  <c:v>278.21600000000001</c:v>
                </c:pt>
                <c:pt idx="266">
                  <c:v>268.66899999999998</c:v>
                </c:pt>
                <c:pt idx="267">
                  <c:v>268.38400000000001</c:v>
                </c:pt>
                <c:pt idx="268">
                  <c:v>253.37700000000001</c:v>
                </c:pt>
                <c:pt idx="269">
                  <c:v>243.458</c:v>
                </c:pt>
                <c:pt idx="270">
                  <c:v>237.02500000000001</c:v>
                </c:pt>
                <c:pt idx="271">
                  <c:v>238.94499999999999</c:v>
                </c:pt>
                <c:pt idx="272">
                  <c:v>234.01499999999999</c:v>
                </c:pt>
                <c:pt idx="273">
                  <c:v>233.565</c:v>
                </c:pt>
                <c:pt idx="274">
                  <c:v>233.02</c:v>
                </c:pt>
                <c:pt idx="275">
                  <c:v>237.321</c:v>
                </c:pt>
                <c:pt idx="276">
                  <c:v>237.04900000000001</c:v>
                </c:pt>
                <c:pt idx="277">
                  <c:v>249.761</c:v>
                </c:pt>
                <c:pt idx="278">
                  <c:v>255.09</c:v>
                </c:pt>
                <c:pt idx="279">
                  <c:v>267.351</c:v>
                </c:pt>
                <c:pt idx="280">
                  <c:v>258.62700000000001</c:v>
                </c:pt>
                <c:pt idx="281">
                  <c:v>263.447</c:v>
                </c:pt>
                <c:pt idx="282">
                  <c:v>264.30599999999998</c:v>
                </c:pt>
                <c:pt idx="283">
                  <c:v>271.15499999999997</c:v>
                </c:pt>
                <c:pt idx="284">
                  <c:v>280.88400000000001</c:v>
                </c:pt>
                <c:pt idx="285">
                  <c:v>269.34100000000001</c:v>
                </c:pt>
                <c:pt idx="286">
                  <c:v>267.08</c:v>
                </c:pt>
                <c:pt idx="287">
                  <c:v>263.60300000000001</c:v>
                </c:pt>
                <c:pt idx="288">
                  <c:v>267.58600000000001</c:v>
                </c:pt>
                <c:pt idx="289">
                  <c:v>269.60300000000001</c:v>
                </c:pt>
                <c:pt idx="290">
                  <c:v>265.38400000000001</c:v>
                </c:pt>
                <c:pt idx="291">
                  <c:v>262.435</c:v>
                </c:pt>
                <c:pt idx="292">
                  <c:v>260.27800000000002</c:v>
                </c:pt>
                <c:pt idx="293">
                  <c:v>252.32900000000001</c:v>
                </c:pt>
                <c:pt idx="294">
                  <c:v>249.41200000000001</c:v>
                </c:pt>
                <c:pt idx="295">
                  <c:v>254.24100000000001</c:v>
                </c:pt>
                <c:pt idx="296">
                  <c:v>248.47399999999999</c:v>
                </c:pt>
                <c:pt idx="297">
                  <c:v>245.203</c:v>
                </c:pt>
                <c:pt idx="298">
                  <c:v>236.78200000000001</c:v>
                </c:pt>
                <c:pt idx="299">
                  <c:v>249.79599999999999</c:v>
                </c:pt>
                <c:pt idx="300">
                  <c:v>260.58600000000001</c:v>
                </c:pt>
                <c:pt idx="301">
                  <c:v>262.74799999999999</c:v>
                </c:pt>
                <c:pt idx="302">
                  <c:v>290.154</c:v>
                </c:pt>
                <c:pt idx="303">
                  <c:v>334.44299999999998</c:v>
                </c:pt>
                <c:pt idx="304">
                  <c:v>337.52800000000002</c:v>
                </c:pt>
                <c:pt idx="305">
                  <c:v>334.471</c:v>
                </c:pt>
                <c:pt idx="306">
                  <c:v>328.16500000000002</c:v>
                </c:pt>
                <c:pt idx="307">
                  <c:v>335.44900000000001</c:v>
                </c:pt>
                <c:pt idx="308">
                  <c:v>353.86700000000002</c:v>
                </c:pt>
                <c:pt idx="309">
                  <c:v>503.76900000000001</c:v>
                </c:pt>
                <c:pt idx="310">
                  <c:v>488.94200000000001</c:v>
                </c:pt>
                <c:pt idx="311">
                  <c:v>517.38300000000004</c:v>
                </c:pt>
                <c:pt idx="312">
                  <c:v>627.99199999999996</c:v>
                </c:pt>
                <c:pt idx="313">
                  <c:v>608.91800000000001</c:v>
                </c:pt>
                <c:pt idx="314">
                  <c:v>690.76300000000003</c:v>
                </c:pt>
                <c:pt idx="315">
                  <c:v>693.06200000000001</c:v>
                </c:pt>
                <c:pt idx="316">
                  <c:v>757.08699999999999</c:v>
                </c:pt>
                <c:pt idx="317">
                  <c:v>798.34100000000001</c:v>
                </c:pt>
                <c:pt idx="318">
                  <c:v>799.21900000000005</c:v>
                </c:pt>
                <c:pt idx="319">
                  <c:v>862.75900000000001</c:v>
                </c:pt>
                <c:pt idx="320">
                  <c:v>847.79200000000003</c:v>
                </c:pt>
                <c:pt idx="321">
                  <c:v>814.67</c:v>
                </c:pt>
                <c:pt idx="322">
                  <c:v>718.68</c:v>
                </c:pt>
                <c:pt idx="323">
                  <c:v>708.51199999999994</c:v>
                </c:pt>
                <c:pt idx="324">
                  <c:v>722.25699999999995</c:v>
                </c:pt>
                <c:pt idx="325">
                  <c:v>725.00900000000001</c:v>
                </c:pt>
                <c:pt idx="326">
                  <c:v>725.32299999999998</c:v>
                </c:pt>
                <c:pt idx="327">
                  <c:v>705.072</c:v>
                </c:pt>
                <c:pt idx="328">
                  <c:v>671.43200000000002</c:v>
                </c:pt>
                <c:pt idx="329">
                  <c:v>629.42499999999995</c:v>
                </c:pt>
                <c:pt idx="330">
                  <c:v>622.947</c:v>
                </c:pt>
                <c:pt idx="331">
                  <c:v>655.18499999999995</c:v>
                </c:pt>
                <c:pt idx="332">
                  <c:v>653.95799999999997</c:v>
                </c:pt>
                <c:pt idx="333">
                  <c:v>653.95799999999997</c:v>
                </c:pt>
                <c:pt idx="334">
                  <c:v>653.95799999999997</c:v>
                </c:pt>
                <c:pt idx="335">
                  <c:v>655.87199999999996</c:v>
                </c:pt>
                <c:pt idx="336">
                  <c:v>672.77</c:v>
                </c:pt>
                <c:pt idx="337">
                  <c:v>686.43600000000004</c:v>
                </c:pt>
                <c:pt idx="338">
                  <c:v>682.20899999999995</c:v>
                </c:pt>
                <c:pt idx="339">
                  <c:v>672.45299999999997</c:v>
                </c:pt>
                <c:pt idx="340">
                  <c:v>710.35500000000002</c:v>
                </c:pt>
                <c:pt idx="341">
                  <c:v>727.15099999999995</c:v>
                </c:pt>
                <c:pt idx="342">
                  <c:v>714.245</c:v>
                </c:pt>
                <c:pt idx="343">
                  <c:v>728.53</c:v>
                </c:pt>
                <c:pt idx="344">
                  <c:v>729.07</c:v>
                </c:pt>
                <c:pt idx="345">
                  <c:v>751.745</c:v>
                </c:pt>
                <c:pt idx="346">
                  <c:v>755.37099999999998</c:v>
                </c:pt>
                <c:pt idx="347">
                  <c:v>734.74099999999999</c:v>
                </c:pt>
                <c:pt idx="348">
                  <c:v>734.56600000000003</c:v>
                </c:pt>
                <c:pt idx="349">
                  <c:v>735.31399999999996</c:v>
                </c:pt>
                <c:pt idx="350">
                  <c:v>721.15599999999995</c:v>
                </c:pt>
                <c:pt idx="351">
                  <c:v>697.16399999999999</c:v>
                </c:pt>
                <c:pt idx="352">
                  <c:v>695.471</c:v>
                </c:pt>
                <c:pt idx="353">
                  <c:v>695.471</c:v>
                </c:pt>
                <c:pt idx="354">
                  <c:v>676.01</c:v>
                </c:pt>
                <c:pt idx="355">
                  <c:v>659.39099999999996</c:v>
                </c:pt>
                <c:pt idx="356">
                  <c:v>625.07899999999995</c:v>
                </c:pt>
                <c:pt idx="357">
                  <c:v>635.10599999999999</c:v>
                </c:pt>
                <c:pt idx="358">
                  <c:v>612.30399999999997</c:v>
                </c:pt>
                <c:pt idx="359">
                  <c:v>572.53099999999995</c:v>
                </c:pt>
                <c:pt idx="360">
                  <c:v>541.76900000000001</c:v>
                </c:pt>
                <c:pt idx="361">
                  <c:v>523.04600000000005</c:v>
                </c:pt>
                <c:pt idx="362">
                  <c:v>521.74900000000002</c:v>
                </c:pt>
                <c:pt idx="363">
                  <c:v>519.80499999999995</c:v>
                </c:pt>
                <c:pt idx="364">
                  <c:v>519.80499999999995</c:v>
                </c:pt>
                <c:pt idx="365">
                  <c:v>492.85399999999998</c:v>
                </c:pt>
                <c:pt idx="366">
                  <c:v>498.47800000000001</c:v>
                </c:pt>
                <c:pt idx="367">
                  <c:v>498.38799999999998</c:v>
                </c:pt>
                <c:pt idx="368">
                  <c:v>503.67200000000003</c:v>
                </c:pt>
                <c:pt idx="369">
                  <c:v>495.036</c:v>
                </c:pt>
                <c:pt idx="370">
                  <c:v>490.14400000000001</c:v>
                </c:pt>
                <c:pt idx="371">
                  <c:v>493.22500000000002</c:v>
                </c:pt>
                <c:pt idx="372">
                  <c:v>491.83199999999999</c:v>
                </c:pt>
                <c:pt idx="373">
                  <c:v>485.97500000000002</c:v>
                </c:pt>
                <c:pt idx="374">
                  <c:v>495.06</c:v>
                </c:pt>
                <c:pt idx="375">
                  <c:v>494.86900000000003</c:v>
                </c:pt>
                <c:pt idx="376">
                  <c:v>483.262</c:v>
                </c:pt>
                <c:pt idx="377">
                  <c:v>517.65899999999999</c:v>
                </c:pt>
                <c:pt idx="378">
                  <c:v>521.49599999999998</c:v>
                </c:pt>
                <c:pt idx="379">
                  <c:v>548.37199999999996</c:v>
                </c:pt>
                <c:pt idx="380">
                  <c:v>561.39599999999996</c:v>
                </c:pt>
                <c:pt idx="381">
                  <c:v>556.40200000000004</c:v>
                </c:pt>
                <c:pt idx="382">
                  <c:v>551.58799999999997</c:v>
                </c:pt>
                <c:pt idx="383">
                  <c:v>550.197</c:v>
                </c:pt>
                <c:pt idx="384">
                  <c:v>561.63199999999995</c:v>
                </c:pt>
                <c:pt idx="385">
                  <c:v>577.10500000000002</c:v>
                </c:pt>
                <c:pt idx="386">
                  <c:v>592.70600000000002</c:v>
                </c:pt>
                <c:pt idx="387">
                  <c:v>658.99800000000005</c:v>
                </c:pt>
                <c:pt idx="388">
                  <c:v>651.28300000000002</c:v>
                </c:pt>
                <c:pt idx="389">
                  <c:v>645.29</c:v>
                </c:pt>
                <c:pt idx="390">
                  <c:v>643.96600000000001</c:v>
                </c:pt>
                <c:pt idx="391">
                  <c:v>635.33500000000004</c:v>
                </c:pt>
                <c:pt idx="392">
                  <c:v>619.29899999999998</c:v>
                </c:pt>
                <c:pt idx="393">
                  <c:v>613.54</c:v>
                </c:pt>
                <c:pt idx="394">
                  <c:v>611.49800000000005</c:v>
                </c:pt>
                <c:pt idx="395">
                  <c:v>622.21400000000006</c:v>
                </c:pt>
                <c:pt idx="396">
                  <c:v>616.82500000000005</c:v>
                </c:pt>
                <c:pt idx="397">
                  <c:v>620.53800000000001</c:v>
                </c:pt>
                <c:pt idx="398">
                  <c:v>627.13499999999999</c:v>
                </c:pt>
                <c:pt idx="399">
                  <c:v>642.63099999999997</c:v>
                </c:pt>
                <c:pt idx="400">
                  <c:v>664.21400000000006</c:v>
                </c:pt>
                <c:pt idx="401">
                  <c:v>678.20299999999997</c:v>
                </c:pt>
                <c:pt idx="402">
                  <c:v>672.57899999999995</c:v>
                </c:pt>
                <c:pt idx="403">
                  <c:v>664.22500000000002</c:v>
                </c:pt>
                <c:pt idx="404">
                  <c:v>661.83399999999995</c:v>
                </c:pt>
                <c:pt idx="405">
                  <c:v>660.93100000000004</c:v>
                </c:pt>
                <c:pt idx="406">
                  <c:v>665.10599999999999</c:v>
                </c:pt>
                <c:pt idx="407">
                  <c:v>658.00099999999998</c:v>
                </c:pt>
                <c:pt idx="408">
                  <c:v>660.553</c:v>
                </c:pt>
                <c:pt idx="409">
                  <c:v>656.18799999999999</c:v>
                </c:pt>
                <c:pt idx="410">
                  <c:v>646.49400000000003</c:v>
                </c:pt>
                <c:pt idx="411">
                  <c:v>628.59299999999996</c:v>
                </c:pt>
                <c:pt idx="412">
                  <c:v>630.89400000000001</c:v>
                </c:pt>
                <c:pt idx="413">
                  <c:v>602.803</c:v>
                </c:pt>
                <c:pt idx="414">
                  <c:v>587.48699999999997</c:v>
                </c:pt>
                <c:pt idx="415">
                  <c:v>581.18100000000004</c:v>
                </c:pt>
                <c:pt idx="416">
                  <c:v>567.59699999999998</c:v>
                </c:pt>
                <c:pt idx="417">
                  <c:v>576.74199999999996</c:v>
                </c:pt>
                <c:pt idx="418">
                  <c:v>588.16999999999996</c:v>
                </c:pt>
                <c:pt idx="419">
                  <c:v>620.99300000000005</c:v>
                </c:pt>
                <c:pt idx="420">
                  <c:v>646.28</c:v>
                </c:pt>
                <c:pt idx="421">
                  <c:v>648.06200000000001</c:v>
                </c:pt>
                <c:pt idx="422">
                  <c:v>738.89</c:v>
                </c:pt>
                <c:pt idx="423">
                  <c:v>854.16099999999994</c:v>
                </c:pt>
                <c:pt idx="424">
                  <c:v>956.63900000000001</c:v>
                </c:pt>
                <c:pt idx="425">
                  <c:v>856.83799999999997</c:v>
                </c:pt>
                <c:pt idx="426">
                  <c:v>824.49699999999996</c:v>
                </c:pt>
                <c:pt idx="427">
                  <c:v>777.42899999999997</c:v>
                </c:pt>
                <c:pt idx="428">
                  <c:v>778.12800000000004</c:v>
                </c:pt>
                <c:pt idx="429">
                  <c:v>811.49400000000003</c:v>
                </c:pt>
                <c:pt idx="430">
                  <c:v>815.029</c:v>
                </c:pt>
                <c:pt idx="431">
                  <c:v>786.74800000000005</c:v>
                </c:pt>
                <c:pt idx="432">
                  <c:v>710.92399999999998</c:v>
                </c:pt>
                <c:pt idx="433">
                  <c:v>713.19500000000005</c:v>
                </c:pt>
                <c:pt idx="434">
                  <c:v>713.19500000000005</c:v>
                </c:pt>
                <c:pt idx="435">
                  <c:v>660.13199999999995</c:v>
                </c:pt>
                <c:pt idx="436">
                  <c:v>648.81700000000001</c:v>
                </c:pt>
                <c:pt idx="437">
                  <c:v>652.67399999999998</c:v>
                </c:pt>
                <c:pt idx="438">
                  <c:v>642.43700000000001</c:v>
                </c:pt>
                <c:pt idx="439">
                  <c:v>646.50400000000002</c:v>
                </c:pt>
                <c:pt idx="440">
                  <c:v>705.03200000000004</c:v>
                </c:pt>
                <c:pt idx="441">
                  <c:v>698.32299999999998</c:v>
                </c:pt>
                <c:pt idx="442">
                  <c:v>701.00900000000001</c:v>
                </c:pt>
                <c:pt idx="443">
                  <c:v>728.99900000000002</c:v>
                </c:pt>
                <c:pt idx="444">
                  <c:v>689.38400000000001</c:v>
                </c:pt>
                <c:pt idx="445">
                  <c:v>677.29300000000001</c:v>
                </c:pt>
                <c:pt idx="446">
                  <c:v>678.529</c:v>
                </c:pt>
                <c:pt idx="447">
                  <c:v>695.55499999999995</c:v>
                </c:pt>
                <c:pt idx="448">
                  <c:v>675.971</c:v>
                </c:pt>
                <c:pt idx="449">
                  <c:v>745.47900000000004</c:v>
                </c:pt>
                <c:pt idx="450">
                  <c:v>735.851</c:v>
                </c:pt>
                <c:pt idx="451">
                  <c:v>761.22699999999998</c:v>
                </c:pt>
                <c:pt idx="452">
                  <c:v>795.73099999999999</c:v>
                </c:pt>
                <c:pt idx="453">
                  <c:v>798.125</c:v>
                </c:pt>
                <c:pt idx="454">
                  <c:v>783.72500000000002</c:v>
                </c:pt>
                <c:pt idx="455">
                  <c:v>785.11199999999997</c:v>
                </c:pt>
                <c:pt idx="456">
                  <c:v>777.33900000000006</c:v>
                </c:pt>
                <c:pt idx="457">
                  <c:v>761.87</c:v>
                </c:pt>
                <c:pt idx="458">
                  <c:v>768.56299999999999</c:v>
                </c:pt>
                <c:pt idx="459">
                  <c:v>734.43399999999997</c:v>
                </c:pt>
                <c:pt idx="460">
                  <c:v>708.548</c:v>
                </c:pt>
                <c:pt idx="461">
                  <c:v>706.35699999999997</c:v>
                </c:pt>
                <c:pt idx="462">
                  <c:v>678.12400000000002</c:v>
                </c:pt>
                <c:pt idx="463">
                  <c:v>679.30799999999999</c:v>
                </c:pt>
                <c:pt idx="464">
                  <c:v>671.59900000000005</c:v>
                </c:pt>
                <c:pt idx="465">
                  <c:v>697.09500000000003</c:v>
                </c:pt>
                <c:pt idx="466">
                  <c:v>736.54399999999998</c:v>
                </c:pt>
                <c:pt idx="467">
                  <c:v>775.02599999999995</c:v>
                </c:pt>
                <c:pt idx="468">
                  <c:v>760</c:v>
                </c:pt>
                <c:pt idx="469">
                  <c:v>747.69799999999998</c:v>
                </c:pt>
                <c:pt idx="470">
                  <c:v>741.70600000000002</c:v>
                </c:pt>
                <c:pt idx="471">
                  <c:v>725.98199999999997</c:v>
                </c:pt>
                <c:pt idx="472">
                  <c:v>743.53300000000002</c:v>
                </c:pt>
                <c:pt idx="473">
                  <c:v>709.39700000000005</c:v>
                </c:pt>
                <c:pt idx="474">
                  <c:v>720.21299999999997</c:v>
                </c:pt>
                <c:pt idx="475">
                  <c:v>707.697</c:v>
                </c:pt>
                <c:pt idx="476">
                  <c:v>702.85400000000004</c:v>
                </c:pt>
                <c:pt idx="477">
                  <c:v>696.93200000000002</c:v>
                </c:pt>
                <c:pt idx="478">
                  <c:v>711.75699999999995</c:v>
                </c:pt>
                <c:pt idx="479">
                  <c:v>725.08299999999997</c:v>
                </c:pt>
                <c:pt idx="480">
                  <c:v>707.86300000000006</c:v>
                </c:pt>
                <c:pt idx="481">
                  <c:v>679.72900000000004</c:v>
                </c:pt>
                <c:pt idx="482">
                  <c:v>652.84299999999996</c:v>
                </c:pt>
                <c:pt idx="483">
                  <c:v>652.12199999999996</c:v>
                </c:pt>
                <c:pt idx="484">
                  <c:v>614.15</c:v>
                </c:pt>
                <c:pt idx="485">
                  <c:v>612.375</c:v>
                </c:pt>
                <c:pt idx="486">
                  <c:v>594.36699999999996</c:v>
                </c:pt>
                <c:pt idx="487">
                  <c:v>592.77599999999995</c:v>
                </c:pt>
                <c:pt idx="488">
                  <c:v>589.50199999999995</c:v>
                </c:pt>
                <c:pt idx="489">
                  <c:v>597.28800000000001</c:v>
                </c:pt>
                <c:pt idx="490">
                  <c:v>606.53200000000004</c:v>
                </c:pt>
                <c:pt idx="491">
                  <c:v>596.87</c:v>
                </c:pt>
                <c:pt idx="492">
                  <c:v>600.779</c:v>
                </c:pt>
                <c:pt idx="493">
                  <c:v>598.99800000000005</c:v>
                </c:pt>
                <c:pt idx="494">
                  <c:v>588.46500000000003</c:v>
                </c:pt>
                <c:pt idx="495">
                  <c:v>569.76099999999997</c:v>
                </c:pt>
                <c:pt idx="496">
                  <c:v>541.25199999999995</c:v>
                </c:pt>
                <c:pt idx="497">
                  <c:v>531.08199999999999</c:v>
                </c:pt>
                <c:pt idx="498">
                  <c:v>510.14800000000002</c:v>
                </c:pt>
                <c:pt idx="499">
                  <c:v>495.661</c:v>
                </c:pt>
                <c:pt idx="500">
                  <c:v>468.08800000000002</c:v>
                </c:pt>
                <c:pt idx="501">
                  <c:v>445.03500000000003</c:v>
                </c:pt>
                <c:pt idx="502">
                  <c:v>416.61799999999999</c:v>
                </c:pt>
                <c:pt idx="503">
                  <c:v>398.73399999999998</c:v>
                </c:pt>
                <c:pt idx="504">
                  <c:v>398.02100000000002</c:v>
                </c:pt>
                <c:pt idx="505">
                  <c:v>401.209</c:v>
                </c:pt>
                <c:pt idx="506">
                  <c:v>411.67</c:v>
                </c:pt>
                <c:pt idx="507">
                  <c:v>414.33699999999999</c:v>
                </c:pt>
                <c:pt idx="508">
                  <c:v>417.12099999999998</c:v>
                </c:pt>
                <c:pt idx="509">
                  <c:v>412.07499999999999</c:v>
                </c:pt>
                <c:pt idx="510">
                  <c:v>409.565</c:v>
                </c:pt>
                <c:pt idx="511">
                  <c:v>416.1</c:v>
                </c:pt>
                <c:pt idx="512">
                  <c:v>409.18299999999999</c:v>
                </c:pt>
                <c:pt idx="513">
                  <c:v>410.976</c:v>
                </c:pt>
                <c:pt idx="514">
                  <c:v>409.75599999999997</c:v>
                </c:pt>
                <c:pt idx="515">
                  <c:v>416.28399999999999</c:v>
                </c:pt>
                <c:pt idx="516">
                  <c:v>429.55200000000002</c:v>
                </c:pt>
                <c:pt idx="517">
                  <c:v>436.62700000000001</c:v>
                </c:pt>
                <c:pt idx="518">
                  <c:v>436.62700000000001</c:v>
                </c:pt>
                <c:pt idx="519">
                  <c:v>436.62700000000001</c:v>
                </c:pt>
                <c:pt idx="520">
                  <c:v>438.09699999999998</c:v>
                </c:pt>
                <c:pt idx="521">
                  <c:v>422.97500000000002</c:v>
                </c:pt>
                <c:pt idx="522">
                  <c:v>427.89400000000001</c:v>
                </c:pt>
                <c:pt idx="523">
                  <c:v>427.89400000000001</c:v>
                </c:pt>
                <c:pt idx="524">
                  <c:v>426.726</c:v>
                </c:pt>
                <c:pt idx="525">
                  <c:v>434.18400000000003</c:v>
                </c:pt>
                <c:pt idx="526">
                  <c:v>432.34800000000001</c:v>
                </c:pt>
                <c:pt idx="527">
                  <c:v>432.33499999999998</c:v>
                </c:pt>
                <c:pt idx="528">
                  <c:v>430.08699999999999</c:v>
                </c:pt>
                <c:pt idx="529">
                  <c:v>438.34500000000003</c:v>
                </c:pt>
                <c:pt idx="530">
                  <c:v>466.23099999999999</c:v>
                </c:pt>
                <c:pt idx="531">
                  <c:v>460.93099999999998</c:v>
                </c:pt>
                <c:pt idx="532">
                  <c:v>450.673</c:v>
                </c:pt>
                <c:pt idx="533">
                  <c:v>452.99700000000001</c:v>
                </c:pt>
                <c:pt idx="534">
                  <c:v>465.66699999999997</c:v>
                </c:pt>
                <c:pt idx="535">
                  <c:v>454.68</c:v>
                </c:pt>
                <c:pt idx="536">
                  <c:v>444.65699999999998</c:v>
                </c:pt>
                <c:pt idx="537">
                  <c:v>437.44900000000001</c:v>
                </c:pt>
                <c:pt idx="538">
                  <c:v>462.74299999999999</c:v>
                </c:pt>
                <c:pt idx="539">
                  <c:v>458.01600000000002</c:v>
                </c:pt>
                <c:pt idx="540">
                  <c:v>458.85500000000002</c:v>
                </c:pt>
                <c:pt idx="541">
                  <c:v>456.49900000000002</c:v>
                </c:pt>
                <c:pt idx="542">
                  <c:v>448.476</c:v>
                </c:pt>
                <c:pt idx="543">
                  <c:v>456.673</c:v>
                </c:pt>
                <c:pt idx="544">
                  <c:v>438.62400000000002</c:v>
                </c:pt>
                <c:pt idx="545">
                  <c:v>421.50099999999998</c:v>
                </c:pt>
                <c:pt idx="546">
                  <c:v>413.65499999999997</c:v>
                </c:pt>
                <c:pt idx="547">
                  <c:v>416.60300000000001</c:v>
                </c:pt>
                <c:pt idx="548">
                  <c:v>415.86</c:v>
                </c:pt>
                <c:pt idx="549">
                  <c:v>420.24400000000003</c:v>
                </c:pt>
                <c:pt idx="550">
                  <c:v>440.21</c:v>
                </c:pt>
                <c:pt idx="551">
                  <c:v>444.86599999999999</c:v>
                </c:pt>
                <c:pt idx="552">
                  <c:v>441.24299999999999</c:v>
                </c:pt>
                <c:pt idx="553">
                  <c:v>449.39299999999997</c:v>
                </c:pt>
                <c:pt idx="554">
                  <c:v>452.58199999999999</c:v>
                </c:pt>
                <c:pt idx="555">
                  <c:v>454.16300000000001</c:v>
                </c:pt>
                <c:pt idx="556">
                  <c:v>453.81799999999998</c:v>
                </c:pt>
                <c:pt idx="557">
                  <c:v>436.85599999999999</c:v>
                </c:pt>
                <c:pt idx="558">
                  <c:v>432.53300000000002</c:v>
                </c:pt>
                <c:pt idx="559">
                  <c:v>457.142</c:v>
                </c:pt>
                <c:pt idx="560">
                  <c:v>448.26</c:v>
                </c:pt>
                <c:pt idx="561">
                  <c:v>444.27300000000002</c:v>
                </c:pt>
                <c:pt idx="562">
                  <c:v>452.173</c:v>
                </c:pt>
                <c:pt idx="563">
                  <c:v>455.46300000000002</c:v>
                </c:pt>
                <c:pt idx="564">
                  <c:v>441.42099999999999</c:v>
                </c:pt>
                <c:pt idx="565">
                  <c:v>450.9</c:v>
                </c:pt>
                <c:pt idx="566">
                  <c:v>459.536</c:v>
                </c:pt>
                <c:pt idx="567">
                  <c:v>463.47</c:v>
                </c:pt>
                <c:pt idx="568">
                  <c:v>484.87799999999999</c:v>
                </c:pt>
                <c:pt idx="569">
                  <c:v>509.40699999999998</c:v>
                </c:pt>
                <c:pt idx="570">
                  <c:v>492.57499999999999</c:v>
                </c:pt>
                <c:pt idx="571">
                  <c:v>493.59800000000001</c:v>
                </c:pt>
                <c:pt idx="572">
                  <c:v>492.61399999999998</c:v>
                </c:pt>
                <c:pt idx="573">
                  <c:v>562.37599999999998</c:v>
                </c:pt>
                <c:pt idx="574">
                  <c:v>552.78</c:v>
                </c:pt>
                <c:pt idx="575">
                  <c:v>505.36799999999999</c:v>
                </c:pt>
                <c:pt idx="576">
                  <c:v>516.81700000000001</c:v>
                </c:pt>
                <c:pt idx="577">
                  <c:v>520.48199999999997</c:v>
                </c:pt>
                <c:pt idx="578">
                  <c:v>497.63799999999998</c:v>
                </c:pt>
                <c:pt idx="579">
                  <c:v>493.38499999999999</c:v>
                </c:pt>
                <c:pt idx="580">
                  <c:v>500.37200000000001</c:v>
                </c:pt>
                <c:pt idx="581">
                  <c:v>511.45100000000002</c:v>
                </c:pt>
                <c:pt idx="582">
                  <c:v>523.96799999999996</c:v>
                </c:pt>
                <c:pt idx="583">
                  <c:v>518.10199999999998</c:v>
                </c:pt>
                <c:pt idx="584">
                  <c:v>521.81200000000001</c:v>
                </c:pt>
                <c:pt idx="585">
                  <c:v>549.75099999999998</c:v>
                </c:pt>
                <c:pt idx="586">
                  <c:v>537.95399999999995</c:v>
                </c:pt>
                <c:pt idx="587">
                  <c:v>541.51599999999996</c:v>
                </c:pt>
                <c:pt idx="588">
                  <c:v>541.51599999999996</c:v>
                </c:pt>
                <c:pt idx="589">
                  <c:v>541.51599999999996</c:v>
                </c:pt>
                <c:pt idx="590">
                  <c:v>547.44600000000003</c:v>
                </c:pt>
                <c:pt idx="591">
                  <c:v>549.83000000000004</c:v>
                </c:pt>
                <c:pt idx="592">
                  <c:v>545.06700000000001</c:v>
                </c:pt>
                <c:pt idx="593">
                  <c:v>547.25199999999995</c:v>
                </c:pt>
                <c:pt idx="594">
                  <c:v>542.04600000000005</c:v>
                </c:pt>
                <c:pt idx="595">
                  <c:v>545.18299999999999</c:v>
                </c:pt>
                <c:pt idx="596">
                  <c:v>546.75300000000004</c:v>
                </c:pt>
                <c:pt idx="597">
                  <c:v>549.23400000000004</c:v>
                </c:pt>
                <c:pt idx="598">
                  <c:v>544.68700000000001</c:v>
                </c:pt>
                <c:pt idx="599">
                  <c:v>530.81600000000003</c:v>
                </c:pt>
                <c:pt idx="600">
                  <c:v>526.17899999999997</c:v>
                </c:pt>
                <c:pt idx="601">
                  <c:v>506.74</c:v>
                </c:pt>
                <c:pt idx="602">
                  <c:v>501.77800000000002</c:v>
                </c:pt>
                <c:pt idx="603">
                  <c:v>496.16800000000001</c:v>
                </c:pt>
                <c:pt idx="604">
                  <c:v>506.65899999999999</c:v>
                </c:pt>
                <c:pt idx="605">
                  <c:v>492.63799999999998</c:v>
                </c:pt>
                <c:pt idx="606">
                  <c:v>501.31200000000001</c:v>
                </c:pt>
                <c:pt idx="607">
                  <c:v>502.47800000000001</c:v>
                </c:pt>
                <c:pt idx="608">
                  <c:v>504.55500000000001</c:v>
                </c:pt>
                <c:pt idx="609">
                  <c:v>504.55500000000001</c:v>
                </c:pt>
                <c:pt idx="610">
                  <c:v>516.08699999999999</c:v>
                </c:pt>
                <c:pt idx="611">
                  <c:v>512.97699999999998</c:v>
                </c:pt>
                <c:pt idx="612">
                  <c:v>508.22899999999998</c:v>
                </c:pt>
                <c:pt idx="613">
                  <c:v>509.017</c:v>
                </c:pt>
                <c:pt idx="614">
                  <c:v>510.483</c:v>
                </c:pt>
                <c:pt idx="615">
                  <c:v>512.44799999999998</c:v>
                </c:pt>
                <c:pt idx="616">
                  <c:v>514.41399999999999</c:v>
                </c:pt>
                <c:pt idx="617">
                  <c:v>524.57399999999996</c:v>
                </c:pt>
                <c:pt idx="618">
                  <c:v>513.12800000000004</c:v>
                </c:pt>
                <c:pt idx="619">
                  <c:v>508.61900000000003</c:v>
                </c:pt>
                <c:pt idx="620">
                  <c:v>512.35</c:v>
                </c:pt>
                <c:pt idx="621">
                  <c:v>514.678</c:v>
                </c:pt>
                <c:pt idx="622">
                  <c:v>518.05999999999995</c:v>
                </c:pt>
                <c:pt idx="623">
                  <c:v>488.34699999999998</c:v>
                </c:pt>
                <c:pt idx="624">
                  <c:v>581.61699999999996</c:v>
                </c:pt>
                <c:pt idx="625">
                  <c:v>591.81799999999998</c:v>
                </c:pt>
                <c:pt idx="626">
                  <c:v>653.91499999999996</c:v>
                </c:pt>
                <c:pt idx="627">
                  <c:v>655.42700000000002</c:v>
                </c:pt>
                <c:pt idx="628">
                  <c:v>658.2</c:v>
                </c:pt>
                <c:pt idx="629">
                  <c:v>658.2</c:v>
                </c:pt>
                <c:pt idx="630">
                  <c:v>612.15599999999995</c:v>
                </c:pt>
                <c:pt idx="631">
                  <c:v>595.14300000000003</c:v>
                </c:pt>
                <c:pt idx="632">
                  <c:v>588.58600000000001</c:v>
                </c:pt>
                <c:pt idx="633">
                  <c:v>587.60699999999997</c:v>
                </c:pt>
                <c:pt idx="634">
                  <c:v>555.24099999999999</c:v>
                </c:pt>
                <c:pt idx="635">
                  <c:v>534.45299999999997</c:v>
                </c:pt>
                <c:pt idx="636">
                  <c:v>508.53399999999999</c:v>
                </c:pt>
                <c:pt idx="637">
                  <c:v>509.41699999999997</c:v>
                </c:pt>
                <c:pt idx="638">
                  <c:v>513.66300000000001</c:v>
                </c:pt>
                <c:pt idx="639">
                  <c:v>505.18</c:v>
                </c:pt>
                <c:pt idx="640">
                  <c:v>521.85199999999998</c:v>
                </c:pt>
                <c:pt idx="641">
                  <c:v>520.31100000000004</c:v>
                </c:pt>
                <c:pt idx="642">
                  <c:v>528.65300000000002</c:v>
                </c:pt>
                <c:pt idx="643">
                  <c:v>536.06399999999996</c:v>
                </c:pt>
                <c:pt idx="644">
                  <c:v>722.95600000000002</c:v>
                </c:pt>
                <c:pt idx="645">
                  <c:v>721.16099999999994</c:v>
                </c:pt>
                <c:pt idx="646">
                  <c:v>706.46299999999997</c:v>
                </c:pt>
                <c:pt idx="647">
                  <c:v>704.65599999999995</c:v>
                </c:pt>
                <c:pt idx="648">
                  <c:v>705.40899999999999</c:v>
                </c:pt>
                <c:pt idx="649">
                  <c:v>710.39099999999996</c:v>
                </c:pt>
                <c:pt idx="650">
                  <c:v>710.36099999999999</c:v>
                </c:pt>
                <c:pt idx="651">
                  <c:v>706.82100000000003</c:v>
                </c:pt>
                <c:pt idx="652">
                  <c:v>688.75300000000004</c:v>
                </c:pt>
                <c:pt idx="653">
                  <c:v>687.70899999999995</c:v>
                </c:pt>
                <c:pt idx="654">
                  <c:v>687.23800000000006</c:v>
                </c:pt>
                <c:pt idx="655">
                  <c:v>680.18499999999995</c:v>
                </c:pt>
                <c:pt idx="656">
                  <c:v>671.33500000000004</c:v>
                </c:pt>
                <c:pt idx="657">
                  <c:v>663.12199999999996</c:v>
                </c:pt>
                <c:pt idx="658">
                  <c:v>663.15899999999999</c:v>
                </c:pt>
                <c:pt idx="659">
                  <c:v>669.28399999999999</c:v>
                </c:pt>
                <c:pt idx="660">
                  <c:v>668.846</c:v>
                </c:pt>
                <c:pt idx="661">
                  <c:v>669.79600000000005</c:v>
                </c:pt>
                <c:pt idx="662">
                  <c:v>672.822</c:v>
                </c:pt>
                <c:pt idx="663">
                  <c:v>663.85</c:v>
                </c:pt>
                <c:pt idx="664">
                  <c:v>668.66800000000001</c:v>
                </c:pt>
                <c:pt idx="665">
                  <c:v>668.93899999999996</c:v>
                </c:pt>
                <c:pt idx="666">
                  <c:v>662.71100000000001</c:v>
                </c:pt>
                <c:pt idx="667">
                  <c:v>656.83399999999995</c:v>
                </c:pt>
                <c:pt idx="668">
                  <c:v>647.69299999999998</c:v>
                </c:pt>
                <c:pt idx="669">
                  <c:v>654.67100000000005</c:v>
                </c:pt>
                <c:pt idx="670">
                  <c:v>643.64700000000005</c:v>
                </c:pt>
                <c:pt idx="671">
                  <c:v>635.79999999999995</c:v>
                </c:pt>
                <c:pt idx="672">
                  <c:v>633.16600000000005</c:v>
                </c:pt>
                <c:pt idx="673">
                  <c:v>625.93899999999996</c:v>
                </c:pt>
                <c:pt idx="674">
                  <c:v>622.80700000000002</c:v>
                </c:pt>
                <c:pt idx="675">
                  <c:v>610.18200000000002</c:v>
                </c:pt>
                <c:pt idx="676">
                  <c:v>605.08399999999995</c:v>
                </c:pt>
                <c:pt idx="677">
                  <c:v>616.15700000000004</c:v>
                </c:pt>
                <c:pt idx="678">
                  <c:v>621.70500000000004</c:v>
                </c:pt>
                <c:pt idx="679">
                  <c:v>636.096</c:v>
                </c:pt>
                <c:pt idx="680">
                  <c:v>658.65899999999999</c:v>
                </c:pt>
                <c:pt idx="681">
                  <c:v>667.95799999999997</c:v>
                </c:pt>
                <c:pt idx="682">
                  <c:v>665.47299999999996</c:v>
                </c:pt>
                <c:pt idx="683">
                  <c:v>660.93399999999997</c:v>
                </c:pt>
                <c:pt idx="684">
                  <c:v>664.79499999999996</c:v>
                </c:pt>
                <c:pt idx="685">
                  <c:v>665.93399999999997</c:v>
                </c:pt>
                <c:pt idx="686">
                  <c:v>663.58</c:v>
                </c:pt>
                <c:pt idx="687">
                  <c:v>653.22199999999998</c:v>
                </c:pt>
                <c:pt idx="688">
                  <c:v>659.46699999999998</c:v>
                </c:pt>
                <c:pt idx="689">
                  <c:v>646.20399999999995</c:v>
                </c:pt>
                <c:pt idx="690">
                  <c:v>646.04700000000003</c:v>
                </c:pt>
                <c:pt idx="691">
                  <c:v>645.34299999999996</c:v>
                </c:pt>
                <c:pt idx="692">
                  <c:v>594.28399999999999</c:v>
                </c:pt>
                <c:pt idx="693">
                  <c:v>597.13699999999994</c:v>
                </c:pt>
                <c:pt idx="694">
                  <c:v>597.13699999999994</c:v>
                </c:pt>
                <c:pt idx="695">
                  <c:v>575.93700000000001</c:v>
                </c:pt>
                <c:pt idx="696">
                  <c:v>559.16099999999994</c:v>
                </c:pt>
                <c:pt idx="697">
                  <c:v>559.37900000000002</c:v>
                </c:pt>
                <c:pt idx="698">
                  <c:v>540.73099999999999</c:v>
                </c:pt>
                <c:pt idx="699">
                  <c:v>538.96100000000001</c:v>
                </c:pt>
                <c:pt idx="700">
                  <c:v>526.41600000000005</c:v>
                </c:pt>
                <c:pt idx="701">
                  <c:v>515.06299999999999</c:v>
                </c:pt>
                <c:pt idx="702">
                  <c:v>516.48299999999995</c:v>
                </c:pt>
                <c:pt idx="703">
                  <c:v>500.05099999999999</c:v>
                </c:pt>
                <c:pt idx="704">
                  <c:v>504.03399999999999</c:v>
                </c:pt>
                <c:pt idx="705">
                  <c:v>502.26900000000001</c:v>
                </c:pt>
              </c:numCache>
            </c:numRef>
          </c:val>
          <c:smooth val="0"/>
          <c:extLst>
            <c:ext xmlns:c16="http://schemas.microsoft.com/office/drawing/2014/chart" uri="{C3380CC4-5D6E-409C-BE32-E72D297353CC}">
              <c16:uniqueId val="{00000005-6184-4726-8727-A5CE2BEB2AFE}"/>
            </c:ext>
          </c:extLst>
        </c:ser>
        <c:ser>
          <c:idx val="6"/>
          <c:order val="6"/>
          <c:tx>
            <c:strRef>
              <c:f>Sheet1!$H$1</c:f>
              <c:strCache>
                <c:ptCount val="1"/>
                <c:pt idx="0">
                  <c:v>Ղազախստան (2025 թ.)</c:v>
                </c:pt>
              </c:strCache>
            </c:strRef>
          </c:tx>
          <c:spPr>
            <a:ln w="28575" cap="rnd">
              <a:solidFill>
                <a:schemeClr val="accent1">
                  <a:lumMod val="60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Sheet1!$H$2:$H$707</c:f>
              <c:numCache>
                <c:formatCode>_(* #,##0_);_(* \(#,##0\);_(* "-"??_);_(@_)</c:formatCode>
                <c:ptCount val="706"/>
                <c:pt idx="0">
                  <c:v>142.02199999999999</c:v>
                </c:pt>
                <c:pt idx="1">
                  <c:v>147.65</c:v>
                </c:pt>
                <c:pt idx="2">
                  <c:v>145.41999999999999</c:v>
                </c:pt>
                <c:pt idx="3">
                  <c:v>144.89699999999999</c:v>
                </c:pt>
                <c:pt idx="4">
                  <c:v>135.917</c:v>
                </c:pt>
                <c:pt idx="5">
                  <c:v>129.06200000000001</c:v>
                </c:pt>
                <c:pt idx="6">
                  <c:v>124.55800000000001</c:v>
                </c:pt>
                <c:pt idx="7">
                  <c:v>124.38</c:v>
                </c:pt>
                <c:pt idx="8">
                  <c:v>118.393</c:v>
                </c:pt>
                <c:pt idx="9">
                  <c:v>121.194</c:v>
                </c:pt>
                <c:pt idx="10">
                  <c:v>118.187</c:v>
                </c:pt>
                <c:pt idx="11">
                  <c:v>109.827</c:v>
                </c:pt>
                <c:pt idx="12">
                  <c:v>111.08199999999999</c:v>
                </c:pt>
                <c:pt idx="13">
                  <c:v>105.51900000000001</c:v>
                </c:pt>
                <c:pt idx="14">
                  <c:v>105.51900000000001</c:v>
                </c:pt>
                <c:pt idx="15">
                  <c:v>103.28400000000001</c:v>
                </c:pt>
                <c:pt idx="16">
                  <c:v>104.27</c:v>
                </c:pt>
                <c:pt idx="17">
                  <c:v>104.559</c:v>
                </c:pt>
                <c:pt idx="18">
                  <c:v>105.71599999999999</c:v>
                </c:pt>
                <c:pt idx="19">
                  <c:v>103.61199999999999</c:v>
                </c:pt>
                <c:pt idx="20">
                  <c:v>110.607</c:v>
                </c:pt>
                <c:pt idx="21">
                  <c:v>113.61499999999999</c:v>
                </c:pt>
                <c:pt idx="22">
                  <c:v>113.90300000000001</c:v>
                </c:pt>
                <c:pt idx="23">
                  <c:v>115.167</c:v>
                </c:pt>
                <c:pt idx="24">
                  <c:v>110.88500000000001</c:v>
                </c:pt>
                <c:pt idx="25">
                  <c:v>109.913</c:v>
                </c:pt>
                <c:pt idx="26">
                  <c:v>110.374</c:v>
                </c:pt>
                <c:pt idx="27">
                  <c:v>112.486</c:v>
                </c:pt>
                <c:pt idx="28">
                  <c:v>117.02800000000001</c:v>
                </c:pt>
                <c:pt idx="29">
                  <c:v>117.267</c:v>
                </c:pt>
                <c:pt idx="30">
                  <c:v>114.59699999999999</c:v>
                </c:pt>
                <c:pt idx="31">
                  <c:v>115.33499999999999</c:v>
                </c:pt>
                <c:pt idx="32">
                  <c:v>111.955</c:v>
                </c:pt>
                <c:pt idx="33">
                  <c:v>112.508</c:v>
                </c:pt>
                <c:pt idx="34">
                  <c:v>112.508</c:v>
                </c:pt>
                <c:pt idx="35">
                  <c:v>110.679</c:v>
                </c:pt>
                <c:pt idx="36">
                  <c:v>113.06699999999999</c:v>
                </c:pt>
                <c:pt idx="37">
                  <c:v>110.7</c:v>
                </c:pt>
                <c:pt idx="38">
                  <c:v>112.837</c:v>
                </c:pt>
                <c:pt idx="39">
                  <c:v>112.366</c:v>
                </c:pt>
                <c:pt idx="40">
                  <c:v>114.003</c:v>
                </c:pt>
                <c:pt idx="41">
                  <c:v>116.712</c:v>
                </c:pt>
                <c:pt idx="42">
                  <c:v>111.441</c:v>
                </c:pt>
                <c:pt idx="43">
                  <c:v>106.773</c:v>
                </c:pt>
                <c:pt idx="44">
                  <c:v>106.51900000000001</c:v>
                </c:pt>
                <c:pt idx="45">
                  <c:v>107.15</c:v>
                </c:pt>
                <c:pt idx="46">
                  <c:v>106.958</c:v>
                </c:pt>
                <c:pt idx="47">
                  <c:v>108.99</c:v>
                </c:pt>
                <c:pt idx="48">
                  <c:v>114.842</c:v>
                </c:pt>
                <c:pt idx="49">
                  <c:v>113.074</c:v>
                </c:pt>
                <c:pt idx="50">
                  <c:v>109.30200000000001</c:v>
                </c:pt>
                <c:pt idx="51">
                  <c:v>111.71599999999999</c:v>
                </c:pt>
                <c:pt idx="52">
                  <c:v>109.16</c:v>
                </c:pt>
                <c:pt idx="53">
                  <c:v>110.036</c:v>
                </c:pt>
                <c:pt idx="54">
                  <c:v>111.80800000000001</c:v>
                </c:pt>
                <c:pt idx="55">
                  <c:v>110.61799999999999</c:v>
                </c:pt>
                <c:pt idx="56">
                  <c:v>114.65600000000001</c:v>
                </c:pt>
                <c:pt idx="57">
                  <c:v>113.57</c:v>
                </c:pt>
                <c:pt idx="58">
                  <c:v>116.456</c:v>
                </c:pt>
                <c:pt idx="59">
                  <c:v>121.274</c:v>
                </c:pt>
                <c:pt idx="60">
                  <c:v>123.759</c:v>
                </c:pt>
                <c:pt idx="61">
                  <c:v>130.57499999999999</c:v>
                </c:pt>
                <c:pt idx="62">
                  <c:v>126.88500000000001</c:v>
                </c:pt>
                <c:pt idx="63">
                  <c:v>120.264</c:v>
                </c:pt>
                <c:pt idx="64">
                  <c:v>113.58199999999999</c:v>
                </c:pt>
                <c:pt idx="65">
                  <c:v>112.53400000000001</c:v>
                </c:pt>
                <c:pt idx="66">
                  <c:v>108.542</c:v>
                </c:pt>
                <c:pt idx="67">
                  <c:v>110.423</c:v>
                </c:pt>
                <c:pt idx="68">
                  <c:v>106.18300000000001</c:v>
                </c:pt>
                <c:pt idx="69">
                  <c:v>108.001</c:v>
                </c:pt>
                <c:pt idx="70">
                  <c:v>104.798</c:v>
                </c:pt>
                <c:pt idx="71">
                  <c:v>105.46</c:v>
                </c:pt>
                <c:pt idx="72">
                  <c:v>107.754</c:v>
                </c:pt>
                <c:pt idx="73">
                  <c:v>102.173</c:v>
                </c:pt>
                <c:pt idx="74">
                  <c:v>98.382999999999996</c:v>
                </c:pt>
                <c:pt idx="75">
                  <c:v>97.605000000000004</c:v>
                </c:pt>
                <c:pt idx="76">
                  <c:v>91.061999999999998</c:v>
                </c:pt>
                <c:pt idx="77">
                  <c:v>96.048000000000002</c:v>
                </c:pt>
                <c:pt idx="78">
                  <c:v>96.048000000000002</c:v>
                </c:pt>
                <c:pt idx="79">
                  <c:v>92.802000000000007</c:v>
                </c:pt>
                <c:pt idx="80">
                  <c:v>93.054000000000002</c:v>
                </c:pt>
                <c:pt idx="81">
                  <c:v>96.995000000000005</c:v>
                </c:pt>
                <c:pt idx="82">
                  <c:v>96.861000000000004</c:v>
                </c:pt>
                <c:pt idx="83">
                  <c:v>92.718000000000004</c:v>
                </c:pt>
                <c:pt idx="84">
                  <c:v>91.88</c:v>
                </c:pt>
                <c:pt idx="85">
                  <c:v>88.825999999999993</c:v>
                </c:pt>
                <c:pt idx="86">
                  <c:v>89.028000000000006</c:v>
                </c:pt>
                <c:pt idx="87">
                  <c:v>83.962999999999994</c:v>
                </c:pt>
                <c:pt idx="88">
                  <c:v>83.635999999999996</c:v>
                </c:pt>
                <c:pt idx="89">
                  <c:v>91.613</c:v>
                </c:pt>
                <c:pt idx="90">
                  <c:v>90.945999999999998</c:v>
                </c:pt>
                <c:pt idx="91">
                  <c:v>94.463999999999999</c:v>
                </c:pt>
                <c:pt idx="92">
                  <c:v>94.966999999999999</c:v>
                </c:pt>
                <c:pt idx="93">
                  <c:v>93.650999999999996</c:v>
                </c:pt>
                <c:pt idx="94">
                  <c:v>96.162999999999997</c:v>
                </c:pt>
                <c:pt idx="95">
                  <c:v>99.652000000000001</c:v>
                </c:pt>
                <c:pt idx="96">
                  <c:v>102.693</c:v>
                </c:pt>
                <c:pt idx="97">
                  <c:v>103.568</c:v>
                </c:pt>
                <c:pt idx="98">
                  <c:v>103.649</c:v>
                </c:pt>
                <c:pt idx="99">
                  <c:v>101.23399999999999</c:v>
                </c:pt>
                <c:pt idx="100">
                  <c:v>99.778999999999996</c:v>
                </c:pt>
                <c:pt idx="101">
                  <c:v>98.783000000000001</c:v>
                </c:pt>
                <c:pt idx="102">
                  <c:v>106.973</c:v>
                </c:pt>
                <c:pt idx="103">
                  <c:v>110.123</c:v>
                </c:pt>
                <c:pt idx="104">
                  <c:v>110.123</c:v>
                </c:pt>
                <c:pt idx="105">
                  <c:v>114.384</c:v>
                </c:pt>
                <c:pt idx="106">
                  <c:v>120.693</c:v>
                </c:pt>
                <c:pt idx="107">
                  <c:v>116.675</c:v>
                </c:pt>
                <c:pt idx="108">
                  <c:v>130.72300000000001</c:v>
                </c:pt>
                <c:pt idx="109">
                  <c:v>140.732</c:v>
                </c:pt>
                <c:pt idx="110">
                  <c:v>143.85400000000001</c:v>
                </c:pt>
                <c:pt idx="111">
                  <c:v>137.76499999999999</c:v>
                </c:pt>
                <c:pt idx="112">
                  <c:v>136.48599999999999</c:v>
                </c:pt>
                <c:pt idx="113">
                  <c:v>121.708</c:v>
                </c:pt>
                <c:pt idx="114">
                  <c:v>111.857</c:v>
                </c:pt>
                <c:pt idx="115">
                  <c:v>106.15</c:v>
                </c:pt>
                <c:pt idx="116">
                  <c:v>112.175</c:v>
                </c:pt>
                <c:pt idx="117">
                  <c:v>113.974</c:v>
                </c:pt>
                <c:pt idx="118">
                  <c:v>120.79300000000001</c:v>
                </c:pt>
                <c:pt idx="119">
                  <c:v>114.256</c:v>
                </c:pt>
                <c:pt idx="120">
                  <c:v>114.961</c:v>
                </c:pt>
                <c:pt idx="121">
                  <c:v>96.703000000000003</c:v>
                </c:pt>
                <c:pt idx="122">
                  <c:v>93.25</c:v>
                </c:pt>
                <c:pt idx="123">
                  <c:v>92.662000000000006</c:v>
                </c:pt>
                <c:pt idx="124">
                  <c:v>96.596000000000004</c:v>
                </c:pt>
                <c:pt idx="125">
                  <c:v>99.382999999999996</c:v>
                </c:pt>
                <c:pt idx="126">
                  <c:v>99.742999999999995</c:v>
                </c:pt>
                <c:pt idx="127">
                  <c:v>97.003</c:v>
                </c:pt>
                <c:pt idx="128">
                  <c:v>94.492000000000004</c:v>
                </c:pt>
                <c:pt idx="129">
                  <c:v>91</c:v>
                </c:pt>
                <c:pt idx="130">
                  <c:v>89.674999999999997</c:v>
                </c:pt>
                <c:pt idx="131">
                  <c:v>92.457999999999998</c:v>
                </c:pt>
                <c:pt idx="132">
                  <c:v>92.457999999999998</c:v>
                </c:pt>
                <c:pt idx="133">
                  <c:v>90.727000000000004</c:v>
                </c:pt>
                <c:pt idx="134">
                  <c:v>88.661000000000001</c:v>
                </c:pt>
                <c:pt idx="135">
                  <c:v>87.826999999999998</c:v>
                </c:pt>
                <c:pt idx="136">
                  <c:v>88.114999999999995</c:v>
                </c:pt>
                <c:pt idx="137">
                  <c:v>92.320999999999998</c:v>
                </c:pt>
                <c:pt idx="138">
                  <c:v>86.021000000000001</c:v>
                </c:pt>
                <c:pt idx="139">
                  <c:v>88.900999999999996</c:v>
                </c:pt>
                <c:pt idx="140">
                  <c:v>90.658000000000001</c:v>
                </c:pt>
                <c:pt idx="141">
                  <c:v>90.039000000000001</c:v>
                </c:pt>
                <c:pt idx="142">
                  <c:v>95.58</c:v>
                </c:pt>
                <c:pt idx="143">
                  <c:v>98.721000000000004</c:v>
                </c:pt>
                <c:pt idx="144">
                  <c:v>97.834000000000003</c:v>
                </c:pt>
                <c:pt idx="145">
                  <c:v>97.126999999999995</c:v>
                </c:pt>
                <c:pt idx="146">
                  <c:v>98.203000000000003</c:v>
                </c:pt>
                <c:pt idx="147">
                  <c:v>98.146000000000001</c:v>
                </c:pt>
                <c:pt idx="148">
                  <c:v>95.108999999999995</c:v>
                </c:pt>
                <c:pt idx="149">
                  <c:v>94.718999999999994</c:v>
                </c:pt>
                <c:pt idx="150">
                  <c:v>96.24</c:v>
                </c:pt>
                <c:pt idx="151">
                  <c:v>96.305000000000007</c:v>
                </c:pt>
                <c:pt idx="152">
                  <c:v>96.771000000000001</c:v>
                </c:pt>
                <c:pt idx="153">
                  <c:v>117.22199999999999</c:v>
                </c:pt>
                <c:pt idx="154">
                  <c:v>125.024</c:v>
                </c:pt>
                <c:pt idx="155">
                  <c:v>129.739</c:v>
                </c:pt>
                <c:pt idx="156">
                  <c:v>134.67699999999999</c:v>
                </c:pt>
                <c:pt idx="157">
                  <c:v>128.66300000000001</c:v>
                </c:pt>
                <c:pt idx="158">
                  <c:v>129.05000000000001</c:v>
                </c:pt>
                <c:pt idx="159">
                  <c:v>128.80500000000001</c:v>
                </c:pt>
                <c:pt idx="160">
                  <c:v>132.518</c:v>
                </c:pt>
                <c:pt idx="161">
                  <c:v>128.18600000000001</c:v>
                </c:pt>
                <c:pt idx="162">
                  <c:v>135.13900000000001</c:v>
                </c:pt>
                <c:pt idx="163">
                  <c:v>135.441</c:v>
                </c:pt>
                <c:pt idx="164">
                  <c:v>130.934</c:v>
                </c:pt>
                <c:pt idx="165">
                  <c:v>134.536</c:v>
                </c:pt>
                <c:pt idx="166">
                  <c:v>132.34299999999999</c:v>
                </c:pt>
                <c:pt idx="167">
                  <c:v>130.31899999999999</c:v>
                </c:pt>
                <c:pt idx="168">
                  <c:v>122.202</c:v>
                </c:pt>
                <c:pt idx="169">
                  <c:v>140.40600000000001</c:v>
                </c:pt>
                <c:pt idx="170">
                  <c:v>131.96700000000001</c:v>
                </c:pt>
                <c:pt idx="171">
                  <c:v>129.85300000000001</c:v>
                </c:pt>
                <c:pt idx="172">
                  <c:v>126.14400000000001</c:v>
                </c:pt>
                <c:pt idx="173">
                  <c:v>120.858</c:v>
                </c:pt>
                <c:pt idx="174">
                  <c:v>120.858</c:v>
                </c:pt>
                <c:pt idx="175">
                  <c:v>116.184</c:v>
                </c:pt>
                <c:pt idx="176">
                  <c:v>113.27800000000001</c:v>
                </c:pt>
                <c:pt idx="177">
                  <c:v>102.57899999999999</c:v>
                </c:pt>
                <c:pt idx="178">
                  <c:v>97.129000000000005</c:v>
                </c:pt>
                <c:pt idx="179">
                  <c:v>96.781000000000006</c:v>
                </c:pt>
                <c:pt idx="180">
                  <c:v>96.727999999999994</c:v>
                </c:pt>
                <c:pt idx="181">
                  <c:v>96.745999999999995</c:v>
                </c:pt>
                <c:pt idx="182">
                  <c:v>93.367000000000004</c:v>
                </c:pt>
                <c:pt idx="183">
                  <c:v>89.784000000000006</c:v>
                </c:pt>
                <c:pt idx="184">
                  <c:v>90.724000000000004</c:v>
                </c:pt>
                <c:pt idx="185">
                  <c:v>91.933999999999997</c:v>
                </c:pt>
                <c:pt idx="186">
                  <c:v>94.57</c:v>
                </c:pt>
                <c:pt idx="187">
                  <c:v>94.591999999999999</c:v>
                </c:pt>
                <c:pt idx="188">
                  <c:v>93.015000000000001</c:v>
                </c:pt>
                <c:pt idx="189">
                  <c:v>95.572999999999993</c:v>
                </c:pt>
                <c:pt idx="190">
                  <c:v>92.534999999999997</c:v>
                </c:pt>
                <c:pt idx="191">
                  <c:v>103.34399999999999</c:v>
                </c:pt>
                <c:pt idx="192">
                  <c:v>105.866</c:v>
                </c:pt>
                <c:pt idx="193">
                  <c:v>104.122</c:v>
                </c:pt>
                <c:pt idx="194">
                  <c:v>107.672</c:v>
                </c:pt>
                <c:pt idx="195">
                  <c:v>105.04600000000001</c:v>
                </c:pt>
                <c:pt idx="196">
                  <c:v>119.22199999999999</c:v>
                </c:pt>
                <c:pt idx="197">
                  <c:v>122.226</c:v>
                </c:pt>
                <c:pt idx="198">
                  <c:v>125.637</c:v>
                </c:pt>
                <c:pt idx="199">
                  <c:v>121.128</c:v>
                </c:pt>
                <c:pt idx="200">
                  <c:v>121.172</c:v>
                </c:pt>
                <c:pt idx="201">
                  <c:v>122.88800000000001</c:v>
                </c:pt>
                <c:pt idx="202">
                  <c:v>120.443</c:v>
                </c:pt>
                <c:pt idx="203">
                  <c:v>112.85</c:v>
                </c:pt>
                <c:pt idx="204">
                  <c:v>112.85</c:v>
                </c:pt>
                <c:pt idx="205">
                  <c:v>109.023</c:v>
                </c:pt>
                <c:pt idx="206">
                  <c:v>105.76300000000001</c:v>
                </c:pt>
                <c:pt idx="207">
                  <c:v>99.861000000000004</c:v>
                </c:pt>
                <c:pt idx="208">
                  <c:v>101.10599999999999</c:v>
                </c:pt>
                <c:pt idx="209">
                  <c:v>101.008</c:v>
                </c:pt>
                <c:pt idx="210">
                  <c:v>100.002</c:v>
                </c:pt>
                <c:pt idx="211">
                  <c:v>102.008</c:v>
                </c:pt>
                <c:pt idx="212">
                  <c:v>98.513000000000005</c:v>
                </c:pt>
                <c:pt idx="213">
                  <c:v>98.227000000000004</c:v>
                </c:pt>
                <c:pt idx="214">
                  <c:v>94.057000000000002</c:v>
                </c:pt>
                <c:pt idx="215">
                  <c:v>95.903999999999996</c:v>
                </c:pt>
                <c:pt idx="216">
                  <c:v>95.997</c:v>
                </c:pt>
                <c:pt idx="217">
                  <c:v>99.989000000000004</c:v>
                </c:pt>
                <c:pt idx="218">
                  <c:v>103.913</c:v>
                </c:pt>
                <c:pt idx="219">
                  <c:v>96.516000000000005</c:v>
                </c:pt>
                <c:pt idx="220">
                  <c:v>90.539000000000001</c:v>
                </c:pt>
                <c:pt idx="221">
                  <c:v>88.784000000000006</c:v>
                </c:pt>
                <c:pt idx="222">
                  <c:v>85.537999999999997</c:v>
                </c:pt>
                <c:pt idx="223">
                  <c:v>81.98</c:v>
                </c:pt>
                <c:pt idx="224">
                  <c:v>81.98</c:v>
                </c:pt>
                <c:pt idx="225">
                  <c:v>81.194000000000003</c:v>
                </c:pt>
                <c:pt idx="226">
                  <c:v>86.608000000000004</c:v>
                </c:pt>
                <c:pt idx="227">
                  <c:v>90.034999999999997</c:v>
                </c:pt>
                <c:pt idx="228">
                  <c:v>86.355999999999995</c:v>
                </c:pt>
                <c:pt idx="229">
                  <c:v>85.603999999999999</c:v>
                </c:pt>
                <c:pt idx="230">
                  <c:v>85.244</c:v>
                </c:pt>
                <c:pt idx="231">
                  <c:v>93.558999999999997</c:v>
                </c:pt>
                <c:pt idx="232">
                  <c:v>86.097999999999999</c:v>
                </c:pt>
                <c:pt idx="233">
                  <c:v>84.852000000000004</c:v>
                </c:pt>
                <c:pt idx="234">
                  <c:v>80.691000000000003</c:v>
                </c:pt>
                <c:pt idx="235">
                  <c:v>83.531999999999996</c:v>
                </c:pt>
                <c:pt idx="236">
                  <c:v>81.792000000000002</c:v>
                </c:pt>
                <c:pt idx="237">
                  <c:v>81.792000000000002</c:v>
                </c:pt>
                <c:pt idx="238">
                  <c:v>77.106999999999999</c:v>
                </c:pt>
                <c:pt idx="239">
                  <c:v>72.149000000000001</c:v>
                </c:pt>
                <c:pt idx="240">
                  <c:v>73.872</c:v>
                </c:pt>
                <c:pt idx="241">
                  <c:v>79.948999999999998</c:v>
                </c:pt>
                <c:pt idx="242">
                  <c:v>75.296000000000006</c:v>
                </c:pt>
                <c:pt idx="243">
                  <c:v>72.5</c:v>
                </c:pt>
                <c:pt idx="244">
                  <c:v>68.856999999999999</c:v>
                </c:pt>
                <c:pt idx="245">
                  <c:v>65.343999999999994</c:v>
                </c:pt>
                <c:pt idx="246">
                  <c:v>62.505000000000003</c:v>
                </c:pt>
                <c:pt idx="247">
                  <c:v>61.738999999999997</c:v>
                </c:pt>
                <c:pt idx="248">
                  <c:v>53.234000000000002</c:v>
                </c:pt>
                <c:pt idx="249">
                  <c:v>57.143000000000001</c:v>
                </c:pt>
                <c:pt idx="250">
                  <c:v>54.381999999999998</c:v>
                </c:pt>
                <c:pt idx="251">
                  <c:v>52.497999999999998</c:v>
                </c:pt>
                <c:pt idx="252">
                  <c:v>47.658000000000001</c:v>
                </c:pt>
                <c:pt idx="253">
                  <c:v>47.387</c:v>
                </c:pt>
                <c:pt idx="254">
                  <c:v>48.947000000000003</c:v>
                </c:pt>
                <c:pt idx="255">
                  <c:v>46.155999999999999</c:v>
                </c:pt>
                <c:pt idx="256">
                  <c:v>46.155999999999999</c:v>
                </c:pt>
                <c:pt idx="257">
                  <c:v>47.651000000000003</c:v>
                </c:pt>
                <c:pt idx="258">
                  <c:v>49.615000000000002</c:v>
                </c:pt>
                <c:pt idx="259">
                  <c:v>47.500999999999998</c:v>
                </c:pt>
                <c:pt idx="260">
                  <c:v>48.935000000000002</c:v>
                </c:pt>
                <c:pt idx="261">
                  <c:v>48.935000000000002</c:v>
                </c:pt>
                <c:pt idx="262">
                  <c:v>45.301000000000002</c:v>
                </c:pt>
                <c:pt idx="263">
                  <c:v>53.616999999999997</c:v>
                </c:pt>
                <c:pt idx="264">
                  <c:v>56.494999999999997</c:v>
                </c:pt>
                <c:pt idx="265">
                  <c:v>54.387999999999998</c:v>
                </c:pt>
                <c:pt idx="266">
                  <c:v>54.639000000000003</c:v>
                </c:pt>
                <c:pt idx="267">
                  <c:v>47.170999999999999</c:v>
                </c:pt>
                <c:pt idx="268">
                  <c:v>48.273000000000003</c:v>
                </c:pt>
                <c:pt idx="269">
                  <c:v>48.356000000000002</c:v>
                </c:pt>
                <c:pt idx="270">
                  <c:v>48.234999999999999</c:v>
                </c:pt>
                <c:pt idx="271">
                  <c:v>50.801000000000002</c:v>
                </c:pt>
                <c:pt idx="272">
                  <c:v>49.453000000000003</c:v>
                </c:pt>
                <c:pt idx="273">
                  <c:v>47.921999999999997</c:v>
                </c:pt>
                <c:pt idx="274">
                  <c:v>47.921999999999997</c:v>
                </c:pt>
                <c:pt idx="275">
                  <c:v>49.485999999999997</c:v>
                </c:pt>
                <c:pt idx="276">
                  <c:v>52.497</c:v>
                </c:pt>
                <c:pt idx="277">
                  <c:v>56.387</c:v>
                </c:pt>
                <c:pt idx="278">
                  <c:v>57.948999999999998</c:v>
                </c:pt>
                <c:pt idx="279">
                  <c:v>71.040000000000006</c:v>
                </c:pt>
                <c:pt idx="280">
                  <c:v>75.036000000000001</c:v>
                </c:pt>
                <c:pt idx="281">
                  <c:v>70.875</c:v>
                </c:pt>
                <c:pt idx="282">
                  <c:v>73.662999999999997</c:v>
                </c:pt>
                <c:pt idx="283">
                  <c:v>72.793999999999997</c:v>
                </c:pt>
                <c:pt idx="284">
                  <c:v>76.534000000000006</c:v>
                </c:pt>
                <c:pt idx="285">
                  <c:v>72.072000000000003</c:v>
                </c:pt>
                <c:pt idx="286">
                  <c:v>68.153999999999996</c:v>
                </c:pt>
                <c:pt idx="287">
                  <c:v>66.849000000000004</c:v>
                </c:pt>
                <c:pt idx="288">
                  <c:v>69.349999999999994</c:v>
                </c:pt>
                <c:pt idx="289">
                  <c:v>72.183000000000007</c:v>
                </c:pt>
                <c:pt idx="290">
                  <c:v>70.724999999999994</c:v>
                </c:pt>
                <c:pt idx="291">
                  <c:v>66.754000000000005</c:v>
                </c:pt>
                <c:pt idx="292">
                  <c:v>68.731999999999999</c:v>
                </c:pt>
                <c:pt idx="293">
                  <c:v>66.959999999999994</c:v>
                </c:pt>
                <c:pt idx="294">
                  <c:v>66.959999999999994</c:v>
                </c:pt>
                <c:pt idx="295">
                  <c:v>69.135999999999996</c:v>
                </c:pt>
                <c:pt idx="296">
                  <c:v>67.108000000000004</c:v>
                </c:pt>
                <c:pt idx="297">
                  <c:v>65.497</c:v>
                </c:pt>
                <c:pt idx="298">
                  <c:v>68.411000000000001</c:v>
                </c:pt>
                <c:pt idx="299">
                  <c:v>77.718000000000004</c:v>
                </c:pt>
                <c:pt idx="300">
                  <c:v>78.64</c:v>
                </c:pt>
                <c:pt idx="301">
                  <c:v>82.715999999999994</c:v>
                </c:pt>
                <c:pt idx="302">
                  <c:v>87.992000000000004</c:v>
                </c:pt>
                <c:pt idx="303">
                  <c:v>114.45699999999999</c:v>
                </c:pt>
                <c:pt idx="304">
                  <c:v>124.90300000000001</c:v>
                </c:pt>
                <c:pt idx="305">
                  <c:v>108.443</c:v>
                </c:pt>
                <c:pt idx="306">
                  <c:v>124.065</c:v>
                </c:pt>
                <c:pt idx="307">
                  <c:v>115.30800000000001</c:v>
                </c:pt>
                <c:pt idx="308">
                  <c:v>127.96</c:v>
                </c:pt>
                <c:pt idx="309">
                  <c:v>181.91800000000001</c:v>
                </c:pt>
                <c:pt idx="310">
                  <c:v>166.619</c:v>
                </c:pt>
                <c:pt idx="311">
                  <c:v>167.02099999999999</c:v>
                </c:pt>
                <c:pt idx="312">
                  <c:v>187.79499999999999</c:v>
                </c:pt>
                <c:pt idx="313">
                  <c:v>198.59100000000001</c:v>
                </c:pt>
                <c:pt idx="314">
                  <c:v>199.81299999999999</c:v>
                </c:pt>
                <c:pt idx="315">
                  <c:v>222.71799999999999</c:v>
                </c:pt>
                <c:pt idx="316">
                  <c:v>241.886</c:v>
                </c:pt>
                <c:pt idx="317">
                  <c:v>300.64400000000001</c:v>
                </c:pt>
                <c:pt idx="318">
                  <c:v>321.04399999999998</c:v>
                </c:pt>
                <c:pt idx="319">
                  <c:v>360.77499999999998</c:v>
                </c:pt>
                <c:pt idx="320">
                  <c:v>367.14800000000002</c:v>
                </c:pt>
                <c:pt idx="321">
                  <c:v>338.29</c:v>
                </c:pt>
                <c:pt idx="322">
                  <c:v>334.63099999999997</c:v>
                </c:pt>
                <c:pt idx="323">
                  <c:v>296.38900000000001</c:v>
                </c:pt>
                <c:pt idx="324">
                  <c:v>305.68400000000003</c:v>
                </c:pt>
                <c:pt idx="325">
                  <c:v>298.33699999999999</c:v>
                </c:pt>
                <c:pt idx="326">
                  <c:v>297.178</c:v>
                </c:pt>
                <c:pt idx="327">
                  <c:v>285.62400000000002</c:v>
                </c:pt>
                <c:pt idx="328">
                  <c:v>265.262</c:v>
                </c:pt>
                <c:pt idx="329">
                  <c:v>235.523</c:v>
                </c:pt>
                <c:pt idx="330">
                  <c:v>211.34899999999999</c:v>
                </c:pt>
                <c:pt idx="331">
                  <c:v>200.804</c:v>
                </c:pt>
                <c:pt idx="332">
                  <c:v>202.91300000000001</c:v>
                </c:pt>
                <c:pt idx="333">
                  <c:v>202.91300000000001</c:v>
                </c:pt>
                <c:pt idx="334">
                  <c:v>197.70500000000001</c:v>
                </c:pt>
                <c:pt idx="335">
                  <c:v>198.12899999999999</c:v>
                </c:pt>
                <c:pt idx="336">
                  <c:v>202.13399999999999</c:v>
                </c:pt>
                <c:pt idx="337">
                  <c:v>206.315</c:v>
                </c:pt>
                <c:pt idx="338">
                  <c:v>204.03100000000001</c:v>
                </c:pt>
                <c:pt idx="339">
                  <c:v>204.14099999999999</c:v>
                </c:pt>
                <c:pt idx="340">
                  <c:v>220.50700000000001</c:v>
                </c:pt>
                <c:pt idx="341">
                  <c:v>239.69399999999999</c:v>
                </c:pt>
                <c:pt idx="342">
                  <c:v>240.20699999999999</c:v>
                </c:pt>
                <c:pt idx="343">
                  <c:v>239.166</c:v>
                </c:pt>
                <c:pt idx="344">
                  <c:v>237.87899999999999</c:v>
                </c:pt>
                <c:pt idx="345">
                  <c:v>236.60300000000001</c:v>
                </c:pt>
                <c:pt idx="346">
                  <c:v>239.96899999999999</c:v>
                </c:pt>
                <c:pt idx="347">
                  <c:v>235.09800000000001</c:v>
                </c:pt>
                <c:pt idx="348">
                  <c:v>235.19800000000001</c:v>
                </c:pt>
                <c:pt idx="349">
                  <c:v>236.02</c:v>
                </c:pt>
                <c:pt idx="350">
                  <c:v>229.249</c:v>
                </c:pt>
                <c:pt idx="351">
                  <c:v>218.21899999999999</c:v>
                </c:pt>
                <c:pt idx="352">
                  <c:v>214.03899999999999</c:v>
                </c:pt>
                <c:pt idx="353">
                  <c:v>216.52500000000001</c:v>
                </c:pt>
                <c:pt idx="354">
                  <c:v>208.07400000000001</c:v>
                </c:pt>
                <c:pt idx="355">
                  <c:v>200.898</c:v>
                </c:pt>
                <c:pt idx="356">
                  <c:v>195.81399999999999</c:v>
                </c:pt>
                <c:pt idx="357">
                  <c:v>196.45699999999999</c:v>
                </c:pt>
                <c:pt idx="358">
                  <c:v>190.24100000000001</c:v>
                </c:pt>
                <c:pt idx="359">
                  <c:v>179.51599999999999</c:v>
                </c:pt>
                <c:pt idx="360">
                  <c:v>166.78100000000001</c:v>
                </c:pt>
                <c:pt idx="361">
                  <c:v>160.42599999999999</c:v>
                </c:pt>
                <c:pt idx="362">
                  <c:v>155.422</c:v>
                </c:pt>
                <c:pt idx="363">
                  <c:v>154.36799999999999</c:v>
                </c:pt>
                <c:pt idx="364">
                  <c:v>154.36799999999999</c:v>
                </c:pt>
                <c:pt idx="365">
                  <c:v>146.41800000000001</c:v>
                </c:pt>
                <c:pt idx="366">
                  <c:v>143.99100000000001</c:v>
                </c:pt>
                <c:pt idx="367">
                  <c:v>143.71</c:v>
                </c:pt>
                <c:pt idx="368">
                  <c:v>142.203</c:v>
                </c:pt>
                <c:pt idx="369">
                  <c:v>142.083</c:v>
                </c:pt>
                <c:pt idx="370">
                  <c:v>139.56899999999999</c:v>
                </c:pt>
                <c:pt idx="371">
                  <c:v>126.693</c:v>
                </c:pt>
                <c:pt idx="372">
                  <c:v>117.367</c:v>
                </c:pt>
                <c:pt idx="373">
                  <c:v>109.55800000000001</c:v>
                </c:pt>
                <c:pt idx="374">
                  <c:v>104.717</c:v>
                </c:pt>
                <c:pt idx="375">
                  <c:v>109.398</c:v>
                </c:pt>
                <c:pt idx="376">
                  <c:v>113.426</c:v>
                </c:pt>
                <c:pt idx="377">
                  <c:v>123.154</c:v>
                </c:pt>
                <c:pt idx="378">
                  <c:v>128.21899999999999</c:v>
                </c:pt>
                <c:pt idx="379">
                  <c:v>136.84</c:v>
                </c:pt>
                <c:pt idx="380">
                  <c:v>132.05799999999999</c:v>
                </c:pt>
                <c:pt idx="381">
                  <c:v>131.982</c:v>
                </c:pt>
                <c:pt idx="382">
                  <c:v>132.334</c:v>
                </c:pt>
                <c:pt idx="383">
                  <c:v>131.589</c:v>
                </c:pt>
                <c:pt idx="384">
                  <c:v>132.57300000000001</c:v>
                </c:pt>
                <c:pt idx="385">
                  <c:v>130.17500000000001</c:v>
                </c:pt>
                <c:pt idx="386">
                  <c:v>130.36699999999999</c:v>
                </c:pt>
                <c:pt idx="387">
                  <c:v>138.19900000000001</c:v>
                </c:pt>
                <c:pt idx="388">
                  <c:v>137.68299999999999</c:v>
                </c:pt>
                <c:pt idx="389">
                  <c:v>140.22499999999999</c:v>
                </c:pt>
                <c:pt idx="390">
                  <c:v>143.16900000000001</c:v>
                </c:pt>
                <c:pt idx="391">
                  <c:v>140.41399999999999</c:v>
                </c:pt>
                <c:pt idx="392">
                  <c:v>137.74600000000001</c:v>
                </c:pt>
                <c:pt idx="393">
                  <c:v>137.74600000000001</c:v>
                </c:pt>
                <c:pt idx="394">
                  <c:v>135.72999999999999</c:v>
                </c:pt>
                <c:pt idx="395">
                  <c:v>136.06800000000001</c:v>
                </c:pt>
                <c:pt idx="396">
                  <c:v>136.15700000000001</c:v>
                </c:pt>
                <c:pt idx="397">
                  <c:v>134.61600000000001</c:v>
                </c:pt>
                <c:pt idx="398">
                  <c:v>135.715</c:v>
                </c:pt>
                <c:pt idx="399">
                  <c:v>132.63</c:v>
                </c:pt>
                <c:pt idx="400">
                  <c:v>133.79</c:v>
                </c:pt>
                <c:pt idx="401">
                  <c:v>132.66200000000001</c:v>
                </c:pt>
                <c:pt idx="402">
                  <c:v>131.42699999999999</c:v>
                </c:pt>
                <c:pt idx="403">
                  <c:v>131.87100000000001</c:v>
                </c:pt>
                <c:pt idx="404">
                  <c:v>130.06299999999999</c:v>
                </c:pt>
                <c:pt idx="405">
                  <c:v>128.79400000000001</c:v>
                </c:pt>
                <c:pt idx="406">
                  <c:v>130.04300000000001</c:v>
                </c:pt>
                <c:pt idx="407">
                  <c:v>129.10900000000001</c:v>
                </c:pt>
                <c:pt idx="408">
                  <c:v>129.54599999999999</c:v>
                </c:pt>
                <c:pt idx="409">
                  <c:v>130.80099999999999</c:v>
                </c:pt>
                <c:pt idx="410">
                  <c:v>127.736</c:v>
                </c:pt>
                <c:pt idx="411">
                  <c:v>127.53400000000001</c:v>
                </c:pt>
                <c:pt idx="412">
                  <c:v>127.92700000000001</c:v>
                </c:pt>
                <c:pt idx="413">
                  <c:v>128.88900000000001</c:v>
                </c:pt>
                <c:pt idx="414">
                  <c:v>124.795</c:v>
                </c:pt>
                <c:pt idx="415">
                  <c:v>121.274</c:v>
                </c:pt>
                <c:pt idx="416">
                  <c:v>112.955</c:v>
                </c:pt>
                <c:pt idx="417">
                  <c:v>105.84399999999999</c:v>
                </c:pt>
                <c:pt idx="418">
                  <c:v>99.481999999999999</c:v>
                </c:pt>
                <c:pt idx="419">
                  <c:v>94.936000000000007</c:v>
                </c:pt>
                <c:pt idx="420">
                  <c:v>87.843999999999994</c:v>
                </c:pt>
                <c:pt idx="421">
                  <c:v>86.093000000000004</c:v>
                </c:pt>
                <c:pt idx="422">
                  <c:v>87.323999999999998</c:v>
                </c:pt>
                <c:pt idx="423">
                  <c:v>88.262</c:v>
                </c:pt>
                <c:pt idx="424">
                  <c:v>89.828999999999994</c:v>
                </c:pt>
                <c:pt idx="425">
                  <c:v>97.221999999999994</c:v>
                </c:pt>
                <c:pt idx="426">
                  <c:v>100.393</c:v>
                </c:pt>
                <c:pt idx="427">
                  <c:v>102.435</c:v>
                </c:pt>
                <c:pt idx="428">
                  <c:v>108.33799999999999</c:v>
                </c:pt>
                <c:pt idx="429">
                  <c:v>109.828</c:v>
                </c:pt>
                <c:pt idx="430">
                  <c:v>107.05500000000001</c:v>
                </c:pt>
                <c:pt idx="431">
                  <c:v>106.378</c:v>
                </c:pt>
                <c:pt idx="432">
                  <c:v>109.06100000000001</c:v>
                </c:pt>
                <c:pt idx="433">
                  <c:v>108.462</c:v>
                </c:pt>
                <c:pt idx="434">
                  <c:v>107.84099999999999</c:v>
                </c:pt>
                <c:pt idx="435">
                  <c:v>108.248</c:v>
                </c:pt>
                <c:pt idx="436">
                  <c:v>103.581</c:v>
                </c:pt>
                <c:pt idx="437">
                  <c:v>102.018</c:v>
                </c:pt>
                <c:pt idx="438">
                  <c:v>104.887</c:v>
                </c:pt>
                <c:pt idx="439">
                  <c:v>104.887</c:v>
                </c:pt>
                <c:pt idx="440">
                  <c:v>107.74299999999999</c:v>
                </c:pt>
                <c:pt idx="441">
                  <c:v>111.872</c:v>
                </c:pt>
                <c:pt idx="442">
                  <c:v>111.342</c:v>
                </c:pt>
                <c:pt idx="443">
                  <c:v>111.148</c:v>
                </c:pt>
                <c:pt idx="444">
                  <c:v>114.148</c:v>
                </c:pt>
                <c:pt idx="445">
                  <c:v>114.52</c:v>
                </c:pt>
                <c:pt idx="446">
                  <c:v>112.648</c:v>
                </c:pt>
                <c:pt idx="447">
                  <c:v>114.01600000000001</c:v>
                </c:pt>
                <c:pt idx="448">
                  <c:v>114.342</c:v>
                </c:pt>
                <c:pt idx="449">
                  <c:v>117.898</c:v>
                </c:pt>
                <c:pt idx="450">
                  <c:v>122.917</c:v>
                </c:pt>
                <c:pt idx="451">
                  <c:v>124.166</c:v>
                </c:pt>
                <c:pt idx="452">
                  <c:v>129.93199999999999</c:v>
                </c:pt>
                <c:pt idx="453">
                  <c:v>131.83000000000001</c:v>
                </c:pt>
                <c:pt idx="454">
                  <c:v>132.297</c:v>
                </c:pt>
                <c:pt idx="455">
                  <c:v>134.72300000000001</c:v>
                </c:pt>
                <c:pt idx="456">
                  <c:v>134.375</c:v>
                </c:pt>
                <c:pt idx="457">
                  <c:v>130.66200000000001</c:v>
                </c:pt>
                <c:pt idx="458">
                  <c:v>131.54499999999999</c:v>
                </c:pt>
                <c:pt idx="459">
                  <c:v>128.89400000000001</c:v>
                </c:pt>
                <c:pt idx="460">
                  <c:v>125.83799999999999</c:v>
                </c:pt>
                <c:pt idx="461">
                  <c:v>121.32599999999999</c:v>
                </c:pt>
                <c:pt idx="462">
                  <c:v>118.604</c:v>
                </c:pt>
                <c:pt idx="463">
                  <c:v>118.38</c:v>
                </c:pt>
                <c:pt idx="464">
                  <c:v>118.38</c:v>
                </c:pt>
                <c:pt idx="465">
                  <c:v>116.65300000000001</c:v>
                </c:pt>
                <c:pt idx="466">
                  <c:v>119.134</c:v>
                </c:pt>
                <c:pt idx="467">
                  <c:v>120.236</c:v>
                </c:pt>
                <c:pt idx="468">
                  <c:v>117.883</c:v>
                </c:pt>
                <c:pt idx="469">
                  <c:v>114.654</c:v>
                </c:pt>
                <c:pt idx="470">
                  <c:v>114.10899999999999</c:v>
                </c:pt>
                <c:pt idx="471">
                  <c:v>112.684</c:v>
                </c:pt>
                <c:pt idx="472">
                  <c:v>112.685</c:v>
                </c:pt>
                <c:pt idx="473">
                  <c:v>111.125</c:v>
                </c:pt>
                <c:pt idx="474">
                  <c:v>114.446</c:v>
                </c:pt>
                <c:pt idx="475">
                  <c:v>116.21</c:v>
                </c:pt>
                <c:pt idx="476">
                  <c:v>118.61</c:v>
                </c:pt>
                <c:pt idx="477">
                  <c:v>115.642</c:v>
                </c:pt>
                <c:pt idx="478">
                  <c:v>113.09</c:v>
                </c:pt>
                <c:pt idx="479">
                  <c:v>111.57299999999999</c:v>
                </c:pt>
                <c:pt idx="480">
                  <c:v>109.11799999999999</c:v>
                </c:pt>
                <c:pt idx="481">
                  <c:v>109.351</c:v>
                </c:pt>
                <c:pt idx="482">
                  <c:v>104.41500000000001</c:v>
                </c:pt>
                <c:pt idx="483">
                  <c:v>98.548000000000002</c:v>
                </c:pt>
                <c:pt idx="484">
                  <c:v>96.578000000000003</c:v>
                </c:pt>
                <c:pt idx="485">
                  <c:v>88.146000000000001</c:v>
                </c:pt>
                <c:pt idx="486">
                  <c:v>88.146000000000001</c:v>
                </c:pt>
                <c:pt idx="487">
                  <c:v>87.149000000000001</c:v>
                </c:pt>
                <c:pt idx="488">
                  <c:v>88.054000000000002</c:v>
                </c:pt>
                <c:pt idx="489">
                  <c:v>88.754999999999995</c:v>
                </c:pt>
                <c:pt idx="490">
                  <c:v>84.4</c:v>
                </c:pt>
                <c:pt idx="491">
                  <c:v>84.921999999999997</c:v>
                </c:pt>
                <c:pt idx="492">
                  <c:v>82.188999999999993</c:v>
                </c:pt>
                <c:pt idx="493">
                  <c:v>80.911000000000001</c:v>
                </c:pt>
                <c:pt idx="494">
                  <c:v>79.727000000000004</c:v>
                </c:pt>
                <c:pt idx="495">
                  <c:v>77.521000000000001</c:v>
                </c:pt>
                <c:pt idx="496">
                  <c:v>74.38</c:v>
                </c:pt>
                <c:pt idx="497">
                  <c:v>74.38</c:v>
                </c:pt>
                <c:pt idx="498">
                  <c:v>73.734999999999999</c:v>
                </c:pt>
                <c:pt idx="499">
                  <c:v>73.917000000000002</c:v>
                </c:pt>
                <c:pt idx="500">
                  <c:v>74.662000000000006</c:v>
                </c:pt>
                <c:pt idx="501">
                  <c:v>72.19</c:v>
                </c:pt>
                <c:pt idx="502">
                  <c:v>71.730999999999995</c:v>
                </c:pt>
                <c:pt idx="503">
                  <c:v>68.771000000000001</c:v>
                </c:pt>
                <c:pt idx="504">
                  <c:v>67.897999999999996</c:v>
                </c:pt>
                <c:pt idx="505">
                  <c:v>69.400000000000006</c:v>
                </c:pt>
                <c:pt idx="506">
                  <c:v>67.522000000000006</c:v>
                </c:pt>
                <c:pt idx="507">
                  <c:v>66.903000000000006</c:v>
                </c:pt>
                <c:pt idx="508">
                  <c:v>69.477000000000004</c:v>
                </c:pt>
                <c:pt idx="509">
                  <c:v>69.521000000000001</c:v>
                </c:pt>
                <c:pt idx="510">
                  <c:v>69.436999999999998</c:v>
                </c:pt>
                <c:pt idx="511">
                  <c:v>67.912000000000006</c:v>
                </c:pt>
                <c:pt idx="512">
                  <c:v>65.847999999999999</c:v>
                </c:pt>
                <c:pt idx="513">
                  <c:v>61.572000000000003</c:v>
                </c:pt>
                <c:pt idx="514">
                  <c:v>64.087000000000003</c:v>
                </c:pt>
                <c:pt idx="515">
                  <c:v>62.383000000000003</c:v>
                </c:pt>
                <c:pt idx="516">
                  <c:v>60.668999999999997</c:v>
                </c:pt>
                <c:pt idx="517">
                  <c:v>58.536000000000001</c:v>
                </c:pt>
                <c:pt idx="518">
                  <c:v>58.536000000000001</c:v>
                </c:pt>
                <c:pt idx="519">
                  <c:v>58.978000000000002</c:v>
                </c:pt>
                <c:pt idx="520">
                  <c:v>58.753</c:v>
                </c:pt>
                <c:pt idx="521">
                  <c:v>56.701999999999998</c:v>
                </c:pt>
                <c:pt idx="522">
                  <c:v>57.195999999999998</c:v>
                </c:pt>
                <c:pt idx="523">
                  <c:v>57.195999999999998</c:v>
                </c:pt>
                <c:pt idx="524">
                  <c:v>57.198999999999998</c:v>
                </c:pt>
                <c:pt idx="525">
                  <c:v>55.292999999999999</c:v>
                </c:pt>
                <c:pt idx="526">
                  <c:v>52.533000000000001</c:v>
                </c:pt>
                <c:pt idx="527">
                  <c:v>53.02</c:v>
                </c:pt>
                <c:pt idx="528">
                  <c:v>50.054000000000002</c:v>
                </c:pt>
                <c:pt idx="529">
                  <c:v>49.066000000000003</c:v>
                </c:pt>
                <c:pt idx="530">
                  <c:v>46.808999999999997</c:v>
                </c:pt>
                <c:pt idx="531">
                  <c:v>47.017000000000003</c:v>
                </c:pt>
                <c:pt idx="532">
                  <c:v>47.933</c:v>
                </c:pt>
                <c:pt idx="533">
                  <c:v>48.155999999999999</c:v>
                </c:pt>
                <c:pt idx="534">
                  <c:v>48.155999999999999</c:v>
                </c:pt>
                <c:pt idx="535">
                  <c:v>48.978000000000002</c:v>
                </c:pt>
                <c:pt idx="536">
                  <c:v>49.531999999999996</c:v>
                </c:pt>
                <c:pt idx="537">
                  <c:v>48.883000000000003</c:v>
                </c:pt>
                <c:pt idx="538">
                  <c:v>49.41</c:v>
                </c:pt>
                <c:pt idx="539">
                  <c:v>49.908999999999999</c:v>
                </c:pt>
                <c:pt idx="540">
                  <c:v>50.834000000000003</c:v>
                </c:pt>
                <c:pt idx="541">
                  <c:v>49.695999999999998</c:v>
                </c:pt>
                <c:pt idx="542">
                  <c:v>50.076000000000001</c:v>
                </c:pt>
                <c:pt idx="543">
                  <c:v>47.902999999999999</c:v>
                </c:pt>
                <c:pt idx="544">
                  <c:v>46.991999999999997</c:v>
                </c:pt>
                <c:pt idx="545">
                  <c:v>45.712000000000003</c:v>
                </c:pt>
                <c:pt idx="546">
                  <c:v>43.91</c:v>
                </c:pt>
                <c:pt idx="547">
                  <c:v>42.734999999999999</c:v>
                </c:pt>
                <c:pt idx="548">
                  <c:v>41.9</c:v>
                </c:pt>
                <c:pt idx="549">
                  <c:v>40.58</c:v>
                </c:pt>
                <c:pt idx="550">
                  <c:v>42.098999999999997</c:v>
                </c:pt>
                <c:pt idx="551">
                  <c:v>41.384</c:v>
                </c:pt>
                <c:pt idx="552">
                  <c:v>42.722999999999999</c:v>
                </c:pt>
                <c:pt idx="553">
                  <c:v>41.524000000000001</c:v>
                </c:pt>
                <c:pt idx="554">
                  <c:v>41.524000000000001</c:v>
                </c:pt>
                <c:pt idx="555">
                  <c:v>38.713000000000001</c:v>
                </c:pt>
                <c:pt idx="556">
                  <c:v>39.610999999999997</c:v>
                </c:pt>
                <c:pt idx="557">
                  <c:v>41.718000000000004</c:v>
                </c:pt>
                <c:pt idx="558">
                  <c:v>40.942999999999998</c:v>
                </c:pt>
                <c:pt idx="559">
                  <c:v>40.549999999999997</c:v>
                </c:pt>
                <c:pt idx="560">
                  <c:v>42.756999999999998</c:v>
                </c:pt>
                <c:pt idx="561">
                  <c:v>42.895000000000003</c:v>
                </c:pt>
                <c:pt idx="562">
                  <c:v>39.167000000000002</c:v>
                </c:pt>
                <c:pt idx="563">
                  <c:v>38.064</c:v>
                </c:pt>
                <c:pt idx="564">
                  <c:v>42.658999999999999</c:v>
                </c:pt>
                <c:pt idx="565">
                  <c:v>43.161000000000001</c:v>
                </c:pt>
                <c:pt idx="566">
                  <c:v>43.213000000000001</c:v>
                </c:pt>
                <c:pt idx="567">
                  <c:v>42.975999999999999</c:v>
                </c:pt>
                <c:pt idx="568">
                  <c:v>44.689</c:v>
                </c:pt>
                <c:pt idx="569">
                  <c:v>44.98</c:v>
                </c:pt>
                <c:pt idx="570">
                  <c:v>50.921999999999997</c:v>
                </c:pt>
                <c:pt idx="571">
                  <c:v>48.28</c:v>
                </c:pt>
                <c:pt idx="572">
                  <c:v>50.273000000000003</c:v>
                </c:pt>
                <c:pt idx="573">
                  <c:v>45.24</c:v>
                </c:pt>
                <c:pt idx="574">
                  <c:v>45.478999999999999</c:v>
                </c:pt>
                <c:pt idx="575">
                  <c:v>45.570999999999998</c:v>
                </c:pt>
                <c:pt idx="576">
                  <c:v>43.823999999999998</c:v>
                </c:pt>
                <c:pt idx="577">
                  <c:v>44.732999999999997</c:v>
                </c:pt>
                <c:pt idx="578">
                  <c:v>44.594999999999999</c:v>
                </c:pt>
                <c:pt idx="579">
                  <c:v>43.363999999999997</c:v>
                </c:pt>
                <c:pt idx="580">
                  <c:v>43.976999999999997</c:v>
                </c:pt>
                <c:pt idx="581">
                  <c:v>43.68</c:v>
                </c:pt>
                <c:pt idx="582">
                  <c:v>42.332999999999998</c:v>
                </c:pt>
                <c:pt idx="583">
                  <c:v>39.875</c:v>
                </c:pt>
                <c:pt idx="584">
                  <c:v>40.417000000000002</c:v>
                </c:pt>
                <c:pt idx="585">
                  <c:v>35.654000000000003</c:v>
                </c:pt>
                <c:pt idx="586">
                  <c:v>35.594999999999999</c:v>
                </c:pt>
                <c:pt idx="587">
                  <c:v>32.609000000000002</c:v>
                </c:pt>
                <c:pt idx="588">
                  <c:v>33.381</c:v>
                </c:pt>
                <c:pt idx="589">
                  <c:v>27.370999999999999</c:v>
                </c:pt>
                <c:pt idx="590">
                  <c:v>29.170999999999999</c:v>
                </c:pt>
                <c:pt idx="591">
                  <c:v>33.545999999999999</c:v>
                </c:pt>
                <c:pt idx="592">
                  <c:v>33.334000000000003</c:v>
                </c:pt>
                <c:pt idx="593">
                  <c:v>30.911000000000001</c:v>
                </c:pt>
                <c:pt idx="594">
                  <c:v>31.454999999999998</c:v>
                </c:pt>
                <c:pt idx="595">
                  <c:v>31.166</c:v>
                </c:pt>
                <c:pt idx="596">
                  <c:v>32.314999999999998</c:v>
                </c:pt>
                <c:pt idx="597">
                  <c:v>32.652000000000001</c:v>
                </c:pt>
                <c:pt idx="598">
                  <c:v>32.219000000000001</c:v>
                </c:pt>
                <c:pt idx="599">
                  <c:v>32.478999999999999</c:v>
                </c:pt>
                <c:pt idx="600">
                  <c:v>33.476999999999997</c:v>
                </c:pt>
                <c:pt idx="601">
                  <c:v>33.930999999999997</c:v>
                </c:pt>
                <c:pt idx="602">
                  <c:v>33.11</c:v>
                </c:pt>
                <c:pt idx="603">
                  <c:v>32.451999999999998</c:v>
                </c:pt>
                <c:pt idx="604">
                  <c:v>29.343</c:v>
                </c:pt>
                <c:pt idx="605">
                  <c:v>28.963999999999999</c:v>
                </c:pt>
                <c:pt idx="606">
                  <c:v>26.401</c:v>
                </c:pt>
                <c:pt idx="607">
                  <c:v>26.02</c:v>
                </c:pt>
                <c:pt idx="608">
                  <c:v>28.013999999999999</c:v>
                </c:pt>
                <c:pt idx="609">
                  <c:v>26.853000000000002</c:v>
                </c:pt>
                <c:pt idx="610">
                  <c:v>29.091999999999999</c:v>
                </c:pt>
                <c:pt idx="611">
                  <c:v>28.963999999999999</c:v>
                </c:pt>
                <c:pt idx="612">
                  <c:v>29.317</c:v>
                </c:pt>
                <c:pt idx="613">
                  <c:v>27.242000000000001</c:v>
                </c:pt>
                <c:pt idx="614">
                  <c:v>30.472000000000001</c:v>
                </c:pt>
                <c:pt idx="615">
                  <c:v>29.855</c:v>
                </c:pt>
                <c:pt idx="616">
                  <c:v>30.245000000000001</c:v>
                </c:pt>
                <c:pt idx="617">
                  <c:v>29.056999999999999</c:v>
                </c:pt>
                <c:pt idx="618">
                  <c:v>32.417000000000002</c:v>
                </c:pt>
                <c:pt idx="619">
                  <c:v>29.914000000000001</c:v>
                </c:pt>
                <c:pt idx="620">
                  <c:v>31.753</c:v>
                </c:pt>
                <c:pt idx="621">
                  <c:v>32.433999999999997</c:v>
                </c:pt>
                <c:pt idx="622">
                  <c:v>31.692</c:v>
                </c:pt>
                <c:pt idx="623">
                  <c:v>33.122999999999998</c:v>
                </c:pt>
                <c:pt idx="624">
                  <c:v>33.023000000000003</c:v>
                </c:pt>
                <c:pt idx="625">
                  <c:v>34.206000000000003</c:v>
                </c:pt>
                <c:pt idx="626">
                  <c:v>36.378</c:v>
                </c:pt>
                <c:pt idx="627">
                  <c:v>34.216000000000001</c:v>
                </c:pt>
                <c:pt idx="628">
                  <c:v>32.423999999999999</c:v>
                </c:pt>
                <c:pt idx="629">
                  <c:v>32.423999999999999</c:v>
                </c:pt>
                <c:pt idx="630">
                  <c:v>31.969000000000001</c:v>
                </c:pt>
                <c:pt idx="631">
                  <c:v>32.137999999999998</c:v>
                </c:pt>
                <c:pt idx="632">
                  <c:v>31.266999999999999</c:v>
                </c:pt>
                <c:pt idx="633">
                  <c:v>29.584</c:v>
                </c:pt>
                <c:pt idx="634">
                  <c:v>31.978000000000002</c:v>
                </c:pt>
                <c:pt idx="635">
                  <c:v>33.979999999999997</c:v>
                </c:pt>
                <c:pt idx="636">
                  <c:v>35.290999999999997</c:v>
                </c:pt>
                <c:pt idx="637">
                  <c:v>33.488</c:v>
                </c:pt>
                <c:pt idx="638">
                  <c:v>34.514000000000003</c:v>
                </c:pt>
                <c:pt idx="639">
                  <c:v>30.736999999999998</c:v>
                </c:pt>
                <c:pt idx="640">
                  <c:v>29.914999999999999</c:v>
                </c:pt>
                <c:pt idx="641">
                  <c:v>31.501999999999999</c:v>
                </c:pt>
                <c:pt idx="642">
                  <c:v>26.67</c:v>
                </c:pt>
                <c:pt idx="643">
                  <c:v>24.609000000000002</c:v>
                </c:pt>
                <c:pt idx="644">
                  <c:v>21.1</c:v>
                </c:pt>
                <c:pt idx="645">
                  <c:v>22.695</c:v>
                </c:pt>
                <c:pt idx="646">
                  <c:v>23.779</c:v>
                </c:pt>
                <c:pt idx="647">
                  <c:v>20.286999999999999</c:v>
                </c:pt>
                <c:pt idx="648">
                  <c:v>19.259</c:v>
                </c:pt>
                <c:pt idx="649">
                  <c:v>17.794</c:v>
                </c:pt>
                <c:pt idx="650">
                  <c:v>18.856000000000002</c:v>
                </c:pt>
                <c:pt idx="651">
                  <c:v>20.248000000000001</c:v>
                </c:pt>
                <c:pt idx="652">
                  <c:v>18.201000000000001</c:v>
                </c:pt>
                <c:pt idx="653">
                  <c:v>18.202999999999999</c:v>
                </c:pt>
                <c:pt idx="654">
                  <c:v>18.202999999999999</c:v>
                </c:pt>
                <c:pt idx="655">
                  <c:v>23.132000000000001</c:v>
                </c:pt>
                <c:pt idx="656">
                  <c:v>25.064</c:v>
                </c:pt>
                <c:pt idx="657">
                  <c:v>30.154</c:v>
                </c:pt>
                <c:pt idx="658">
                  <c:v>27.076000000000001</c:v>
                </c:pt>
                <c:pt idx="659">
                  <c:v>26.876999999999999</c:v>
                </c:pt>
                <c:pt idx="660">
                  <c:v>24.93</c:v>
                </c:pt>
                <c:pt idx="661">
                  <c:v>22.010999999999999</c:v>
                </c:pt>
                <c:pt idx="662">
                  <c:v>25.763999999999999</c:v>
                </c:pt>
                <c:pt idx="663">
                  <c:v>23.003</c:v>
                </c:pt>
                <c:pt idx="664">
                  <c:v>26.995000000000001</c:v>
                </c:pt>
                <c:pt idx="665">
                  <c:v>36.423000000000002</c:v>
                </c:pt>
                <c:pt idx="666">
                  <c:v>33.255000000000003</c:v>
                </c:pt>
                <c:pt idx="667">
                  <c:v>29.027000000000001</c:v>
                </c:pt>
                <c:pt idx="668">
                  <c:v>29.861999999999998</c:v>
                </c:pt>
                <c:pt idx="669">
                  <c:v>31.908999999999999</c:v>
                </c:pt>
                <c:pt idx="670">
                  <c:v>31.016999999999999</c:v>
                </c:pt>
                <c:pt idx="671">
                  <c:v>31.376999999999999</c:v>
                </c:pt>
                <c:pt idx="672">
                  <c:v>28.106000000000002</c:v>
                </c:pt>
                <c:pt idx="673">
                  <c:v>30.553999999999998</c:v>
                </c:pt>
                <c:pt idx="674">
                  <c:v>32.680999999999997</c:v>
                </c:pt>
                <c:pt idx="675">
                  <c:v>34.026000000000003</c:v>
                </c:pt>
                <c:pt idx="676">
                  <c:v>34.752000000000002</c:v>
                </c:pt>
                <c:pt idx="677">
                  <c:v>30.89</c:v>
                </c:pt>
                <c:pt idx="678">
                  <c:v>26.856000000000002</c:v>
                </c:pt>
                <c:pt idx="679">
                  <c:v>24.137</c:v>
                </c:pt>
                <c:pt idx="680">
                  <c:v>22.66</c:v>
                </c:pt>
                <c:pt idx="681">
                  <c:v>20.765000000000001</c:v>
                </c:pt>
                <c:pt idx="682">
                  <c:v>22.751999999999999</c:v>
                </c:pt>
                <c:pt idx="683">
                  <c:v>22.065000000000001</c:v>
                </c:pt>
                <c:pt idx="684">
                  <c:v>24.388999999999999</c:v>
                </c:pt>
                <c:pt idx="685">
                  <c:v>28.087</c:v>
                </c:pt>
                <c:pt idx="686">
                  <c:v>24.992000000000001</c:v>
                </c:pt>
                <c:pt idx="687">
                  <c:v>25.536000000000001</c:v>
                </c:pt>
                <c:pt idx="688">
                  <c:v>24.63</c:v>
                </c:pt>
                <c:pt idx="689">
                  <c:v>21.036000000000001</c:v>
                </c:pt>
                <c:pt idx="690">
                  <c:v>25.158000000000001</c:v>
                </c:pt>
                <c:pt idx="691">
                  <c:v>23.873999999999999</c:v>
                </c:pt>
                <c:pt idx="692">
                  <c:v>21.294</c:v>
                </c:pt>
                <c:pt idx="693">
                  <c:v>21.369</c:v>
                </c:pt>
                <c:pt idx="694">
                  <c:v>24.881</c:v>
                </c:pt>
                <c:pt idx="695">
                  <c:v>26.73</c:v>
                </c:pt>
                <c:pt idx="696">
                  <c:v>24.911999999999999</c:v>
                </c:pt>
                <c:pt idx="697">
                  <c:v>24.946000000000002</c:v>
                </c:pt>
                <c:pt idx="698">
                  <c:v>24.507000000000001</c:v>
                </c:pt>
                <c:pt idx="699">
                  <c:v>24.507000000000001</c:v>
                </c:pt>
                <c:pt idx="700">
                  <c:v>23.353000000000002</c:v>
                </c:pt>
                <c:pt idx="701">
                  <c:v>23.498999999999999</c:v>
                </c:pt>
                <c:pt idx="702">
                  <c:v>24.19</c:v>
                </c:pt>
                <c:pt idx="703">
                  <c:v>23.971</c:v>
                </c:pt>
                <c:pt idx="704">
                  <c:v>23.353999999999999</c:v>
                </c:pt>
                <c:pt idx="705">
                  <c:v>23.353999999999999</c:v>
                </c:pt>
              </c:numCache>
            </c:numRef>
          </c:val>
          <c:smooth val="0"/>
          <c:extLst>
            <c:ext xmlns:c16="http://schemas.microsoft.com/office/drawing/2014/chart" uri="{C3380CC4-5D6E-409C-BE32-E72D297353CC}">
              <c16:uniqueId val="{00000006-6184-4726-8727-A5CE2BEB2AFE}"/>
            </c:ext>
          </c:extLst>
        </c:ser>
        <c:ser>
          <c:idx val="7"/>
          <c:order val="7"/>
          <c:tx>
            <c:strRef>
              <c:f>Sheet1!$I$1</c:f>
              <c:strCache>
                <c:ptCount val="1"/>
                <c:pt idx="0">
                  <c:v>Ուկրաինա ( 2025 թ.)</c:v>
                </c:pt>
              </c:strCache>
            </c:strRef>
          </c:tx>
          <c:spPr>
            <a:ln w="28575" cap="rnd">
              <a:solidFill>
                <a:schemeClr val="accent4">
                  <a:lumMod val="75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Sheet1!$I$2:$I$707</c:f>
              <c:numCache>
                <c:formatCode>_(* #,##0_);_(* \(#,##0\);_(* "-"??_);_(@_)</c:formatCode>
                <c:ptCount val="706"/>
                <c:pt idx="0">
                  <c:v>788.10599999999999</c:v>
                </c:pt>
                <c:pt idx="1">
                  <c:v>804.41800000000001</c:v>
                </c:pt>
                <c:pt idx="2">
                  <c:v>830.60799999999995</c:v>
                </c:pt>
                <c:pt idx="3">
                  <c:v>802.71900000000005</c:v>
                </c:pt>
                <c:pt idx="4">
                  <c:v>778.33799999999997</c:v>
                </c:pt>
                <c:pt idx="5">
                  <c:v>777.89200000000005</c:v>
                </c:pt>
                <c:pt idx="6">
                  <c:v>765.27200000000005</c:v>
                </c:pt>
                <c:pt idx="7">
                  <c:v>762.79499999999996</c:v>
                </c:pt>
                <c:pt idx="8">
                  <c:v>756.13499999999999</c:v>
                </c:pt>
                <c:pt idx="9">
                  <c:v>749.86099999999999</c:v>
                </c:pt>
                <c:pt idx="10">
                  <c:v>723.64700000000005</c:v>
                </c:pt>
                <c:pt idx="11">
                  <c:v>700.47500000000002</c:v>
                </c:pt>
                <c:pt idx="12">
                  <c:v>701.26199999999994</c:v>
                </c:pt>
                <c:pt idx="13">
                  <c:v>661.12900000000002</c:v>
                </c:pt>
                <c:pt idx="14">
                  <c:v>664.36800000000005</c:v>
                </c:pt>
                <c:pt idx="15">
                  <c:v>681.18299999999999</c:v>
                </c:pt>
                <c:pt idx="16">
                  <c:v>671.77800000000002</c:v>
                </c:pt>
                <c:pt idx="17">
                  <c:v>661.88400000000001</c:v>
                </c:pt>
                <c:pt idx="18">
                  <c:v>663.755</c:v>
                </c:pt>
                <c:pt idx="19">
                  <c:v>683.08299999999997</c:v>
                </c:pt>
                <c:pt idx="20">
                  <c:v>695.16099999999994</c:v>
                </c:pt>
                <c:pt idx="21">
                  <c:v>705.12699999999995</c:v>
                </c:pt>
                <c:pt idx="22">
                  <c:v>684.82500000000005</c:v>
                </c:pt>
                <c:pt idx="23">
                  <c:v>675.90700000000004</c:v>
                </c:pt>
                <c:pt idx="24">
                  <c:v>686.07899999999995</c:v>
                </c:pt>
                <c:pt idx="25">
                  <c:v>677.87699999999995</c:v>
                </c:pt>
                <c:pt idx="26">
                  <c:v>686.995</c:v>
                </c:pt>
                <c:pt idx="27">
                  <c:v>709.73500000000001</c:v>
                </c:pt>
                <c:pt idx="28">
                  <c:v>731.74400000000003</c:v>
                </c:pt>
                <c:pt idx="29">
                  <c:v>751.40200000000004</c:v>
                </c:pt>
                <c:pt idx="30">
                  <c:v>758.76700000000005</c:v>
                </c:pt>
                <c:pt idx="31">
                  <c:v>742.37400000000002</c:v>
                </c:pt>
                <c:pt idx="32">
                  <c:v>751.36599999999999</c:v>
                </c:pt>
                <c:pt idx="33">
                  <c:v>734.15700000000004</c:v>
                </c:pt>
                <c:pt idx="34">
                  <c:v>729.21</c:v>
                </c:pt>
                <c:pt idx="35">
                  <c:v>708.58500000000004</c:v>
                </c:pt>
                <c:pt idx="36">
                  <c:v>694.86400000000003</c:v>
                </c:pt>
                <c:pt idx="37">
                  <c:v>680.94500000000005</c:v>
                </c:pt>
                <c:pt idx="38">
                  <c:v>657.827</c:v>
                </c:pt>
                <c:pt idx="39">
                  <c:v>646.67200000000003</c:v>
                </c:pt>
                <c:pt idx="40">
                  <c:v>649.54499999999996</c:v>
                </c:pt>
                <c:pt idx="41">
                  <c:v>648.90099999999995</c:v>
                </c:pt>
                <c:pt idx="42">
                  <c:v>650.548</c:v>
                </c:pt>
                <c:pt idx="43">
                  <c:v>648.20600000000002</c:v>
                </c:pt>
                <c:pt idx="44">
                  <c:v>656</c:v>
                </c:pt>
                <c:pt idx="45">
                  <c:v>663.18700000000001</c:v>
                </c:pt>
                <c:pt idx="46">
                  <c:v>662.63300000000004</c:v>
                </c:pt>
                <c:pt idx="47">
                  <c:v>676.70799999999997</c:v>
                </c:pt>
                <c:pt idx="48">
                  <c:v>678</c:v>
                </c:pt>
                <c:pt idx="49">
                  <c:v>652.93200000000002</c:v>
                </c:pt>
                <c:pt idx="50">
                  <c:v>653.93600000000004</c:v>
                </c:pt>
                <c:pt idx="51">
                  <c:v>655.24400000000003</c:v>
                </c:pt>
                <c:pt idx="52">
                  <c:v>652.44200000000001</c:v>
                </c:pt>
                <c:pt idx="53">
                  <c:v>636.27599999999995</c:v>
                </c:pt>
                <c:pt idx="54">
                  <c:v>623.52499999999998</c:v>
                </c:pt>
                <c:pt idx="55">
                  <c:v>618.84400000000005</c:v>
                </c:pt>
                <c:pt idx="56">
                  <c:v>632.04899999999998</c:v>
                </c:pt>
                <c:pt idx="57">
                  <c:v>618.82000000000005</c:v>
                </c:pt>
                <c:pt idx="58">
                  <c:v>634.76099999999997</c:v>
                </c:pt>
                <c:pt idx="59">
                  <c:v>644.52099999999996</c:v>
                </c:pt>
                <c:pt idx="60">
                  <c:v>637.21299999999997</c:v>
                </c:pt>
                <c:pt idx="61">
                  <c:v>645.63400000000001</c:v>
                </c:pt>
                <c:pt idx="62">
                  <c:v>645.83100000000002</c:v>
                </c:pt>
                <c:pt idx="63">
                  <c:v>636.01199999999994</c:v>
                </c:pt>
                <c:pt idx="64">
                  <c:v>611.56200000000001</c:v>
                </c:pt>
                <c:pt idx="65">
                  <c:v>606.84199999999998</c:v>
                </c:pt>
                <c:pt idx="66">
                  <c:v>599.22900000000004</c:v>
                </c:pt>
                <c:pt idx="67">
                  <c:v>600.23199999999997</c:v>
                </c:pt>
                <c:pt idx="68">
                  <c:v>591.64700000000005</c:v>
                </c:pt>
                <c:pt idx="69">
                  <c:v>582.79499999999996</c:v>
                </c:pt>
                <c:pt idx="70">
                  <c:v>572.40700000000004</c:v>
                </c:pt>
                <c:pt idx="71">
                  <c:v>589.21</c:v>
                </c:pt>
                <c:pt idx="72">
                  <c:v>591.71900000000005</c:v>
                </c:pt>
                <c:pt idx="73">
                  <c:v>587.952</c:v>
                </c:pt>
                <c:pt idx="74">
                  <c:v>587.43899999999996</c:v>
                </c:pt>
                <c:pt idx="75">
                  <c:v>574.20699999999999</c:v>
                </c:pt>
                <c:pt idx="76">
                  <c:v>570.84299999999996</c:v>
                </c:pt>
                <c:pt idx="77">
                  <c:v>597.36300000000006</c:v>
                </c:pt>
                <c:pt idx="78">
                  <c:v>597.36300000000006</c:v>
                </c:pt>
                <c:pt idx="79">
                  <c:v>596.44100000000003</c:v>
                </c:pt>
                <c:pt idx="80">
                  <c:v>606.35699999999997</c:v>
                </c:pt>
                <c:pt idx="81">
                  <c:v>631.99300000000005</c:v>
                </c:pt>
                <c:pt idx="82">
                  <c:v>653.35799999999995</c:v>
                </c:pt>
                <c:pt idx="83">
                  <c:v>656.28200000000004</c:v>
                </c:pt>
                <c:pt idx="84">
                  <c:v>664.67499999999995</c:v>
                </c:pt>
                <c:pt idx="85">
                  <c:v>653.10599999999999</c:v>
                </c:pt>
                <c:pt idx="86">
                  <c:v>633.21199999999999</c:v>
                </c:pt>
                <c:pt idx="87">
                  <c:v>637.52599999999995</c:v>
                </c:pt>
                <c:pt idx="88">
                  <c:v>632.74099999999999</c:v>
                </c:pt>
                <c:pt idx="89">
                  <c:v>638.78499999999997</c:v>
                </c:pt>
                <c:pt idx="90">
                  <c:v>648.55200000000002</c:v>
                </c:pt>
                <c:pt idx="91">
                  <c:v>657.16700000000003</c:v>
                </c:pt>
                <c:pt idx="92">
                  <c:v>665.303</c:v>
                </c:pt>
                <c:pt idx="93">
                  <c:v>656.72</c:v>
                </c:pt>
                <c:pt idx="94">
                  <c:v>676.23400000000004</c:v>
                </c:pt>
                <c:pt idx="95">
                  <c:v>670.82299999999998</c:v>
                </c:pt>
                <c:pt idx="96">
                  <c:v>659.22</c:v>
                </c:pt>
                <c:pt idx="97">
                  <c:v>650.61900000000003</c:v>
                </c:pt>
                <c:pt idx="98">
                  <c:v>656.33799999999997</c:v>
                </c:pt>
                <c:pt idx="99">
                  <c:v>653.59299999999996</c:v>
                </c:pt>
                <c:pt idx="100">
                  <c:v>642.69799999999998</c:v>
                </c:pt>
                <c:pt idx="101">
                  <c:v>659.89</c:v>
                </c:pt>
                <c:pt idx="102">
                  <c:v>674.57799999999997</c:v>
                </c:pt>
                <c:pt idx="103">
                  <c:v>670.06100000000004</c:v>
                </c:pt>
                <c:pt idx="104">
                  <c:v>667.86099999999999</c:v>
                </c:pt>
                <c:pt idx="105">
                  <c:v>682.81200000000001</c:v>
                </c:pt>
                <c:pt idx="106">
                  <c:v>674.12400000000002</c:v>
                </c:pt>
                <c:pt idx="107">
                  <c:v>662.60199999999998</c:v>
                </c:pt>
                <c:pt idx="108">
                  <c:v>683.43</c:v>
                </c:pt>
                <c:pt idx="109">
                  <c:v>689.44399999999996</c:v>
                </c:pt>
                <c:pt idx="110">
                  <c:v>668.77300000000002</c:v>
                </c:pt>
                <c:pt idx="111">
                  <c:v>645.93499999999995</c:v>
                </c:pt>
                <c:pt idx="112">
                  <c:v>622.61400000000003</c:v>
                </c:pt>
                <c:pt idx="113">
                  <c:v>601.80100000000004</c:v>
                </c:pt>
                <c:pt idx="114">
                  <c:v>583.05399999999997</c:v>
                </c:pt>
                <c:pt idx="115">
                  <c:v>588.26800000000003</c:v>
                </c:pt>
                <c:pt idx="116">
                  <c:v>602.54200000000003</c:v>
                </c:pt>
                <c:pt idx="117">
                  <c:v>602.99099999999999</c:v>
                </c:pt>
                <c:pt idx="118">
                  <c:v>581.77599999999995</c:v>
                </c:pt>
                <c:pt idx="119">
                  <c:v>583.46299999999997</c:v>
                </c:pt>
                <c:pt idx="120">
                  <c:v>571.18499999999995</c:v>
                </c:pt>
                <c:pt idx="121">
                  <c:v>565.78200000000004</c:v>
                </c:pt>
                <c:pt idx="122">
                  <c:v>536.97699999999998</c:v>
                </c:pt>
                <c:pt idx="123">
                  <c:v>538.55700000000002</c:v>
                </c:pt>
                <c:pt idx="124">
                  <c:v>542.154</c:v>
                </c:pt>
                <c:pt idx="125">
                  <c:v>550.36</c:v>
                </c:pt>
                <c:pt idx="126">
                  <c:v>532.77700000000004</c:v>
                </c:pt>
                <c:pt idx="127">
                  <c:v>524.42100000000005</c:v>
                </c:pt>
                <c:pt idx="128">
                  <c:v>520.62599999999998</c:v>
                </c:pt>
                <c:pt idx="129">
                  <c:v>510.84</c:v>
                </c:pt>
                <c:pt idx="130">
                  <c:v>531.74</c:v>
                </c:pt>
                <c:pt idx="131">
                  <c:v>525.55899999999997</c:v>
                </c:pt>
                <c:pt idx="132">
                  <c:v>525.50400000000002</c:v>
                </c:pt>
                <c:pt idx="133">
                  <c:v>525.21699999999998</c:v>
                </c:pt>
                <c:pt idx="134">
                  <c:v>539.30899999999997</c:v>
                </c:pt>
                <c:pt idx="135">
                  <c:v>554.01700000000005</c:v>
                </c:pt>
                <c:pt idx="136">
                  <c:v>540.04700000000003</c:v>
                </c:pt>
                <c:pt idx="137">
                  <c:v>527.12800000000004</c:v>
                </c:pt>
                <c:pt idx="138">
                  <c:v>529.44200000000001</c:v>
                </c:pt>
                <c:pt idx="139">
                  <c:v>524.78099999999995</c:v>
                </c:pt>
                <c:pt idx="140">
                  <c:v>518.71</c:v>
                </c:pt>
                <c:pt idx="141">
                  <c:v>513.48199999999997</c:v>
                </c:pt>
                <c:pt idx="142">
                  <c:v>511.63299999999998</c:v>
                </c:pt>
                <c:pt idx="143">
                  <c:v>494.16</c:v>
                </c:pt>
                <c:pt idx="144">
                  <c:v>466.95699999999999</c:v>
                </c:pt>
                <c:pt idx="145">
                  <c:v>447.209</c:v>
                </c:pt>
                <c:pt idx="146">
                  <c:v>452.62200000000001</c:v>
                </c:pt>
                <c:pt idx="147">
                  <c:v>452.661</c:v>
                </c:pt>
                <c:pt idx="148">
                  <c:v>473.31099999999998</c:v>
                </c:pt>
                <c:pt idx="149">
                  <c:v>474.637</c:v>
                </c:pt>
                <c:pt idx="150">
                  <c:v>477.81599999999997</c:v>
                </c:pt>
                <c:pt idx="151">
                  <c:v>470.87200000000001</c:v>
                </c:pt>
                <c:pt idx="152">
                  <c:v>487.43700000000001</c:v>
                </c:pt>
                <c:pt idx="153">
                  <c:v>502</c:v>
                </c:pt>
                <c:pt idx="154">
                  <c:v>543.97299999999996</c:v>
                </c:pt>
                <c:pt idx="155">
                  <c:v>533.822</c:v>
                </c:pt>
                <c:pt idx="156">
                  <c:v>530.471</c:v>
                </c:pt>
                <c:pt idx="157">
                  <c:v>526.00599999999997</c:v>
                </c:pt>
                <c:pt idx="158">
                  <c:v>513.19899999999996</c:v>
                </c:pt>
                <c:pt idx="159">
                  <c:v>547.83600000000001</c:v>
                </c:pt>
                <c:pt idx="160">
                  <c:v>547.28</c:v>
                </c:pt>
                <c:pt idx="161">
                  <c:v>582.34</c:v>
                </c:pt>
                <c:pt idx="162">
                  <c:v>602.47500000000002</c:v>
                </c:pt>
                <c:pt idx="163">
                  <c:v>573.245</c:v>
                </c:pt>
                <c:pt idx="164">
                  <c:v>548.68200000000002</c:v>
                </c:pt>
                <c:pt idx="165">
                  <c:v>561.09299999999996</c:v>
                </c:pt>
                <c:pt idx="166">
                  <c:v>548.23400000000004</c:v>
                </c:pt>
                <c:pt idx="167">
                  <c:v>538.31200000000001</c:v>
                </c:pt>
                <c:pt idx="168">
                  <c:v>551.70699999999999</c:v>
                </c:pt>
                <c:pt idx="169">
                  <c:v>548.95600000000002</c:v>
                </c:pt>
                <c:pt idx="170">
                  <c:v>552.17200000000003</c:v>
                </c:pt>
                <c:pt idx="171">
                  <c:v>545.64800000000002</c:v>
                </c:pt>
                <c:pt idx="172">
                  <c:v>533.11900000000003</c:v>
                </c:pt>
                <c:pt idx="173">
                  <c:v>503.98599999999999</c:v>
                </c:pt>
                <c:pt idx="174">
                  <c:v>503.666</c:v>
                </c:pt>
                <c:pt idx="175">
                  <c:v>494.09699999999998</c:v>
                </c:pt>
                <c:pt idx="176">
                  <c:v>480.57299999999998</c:v>
                </c:pt>
                <c:pt idx="177">
                  <c:v>466.77699999999999</c:v>
                </c:pt>
                <c:pt idx="178">
                  <c:v>464.46699999999998</c:v>
                </c:pt>
                <c:pt idx="179">
                  <c:v>453.46800000000002</c:v>
                </c:pt>
                <c:pt idx="180">
                  <c:v>451.88600000000002</c:v>
                </c:pt>
                <c:pt idx="181">
                  <c:v>453.22699999999998</c:v>
                </c:pt>
                <c:pt idx="182">
                  <c:v>442.84399999999999</c:v>
                </c:pt>
                <c:pt idx="183">
                  <c:v>435.83699999999999</c:v>
                </c:pt>
                <c:pt idx="184">
                  <c:v>438.57900000000001</c:v>
                </c:pt>
                <c:pt idx="185">
                  <c:v>458.221</c:v>
                </c:pt>
                <c:pt idx="186">
                  <c:v>454.17599999999999</c:v>
                </c:pt>
                <c:pt idx="187">
                  <c:v>465.63900000000001</c:v>
                </c:pt>
                <c:pt idx="188">
                  <c:v>471.38099999999997</c:v>
                </c:pt>
                <c:pt idx="189">
                  <c:v>475.48700000000002</c:v>
                </c:pt>
                <c:pt idx="190">
                  <c:v>508.95600000000002</c:v>
                </c:pt>
                <c:pt idx="191">
                  <c:v>500.63099999999997</c:v>
                </c:pt>
                <c:pt idx="192">
                  <c:v>489.99799999999999</c:v>
                </c:pt>
                <c:pt idx="193">
                  <c:v>497.36599999999999</c:v>
                </c:pt>
                <c:pt idx="194">
                  <c:v>512.29499999999996</c:v>
                </c:pt>
                <c:pt idx="195">
                  <c:v>511.05599999999998</c:v>
                </c:pt>
                <c:pt idx="196">
                  <c:v>534.63900000000001</c:v>
                </c:pt>
                <c:pt idx="197">
                  <c:v>538.53300000000002</c:v>
                </c:pt>
                <c:pt idx="198">
                  <c:v>520.34299999999996</c:v>
                </c:pt>
                <c:pt idx="199">
                  <c:v>516.375</c:v>
                </c:pt>
                <c:pt idx="200">
                  <c:v>522.65</c:v>
                </c:pt>
                <c:pt idx="201">
                  <c:v>516.12900000000002</c:v>
                </c:pt>
                <c:pt idx="202">
                  <c:v>506.47800000000001</c:v>
                </c:pt>
                <c:pt idx="203">
                  <c:v>496.61599999999999</c:v>
                </c:pt>
                <c:pt idx="204">
                  <c:v>498.11500000000001</c:v>
                </c:pt>
                <c:pt idx="205">
                  <c:v>492.08699999999999</c:v>
                </c:pt>
                <c:pt idx="206">
                  <c:v>493.66699999999997</c:v>
                </c:pt>
                <c:pt idx="207">
                  <c:v>491.79500000000002</c:v>
                </c:pt>
                <c:pt idx="208">
                  <c:v>485.78800000000001</c:v>
                </c:pt>
                <c:pt idx="209">
                  <c:v>475.31299999999999</c:v>
                </c:pt>
                <c:pt idx="210">
                  <c:v>466.11599999999999</c:v>
                </c:pt>
                <c:pt idx="211">
                  <c:v>466.78199999999998</c:v>
                </c:pt>
                <c:pt idx="212">
                  <c:v>460.00099999999998</c:v>
                </c:pt>
                <c:pt idx="213">
                  <c:v>441.71800000000002</c:v>
                </c:pt>
                <c:pt idx="214">
                  <c:v>442.72399999999999</c:v>
                </c:pt>
                <c:pt idx="215">
                  <c:v>451.71100000000001</c:v>
                </c:pt>
                <c:pt idx="216">
                  <c:v>460.209</c:v>
                </c:pt>
                <c:pt idx="217">
                  <c:v>468.65800000000002</c:v>
                </c:pt>
                <c:pt idx="218">
                  <c:v>452.36</c:v>
                </c:pt>
                <c:pt idx="219">
                  <c:v>450.85399999999998</c:v>
                </c:pt>
                <c:pt idx="220">
                  <c:v>454.322</c:v>
                </c:pt>
                <c:pt idx="221">
                  <c:v>456.31299999999999</c:v>
                </c:pt>
                <c:pt idx="222">
                  <c:v>442.15899999999999</c:v>
                </c:pt>
                <c:pt idx="223">
                  <c:v>442.11900000000003</c:v>
                </c:pt>
                <c:pt idx="224">
                  <c:v>441.56799999999998</c:v>
                </c:pt>
                <c:pt idx="225">
                  <c:v>445.34199999999998</c:v>
                </c:pt>
                <c:pt idx="226">
                  <c:v>450.5</c:v>
                </c:pt>
                <c:pt idx="227">
                  <c:v>451.666</c:v>
                </c:pt>
                <c:pt idx="228">
                  <c:v>447.74099999999999</c:v>
                </c:pt>
                <c:pt idx="229">
                  <c:v>451.99700000000001</c:v>
                </c:pt>
                <c:pt idx="230">
                  <c:v>467.96199999999999</c:v>
                </c:pt>
                <c:pt idx="231">
                  <c:v>481.70699999999999</c:v>
                </c:pt>
                <c:pt idx="232">
                  <c:v>480.77600000000001</c:v>
                </c:pt>
                <c:pt idx="233">
                  <c:v>480.02499999999998</c:v>
                </c:pt>
                <c:pt idx="234">
                  <c:v>487.41399999999999</c:v>
                </c:pt>
                <c:pt idx="235">
                  <c:v>490.42899999999997</c:v>
                </c:pt>
                <c:pt idx="236">
                  <c:v>487.42500000000001</c:v>
                </c:pt>
                <c:pt idx="237">
                  <c:v>480.738</c:v>
                </c:pt>
                <c:pt idx="238">
                  <c:v>492.2</c:v>
                </c:pt>
                <c:pt idx="239">
                  <c:v>498.11500000000001</c:v>
                </c:pt>
                <c:pt idx="240">
                  <c:v>515.84</c:v>
                </c:pt>
                <c:pt idx="241">
                  <c:v>503.584</c:v>
                </c:pt>
                <c:pt idx="242">
                  <c:v>497.27100000000002</c:v>
                </c:pt>
                <c:pt idx="243">
                  <c:v>493.43900000000002</c:v>
                </c:pt>
                <c:pt idx="244">
                  <c:v>445.34300000000002</c:v>
                </c:pt>
                <c:pt idx="245">
                  <c:v>442.42200000000003</c:v>
                </c:pt>
                <c:pt idx="246">
                  <c:v>438.11500000000001</c:v>
                </c:pt>
                <c:pt idx="247">
                  <c:v>417.30099999999999</c:v>
                </c:pt>
                <c:pt idx="248">
                  <c:v>420.06200000000001</c:v>
                </c:pt>
                <c:pt idx="249">
                  <c:v>410.46800000000002</c:v>
                </c:pt>
                <c:pt idx="250">
                  <c:v>407.142</c:v>
                </c:pt>
                <c:pt idx="251">
                  <c:v>407.36599999999999</c:v>
                </c:pt>
                <c:pt idx="252">
                  <c:v>410.221</c:v>
                </c:pt>
                <c:pt idx="253">
                  <c:v>409.15800000000002</c:v>
                </c:pt>
                <c:pt idx="254">
                  <c:v>407.221</c:v>
                </c:pt>
                <c:pt idx="255">
                  <c:v>409.46300000000002</c:v>
                </c:pt>
                <c:pt idx="256">
                  <c:v>409.46300000000002</c:v>
                </c:pt>
                <c:pt idx="257">
                  <c:v>409.46300000000002</c:v>
                </c:pt>
                <c:pt idx="258">
                  <c:v>404.39600000000002</c:v>
                </c:pt>
                <c:pt idx="259">
                  <c:v>409.07</c:v>
                </c:pt>
                <c:pt idx="260">
                  <c:v>407.82100000000003</c:v>
                </c:pt>
                <c:pt idx="261">
                  <c:v>407.82100000000003</c:v>
                </c:pt>
                <c:pt idx="262">
                  <c:v>377.62400000000002</c:v>
                </c:pt>
                <c:pt idx="263">
                  <c:v>377.738</c:v>
                </c:pt>
                <c:pt idx="264">
                  <c:v>378.22300000000001</c:v>
                </c:pt>
                <c:pt idx="265">
                  <c:v>374.78399999999999</c:v>
                </c:pt>
                <c:pt idx="266">
                  <c:v>367.68299999999999</c:v>
                </c:pt>
                <c:pt idx="267">
                  <c:v>360.33199999999999</c:v>
                </c:pt>
                <c:pt idx="268">
                  <c:v>360.483</c:v>
                </c:pt>
                <c:pt idx="269">
                  <c:v>351.55099999999999</c:v>
                </c:pt>
                <c:pt idx="270">
                  <c:v>346.024</c:v>
                </c:pt>
                <c:pt idx="271">
                  <c:v>331.27800000000002</c:v>
                </c:pt>
                <c:pt idx="272">
                  <c:v>324.28800000000001</c:v>
                </c:pt>
                <c:pt idx="273">
                  <c:v>324.64400000000001</c:v>
                </c:pt>
                <c:pt idx="274">
                  <c:v>324.536</c:v>
                </c:pt>
                <c:pt idx="275">
                  <c:v>334.93200000000002</c:v>
                </c:pt>
                <c:pt idx="276">
                  <c:v>325.85700000000003</c:v>
                </c:pt>
                <c:pt idx="277">
                  <c:v>350.79399999999998</c:v>
                </c:pt>
                <c:pt idx="278">
                  <c:v>352.84699999999998</c:v>
                </c:pt>
                <c:pt idx="279">
                  <c:v>375.99400000000003</c:v>
                </c:pt>
                <c:pt idx="280">
                  <c:v>361.24400000000003</c:v>
                </c:pt>
                <c:pt idx="281">
                  <c:v>362.25400000000002</c:v>
                </c:pt>
                <c:pt idx="282">
                  <c:v>370.03399999999999</c:v>
                </c:pt>
                <c:pt idx="283">
                  <c:v>375.67099999999999</c:v>
                </c:pt>
                <c:pt idx="284">
                  <c:v>372.63499999999999</c:v>
                </c:pt>
                <c:pt idx="285">
                  <c:v>357.654</c:v>
                </c:pt>
                <c:pt idx="286">
                  <c:v>344.346</c:v>
                </c:pt>
                <c:pt idx="287">
                  <c:v>336.26499999999999</c:v>
                </c:pt>
                <c:pt idx="288">
                  <c:v>350.87900000000002</c:v>
                </c:pt>
                <c:pt idx="289">
                  <c:v>362.94</c:v>
                </c:pt>
                <c:pt idx="290">
                  <c:v>346.19499999999999</c:v>
                </c:pt>
                <c:pt idx="291">
                  <c:v>329.76600000000002</c:v>
                </c:pt>
                <c:pt idx="292">
                  <c:v>331.89299999999997</c:v>
                </c:pt>
                <c:pt idx="293">
                  <c:v>330.00900000000001</c:v>
                </c:pt>
                <c:pt idx="294">
                  <c:v>325.31799999999998</c:v>
                </c:pt>
                <c:pt idx="295">
                  <c:v>338.25299999999999</c:v>
                </c:pt>
                <c:pt idx="296">
                  <c:v>329.38900000000001</c:v>
                </c:pt>
                <c:pt idx="297">
                  <c:v>334.69099999999997</c:v>
                </c:pt>
                <c:pt idx="298">
                  <c:v>346.69</c:v>
                </c:pt>
                <c:pt idx="299">
                  <c:v>378.017</c:v>
                </c:pt>
                <c:pt idx="300">
                  <c:v>396.94299999999998</c:v>
                </c:pt>
                <c:pt idx="301">
                  <c:v>411.88799999999998</c:v>
                </c:pt>
                <c:pt idx="302">
                  <c:v>441.23099999999999</c:v>
                </c:pt>
                <c:pt idx="303">
                  <c:v>474.07</c:v>
                </c:pt>
                <c:pt idx="304">
                  <c:v>458.46699999999998</c:v>
                </c:pt>
                <c:pt idx="305">
                  <c:v>461.96800000000002</c:v>
                </c:pt>
                <c:pt idx="306">
                  <c:v>475.339</c:v>
                </c:pt>
                <c:pt idx="307">
                  <c:v>534.17399999999998</c:v>
                </c:pt>
                <c:pt idx="308">
                  <c:v>583.21900000000005</c:v>
                </c:pt>
                <c:pt idx="309">
                  <c:v>700.29</c:v>
                </c:pt>
                <c:pt idx="310">
                  <c:v>706.625</c:v>
                </c:pt>
                <c:pt idx="311">
                  <c:v>773.51599999999996</c:v>
                </c:pt>
                <c:pt idx="312">
                  <c:v>1036.4760000000001</c:v>
                </c:pt>
                <c:pt idx="313">
                  <c:v>950.44200000000001</c:v>
                </c:pt>
                <c:pt idx="314">
                  <c:v>1037.2090000000001</c:v>
                </c:pt>
                <c:pt idx="315">
                  <c:v>1048.0899999999999</c:v>
                </c:pt>
                <c:pt idx="316">
                  <c:v>1348.222</c:v>
                </c:pt>
                <c:pt idx="317">
                  <c:v>1354.395</c:v>
                </c:pt>
                <c:pt idx="318">
                  <c:v>1298.98</c:v>
                </c:pt>
                <c:pt idx="319">
                  <c:v>1332.306</c:v>
                </c:pt>
                <c:pt idx="320">
                  <c:v>1222.9659999999999</c:v>
                </c:pt>
                <c:pt idx="321">
                  <c:v>1049.077</c:v>
                </c:pt>
                <c:pt idx="322">
                  <c:v>1012.6180000000001</c:v>
                </c:pt>
                <c:pt idx="323">
                  <c:v>1022.456</c:v>
                </c:pt>
                <c:pt idx="324">
                  <c:v>1058.9639999999999</c:v>
                </c:pt>
                <c:pt idx="325">
                  <c:v>931.596</c:v>
                </c:pt>
                <c:pt idx="326">
                  <c:v>943.90899999999999</c:v>
                </c:pt>
                <c:pt idx="327">
                  <c:v>949.17</c:v>
                </c:pt>
                <c:pt idx="328">
                  <c:v>943.74599999999998</c:v>
                </c:pt>
                <c:pt idx="329">
                  <c:v>925.16399999999999</c:v>
                </c:pt>
                <c:pt idx="330">
                  <c:v>802.54200000000003</c:v>
                </c:pt>
                <c:pt idx="331">
                  <c:v>827.54100000000005</c:v>
                </c:pt>
                <c:pt idx="332">
                  <c:v>784.12099999999998</c:v>
                </c:pt>
                <c:pt idx="333">
                  <c:v>784.12099999999998</c:v>
                </c:pt>
                <c:pt idx="334">
                  <c:v>784.12099999999998</c:v>
                </c:pt>
                <c:pt idx="335">
                  <c:v>762.82500000000005</c:v>
                </c:pt>
                <c:pt idx="336">
                  <c:v>794.44100000000003</c:v>
                </c:pt>
                <c:pt idx="337">
                  <c:v>812.60599999999999</c:v>
                </c:pt>
                <c:pt idx="338">
                  <c:v>820.553</c:v>
                </c:pt>
                <c:pt idx="339">
                  <c:v>849.88599999999997</c:v>
                </c:pt>
                <c:pt idx="340">
                  <c:v>896.16300000000001</c:v>
                </c:pt>
                <c:pt idx="341">
                  <c:v>901.98800000000006</c:v>
                </c:pt>
                <c:pt idx="342">
                  <c:v>879.71699999999998</c:v>
                </c:pt>
                <c:pt idx="343">
                  <c:v>862.74800000000005</c:v>
                </c:pt>
                <c:pt idx="344">
                  <c:v>866.79899999999998</c:v>
                </c:pt>
                <c:pt idx="345">
                  <c:v>875.726</c:v>
                </c:pt>
                <c:pt idx="346">
                  <c:v>895.05399999999997</c:v>
                </c:pt>
                <c:pt idx="347">
                  <c:v>883.26300000000003</c:v>
                </c:pt>
                <c:pt idx="348">
                  <c:v>860.63300000000004</c:v>
                </c:pt>
                <c:pt idx="349">
                  <c:v>857.99</c:v>
                </c:pt>
                <c:pt idx="350">
                  <c:v>809.52099999999996</c:v>
                </c:pt>
                <c:pt idx="351">
                  <c:v>786.495</c:v>
                </c:pt>
                <c:pt idx="352">
                  <c:v>756.17</c:v>
                </c:pt>
                <c:pt idx="353">
                  <c:v>761.16700000000003</c:v>
                </c:pt>
                <c:pt idx="354">
                  <c:v>725.31399999999996</c:v>
                </c:pt>
                <c:pt idx="355">
                  <c:v>699.74699999999996</c:v>
                </c:pt>
                <c:pt idx="356">
                  <c:v>695.80499999999995</c:v>
                </c:pt>
                <c:pt idx="357">
                  <c:v>733.00800000000004</c:v>
                </c:pt>
                <c:pt idx="358">
                  <c:v>711.76</c:v>
                </c:pt>
                <c:pt idx="359">
                  <c:v>685.476</c:v>
                </c:pt>
                <c:pt idx="360">
                  <c:v>703.49900000000002</c:v>
                </c:pt>
                <c:pt idx="361">
                  <c:v>687.05700000000002</c:v>
                </c:pt>
                <c:pt idx="362">
                  <c:v>681.50800000000004</c:v>
                </c:pt>
                <c:pt idx="363">
                  <c:v>705.28099999999995</c:v>
                </c:pt>
                <c:pt idx="364">
                  <c:v>705.28099999999995</c:v>
                </c:pt>
                <c:pt idx="365">
                  <c:v>691.39499999999998</c:v>
                </c:pt>
                <c:pt idx="366">
                  <c:v>711.20399999999995</c:v>
                </c:pt>
                <c:pt idx="367">
                  <c:v>709.79200000000003</c:v>
                </c:pt>
                <c:pt idx="368">
                  <c:v>715.93299999999999</c:v>
                </c:pt>
                <c:pt idx="369">
                  <c:v>706.25900000000001</c:v>
                </c:pt>
                <c:pt idx="370">
                  <c:v>689.89300000000003</c:v>
                </c:pt>
                <c:pt idx="371">
                  <c:v>644.346</c:v>
                </c:pt>
                <c:pt idx="372">
                  <c:v>619.51099999999997</c:v>
                </c:pt>
                <c:pt idx="373">
                  <c:v>557.61599999999999</c:v>
                </c:pt>
                <c:pt idx="374">
                  <c:v>549.12099999999998</c:v>
                </c:pt>
                <c:pt idx="375">
                  <c:v>571.06700000000001</c:v>
                </c:pt>
                <c:pt idx="376">
                  <c:v>583.05999999999995</c:v>
                </c:pt>
                <c:pt idx="377">
                  <c:v>604.86500000000001</c:v>
                </c:pt>
                <c:pt idx="378">
                  <c:v>610.21500000000003</c:v>
                </c:pt>
                <c:pt idx="379">
                  <c:v>621.91999999999996</c:v>
                </c:pt>
                <c:pt idx="380">
                  <c:v>587.36099999999999</c:v>
                </c:pt>
                <c:pt idx="381">
                  <c:v>593.29899999999998</c:v>
                </c:pt>
                <c:pt idx="382">
                  <c:v>602.29499999999996</c:v>
                </c:pt>
                <c:pt idx="383">
                  <c:v>605.20000000000005</c:v>
                </c:pt>
                <c:pt idx="384">
                  <c:v>607.64599999999996</c:v>
                </c:pt>
                <c:pt idx="385">
                  <c:v>607.01099999999997</c:v>
                </c:pt>
                <c:pt idx="386">
                  <c:v>618.54100000000005</c:v>
                </c:pt>
                <c:pt idx="387">
                  <c:v>625.75099999999998</c:v>
                </c:pt>
                <c:pt idx="388">
                  <c:v>644.22199999999998</c:v>
                </c:pt>
                <c:pt idx="389">
                  <c:v>648.54499999999996</c:v>
                </c:pt>
                <c:pt idx="390">
                  <c:v>631.19399999999996</c:v>
                </c:pt>
                <c:pt idx="391">
                  <c:v>588.50599999999997</c:v>
                </c:pt>
                <c:pt idx="392">
                  <c:v>610.69100000000003</c:v>
                </c:pt>
                <c:pt idx="393">
                  <c:v>612.30399999999997</c:v>
                </c:pt>
                <c:pt idx="394">
                  <c:v>612.55200000000002</c:v>
                </c:pt>
                <c:pt idx="395">
                  <c:v>628.76099999999997</c:v>
                </c:pt>
                <c:pt idx="396">
                  <c:v>640.46299999999997</c:v>
                </c:pt>
                <c:pt idx="397">
                  <c:v>666.87400000000002</c:v>
                </c:pt>
                <c:pt idx="398">
                  <c:v>681.15700000000004</c:v>
                </c:pt>
                <c:pt idx="399">
                  <c:v>692.95299999999997</c:v>
                </c:pt>
                <c:pt idx="400">
                  <c:v>712.77200000000005</c:v>
                </c:pt>
                <c:pt idx="401">
                  <c:v>659.56600000000003</c:v>
                </c:pt>
                <c:pt idx="402">
                  <c:v>644.32500000000005</c:v>
                </c:pt>
                <c:pt idx="403">
                  <c:v>640.64400000000001</c:v>
                </c:pt>
                <c:pt idx="404">
                  <c:v>637.41399999999999</c:v>
                </c:pt>
                <c:pt idx="405">
                  <c:v>617.40099999999995</c:v>
                </c:pt>
                <c:pt idx="406">
                  <c:v>615.66999999999996</c:v>
                </c:pt>
                <c:pt idx="407">
                  <c:v>619.41499999999996</c:v>
                </c:pt>
                <c:pt idx="408">
                  <c:v>627.697</c:v>
                </c:pt>
                <c:pt idx="409">
                  <c:v>616.25800000000004</c:v>
                </c:pt>
                <c:pt idx="410">
                  <c:v>636.90800000000002</c:v>
                </c:pt>
                <c:pt idx="411">
                  <c:v>639.02499999999998</c:v>
                </c:pt>
                <c:pt idx="412">
                  <c:v>656.66800000000001</c:v>
                </c:pt>
                <c:pt idx="413">
                  <c:v>671.61400000000003</c:v>
                </c:pt>
                <c:pt idx="414">
                  <c:v>685.33299999999997</c:v>
                </c:pt>
                <c:pt idx="415">
                  <c:v>677.44799999999998</c:v>
                </c:pt>
                <c:pt idx="416">
                  <c:v>658.49400000000003</c:v>
                </c:pt>
                <c:pt idx="417">
                  <c:v>671.875</c:v>
                </c:pt>
                <c:pt idx="418">
                  <c:v>690.68200000000002</c:v>
                </c:pt>
                <c:pt idx="419">
                  <c:v>679.125</c:v>
                </c:pt>
                <c:pt idx="420">
                  <c:v>661.74199999999996</c:v>
                </c:pt>
                <c:pt idx="421">
                  <c:v>640.06299999999999</c:v>
                </c:pt>
                <c:pt idx="422">
                  <c:v>637.03099999999995</c:v>
                </c:pt>
                <c:pt idx="423">
                  <c:v>629.09199999999998</c:v>
                </c:pt>
                <c:pt idx="424">
                  <c:v>620.58000000000004</c:v>
                </c:pt>
                <c:pt idx="425">
                  <c:v>624.625</c:v>
                </c:pt>
                <c:pt idx="426">
                  <c:v>604.16899999999998</c:v>
                </c:pt>
                <c:pt idx="427">
                  <c:v>606.34500000000003</c:v>
                </c:pt>
                <c:pt idx="428">
                  <c:v>602.678</c:v>
                </c:pt>
                <c:pt idx="429">
                  <c:v>597.96199999999999</c:v>
                </c:pt>
                <c:pt idx="430">
                  <c:v>599.24300000000005</c:v>
                </c:pt>
                <c:pt idx="431">
                  <c:v>610.08100000000002</c:v>
                </c:pt>
                <c:pt idx="432">
                  <c:v>603.09299999999996</c:v>
                </c:pt>
                <c:pt idx="433">
                  <c:v>601.90800000000002</c:v>
                </c:pt>
                <c:pt idx="434">
                  <c:v>601.90800000000002</c:v>
                </c:pt>
                <c:pt idx="435">
                  <c:v>586.73400000000004</c:v>
                </c:pt>
                <c:pt idx="436">
                  <c:v>577.80100000000004</c:v>
                </c:pt>
                <c:pt idx="437">
                  <c:v>590.11</c:v>
                </c:pt>
                <c:pt idx="438">
                  <c:v>589.08299999999997</c:v>
                </c:pt>
                <c:pt idx="439">
                  <c:v>592.22500000000002</c:v>
                </c:pt>
                <c:pt idx="440">
                  <c:v>607.20799999999997</c:v>
                </c:pt>
                <c:pt idx="441">
                  <c:v>602.29499999999996</c:v>
                </c:pt>
                <c:pt idx="442">
                  <c:v>610.80600000000004</c:v>
                </c:pt>
                <c:pt idx="443">
                  <c:v>618.08199999999999</c:v>
                </c:pt>
                <c:pt idx="444">
                  <c:v>623.06500000000005</c:v>
                </c:pt>
                <c:pt idx="445">
                  <c:v>610.02499999999998</c:v>
                </c:pt>
                <c:pt idx="446">
                  <c:v>613.84699999999998</c:v>
                </c:pt>
                <c:pt idx="447">
                  <c:v>628.48900000000003</c:v>
                </c:pt>
                <c:pt idx="448">
                  <c:v>627.51</c:v>
                </c:pt>
                <c:pt idx="449">
                  <c:v>670.43499999999995</c:v>
                </c:pt>
                <c:pt idx="450">
                  <c:v>670.00900000000001</c:v>
                </c:pt>
                <c:pt idx="451">
                  <c:v>682.827</c:v>
                </c:pt>
                <c:pt idx="452">
                  <c:v>713.25</c:v>
                </c:pt>
                <c:pt idx="453">
                  <c:v>710.46500000000003</c:v>
                </c:pt>
                <c:pt idx="454">
                  <c:v>707.89499999999998</c:v>
                </c:pt>
                <c:pt idx="455">
                  <c:v>724.077</c:v>
                </c:pt>
                <c:pt idx="456">
                  <c:v>731.03499999999997</c:v>
                </c:pt>
                <c:pt idx="457">
                  <c:v>725.11900000000003</c:v>
                </c:pt>
                <c:pt idx="458">
                  <c:v>730.649</c:v>
                </c:pt>
                <c:pt idx="459">
                  <c:v>714.92</c:v>
                </c:pt>
                <c:pt idx="460">
                  <c:v>720.71600000000001</c:v>
                </c:pt>
                <c:pt idx="461">
                  <c:v>696.67499999999995</c:v>
                </c:pt>
                <c:pt idx="462">
                  <c:v>674.00699999999995</c:v>
                </c:pt>
                <c:pt idx="463">
                  <c:v>618.577</c:v>
                </c:pt>
                <c:pt idx="464">
                  <c:v>626.01099999999997</c:v>
                </c:pt>
                <c:pt idx="465">
                  <c:v>647.60299999999995</c:v>
                </c:pt>
                <c:pt idx="466">
                  <c:v>666.31600000000003</c:v>
                </c:pt>
                <c:pt idx="467">
                  <c:v>681.16300000000001</c:v>
                </c:pt>
                <c:pt idx="468">
                  <c:v>672.93700000000001</c:v>
                </c:pt>
                <c:pt idx="469">
                  <c:v>667.81200000000001</c:v>
                </c:pt>
                <c:pt idx="470">
                  <c:v>684.81899999999996</c:v>
                </c:pt>
                <c:pt idx="471">
                  <c:v>692.53499999999997</c:v>
                </c:pt>
                <c:pt idx="472">
                  <c:v>699.74800000000005</c:v>
                </c:pt>
                <c:pt idx="473">
                  <c:v>698.423</c:v>
                </c:pt>
                <c:pt idx="474">
                  <c:v>705.50800000000004</c:v>
                </c:pt>
                <c:pt idx="475">
                  <c:v>681.80200000000002</c:v>
                </c:pt>
                <c:pt idx="476">
                  <c:v>690.87199999999996</c:v>
                </c:pt>
                <c:pt idx="477">
                  <c:v>675.88900000000001</c:v>
                </c:pt>
                <c:pt idx="478">
                  <c:v>661.97500000000002</c:v>
                </c:pt>
                <c:pt idx="479">
                  <c:v>649.94600000000003</c:v>
                </c:pt>
                <c:pt idx="480">
                  <c:v>623.05999999999995</c:v>
                </c:pt>
                <c:pt idx="481">
                  <c:v>600.50699999999995</c:v>
                </c:pt>
                <c:pt idx="482">
                  <c:v>574.60199999999998</c:v>
                </c:pt>
                <c:pt idx="483">
                  <c:v>590.29899999999998</c:v>
                </c:pt>
                <c:pt idx="484">
                  <c:v>549.13400000000001</c:v>
                </c:pt>
                <c:pt idx="485">
                  <c:v>551.9</c:v>
                </c:pt>
                <c:pt idx="486">
                  <c:v>541.31299999999999</c:v>
                </c:pt>
                <c:pt idx="487">
                  <c:v>550.10199999999998</c:v>
                </c:pt>
                <c:pt idx="488">
                  <c:v>545.70899999999995</c:v>
                </c:pt>
                <c:pt idx="489">
                  <c:v>531.21</c:v>
                </c:pt>
                <c:pt idx="490">
                  <c:v>537.74</c:v>
                </c:pt>
                <c:pt idx="491">
                  <c:v>541.08399999999995</c:v>
                </c:pt>
                <c:pt idx="492">
                  <c:v>537.01900000000001</c:v>
                </c:pt>
                <c:pt idx="493">
                  <c:v>522.56100000000004</c:v>
                </c:pt>
                <c:pt idx="494">
                  <c:v>509.61700000000002</c:v>
                </c:pt>
                <c:pt idx="495">
                  <c:v>479.416</c:v>
                </c:pt>
                <c:pt idx="496">
                  <c:v>483.10599999999999</c:v>
                </c:pt>
                <c:pt idx="497">
                  <c:v>487.07799999999997</c:v>
                </c:pt>
                <c:pt idx="498">
                  <c:v>487.37799999999999</c:v>
                </c:pt>
                <c:pt idx="499">
                  <c:v>488.315</c:v>
                </c:pt>
                <c:pt idx="500">
                  <c:v>464.35199999999998</c:v>
                </c:pt>
                <c:pt idx="501">
                  <c:v>455.77600000000001</c:v>
                </c:pt>
                <c:pt idx="502">
                  <c:v>452.76799999999997</c:v>
                </c:pt>
                <c:pt idx="503">
                  <c:v>431.75299999999999</c:v>
                </c:pt>
                <c:pt idx="504">
                  <c:v>434.00900000000001</c:v>
                </c:pt>
                <c:pt idx="505">
                  <c:v>435.87599999999998</c:v>
                </c:pt>
                <c:pt idx="506">
                  <c:v>434.07299999999998</c:v>
                </c:pt>
                <c:pt idx="507">
                  <c:v>435.28300000000002</c:v>
                </c:pt>
                <c:pt idx="508">
                  <c:v>439.42500000000001</c:v>
                </c:pt>
                <c:pt idx="509">
                  <c:v>429.6</c:v>
                </c:pt>
                <c:pt idx="510">
                  <c:v>420.17599999999999</c:v>
                </c:pt>
                <c:pt idx="511">
                  <c:v>419.09</c:v>
                </c:pt>
                <c:pt idx="512">
                  <c:v>428.42599999999999</c:v>
                </c:pt>
                <c:pt idx="513">
                  <c:v>446.51499999999999</c:v>
                </c:pt>
                <c:pt idx="514">
                  <c:v>445.24</c:v>
                </c:pt>
                <c:pt idx="515">
                  <c:v>453.42099999999999</c:v>
                </c:pt>
                <c:pt idx="516">
                  <c:v>444.82900000000001</c:v>
                </c:pt>
                <c:pt idx="517">
                  <c:v>446.18099999999998</c:v>
                </c:pt>
                <c:pt idx="518">
                  <c:v>446.18099999999998</c:v>
                </c:pt>
                <c:pt idx="519">
                  <c:v>446.18099999999998</c:v>
                </c:pt>
                <c:pt idx="520">
                  <c:v>441.52300000000002</c:v>
                </c:pt>
                <c:pt idx="521">
                  <c:v>438.93400000000003</c:v>
                </c:pt>
                <c:pt idx="522">
                  <c:v>437.84399999999999</c:v>
                </c:pt>
                <c:pt idx="523">
                  <c:v>437.84399999999999</c:v>
                </c:pt>
                <c:pt idx="524">
                  <c:v>429.52800000000002</c:v>
                </c:pt>
                <c:pt idx="525">
                  <c:v>434.27499999999998</c:v>
                </c:pt>
                <c:pt idx="526">
                  <c:v>434.678</c:v>
                </c:pt>
                <c:pt idx="527">
                  <c:v>426.43799999999999</c:v>
                </c:pt>
                <c:pt idx="528">
                  <c:v>423.76600000000002</c:v>
                </c:pt>
                <c:pt idx="529">
                  <c:v>429.28899999999999</c:v>
                </c:pt>
                <c:pt idx="530">
                  <c:v>448.726</c:v>
                </c:pt>
                <c:pt idx="531">
                  <c:v>439.113</c:v>
                </c:pt>
                <c:pt idx="532">
                  <c:v>433.44499999999999</c:v>
                </c:pt>
                <c:pt idx="533">
                  <c:v>441.44600000000003</c:v>
                </c:pt>
                <c:pt idx="534">
                  <c:v>447.91</c:v>
                </c:pt>
                <c:pt idx="535">
                  <c:v>442.71899999999999</c:v>
                </c:pt>
                <c:pt idx="536">
                  <c:v>431.62299999999999</c:v>
                </c:pt>
                <c:pt idx="537">
                  <c:v>421.58199999999999</c:v>
                </c:pt>
                <c:pt idx="538">
                  <c:v>422.46899999999999</c:v>
                </c:pt>
                <c:pt idx="539">
                  <c:v>421.63900000000001</c:v>
                </c:pt>
                <c:pt idx="540">
                  <c:v>423.03300000000002</c:v>
                </c:pt>
                <c:pt idx="541">
                  <c:v>436.27300000000002</c:v>
                </c:pt>
                <c:pt idx="542">
                  <c:v>438.56299999999999</c:v>
                </c:pt>
                <c:pt idx="543">
                  <c:v>436.36099999999999</c:v>
                </c:pt>
                <c:pt idx="544">
                  <c:v>435.06900000000002</c:v>
                </c:pt>
                <c:pt idx="545">
                  <c:v>427.399</c:v>
                </c:pt>
                <c:pt idx="546">
                  <c:v>419.45699999999999</c:v>
                </c:pt>
                <c:pt idx="547">
                  <c:v>402.37099999999998</c:v>
                </c:pt>
                <c:pt idx="548">
                  <c:v>385.51499999999999</c:v>
                </c:pt>
                <c:pt idx="549">
                  <c:v>390.41500000000002</c:v>
                </c:pt>
                <c:pt idx="550">
                  <c:v>400.08600000000001</c:v>
                </c:pt>
                <c:pt idx="551">
                  <c:v>415.077</c:v>
                </c:pt>
                <c:pt idx="552">
                  <c:v>406.86599999999999</c:v>
                </c:pt>
                <c:pt idx="553">
                  <c:v>409.65899999999999</c:v>
                </c:pt>
                <c:pt idx="554">
                  <c:v>416.46199999999999</c:v>
                </c:pt>
                <c:pt idx="555">
                  <c:v>419.24700000000001</c:v>
                </c:pt>
                <c:pt idx="556">
                  <c:v>432.95800000000003</c:v>
                </c:pt>
                <c:pt idx="557">
                  <c:v>425.03699999999998</c:v>
                </c:pt>
                <c:pt idx="558">
                  <c:v>425.25200000000001</c:v>
                </c:pt>
                <c:pt idx="559">
                  <c:v>447.79199999999997</c:v>
                </c:pt>
                <c:pt idx="560">
                  <c:v>452.28699999999998</c:v>
                </c:pt>
                <c:pt idx="561">
                  <c:v>438.60500000000002</c:v>
                </c:pt>
                <c:pt idx="562">
                  <c:v>437.96199999999999</c:v>
                </c:pt>
                <c:pt idx="563">
                  <c:v>479.93099999999998</c:v>
                </c:pt>
                <c:pt idx="564">
                  <c:v>454.18900000000002</c:v>
                </c:pt>
                <c:pt idx="565">
                  <c:v>459.73200000000003</c:v>
                </c:pt>
                <c:pt idx="566">
                  <c:v>459.41</c:v>
                </c:pt>
                <c:pt idx="567">
                  <c:v>469.01</c:v>
                </c:pt>
                <c:pt idx="568">
                  <c:v>486.863</c:v>
                </c:pt>
                <c:pt idx="569">
                  <c:v>505.37700000000001</c:v>
                </c:pt>
                <c:pt idx="570">
                  <c:v>495.09899999999999</c:v>
                </c:pt>
                <c:pt idx="571">
                  <c:v>483.20499999999998</c:v>
                </c:pt>
                <c:pt idx="572">
                  <c:v>447.86200000000002</c:v>
                </c:pt>
                <c:pt idx="573">
                  <c:v>455.62799999999999</c:v>
                </c:pt>
                <c:pt idx="574">
                  <c:v>447.34</c:v>
                </c:pt>
                <c:pt idx="575">
                  <c:v>432.70400000000001</c:v>
                </c:pt>
                <c:pt idx="576">
                  <c:v>441.88099999999997</c:v>
                </c:pt>
                <c:pt idx="577">
                  <c:v>443.69</c:v>
                </c:pt>
                <c:pt idx="578">
                  <c:v>448.17599999999999</c:v>
                </c:pt>
                <c:pt idx="579">
                  <c:v>440.37799999999999</c:v>
                </c:pt>
                <c:pt idx="580">
                  <c:v>441.43900000000002</c:v>
                </c:pt>
                <c:pt idx="581">
                  <c:v>437.8</c:v>
                </c:pt>
                <c:pt idx="582">
                  <c:v>441.88</c:v>
                </c:pt>
                <c:pt idx="583">
                  <c:v>442.67599999999999</c:v>
                </c:pt>
                <c:pt idx="584">
                  <c:v>443.9</c:v>
                </c:pt>
                <c:pt idx="585">
                  <c:v>461.173</c:v>
                </c:pt>
                <c:pt idx="586">
                  <c:v>456.95299999999997</c:v>
                </c:pt>
                <c:pt idx="587">
                  <c:v>487.14699999999999</c:v>
                </c:pt>
                <c:pt idx="588">
                  <c:v>487.14699999999999</c:v>
                </c:pt>
                <c:pt idx="589">
                  <c:v>487.14699999999999</c:v>
                </c:pt>
                <c:pt idx="590">
                  <c:v>527.226</c:v>
                </c:pt>
                <c:pt idx="591">
                  <c:v>511.87299999999999</c:v>
                </c:pt>
                <c:pt idx="592">
                  <c:v>512.01499999999999</c:v>
                </c:pt>
                <c:pt idx="593">
                  <c:v>519.71400000000006</c:v>
                </c:pt>
                <c:pt idx="594">
                  <c:v>546.47900000000004</c:v>
                </c:pt>
                <c:pt idx="595">
                  <c:v>552.23400000000004</c:v>
                </c:pt>
                <c:pt idx="596">
                  <c:v>514.952</c:v>
                </c:pt>
                <c:pt idx="597">
                  <c:v>515.24599999999998</c:v>
                </c:pt>
                <c:pt idx="598">
                  <c:v>499.05099999999999</c:v>
                </c:pt>
                <c:pt idx="599">
                  <c:v>493.95400000000001</c:v>
                </c:pt>
                <c:pt idx="600">
                  <c:v>522.70100000000002</c:v>
                </c:pt>
                <c:pt idx="601">
                  <c:v>527.05700000000002</c:v>
                </c:pt>
                <c:pt idx="602">
                  <c:v>488.96600000000001</c:v>
                </c:pt>
                <c:pt idx="603">
                  <c:v>460.80900000000003</c:v>
                </c:pt>
                <c:pt idx="604">
                  <c:v>474.09699999999998</c:v>
                </c:pt>
                <c:pt idx="605">
                  <c:v>475.89100000000002</c:v>
                </c:pt>
                <c:pt idx="606">
                  <c:v>489.024</c:v>
                </c:pt>
                <c:pt idx="607">
                  <c:v>487.39400000000001</c:v>
                </c:pt>
                <c:pt idx="608">
                  <c:v>487.82400000000001</c:v>
                </c:pt>
                <c:pt idx="609">
                  <c:v>487.82400000000001</c:v>
                </c:pt>
                <c:pt idx="610">
                  <c:v>495.81</c:v>
                </c:pt>
                <c:pt idx="611">
                  <c:v>490.50299999999999</c:v>
                </c:pt>
                <c:pt idx="612">
                  <c:v>480.52199999999999</c:v>
                </c:pt>
                <c:pt idx="613">
                  <c:v>469.529</c:v>
                </c:pt>
                <c:pt idx="614">
                  <c:v>460.74799999999999</c:v>
                </c:pt>
                <c:pt idx="615">
                  <c:v>469.51400000000001</c:v>
                </c:pt>
                <c:pt idx="616">
                  <c:v>471.60500000000002</c:v>
                </c:pt>
                <c:pt idx="617">
                  <c:v>473.125</c:v>
                </c:pt>
                <c:pt idx="618">
                  <c:v>466.93700000000001</c:v>
                </c:pt>
                <c:pt idx="619">
                  <c:v>464.14100000000002</c:v>
                </c:pt>
                <c:pt idx="620">
                  <c:v>452.91399999999999</c:v>
                </c:pt>
                <c:pt idx="621">
                  <c:v>457.72</c:v>
                </c:pt>
                <c:pt idx="622">
                  <c:v>447.27100000000002</c:v>
                </c:pt>
                <c:pt idx="623">
                  <c:v>434.79599999999999</c:v>
                </c:pt>
                <c:pt idx="624">
                  <c:v>426.87599999999998</c:v>
                </c:pt>
                <c:pt idx="625">
                  <c:v>417.45699999999999</c:v>
                </c:pt>
                <c:pt idx="626">
                  <c:v>417.27600000000001</c:v>
                </c:pt>
                <c:pt idx="627">
                  <c:v>413.952</c:v>
                </c:pt>
                <c:pt idx="628">
                  <c:v>409.13600000000002</c:v>
                </c:pt>
                <c:pt idx="629">
                  <c:v>409.13600000000002</c:v>
                </c:pt>
                <c:pt idx="630">
                  <c:v>403.27800000000002</c:v>
                </c:pt>
                <c:pt idx="631">
                  <c:v>401.75200000000001</c:v>
                </c:pt>
                <c:pt idx="632">
                  <c:v>406.93700000000001</c:v>
                </c:pt>
                <c:pt idx="633">
                  <c:v>414.25700000000001</c:v>
                </c:pt>
                <c:pt idx="634">
                  <c:v>411.74</c:v>
                </c:pt>
                <c:pt idx="635">
                  <c:v>410.47300000000001</c:v>
                </c:pt>
                <c:pt idx="636">
                  <c:v>408.85399999999998</c:v>
                </c:pt>
                <c:pt idx="637">
                  <c:v>414.54300000000001</c:v>
                </c:pt>
                <c:pt idx="638">
                  <c:v>410.97399999999999</c:v>
                </c:pt>
                <c:pt idx="639">
                  <c:v>411.52300000000002</c:v>
                </c:pt>
                <c:pt idx="640">
                  <c:v>417.82600000000002</c:v>
                </c:pt>
                <c:pt idx="641">
                  <c:v>408.596</c:v>
                </c:pt>
                <c:pt idx="642">
                  <c:v>418.71600000000001</c:v>
                </c:pt>
                <c:pt idx="643">
                  <c:v>423.53699999999998</c:v>
                </c:pt>
                <c:pt idx="644">
                  <c:v>425.62599999999998</c:v>
                </c:pt>
                <c:pt idx="645">
                  <c:v>441.226</c:v>
                </c:pt>
                <c:pt idx="646">
                  <c:v>435.036</c:v>
                </c:pt>
                <c:pt idx="647">
                  <c:v>433.38</c:v>
                </c:pt>
                <c:pt idx="648">
                  <c:v>436.58300000000003</c:v>
                </c:pt>
                <c:pt idx="649">
                  <c:v>435.36700000000002</c:v>
                </c:pt>
                <c:pt idx="650">
                  <c:v>428.38499999999999</c:v>
                </c:pt>
                <c:pt idx="651">
                  <c:v>429.58199999999999</c:v>
                </c:pt>
                <c:pt idx="652">
                  <c:v>428.286</c:v>
                </c:pt>
                <c:pt idx="653">
                  <c:v>428.947</c:v>
                </c:pt>
                <c:pt idx="654">
                  <c:v>430.70499999999998</c:v>
                </c:pt>
                <c:pt idx="655">
                  <c:v>439.90899999999999</c:v>
                </c:pt>
                <c:pt idx="656">
                  <c:v>442.70699999999999</c:v>
                </c:pt>
                <c:pt idx="657">
                  <c:v>445.56400000000002</c:v>
                </c:pt>
                <c:pt idx="658">
                  <c:v>437.79399999999998</c:v>
                </c:pt>
                <c:pt idx="659">
                  <c:v>441.78800000000001</c:v>
                </c:pt>
                <c:pt idx="660">
                  <c:v>434.43099999999998</c:v>
                </c:pt>
                <c:pt idx="661">
                  <c:v>439.74299999999999</c:v>
                </c:pt>
                <c:pt idx="662">
                  <c:v>440.435</c:v>
                </c:pt>
                <c:pt idx="663">
                  <c:v>435.67200000000003</c:v>
                </c:pt>
                <c:pt idx="664">
                  <c:v>454.411</c:v>
                </c:pt>
                <c:pt idx="665">
                  <c:v>458.858</c:v>
                </c:pt>
                <c:pt idx="666">
                  <c:v>450.14800000000002</c:v>
                </c:pt>
                <c:pt idx="667">
                  <c:v>453.62799999999999</c:v>
                </c:pt>
                <c:pt idx="668">
                  <c:v>452.95699999999999</c:v>
                </c:pt>
                <c:pt idx="669">
                  <c:v>456.94400000000002</c:v>
                </c:pt>
                <c:pt idx="670">
                  <c:v>471.01</c:v>
                </c:pt>
                <c:pt idx="671">
                  <c:v>469.89299999999997</c:v>
                </c:pt>
                <c:pt idx="672">
                  <c:v>457.34300000000002</c:v>
                </c:pt>
                <c:pt idx="673">
                  <c:v>462.04</c:v>
                </c:pt>
                <c:pt idx="674">
                  <c:v>460.28399999999999</c:v>
                </c:pt>
                <c:pt idx="675">
                  <c:v>457.97500000000002</c:v>
                </c:pt>
                <c:pt idx="676">
                  <c:v>459.21199999999999</c:v>
                </c:pt>
                <c:pt idx="677">
                  <c:v>453.97399999999999</c:v>
                </c:pt>
                <c:pt idx="678">
                  <c:v>450.56400000000002</c:v>
                </c:pt>
                <c:pt idx="679">
                  <c:v>451.77800000000002</c:v>
                </c:pt>
                <c:pt idx="680">
                  <c:v>450.34899999999999</c:v>
                </c:pt>
                <c:pt idx="681">
                  <c:v>456.40699999999998</c:v>
                </c:pt>
                <c:pt idx="682">
                  <c:v>444.34</c:v>
                </c:pt>
                <c:pt idx="683">
                  <c:v>443.923</c:v>
                </c:pt>
                <c:pt idx="684">
                  <c:v>447.13499999999999</c:v>
                </c:pt>
                <c:pt idx="685">
                  <c:v>448.59300000000002</c:v>
                </c:pt>
                <c:pt idx="686">
                  <c:v>445.67899999999997</c:v>
                </c:pt>
                <c:pt idx="687">
                  <c:v>447.65800000000002</c:v>
                </c:pt>
                <c:pt idx="688">
                  <c:v>448.911</c:v>
                </c:pt>
                <c:pt idx="689">
                  <c:v>446.58600000000001</c:v>
                </c:pt>
                <c:pt idx="690">
                  <c:v>439.33199999999999</c:v>
                </c:pt>
                <c:pt idx="691">
                  <c:v>428.22800000000001</c:v>
                </c:pt>
                <c:pt idx="692">
                  <c:v>417.911</c:v>
                </c:pt>
                <c:pt idx="693">
                  <c:v>417.767</c:v>
                </c:pt>
                <c:pt idx="694">
                  <c:v>417.767</c:v>
                </c:pt>
                <c:pt idx="695">
                  <c:v>408.01</c:v>
                </c:pt>
                <c:pt idx="696">
                  <c:v>401.47800000000001</c:v>
                </c:pt>
                <c:pt idx="697">
                  <c:v>401.40499999999997</c:v>
                </c:pt>
                <c:pt idx="698">
                  <c:v>397.94799999999998</c:v>
                </c:pt>
                <c:pt idx="699">
                  <c:v>395.47</c:v>
                </c:pt>
                <c:pt idx="700">
                  <c:v>395.98399999999998</c:v>
                </c:pt>
                <c:pt idx="701">
                  <c:v>400.59699999999998</c:v>
                </c:pt>
                <c:pt idx="702">
                  <c:v>407.36700000000002</c:v>
                </c:pt>
                <c:pt idx="703">
                  <c:v>400.47300000000001</c:v>
                </c:pt>
                <c:pt idx="704">
                  <c:v>393.72199999999998</c:v>
                </c:pt>
                <c:pt idx="705">
                  <c:v>388.05900000000003</c:v>
                </c:pt>
              </c:numCache>
            </c:numRef>
          </c:val>
          <c:smooth val="0"/>
          <c:extLst>
            <c:ext xmlns:c16="http://schemas.microsoft.com/office/drawing/2014/chart" uri="{C3380CC4-5D6E-409C-BE32-E72D297353CC}">
              <c16:uniqueId val="{00000007-6184-4726-8727-A5CE2BEB2AFE}"/>
            </c:ext>
          </c:extLst>
        </c:ser>
        <c:dLbls>
          <c:showLegendKey val="0"/>
          <c:showVal val="0"/>
          <c:showCatName val="0"/>
          <c:showSerName val="0"/>
          <c:showPercent val="0"/>
          <c:showBubbleSize val="0"/>
        </c:dLbls>
        <c:smooth val="0"/>
        <c:axId val="296385152"/>
        <c:axId val="296386944"/>
      </c:lineChart>
      <c:dateAx>
        <c:axId val="296385152"/>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86944"/>
        <c:crosses val="autoZero"/>
        <c:auto val="1"/>
        <c:lblOffset val="100"/>
        <c:baseTimeUnit val="days"/>
      </c:dateAx>
      <c:valAx>
        <c:axId val="296386944"/>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a:t>բազիսային կետ</a:t>
                </a:r>
                <a:endParaRPr lang="en-US" sz="800"/>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85152"/>
        <c:crosses val="autoZero"/>
        <c:crossBetween val="between"/>
      </c:valAx>
      <c:spPr>
        <a:noFill/>
        <a:ln>
          <a:noFill/>
        </a:ln>
        <a:effectLst/>
      </c:spPr>
    </c:plotArea>
    <c:legend>
      <c:legendPos val="b"/>
      <c:layout>
        <c:manualLayout>
          <c:xMode val="edge"/>
          <c:yMode val="edge"/>
          <c:x val="9.0346865324469172E-2"/>
          <c:y val="0.79830186593290509"/>
          <c:w val="0.80501893850095085"/>
          <c:h val="0.2016981509598295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Sheet1!$B$2:$B$5</c:f>
              <c:numCache>
                <c:formatCode>0%</c:formatCode>
                <c:ptCount val="4"/>
                <c:pt idx="0">
                  <c:v>0.216</c:v>
                </c:pt>
                <c:pt idx="1">
                  <c:v>0.25</c:v>
                </c:pt>
                <c:pt idx="2">
                  <c:v>0.09</c:v>
                </c:pt>
                <c:pt idx="3">
                  <c:v>0.44400000000000001</c:v>
                </c:pt>
              </c:numCache>
            </c:numRef>
          </c:val>
          <c:extLst>
            <c:ext xmlns:c16="http://schemas.microsoft.com/office/drawing/2014/chart" uri="{C3380CC4-5D6E-409C-BE32-E72D297353CC}">
              <c16:uniqueId val="{00000000-FB71-492E-8119-2BF4E3971128}"/>
            </c:ext>
          </c:extLst>
        </c:ser>
        <c:ser>
          <c:idx val="1"/>
          <c:order val="1"/>
          <c:tx>
            <c:strRef>
              <c:f>Sheet1!$C$1</c:f>
              <c:strCache>
                <c:ptCount val="1"/>
                <c:pt idx="0">
                  <c:v>2019</c:v>
                </c:pt>
              </c:strCache>
            </c:strRef>
          </c:tx>
          <c:spPr>
            <a:solidFill>
              <a:schemeClr val="accent2"/>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Sheet1!$C$2:$C$5</c:f>
              <c:numCache>
                <c:formatCode>0%</c:formatCode>
                <c:ptCount val="4"/>
                <c:pt idx="0">
                  <c:v>0.19600000000000001</c:v>
                </c:pt>
                <c:pt idx="1">
                  <c:v>0.28199999999999997</c:v>
                </c:pt>
                <c:pt idx="2">
                  <c:v>8.2000000000000003E-2</c:v>
                </c:pt>
                <c:pt idx="3">
                  <c:v>0.439</c:v>
                </c:pt>
              </c:numCache>
            </c:numRef>
          </c:val>
          <c:extLst>
            <c:ext xmlns:c16="http://schemas.microsoft.com/office/drawing/2014/chart" uri="{C3380CC4-5D6E-409C-BE32-E72D297353CC}">
              <c16:uniqueId val="{00000001-FB71-492E-8119-2BF4E3971128}"/>
            </c:ext>
          </c:extLst>
        </c:ser>
        <c:ser>
          <c:idx val="2"/>
          <c:order val="2"/>
          <c:tx>
            <c:strRef>
              <c:f>Sheet1!$D$1</c:f>
              <c:strCache>
                <c:ptCount val="1"/>
                <c:pt idx="0">
                  <c:v>2020</c:v>
                </c:pt>
              </c:strCache>
            </c:strRef>
          </c:tx>
          <c:spPr>
            <a:solidFill>
              <a:schemeClr val="accent3"/>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Sheet1!$D$2:$D$5</c:f>
              <c:numCache>
                <c:formatCode>0%</c:formatCode>
                <c:ptCount val="4"/>
                <c:pt idx="0">
                  <c:v>0.18</c:v>
                </c:pt>
                <c:pt idx="1">
                  <c:v>0.28499999999999998</c:v>
                </c:pt>
                <c:pt idx="2">
                  <c:v>7.2999999999999995E-2</c:v>
                </c:pt>
                <c:pt idx="3">
                  <c:v>0.46</c:v>
                </c:pt>
              </c:numCache>
            </c:numRef>
          </c:val>
          <c:extLst>
            <c:ext xmlns:c16="http://schemas.microsoft.com/office/drawing/2014/chart" uri="{C3380CC4-5D6E-409C-BE32-E72D297353CC}">
              <c16:uniqueId val="{00000002-FB71-492E-8119-2BF4E3971128}"/>
            </c:ext>
          </c:extLst>
        </c:ser>
        <c:ser>
          <c:idx val="3"/>
          <c:order val="3"/>
          <c:tx>
            <c:strRef>
              <c:f>Sheet1!$E$1</c:f>
              <c:strCache>
                <c:ptCount val="1"/>
                <c:pt idx="0">
                  <c:v>2021</c:v>
                </c:pt>
              </c:strCache>
            </c:strRef>
          </c:tx>
          <c:spPr>
            <a:solidFill>
              <a:schemeClr val="accent4"/>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Sheet1!$E$2:$E$5</c:f>
              <c:numCache>
                <c:formatCode>0%</c:formatCode>
                <c:ptCount val="4"/>
                <c:pt idx="0">
                  <c:v>0.217</c:v>
                </c:pt>
                <c:pt idx="1">
                  <c:v>0.253</c:v>
                </c:pt>
                <c:pt idx="2">
                  <c:v>9.4E-2</c:v>
                </c:pt>
                <c:pt idx="3">
                  <c:v>0.436</c:v>
                </c:pt>
              </c:numCache>
            </c:numRef>
          </c:val>
          <c:extLst>
            <c:ext xmlns:c16="http://schemas.microsoft.com/office/drawing/2014/chart" uri="{C3380CC4-5D6E-409C-BE32-E72D297353CC}">
              <c16:uniqueId val="{00000003-FB71-492E-8119-2BF4E3971128}"/>
            </c:ext>
          </c:extLst>
        </c:ser>
        <c:dLbls>
          <c:showLegendKey val="0"/>
          <c:showVal val="0"/>
          <c:showCatName val="0"/>
          <c:showSerName val="0"/>
          <c:showPercent val="0"/>
          <c:showBubbleSize val="0"/>
        </c:dLbls>
        <c:gapWidth val="182"/>
        <c:axId val="259877888"/>
        <c:axId val="259876352"/>
      </c:barChart>
      <c:valAx>
        <c:axId val="259876352"/>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77888"/>
        <c:crosses val="autoZero"/>
        <c:crossBetween val="between"/>
      </c:valAx>
      <c:catAx>
        <c:axId val="25987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76352"/>
        <c:crossesAt val="0"/>
        <c:auto val="1"/>
        <c:lblAlgn val="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in Microsoft Word]25.11.2020'!$C$3</c:f>
              <c:strCache>
                <c:ptCount val="1"/>
                <c:pt idx="0">
                  <c:v>վարկ</c:v>
                </c:pt>
              </c:strCache>
            </c:strRef>
          </c:tx>
          <c:spPr>
            <a:solidFill>
              <a:schemeClr val="accent1">
                <a:lumMod val="75000"/>
              </a:schemeClr>
            </a:solidFill>
            <a:ln>
              <a:noFill/>
            </a:ln>
            <a:effectLst/>
          </c:spPr>
          <c:invertIfNegative val="0"/>
          <c:cat>
            <c:numRef>
              <c:f>'[Chart in Microsoft Word]25.11.2020'!$B$4:$B$8</c:f>
              <c:numCache>
                <c:formatCode>General</c:formatCode>
                <c:ptCount val="5"/>
                <c:pt idx="0">
                  <c:v>2018</c:v>
                </c:pt>
                <c:pt idx="1">
                  <c:v>2019</c:v>
                </c:pt>
                <c:pt idx="2">
                  <c:v>2020</c:v>
                </c:pt>
                <c:pt idx="3">
                  <c:v>2021</c:v>
                </c:pt>
                <c:pt idx="4">
                  <c:v>2022</c:v>
                </c:pt>
              </c:numCache>
            </c:numRef>
          </c:cat>
          <c:val>
            <c:numRef>
              <c:f>'[Chart in Microsoft Word]25.11.2020'!$C$4:$C$8</c:f>
              <c:numCache>
                <c:formatCode>_(* #,##0.0_);_(* \(#,##0.0\);_(* "-"??_);_(@_)</c:formatCode>
                <c:ptCount val="5"/>
                <c:pt idx="0">
                  <c:v>57805.19</c:v>
                </c:pt>
                <c:pt idx="1">
                  <c:v>68255.816999999995</c:v>
                </c:pt>
                <c:pt idx="2">
                  <c:v>133727.51329999999</c:v>
                </c:pt>
                <c:pt idx="3">
                  <c:v>64130.133500000004</c:v>
                </c:pt>
                <c:pt idx="4">
                  <c:v>97924.4</c:v>
                </c:pt>
              </c:numCache>
            </c:numRef>
          </c:val>
          <c:extLst>
            <c:ext xmlns:c16="http://schemas.microsoft.com/office/drawing/2014/chart" uri="{C3380CC4-5D6E-409C-BE32-E72D297353CC}">
              <c16:uniqueId val="{00000000-ECEB-4FA6-8C5C-100A15F1C298}"/>
            </c:ext>
          </c:extLst>
        </c:ser>
        <c:ser>
          <c:idx val="1"/>
          <c:order val="1"/>
          <c:tx>
            <c:strRef>
              <c:f>'[Chart in Microsoft Word]25.11.2020'!$D$3</c:f>
              <c:strCache>
                <c:ptCount val="1"/>
                <c:pt idx="0">
                  <c:v>դրամաշնորհ </c:v>
                </c:pt>
              </c:strCache>
            </c:strRef>
          </c:tx>
          <c:spPr>
            <a:solidFill>
              <a:srgbClr val="C00000"/>
            </a:solidFill>
            <a:ln>
              <a:noFill/>
            </a:ln>
            <a:effectLst/>
          </c:spPr>
          <c:invertIfNegative val="0"/>
          <c:cat>
            <c:numRef>
              <c:f>'[Chart in Microsoft Word]25.11.2020'!$B$4:$B$8</c:f>
              <c:numCache>
                <c:formatCode>General</c:formatCode>
                <c:ptCount val="5"/>
                <c:pt idx="0">
                  <c:v>2018</c:v>
                </c:pt>
                <c:pt idx="1">
                  <c:v>2019</c:v>
                </c:pt>
                <c:pt idx="2">
                  <c:v>2020</c:v>
                </c:pt>
                <c:pt idx="3">
                  <c:v>2021</c:v>
                </c:pt>
                <c:pt idx="4">
                  <c:v>2022</c:v>
                </c:pt>
              </c:numCache>
            </c:numRef>
          </c:cat>
          <c:val>
            <c:numRef>
              <c:f>'[Chart in Microsoft Word]25.11.2020'!$D$4:$D$8</c:f>
              <c:numCache>
                <c:formatCode>_(* #,##0.0_);_(* \(#,##0.0\);_(* "-"??_);_(@_)</c:formatCode>
                <c:ptCount val="5"/>
                <c:pt idx="0">
                  <c:v>11558.935149999999</c:v>
                </c:pt>
                <c:pt idx="1">
                  <c:v>8045.7013999999999</c:v>
                </c:pt>
                <c:pt idx="2">
                  <c:v>27808.2183</c:v>
                </c:pt>
                <c:pt idx="3">
                  <c:v>22577.124599999999</c:v>
                </c:pt>
                <c:pt idx="4">
                  <c:v>35047.699999999997</c:v>
                </c:pt>
              </c:numCache>
            </c:numRef>
          </c:val>
          <c:extLst>
            <c:ext xmlns:c16="http://schemas.microsoft.com/office/drawing/2014/chart" uri="{C3380CC4-5D6E-409C-BE32-E72D297353CC}">
              <c16:uniqueId val="{00000001-ECEB-4FA6-8C5C-100A15F1C298}"/>
            </c:ext>
          </c:extLst>
        </c:ser>
        <c:dLbls>
          <c:showLegendKey val="0"/>
          <c:showVal val="0"/>
          <c:showCatName val="0"/>
          <c:showSerName val="0"/>
          <c:showPercent val="0"/>
          <c:showBubbleSize val="0"/>
        </c:dLbls>
        <c:gapWidth val="150"/>
        <c:axId val="55786496"/>
        <c:axId val="55796480"/>
      </c:barChart>
      <c:lineChart>
        <c:grouping val="standard"/>
        <c:varyColors val="0"/>
        <c:ser>
          <c:idx val="2"/>
          <c:order val="2"/>
          <c:tx>
            <c:strRef>
              <c:f>'[Chart in Microsoft Word]25.11.2020'!$E$3</c:f>
              <c:strCache>
                <c:ptCount val="1"/>
                <c:pt idx="0">
                  <c:v>տես կշիռը ընդամենը ծախսերում</c:v>
                </c:pt>
              </c:strCache>
            </c:strRef>
          </c:tx>
          <c:spPr>
            <a:ln w="28575" cap="rnd">
              <a:solidFill>
                <a:schemeClr val="accent6">
                  <a:lumMod val="60000"/>
                  <a:lumOff val="40000"/>
                </a:schemeClr>
              </a:solidFill>
              <a:round/>
            </a:ln>
            <a:effectLst/>
          </c:spPr>
          <c:marker>
            <c:symbol val="none"/>
          </c:marker>
          <c:dPt>
            <c:idx val="0"/>
            <c:marker>
              <c:symbol val="none"/>
            </c:marker>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3-ECEB-4FA6-8C5C-100A15F1C298}"/>
              </c:ext>
            </c:extLst>
          </c:dPt>
          <c:dPt>
            <c:idx val="1"/>
            <c:marker>
              <c:symbol val="none"/>
            </c:marker>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5-ECEB-4FA6-8C5C-100A15F1C298}"/>
              </c:ext>
            </c:extLst>
          </c:dPt>
          <c:dPt>
            <c:idx val="2"/>
            <c:marker>
              <c:symbol val="none"/>
            </c:marker>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7-ECEB-4FA6-8C5C-100A15F1C298}"/>
              </c:ext>
            </c:extLst>
          </c:dPt>
          <c:dPt>
            <c:idx val="3"/>
            <c:marker>
              <c:symbol val="none"/>
            </c:marker>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9-ECEB-4FA6-8C5C-100A15F1C298}"/>
              </c:ext>
            </c:extLst>
          </c:dPt>
          <c:cat>
            <c:numRef>
              <c:f>'[Chart in Microsoft Word]25.11.2020'!$B$4:$B$8</c:f>
              <c:numCache>
                <c:formatCode>General</c:formatCode>
                <c:ptCount val="5"/>
                <c:pt idx="0">
                  <c:v>2018</c:v>
                </c:pt>
                <c:pt idx="1">
                  <c:v>2019</c:v>
                </c:pt>
                <c:pt idx="2">
                  <c:v>2020</c:v>
                </c:pt>
                <c:pt idx="3">
                  <c:v>2021</c:v>
                </c:pt>
                <c:pt idx="4">
                  <c:v>2022</c:v>
                </c:pt>
              </c:numCache>
            </c:numRef>
          </c:cat>
          <c:val>
            <c:numRef>
              <c:f>'[Chart in Microsoft Word]25.11.2020'!$E$4:$E$8</c:f>
              <c:numCache>
                <c:formatCode>0%</c:formatCode>
                <c:ptCount val="5"/>
                <c:pt idx="0">
                  <c:v>4.7933194077810798E-2</c:v>
                </c:pt>
                <c:pt idx="1">
                  <c:v>4.6827984779673502E-2</c:v>
                </c:pt>
                <c:pt idx="2">
                  <c:v>8.8702285212234361E-2</c:v>
                </c:pt>
                <c:pt idx="3">
                  <c:v>4.6688291359000225E-2</c:v>
                </c:pt>
                <c:pt idx="4" formatCode="0.00%">
                  <c:v>6.0739262391159683E-2</c:v>
                </c:pt>
              </c:numCache>
            </c:numRef>
          </c:val>
          <c:smooth val="0"/>
          <c:extLst>
            <c:ext xmlns:c16="http://schemas.microsoft.com/office/drawing/2014/chart" uri="{C3380CC4-5D6E-409C-BE32-E72D297353CC}">
              <c16:uniqueId val="{0000000A-ECEB-4FA6-8C5C-100A15F1C298}"/>
            </c:ext>
          </c:extLst>
        </c:ser>
        <c:ser>
          <c:idx val="3"/>
          <c:order val="3"/>
          <c:tx>
            <c:strRef>
              <c:f>'[Chart in Microsoft Word]25.11.2020'!$F$3</c:f>
              <c:strCache>
                <c:ptCount val="1"/>
                <c:pt idx="0">
                  <c:v>տես կշիռ ՀՆԱ-ում</c:v>
                </c:pt>
              </c:strCache>
            </c:strRef>
          </c:tx>
          <c:spPr>
            <a:ln w="28575" cap="rnd">
              <a:solidFill>
                <a:srgbClr val="7030A0"/>
              </a:solidFill>
              <a:round/>
            </a:ln>
            <a:effectLst/>
          </c:spPr>
          <c:marker>
            <c:symbol val="none"/>
          </c:marker>
          <c:dPt>
            <c:idx val="0"/>
            <c:marker>
              <c:symbol val="none"/>
            </c:marker>
            <c:bubble3D val="0"/>
            <c:spPr>
              <a:ln w="28575" cap="rnd">
                <a:solidFill>
                  <a:srgbClr val="7030A0"/>
                </a:solidFill>
                <a:round/>
              </a:ln>
              <a:effectLst/>
            </c:spPr>
            <c:extLst>
              <c:ext xmlns:c16="http://schemas.microsoft.com/office/drawing/2014/chart" uri="{C3380CC4-5D6E-409C-BE32-E72D297353CC}">
                <c16:uniqueId val="{0000000C-ECEB-4FA6-8C5C-100A15F1C298}"/>
              </c:ext>
            </c:extLst>
          </c:dPt>
          <c:dPt>
            <c:idx val="1"/>
            <c:marker>
              <c:symbol val="none"/>
            </c:marker>
            <c:bubble3D val="0"/>
            <c:spPr>
              <a:ln w="28575" cap="rnd">
                <a:solidFill>
                  <a:srgbClr val="7030A0"/>
                </a:solidFill>
                <a:round/>
              </a:ln>
              <a:effectLst/>
            </c:spPr>
            <c:extLst>
              <c:ext xmlns:c16="http://schemas.microsoft.com/office/drawing/2014/chart" uri="{C3380CC4-5D6E-409C-BE32-E72D297353CC}">
                <c16:uniqueId val="{0000000E-ECEB-4FA6-8C5C-100A15F1C298}"/>
              </c:ext>
            </c:extLst>
          </c:dPt>
          <c:dPt>
            <c:idx val="2"/>
            <c:marker>
              <c:symbol val="none"/>
            </c:marker>
            <c:bubble3D val="0"/>
            <c:spPr>
              <a:ln w="28575" cap="rnd">
                <a:solidFill>
                  <a:srgbClr val="7030A0"/>
                </a:solidFill>
                <a:round/>
              </a:ln>
              <a:effectLst/>
            </c:spPr>
            <c:extLst>
              <c:ext xmlns:c16="http://schemas.microsoft.com/office/drawing/2014/chart" uri="{C3380CC4-5D6E-409C-BE32-E72D297353CC}">
                <c16:uniqueId val="{00000010-ECEB-4FA6-8C5C-100A15F1C298}"/>
              </c:ext>
            </c:extLst>
          </c:dPt>
          <c:dPt>
            <c:idx val="3"/>
            <c:marker>
              <c:symbol val="none"/>
            </c:marker>
            <c:bubble3D val="0"/>
            <c:spPr>
              <a:ln w="28575" cap="rnd">
                <a:solidFill>
                  <a:srgbClr val="7030A0"/>
                </a:solidFill>
                <a:round/>
              </a:ln>
              <a:effectLst/>
            </c:spPr>
            <c:extLst>
              <c:ext xmlns:c16="http://schemas.microsoft.com/office/drawing/2014/chart" uri="{C3380CC4-5D6E-409C-BE32-E72D297353CC}">
                <c16:uniqueId val="{00000012-ECEB-4FA6-8C5C-100A15F1C298}"/>
              </c:ext>
            </c:extLst>
          </c:dPt>
          <c:cat>
            <c:numRef>
              <c:f>'[Chart in Microsoft Word]25.11.2020'!$B$4:$B$8</c:f>
              <c:numCache>
                <c:formatCode>General</c:formatCode>
                <c:ptCount val="5"/>
                <c:pt idx="0">
                  <c:v>2018</c:v>
                </c:pt>
                <c:pt idx="1">
                  <c:v>2019</c:v>
                </c:pt>
                <c:pt idx="2">
                  <c:v>2020</c:v>
                </c:pt>
                <c:pt idx="3">
                  <c:v>2021</c:v>
                </c:pt>
                <c:pt idx="4">
                  <c:v>2022</c:v>
                </c:pt>
              </c:numCache>
            </c:numRef>
          </c:cat>
          <c:val>
            <c:numRef>
              <c:f>'[Chart in Microsoft Word]25.11.2020'!$F$4:$F$8</c:f>
              <c:numCache>
                <c:formatCode>0%</c:formatCode>
                <c:ptCount val="5"/>
                <c:pt idx="0">
                  <c:v>1.1528024788100383E-2</c:v>
                </c:pt>
                <c:pt idx="1">
                  <c:v>1.1615393271426397E-2</c:v>
                </c:pt>
                <c:pt idx="2">
                  <c:v>2.5854404135789624E-2</c:v>
                </c:pt>
                <c:pt idx="3">
                  <c:v>1.3557943873341066E-2</c:v>
                </c:pt>
                <c:pt idx="4">
                  <c:v>1.6897361933565454E-2</c:v>
                </c:pt>
              </c:numCache>
            </c:numRef>
          </c:val>
          <c:smooth val="1"/>
          <c:extLst>
            <c:ext xmlns:c16="http://schemas.microsoft.com/office/drawing/2014/chart" uri="{C3380CC4-5D6E-409C-BE32-E72D297353CC}">
              <c16:uniqueId val="{00000013-ECEB-4FA6-8C5C-100A15F1C298}"/>
            </c:ext>
          </c:extLst>
        </c:ser>
        <c:dLbls>
          <c:showLegendKey val="0"/>
          <c:showVal val="0"/>
          <c:showCatName val="0"/>
          <c:showSerName val="0"/>
          <c:showPercent val="0"/>
          <c:showBubbleSize val="0"/>
        </c:dLbls>
        <c:marker val="1"/>
        <c:smooth val="0"/>
        <c:axId val="55803904"/>
        <c:axId val="55798016"/>
      </c:lineChart>
      <c:catAx>
        <c:axId val="5578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96480"/>
        <c:crosses val="autoZero"/>
        <c:auto val="1"/>
        <c:lblAlgn val="ctr"/>
        <c:lblOffset val="100"/>
        <c:noMultiLvlLbl val="0"/>
      </c:catAx>
      <c:valAx>
        <c:axId val="55796480"/>
        <c:scaling>
          <c:orientation val="minMax"/>
          <c:max val="2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86496"/>
        <c:crosses val="autoZero"/>
        <c:crossBetween val="between"/>
        <c:majorUnit val="50000"/>
        <c:minorUnit val="1000"/>
      </c:valAx>
      <c:valAx>
        <c:axId val="55798016"/>
        <c:scaling>
          <c:orientation val="minMax"/>
          <c:max val="0.15000000000000002"/>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3904"/>
        <c:crosses val="max"/>
        <c:crossBetween val="between"/>
        <c:majorUnit val="5.000000000000001E-2"/>
      </c:valAx>
      <c:catAx>
        <c:axId val="55803904"/>
        <c:scaling>
          <c:orientation val="minMax"/>
        </c:scaling>
        <c:delete val="1"/>
        <c:axPos val="b"/>
        <c:numFmt formatCode="General" sourceLinked="1"/>
        <c:majorTickMark val="out"/>
        <c:minorTickMark val="none"/>
        <c:tickLblPos val="nextTo"/>
        <c:crossAx val="5579801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9406561046703"/>
          <c:y val="7.5671399729304159E-2"/>
          <c:w val="0.80945163008672649"/>
          <c:h val="0.63033650218477943"/>
        </c:manualLayout>
      </c:layout>
      <c:bar3DChart>
        <c:barDir val="col"/>
        <c:grouping val="percentStacked"/>
        <c:varyColors val="0"/>
        <c:ser>
          <c:idx val="0"/>
          <c:order val="0"/>
          <c:tx>
            <c:strRef>
              <c:f>UXERZ!$F$61</c:f>
              <c:strCache>
                <c:ptCount val="1"/>
                <c:pt idx="0">
                  <c:v>ներքին պարտք</c:v>
                </c:pt>
              </c:strCache>
            </c:strRef>
          </c:tx>
          <c:spPr>
            <a:solidFill>
              <a:schemeClr val="tx2">
                <a:lumMod val="60000"/>
                <a:lumOff val="4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UXERZ!$G$61:$I$61</c:f>
              <c:numCache>
                <c:formatCode>_(* #,##0.0_);_(* \(#,##0.0\);_(* "-"??_);_(@_)</c:formatCode>
                <c:ptCount val="3"/>
                <c:pt idx="0">
                  <c:v>25.42493935357507</c:v>
                </c:pt>
                <c:pt idx="1">
                  <c:v>28.288260855064291</c:v>
                </c:pt>
                <c:pt idx="2">
                  <c:v>30.981727433376264</c:v>
                </c:pt>
              </c:numCache>
            </c:numRef>
          </c:val>
          <c:extLst>
            <c:ext xmlns:c16="http://schemas.microsoft.com/office/drawing/2014/chart" uri="{C3380CC4-5D6E-409C-BE32-E72D297353CC}">
              <c16:uniqueId val="{00000000-AC91-44AA-A801-6FF54213E66F}"/>
            </c:ext>
          </c:extLst>
        </c:ser>
        <c:ser>
          <c:idx val="1"/>
          <c:order val="1"/>
          <c:tx>
            <c:strRef>
              <c:f>UXERZ!$F$62</c:f>
              <c:strCache>
                <c:ptCount val="1"/>
                <c:pt idx="0">
                  <c:v>արտաքին պարտք</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UXERZ!$G$62:$I$62</c:f>
              <c:numCache>
                <c:formatCode>_(* #,##0.0_);_(* \(#,##0.0\);_(* "-"??_);_(@_)</c:formatCode>
                <c:ptCount val="3"/>
                <c:pt idx="0">
                  <c:v>74.57506064642493</c:v>
                </c:pt>
                <c:pt idx="1">
                  <c:v>71.71173914493572</c:v>
                </c:pt>
                <c:pt idx="2">
                  <c:v>69.01827256662375</c:v>
                </c:pt>
              </c:numCache>
            </c:numRef>
          </c:val>
          <c:extLst>
            <c:ext xmlns:c16="http://schemas.microsoft.com/office/drawing/2014/chart" uri="{C3380CC4-5D6E-409C-BE32-E72D297353CC}">
              <c16:uniqueId val="{00000001-AC91-44AA-A801-6FF54213E66F}"/>
            </c:ext>
          </c:extLst>
        </c:ser>
        <c:dLbls>
          <c:showLegendKey val="0"/>
          <c:showVal val="0"/>
          <c:showCatName val="0"/>
          <c:showSerName val="0"/>
          <c:showPercent val="0"/>
          <c:showBubbleSize val="0"/>
        </c:dLbls>
        <c:gapWidth val="121"/>
        <c:shape val="box"/>
        <c:axId val="204430336"/>
        <c:axId val="247247936"/>
        <c:axId val="0"/>
      </c:bar3DChart>
      <c:catAx>
        <c:axId val="204430336"/>
        <c:scaling>
          <c:orientation val="minMax"/>
        </c:scaling>
        <c:delete val="0"/>
        <c:axPos val="b"/>
        <c:numFmt formatCode="General" sourceLinked="1"/>
        <c:majorTickMark val="out"/>
        <c:minorTickMark val="none"/>
        <c:tickLblPos val="nextTo"/>
        <c:txPr>
          <a:bodyPr rot="0" vert="horz"/>
          <a:lstStyle/>
          <a:p>
            <a:pPr>
              <a:defRPr/>
            </a:pPr>
            <a:endParaRPr lang="en-US"/>
          </a:p>
        </c:txPr>
        <c:crossAx val="247247936"/>
        <c:crosses val="autoZero"/>
        <c:auto val="1"/>
        <c:lblAlgn val="ctr"/>
        <c:lblOffset val="100"/>
        <c:noMultiLvlLbl val="0"/>
      </c:catAx>
      <c:valAx>
        <c:axId val="247247936"/>
        <c:scaling>
          <c:orientation val="minMax"/>
        </c:scaling>
        <c:delete val="0"/>
        <c:axPos val="l"/>
        <c:majorGridlines/>
        <c:numFmt formatCode="0%" sourceLinked="1"/>
        <c:majorTickMark val="out"/>
        <c:minorTickMark val="none"/>
        <c:tickLblPos val="nextTo"/>
        <c:txPr>
          <a:bodyPr rot="0" vert="horz"/>
          <a:lstStyle/>
          <a:p>
            <a:pPr>
              <a:defRPr/>
            </a:pPr>
            <a:endParaRPr lang="en-US"/>
          </a:p>
        </c:txPr>
        <c:crossAx val="204430336"/>
        <c:crosses val="autoZero"/>
        <c:crossBetween val="between"/>
        <c:majorUnit val="0.2"/>
      </c:valAx>
      <c:spPr>
        <a:noFill/>
        <a:ln w="25400">
          <a:noFill/>
        </a:ln>
      </c:spPr>
    </c:plotArea>
    <c:legend>
      <c:legendPos val="b"/>
      <c:layout>
        <c:manualLayout>
          <c:xMode val="edge"/>
          <c:yMode val="edge"/>
          <c:x val="1.2169321196713901E-2"/>
          <c:y val="0.8770977339664604"/>
          <c:w val="0.95019578403187144"/>
          <c:h val="8.3971970106790139E-2"/>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88633384607099"/>
          <c:y val="7.4972696950913548E-2"/>
          <c:w val="0.8329078807974768"/>
          <c:h val="0.615263947363478"/>
        </c:manualLayout>
      </c:layout>
      <c:bar3DChart>
        <c:barDir val="col"/>
        <c:grouping val="percentStacked"/>
        <c:varyColors val="0"/>
        <c:ser>
          <c:idx val="0"/>
          <c:order val="0"/>
          <c:tx>
            <c:strRef>
              <c:f>UXERZ!$F$70</c:f>
              <c:strCache>
                <c:ptCount val="1"/>
                <c:pt idx="0">
                  <c:v>դրամով ներգրավված պարտք</c:v>
                </c:pt>
              </c:strCache>
            </c:strRef>
          </c:tx>
          <c:spPr>
            <a:solidFill>
              <a:srgbClr val="D92529"/>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UXERZ!$G$70:$I$70</c:f>
              <c:numCache>
                <c:formatCode>_(* #,##0.0_);_(* \(#,##0.0\);_(* "-"??_);_(@_)</c:formatCode>
                <c:ptCount val="3"/>
                <c:pt idx="0">
                  <c:v>24.435806405343524</c:v>
                </c:pt>
                <c:pt idx="1">
                  <c:v>27.319649159468653</c:v>
                </c:pt>
                <c:pt idx="2">
                  <c:v>30.125519580611464</c:v>
                </c:pt>
              </c:numCache>
            </c:numRef>
          </c:val>
          <c:extLst>
            <c:ext xmlns:c16="http://schemas.microsoft.com/office/drawing/2014/chart" uri="{C3380CC4-5D6E-409C-BE32-E72D297353CC}">
              <c16:uniqueId val="{00000000-25B0-468E-812C-7366C7983FB3}"/>
            </c:ext>
          </c:extLst>
        </c:ser>
        <c:ser>
          <c:idx val="1"/>
          <c:order val="1"/>
          <c:tx>
            <c:strRef>
              <c:f>UXERZ!$F$71</c:f>
              <c:strCache>
                <c:ptCount val="1"/>
                <c:pt idx="0">
                  <c:v>արտարժութային պարտք</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UXERZ!$G$71:$I$71</c:f>
              <c:numCache>
                <c:formatCode>_(* #,##0.0_);_(* \(#,##0.0\);_(* "-"??_);_(@_)</c:formatCode>
                <c:ptCount val="3"/>
                <c:pt idx="0">
                  <c:v>75.564193594656473</c:v>
                </c:pt>
                <c:pt idx="1">
                  <c:v>72.680350840531347</c:v>
                </c:pt>
                <c:pt idx="2">
                  <c:v>69.874480419388533</c:v>
                </c:pt>
              </c:numCache>
            </c:numRef>
          </c:val>
          <c:extLst>
            <c:ext xmlns:c16="http://schemas.microsoft.com/office/drawing/2014/chart" uri="{C3380CC4-5D6E-409C-BE32-E72D297353CC}">
              <c16:uniqueId val="{00000001-25B0-468E-812C-7366C7983FB3}"/>
            </c:ext>
          </c:extLst>
        </c:ser>
        <c:dLbls>
          <c:showLegendKey val="0"/>
          <c:showVal val="0"/>
          <c:showCatName val="0"/>
          <c:showSerName val="0"/>
          <c:showPercent val="0"/>
          <c:showBubbleSize val="0"/>
        </c:dLbls>
        <c:gapWidth val="106"/>
        <c:shape val="box"/>
        <c:axId val="246398464"/>
        <c:axId val="247411200"/>
        <c:axId val="0"/>
      </c:bar3DChart>
      <c:catAx>
        <c:axId val="246398464"/>
        <c:scaling>
          <c:orientation val="minMax"/>
        </c:scaling>
        <c:delete val="0"/>
        <c:axPos val="b"/>
        <c:numFmt formatCode="General" sourceLinked="1"/>
        <c:majorTickMark val="out"/>
        <c:minorTickMark val="none"/>
        <c:tickLblPos val="nextTo"/>
        <c:txPr>
          <a:bodyPr rot="0" vert="horz"/>
          <a:lstStyle/>
          <a:p>
            <a:pPr>
              <a:defRPr/>
            </a:pPr>
            <a:endParaRPr lang="en-US"/>
          </a:p>
        </c:txPr>
        <c:crossAx val="247411200"/>
        <c:crosses val="autoZero"/>
        <c:auto val="1"/>
        <c:lblAlgn val="ctr"/>
        <c:lblOffset val="100"/>
        <c:noMultiLvlLbl val="0"/>
      </c:catAx>
      <c:valAx>
        <c:axId val="247411200"/>
        <c:scaling>
          <c:orientation val="minMax"/>
        </c:scaling>
        <c:delete val="0"/>
        <c:axPos val="l"/>
        <c:majorGridlines/>
        <c:numFmt formatCode="0%" sourceLinked="1"/>
        <c:majorTickMark val="out"/>
        <c:minorTickMark val="none"/>
        <c:tickLblPos val="nextTo"/>
        <c:txPr>
          <a:bodyPr rot="0" vert="horz"/>
          <a:lstStyle/>
          <a:p>
            <a:pPr>
              <a:defRPr/>
            </a:pPr>
            <a:endParaRPr lang="en-US"/>
          </a:p>
        </c:txPr>
        <c:crossAx val="246398464"/>
        <c:crosses val="autoZero"/>
        <c:crossBetween val="between"/>
        <c:majorUnit val="0.2"/>
      </c:valAx>
      <c:spPr>
        <a:noFill/>
        <a:ln w="25400">
          <a:noFill/>
        </a:ln>
      </c:spPr>
    </c:plotArea>
    <c:legend>
      <c:legendPos val="b"/>
      <c:layout>
        <c:manualLayout>
          <c:xMode val="edge"/>
          <c:yMode val="edge"/>
          <c:x val="1.482343116201384E-2"/>
          <c:y val="0.83300424756065805"/>
          <c:w val="0.96579461658201815"/>
          <c:h val="0.14518342649916849"/>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02439173854468"/>
          <c:y val="4.4673937666766389E-2"/>
          <c:w val="0.87232174103237092"/>
          <c:h val="0.62478650920680734"/>
        </c:manualLayout>
      </c:layout>
      <c:bar3DChart>
        <c:barDir val="col"/>
        <c:grouping val="percentStacked"/>
        <c:varyColors val="0"/>
        <c:ser>
          <c:idx val="0"/>
          <c:order val="0"/>
          <c:tx>
            <c:strRef>
              <c:f>UXERZ!$F$64</c:f>
              <c:strCache>
                <c:ptCount val="1"/>
                <c:pt idx="0">
                  <c:v>արտաքին վարկեր</c:v>
                </c:pt>
              </c:strCache>
            </c:strRef>
          </c:tx>
          <c:spPr>
            <a:solidFill>
              <a:srgbClr val="FFC000"/>
            </a:solidFill>
          </c:spPr>
          <c:invertIfNegative val="0"/>
          <c:dLbls>
            <c:spPr>
              <a:solidFill>
                <a:srgbClr val="FFC000"/>
              </a:solidFill>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UXERZ!$G$64:$I$64</c:f>
              <c:numCache>
                <c:formatCode>_(* #,##0.0_);_(* \(#,##0.0\);_(* "-"??_);_(@_)</c:formatCode>
                <c:ptCount val="3"/>
                <c:pt idx="0">
                  <c:v>62.13165865325638</c:v>
                </c:pt>
                <c:pt idx="1">
                  <c:v>52.467383379854141</c:v>
                </c:pt>
                <c:pt idx="2">
                  <c:v>51.06840578812082</c:v>
                </c:pt>
              </c:numCache>
            </c:numRef>
          </c:val>
          <c:extLst>
            <c:ext xmlns:c16="http://schemas.microsoft.com/office/drawing/2014/chart" uri="{C3380CC4-5D6E-409C-BE32-E72D297353CC}">
              <c16:uniqueId val="{00000000-6384-4F21-A120-67B13ED2FD39}"/>
            </c:ext>
          </c:extLst>
        </c:ser>
        <c:ser>
          <c:idx val="1"/>
          <c:order val="1"/>
          <c:tx>
            <c:strRef>
              <c:f>UXERZ!$F$65</c:f>
              <c:strCache>
                <c:ptCount val="1"/>
                <c:pt idx="0">
                  <c:v>պետ. գանձ. պարտ.</c:v>
                </c:pt>
              </c:strCache>
            </c:strRef>
          </c:tx>
          <c:spPr>
            <a:solidFill>
              <a:srgbClr val="D92529"/>
            </a:solidFill>
          </c:spPr>
          <c:invertIfNegative val="0"/>
          <c:dLbls>
            <c:spPr>
              <a:solidFill>
                <a:srgbClr val="D92529"/>
              </a:solidFill>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UXERZ!$G$65:$I$65</c:f>
              <c:numCache>
                <c:formatCode>_(* #,##0.0_);_(* \(#,##0.0\);_(* "-"??_);_(@_)</c:formatCode>
                <c:ptCount val="3"/>
                <c:pt idx="0">
                  <c:v>24.435806405343524</c:v>
                </c:pt>
                <c:pt idx="1">
                  <c:v>27.319649159468653</c:v>
                </c:pt>
                <c:pt idx="2">
                  <c:v>30.125519580611464</c:v>
                </c:pt>
              </c:numCache>
            </c:numRef>
          </c:val>
          <c:extLst>
            <c:ext xmlns:c16="http://schemas.microsoft.com/office/drawing/2014/chart" uri="{C3380CC4-5D6E-409C-BE32-E72D297353CC}">
              <c16:uniqueId val="{00000001-6384-4F21-A120-67B13ED2FD39}"/>
            </c:ext>
          </c:extLst>
        </c:ser>
        <c:ser>
          <c:idx val="2"/>
          <c:order val="2"/>
          <c:tx>
            <c:strRef>
              <c:f>UXERZ!$F$66</c:f>
              <c:strCache>
                <c:ptCount val="1"/>
                <c:pt idx="0">
                  <c:v>արտարժ. պետ. պարտ.</c:v>
                </c:pt>
              </c:strCache>
            </c:strRef>
          </c:tx>
          <c:spPr>
            <a:solidFill>
              <a:schemeClr val="tx2">
                <a:lumMod val="60000"/>
                <a:lumOff val="40000"/>
              </a:schemeClr>
            </a:solidFill>
          </c:spPr>
          <c:invertIfNegative val="0"/>
          <c:dLbls>
            <c:spPr>
              <a:solidFill>
                <a:schemeClr val="tx2">
                  <a:lumMod val="60000"/>
                  <a:lumOff val="40000"/>
                </a:schemeClr>
              </a:solidFill>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UXERZ!$G$66:$I$66</c:f>
              <c:numCache>
                <c:formatCode>_(* #,##0.0_);_(* \(#,##0.0\);_(* "-"??_);_(@_)</c:formatCode>
                <c:ptCount val="3"/>
                <c:pt idx="0">
                  <c:v>13.318164480745363</c:v>
                </c:pt>
                <c:pt idx="1">
                  <c:v>20.117865711962896</c:v>
                </c:pt>
                <c:pt idx="2">
                  <c:v>18.717592294996955</c:v>
                </c:pt>
              </c:numCache>
            </c:numRef>
          </c:val>
          <c:extLst>
            <c:ext xmlns:c16="http://schemas.microsoft.com/office/drawing/2014/chart" uri="{C3380CC4-5D6E-409C-BE32-E72D297353CC}">
              <c16:uniqueId val="{00000002-6384-4F21-A120-67B13ED2FD39}"/>
            </c:ext>
          </c:extLst>
        </c:ser>
        <c:ser>
          <c:idx val="3"/>
          <c:order val="3"/>
          <c:tx>
            <c:strRef>
              <c:f>UXERZ!$F$67</c:f>
              <c:strCache>
                <c:ptCount val="1"/>
                <c:pt idx="0">
                  <c:v>երաշխիքներ</c:v>
                </c:pt>
              </c:strCache>
            </c:strRef>
          </c:tx>
          <c:spPr>
            <a:solidFill>
              <a:schemeClr val="accent4">
                <a:lumMod val="20000"/>
                <a:lumOff val="80000"/>
              </a:schemeClr>
            </a:solidFill>
          </c:spPr>
          <c:invertIfNegative val="0"/>
          <c:dLbls>
            <c:dLbl>
              <c:idx val="0"/>
              <c:layout>
                <c:manualLayout>
                  <c:x val="8.3333333333333332E-3"/>
                  <c:y val="-3.240740740740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84-4F21-A120-67B13ED2FD39}"/>
                </c:ext>
              </c:extLst>
            </c:dLbl>
            <c:dLbl>
              <c:idx val="1"/>
              <c:layout>
                <c:manualLayout>
                  <c:x val="1.1111111111111112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84-4F21-A120-67B13ED2FD39}"/>
                </c:ext>
              </c:extLst>
            </c:dLbl>
            <c:dLbl>
              <c:idx val="2"/>
              <c:layout>
                <c:manualLayout>
                  <c:x val="1.1111111111111112E-2"/>
                  <c:y val="-3.2407407407407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84-4F21-A120-67B13ED2FD39}"/>
                </c:ext>
              </c:extLst>
            </c:dLbl>
            <c:spPr>
              <a:noFill/>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UXERZ!$G$67:$I$67</c:f>
              <c:numCache>
                <c:formatCode>_(* #,##0.0_);_(* \(#,##0.0\);_(* "-"??_);_(@_)</c:formatCode>
                <c:ptCount val="3"/>
                <c:pt idx="0">
                  <c:v>0.11437046065473214</c:v>
                </c:pt>
                <c:pt idx="1">
                  <c:v>9.5101748714315149E-2</c:v>
                </c:pt>
                <c:pt idx="2">
                  <c:v>8.8482336270755454E-2</c:v>
                </c:pt>
              </c:numCache>
            </c:numRef>
          </c:val>
          <c:extLst>
            <c:ext xmlns:c16="http://schemas.microsoft.com/office/drawing/2014/chart" uri="{C3380CC4-5D6E-409C-BE32-E72D297353CC}">
              <c16:uniqueId val="{00000006-6384-4F21-A120-67B13ED2FD39}"/>
            </c:ext>
          </c:extLst>
        </c:ser>
        <c:dLbls>
          <c:showLegendKey val="0"/>
          <c:showVal val="0"/>
          <c:showCatName val="0"/>
          <c:showSerName val="0"/>
          <c:showPercent val="0"/>
          <c:showBubbleSize val="0"/>
        </c:dLbls>
        <c:gapWidth val="94"/>
        <c:shape val="box"/>
        <c:axId val="248097280"/>
        <c:axId val="247412928"/>
        <c:axId val="0"/>
      </c:bar3DChart>
      <c:catAx>
        <c:axId val="24809728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47412928"/>
        <c:crosses val="autoZero"/>
        <c:auto val="1"/>
        <c:lblAlgn val="ctr"/>
        <c:lblOffset val="100"/>
        <c:noMultiLvlLbl val="0"/>
      </c:catAx>
      <c:valAx>
        <c:axId val="247412928"/>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48097280"/>
        <c:crosses val="autoZero"/>
        <c:crossBetween val="between"/>
        <c:majorUnit val="0.2"/>
      </c:valAx>
      <c:spPr>
        <a:noFill/>
        <a:ln w="25400">
          <a:noFill/>
        </a:ln>
      </c:spPr>
    </c:plotArea>
    <c:legend>
      <c:legendPos val="b"/>
      <c:layout>
        <c:manualLayout>
          <c:xMode val="edge"/>
          <c:yMode val="edge"/>
          <c:x val="1.4823282517637626E-2"/>
          <c:y val="0.82310511186101731"/>
          <c:w val="0.94298945297059988"/>
          <c:h val="0.1461612298462692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UXERZ!$F$73</c:f>
              <c:strCache>
                <c:ptCount val="1"/>
                <c:pt idx="0">
                  <c:v>լողացող տոկոսադրույքով</c:v>
                </c:pt>
              </c:strCache>
            </c:strRef>
          </c:tx>
          <c:spPr>
            <a:solidFill>
              <a:srgbClr val="FFC000"/>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UXERZ!$G$73:$I$73</c:f>
              <c:numCache>
                <c:formatCode>_(* #,##0.0_);_(* \(#,##0.0\);_(* "-"??_);_(@_)</c:formatCode>
                <c:ptCount val="3"/>
                <c:pt idx="0">
                  <c:v>19.593935065378844</c:v>
                </c:pt>
                <c:pt idx="1">
                  <c:v>17.531326022739666</c:v>
                </c:pt>
                <c:pt idx="2">
                  <c:v>17.266047692133903</c:v>
                </c:pt>
              </c:numCache>
            </c:numRef>
          </c:val>
          <c:extLst>
            <c:ext xmlns:c16="http://schemas.microsoft.com/office/drawing/2014/chart" uri="{C3380CC4-5D6E-409C-BE32-E72D297353CC}">
              <c16:uniqueId val="{00000000-7060-432A-9B10-A8E37B5CD65C}"/>
            </c:ext>
          </c:extLst>
        </c:ser>
        <c:ser>
          <c:idx val="1"/>
          <c:order val="1"/>
          <c:tx>
            <c:strRef>
              <c:f>UXERZ!$F$74</c:f>
              <c:strCache>
                <c:ptCount val="1"/>
                <c:pt idx="0">
                  <c:v>ֆիքսված տոկոսադրույքով</c:v>
                </c:pt>
              </c:strCache>
            </c:strRef>
          </c:tx>
          <c:spPr>
            <a:solidFill>
              <a:schemeClr val="accent6">
                <a:lumMod val="40000"/>
                <a:lumOff val="60000"/>
              </a:schemeClr>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UXERZ!$G$74:$I$74</c:f>
              <c:numCache>
                <c:formatCode>_(* #,##0.0_);_(* \(#,##0.0\);_(* "-"??_);_(@_)</c:formatCode>
                <c:ptCount val="3"/>
                <c:pt idx="0">
                  <c:v>80.406064934621156</c:v>
                </c:pt>
                <c:pt idx="1">
                  <c:v>82.468673977260337</c:v>
                </c:pt>
                <c:pt idx="2">
                  <c:v>82.73395230786609</c:v>
                </c:pt>
              </c:numCache>
            </c:numRef>
          </c:val>
          <c:extLst>
            <c:ext xmlns:c16="http://schemas.microsoft.com/office/drawing/2014/chart" uri="{C3380CC4-5D6E-409C-BE32-E72D297353CC}">
              <c16:uniqueId val="{00000001-7060-432A-9B10-A8E37B5CD65C}"/>
            </c:ext>
          </c:extLst>
        </c:ser>
        <c:dLbls>
          <c:showLegendKey val="0"/>
          <c:showVal val="0"/>
          <c:showCatName val="0"/>
          <c:showSerName val="0"/>
          <c:showPercent val="0"/>
          <c:showBubbleSize val="0"/>
        </c:dLbls>
        <c:gapWidth val="121"/>
        <c:shape val="box"/>
        <c:axId val="237016576"/>
        <c:axId val="245506048"/>
        <c:axId val="0"/>
      </c:bar3DChart>
      <c:catAx>
        <c:axId val="237016576"/>
        <c:scaling>
          <c:orientation val="minMax"/>
        </c:scaling>
        <c:delete val="0"/>
        <c:axPos val="b"/>
        <c:numFmt formatCode="General" sourceLinked="1"/>
        <c:majorTickMark val="out"/>
        <c:minorTickMark val="none"/>
        <c:tickLblPos val="nextTo"/>
        <c:txPr>
          <a:bodyPr rot="0" vert="horz"/>
          <a:lstStyle/>
          <a:p>
            <a:pPr>
              <a:defRPr/>
            </a:pPr>
            <a:endParaRPr lang="en-US"/>
          </a:p>
        </c:txPr>
        <c:crossAx val="245506048"/>
        <c:crosses val="autoZero"/>
        <c:auto val="1"/>
        <c:lblAlgn val="ctr"/>
        <c:lblOffset val="100"/>
        <c:noMultiLvlLbl val="0"/>
      </c:catAx>
      <c:valAx>
        <c:axId val="245506048"/>
        <c:scaling>
          <c:orientation val="minMax"/>
        </c:scaling>
        <c:delete val="0"/>
        <c:axPos val="l"/>
        <c:majorGridlines/>
        <c:numFmt formatCode="0%" sourceLinked="1"/>
        <c:majorTickMark val="out"/>
        <c:minorTickMark val="none"/>
        <c:tickLblPos val="nextTo"/>
        <c:txPr>
          <a:bodyPr rot="0" vert="horz"/>
          <a:lstStyle/>
          <a:p>
            <a:pPr>
              <a:defRPr/>
            </a:pPr>
            <a:endParaRPr lang="en-US"/>
          </a:p>
        </c:txPr>
        <c:crossAx val="237016576"/>
        <c:crosses val="autoZero"/>
        <c:crossBetween val="between"/>
      </c:valAx>
      <c:spPr>
        <a:noFill/>
        <a:ln w="25400">
          <a:noFill/>
        </a:ln>
      </c:spPr>
    </c:plotArea>
    <c:legend>
      <c:legendPos val="b"/>
      <c:layout>
        <c:manualLayout>
          <c:xMode val="edge"/>
          <c:yMode val="edge"/>
          <c:x val="1.1404099947961545E-2"/>
          <c:y val="0.85664532868505938"/>
          <c:w val="0.96540949716063407"/>
          <c:h val="0.10442487627977803"/>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FFC000"/>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w="25400">
                <a:noFill/>
              </a:ln>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'Stock for Budget'!$B$251:$B$271</c:f>
              <c:strCache>
                <c:ptCount val="21"/>
                <c:pt idx="0">
                  <c:v>Ենթակա է հստակեցման</c:v>
                </c:pt>
                <c:pt idx="1">
                  <c:v>ԿԲՍ Բանկ (Բելգիա)</c:v>
                </c:pt>
                <c:pt idx="2">
                  <c:v>Ռայֆայզն Բանկ (Ավստրիա)</c:v>
                </c:pt>
                <c:pt idx="3">
                  <c:v>Էռստե Բանկ (Ավստրիա)</c:v>
                </c:pt>
                <c:pt idx="4">
                  <c:v>Աբու-Դաբիի Զարգացման Հիմնադրամ</c:v>
                </c:pt>
                <c:pt idx="5">
                  <c:v>ԱՄՆ</c:v>
                </c:pt>
                <c:pt idx="6">
                  <c:v>Չինաստանի Արտահանման-Ներմուծման Բանկ</c:v>
                </c:pt>
                <c:pt idx="7">
                  <c:v>Ֆրանսիա</c:v>
                </c:pt>
                <c:pt idx="8">
                  <c:v>Ճապոնիա</c:v>
                </c:pt>
                <c:pt idx="9">
                  <c:v>Գերմանիա (ՎՎԲ)</c:v>
                </c:pt>
                <c:pt idx="10">
                  <c:v>Ռուսաստանի Դաշնություն</c:v>
                </c:pt>
                <c:pt idx="11">
                  <c:v>Վերակառուցման և Զարգացման Եվրոպական Բանկ</c:v>
                </c:pt>
                <c:pt idx="12">
                  <c:v>ՕՊԵԿ-ի Միջազգային Զարգացման Հիմնադրամ </c:v>
                </c:pt>
                <c:pt idx="13">
                  <c:v>Գյուղատնտեսության Զարգացման Միջազգային Հիմնադրամ</c:v>
                </c:pt>
                <c:pt idx="14">
                  <c:v>Եվրամիություն</c:v>
                </c:pt>
                <c:pt idx="15">
                  <c:v>Եվրոպական Ներդրումային Բանկ</c:v>
                </c:pt>
                <c:pt idx="16">
                  <c:v>Արժույթի Միջազգային Հիմնադրամ</c:v>
                </c:pt>
                <c:pt idx="17">
                  <c:v>Եվրասիական Զարգացման Բանկ </c:v>
                </c:pt>
                <c:pt idx="18">
                  <c:v>Ասիական Զարգացման Բանկ</c:v>
                </c:pt>
                <c:pt idx="19">
                  <c:v>Զարգացման Միջազգային Ընկերակցություն</c:v>
                </c:pt>
                <c:pt idx="20">
                  <c:v>Վերակառուցման և Զարգացման Միջազգային Բանկ</c:v>
                </c:pt>
              </c:strCache>
            </c:strRef>
          </c:cat>
          <c:val>
            <c:numRef>
              <c:f>'Stock for Budget'!$D$251:$D$271</c:f>
              <c:numCache>
                <c:formatCode>0.00%</c:formatCode>
                <c:ptCount val="21"/>
                <c:pt idx="0" formatCode="0.0%">
                  <c:v>4.8972109137913077E-2</c:v>
                </c:pt>
                <c:pt idx="1">
                  <c:v>3.8058553343205533E-4</c:v>
                </c:pt>
                <c:pt idx="2" formatCode="0.0%">
                  <c:v>1.2025392316482736E-3</c:v>
                </c:pt>
                <c:pt idx="3" formatCode="0.0%">
                  <c:v>1.7594370167202948E-3</c:v>
                </c:pt>
                <c:pt idx="4" formatCode="0.0%">
                  <c:v>6.0934296782195585E-4</c:v>
                </c:pt>
                <c:pt idx="5" formatCode="0.0%">
                  <c:v>2.50905230925772E-3</c:v>
                </c:pt>
                <c:pt idx="6" formatCode="0.0%">
                  <c:v>4.3995806278556383E-3</c:v>
                </c:pt>
                <c:pt idx="7" formatCode="0.0%">
                  <c:v>3.3586959497126923E-2</c:v>
                </c:pt>
                <c:pt idx="8" formatCode="0.0%">
                  <c:v>4.2323247623542969E-2</c:v>
                </c:pt>
                <c:pt idx="9" formatCode="0.0%">
                  <c:v>6.6102421248283597E-2</c:v>
                </c:pt>
                <c:pt idx="10" formatCode="0.0%">
                  <c:v>7.0185311963804745E-2</c:v>
                </c:pt>
                <c:pt idx="11" formatCode="0.0%">
                  <c:v>7.9448666373816753E-3</c:v>
                </c:pt>
                <c:pt idx="12" formatCode="0.0%">
                  <c:v>8.8753647444012439E-3</c:v>
                </c:pt>
                <c:pt idx="13" formatCode="0.0%">
                  <c:v>1.2910147672885347E-2</c:v>
                </c:pt>
                <c:pt idx="14" formatCode="0.0%">
                  <c:v>1.6876544849260204E-2</c:v>
                </c:pt>
                <c:pt idx="15" formatCode="0.0%">
                  <c:v>3.5320533015208114E-2</c:v>
                </c:pt>
                <c:pt idx="16" formatCode="0.0%">
                  <c:v>7.207758336913167E-2</c:v>
                </c:pt>
                <c:pt idx="17" formatCode="0.0%">
                  <c:v>7.6082140489283995E-2</c:v>
                </c:pt>
                <c:pt idx="18" formatCode="0.0%">
                  <c:v>0.17108611799682086</c:v>
                </c:pt>
                <c:pt idx="19" formatCode="0.0%">
                  <c:v>0.18594817006298153</c:v>
                </c:pt>
                <c:pt idx="20" formatCode="0.0%">
                  <c:v>0.18982005314315115</c:v>
                </c:pt>
              </c:numCache>
            </c:numRef>
          </c:val>
          <c:extLst>
            <c:ext xmlns:c16="http://schemas.microsoft.com/office/drawing/2014/chart" uri="{C3380CC4-5D6E-409C-BE32-E72D297353CC}">
              <c16:uniqueId val="{00000000-5AC5-4109-9518-74D9B4EA5ADC}"/>
            </c:ext>
          </c:extLst>
        </c:ser>
        <c:dLbls>
          <c:showLegendKey val="0"/>
          <c:showVal val="0"/>
          <c:showCatName val="0"/>
          <c:showSerName val="0"/>
          <c:showPercent val="0"/>
          <c:showBubbleSize val="0"/>
        </c:dLbls>
        <c:gapWidth val="21"/>
        <c:axId val="144510976"/>
        <c:axId val="238169472"/>
      </c:barChart>
      <c:catAx>
        <c:axId val="144510976"/>
        <c:scaling>
          <c:orientation val="minMax"/>
        </c:scaling>
        <c:delete val="0"/>
        <c:axPos val="l"/>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238169472"/>
        <c:crosses val="autoZero"/>
        <c:auto val="1"/>
        <c:lblAlgn val="ctr"/>
        <c:lblOffset val="100"/>
        <c:noMultiLvlLbl val="0"/>
      </c:catAx>
      <c:valAx>
        <c:axId val="238169472"/>
        <c:scaling>
          <c:orientation val="minMax"/>
        </c:scaling>
        <c:delete val="1"/>
        <c:axPos val="b"/>
        <c:majorGridlines/>
        <c:numFmt formatCode="0.0%" sourceLinked="1"/>
        <c:majorTickMark val="out"/>
        <c:minorTickMark val="none"/>
        <c:tickLblPos val="nextTo"/>
        <c:crossAx val="144510976"/>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hy-AM" sz="900" b="1"/>
              <a:t>Կառավարության պարտքի մարման ժամանակացույցը 31.12.2022թ. դրությամբ (մլրդ դրամ)</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6935306508735371E-2"/>
          <c:y val="0.15735900597468894"/>
          <c:w val="0.92964832917686924"/>
          <c:h val="0.61622706917047232"/>
        </c:manualLayout>
      </c:layout>
      <c:bar3DChart>
        <c:barDir val="col"/>
        <c:grouping val="stacked"/>
        <c:varyColors val="0"/>
        <c:ser>
          <c:idx val="0"/>
          <c:order val="0"/>
          <c:tx>
            <c:strRef>
              <c:f>UXERZ!$I$14</c:f>
              <c:strCache>
                <c:ptCount val="1"/>
                <c:pt idx="0">
                  <c:v>Արտաքին վարկեր</c:v>
                </c:pt>
              </c:strCache>
            </c:strRef>
          </c:tx>
          <c:spPr>
            <a:solidFill>
              <a:schemeClr val="tx2">
                <a:lumMod val="60000"/>
                <a:lumOff val="40000"/>
              </a:schemeClr>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UXERZ!$J$14:$AO$14</c:f>
              <c:numCache>
                <c:formatCode>_(* #,##0_);_(* \(#,##0\);_(* "-"??_);_(@_)</c:formatCode>
                <c:ptCount val="32"/>
                <c:pt idx="0">
                  <c:v>172.49940230529165</c:v>
                </c:pt>
                <c:pt idx="1">
                  <c:v>221.46525519225472</c:v>
                </c:pt>
                <c:pt idx="2">
                  <c:v>197.46523774422917</c:v>
                </c:pt>
                <c:pt idx="3">
                  <c:v>198.28316277377101</c:v>
                </c:pt>
                <c:pt idx="4">
                  <c:v>154.8035700125148</c:v>
                </c:pt>
                <c:pt idx="5">
                  <c:v>143.46151827896097</c:v>
                </c:pt>
                <c:pt idx="6">
                  <c:v>140.31324728023168</c:v>
                </c:pt>
                <c:pt idx="7">
                  <c:v>134.57358322385824</c:v>
                </c:pt>
                <c:pt idx="8">
                  <c:v>131.26313042556518</c:v>
                </c:pt>
                <c:pt idx="9">
                  <c:v>139.7468794706416</c:v>
                </c:pt>
                <c:pt idx="10">
                  <c:v>132.17211896340777</c:v>
                </c:pt>
                <c:pt idx="11">
                  <c:v>127.28650259758656</c:v>
                </c:pt>
                <c:pt idx="12">
                  <c:v>105.56077717710963</c:v>
                </c:pt>
                <c:pt idx="13">
                  <c:v>88.993112693949172</c:v>
                </c:pt>
                <c:pt idx="14">
                  <c:v>78.814015526228644</c:v>
                </c:pt>
                <c:pt idx="15">
                  <c:v>64.467486465337586</c:v>
                </c:pt>
                <c:pt idx="16">
                  <c:v>56.460896928108326</c:v>
                </c:pt>
                <c:pt idx="17">
                  <c:v>42.43420141276976</c:v>
                </c:pt>
                <c:pt idx="18">
                  <c:v>33.071446971713371</c:v>
                </c:pt>
                <c:pt idx="19">
                  <c:v>16.588980478500552</c:v>
                </c:pt>
                <c:pt idx="20">
                  <c:v>15.573285019483889</c:v>
                </c:pt>
                <c:pt idx="21">
                  <c:v>13.094657874234617</c:v>
                </c:pt>
                <c:pt idx="22">
                  <c:v>5.9497439900467013</c:v>
                </c:pt>
                <c:pt idx="23">
                  <c:v>1.6617260654175867</c:v>
                </c:pt>
                <c:pt idx="24">
                  <c:v>1.3933242398440486</c:v>
                </c:pt>
                <c:pt idx="25">
                  <c:v>1.0456364599628032</c:v>
                </c:pt>
                <c:pt idx="26">
                  <c:v>0.99996783706398618</c:v>
                </c:pt>
                <c:pt idx="27">
                  <c:v>0.75900525393855434</c:v>
                </c:pt>
                <c:pt idx="28">
                  <c:v>0.47469012517856174</c:v>
                </c:pt>
                <c:pt idx="29">
                  <c:v>2.1478104408703222E-2</c:v>
                </c:pt>
                <c:pt idx="30">
                  <c:v>2.1478104408703222E-2</c:v>
                </c:pt>
                <c:pt idx="31">
                  <c:v>2.1478104408703323E-2</c:v>
                </c:pt>
              </c:numCache>
            </c:numRef>
          </c:val>
          <c:extLst>
            <c:ext xmlns:c16="http://schemas.microsoft.com/office/drawing/2014/chart" uri="{C3380CC4-5D6E-409C-BE32-E72D297353CC}">
              <c16:uniqueId val="{00000000-BCA7-4EF3-B8AE-518E8A4A1F83}"/>
            </c:ext>
          </c:extLst>
        </c:ser>
        <c:ser>
          <c:idx val="1"/>
          <c:order val="1"/>
          <c:tx>
            <c:strRef>
              <c:f>UXERZ!$I$15</c:f>
              <c:strCache>
                <c:ptCount val="1"/>
                <c:pt idx="0">
                  <c:v>Արտարժութային պարտատոմսեր</c:v>
                </c:pt>
              </c:strCache>
            </c:strRef>
          </c:tx>
          <c:spPr>
            <a:solidFill>
              <a:srgbClr val="FFC000"/>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UXERZ!$J$15:$AO$15</c:f>
              <c:numCache>
                <c:formatCode>General</c:formatCode>
                <c:ptCount val="32"/>
                <c:pt idx="2" formatCode="_(* #,##0_);_(* \(#,##0\);_(* &quot;-&quot;??_);_(@_)">
                  <c:v>253.5</c:v>
                </c:pt>
                <c:pt idx="6" formatCode="_(* #,##0_);_(* \(#,##0\);_(* &quot;-&quot;??_);_(@_)">
                  <c:v>253.5</c:v>
                </c:pt>
                <c:pt idx="8" formatCode="_(* #,##0_);_(* \(#,##0\);_(* &quot;-&quot;??_);_(@_)">
                  <c:v>380.25</c:v>
                </c:pt>
              </c:numCache>
            </c:numRef>
          </c:val>
          <c:extLst>
            <c:ext xmlns:c16="http://schemas.microsoft.com/office/drawing/2014/chart" uri="{C3380CC4-5D6E-409C-BE32-E72D297353CC}">
              <c16:uniqueId val="{00000001-BCA7-4EF3-B8AE-518E8A4A1F83}"/>
            </c:ext>
          </c:extLst>
        </c:ser>
        <c:ser>
          <c:idx val="2"/>
          <c:order val="2"/>
          <c:tx>
            <c:strRef>
              <c:f>UXERZ!$I$16</c:f>
              <c:strCache>
                <c:ptCount val="1"/>
                <c:pt idx="0">
                  <c:v>Երաշխիքներ</c:v>
                </c:pt>
              </c:strCache>
            </c:strRef>
          </c:tx>
          <c:spPr>
            <a:solidFill>
              <a:schemeClr val="accent4">
                <a:lumMod val="40000"/>
                <a:lumOff val="60000"/>
              </a:schemeClr>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UXERZ!$J$16:$AO$16</c:f>
              <c:numCache>
                <c:formatCode>_(* #,##0_);_(* \(#,##0\);_(* "-"??_);_(@_)</c:formatCode>
                <c:ptCount val="32"/>
                <c:pt idx="0">
                  <c:v>0.16131667388067789</c:v>
                </c:pt>
                <c:pt idx="1">
                  <c:v>0.32263334776135577</c:v>
                </c:pt>
                <c:pt idx="2">
                  <c:v>0.32263334776135577</c:v>
                </c:pt>
                <c:pt idx="3">
                  <c:v>0.32263334776135577</c:v>
                </c:pt>
                <c:pt idx="4">
                  <c:v>0.32263334776135577</c:v>
                </c:pt>
                <c:pt idx="5">
                  <c:v>0.32263334776135577</c:v>
                </c:pt>
                <c:pt idx="6">
                  <c:v>0.32263334776135577</c:v>
                </c:pt>
                <c:pt idx="7">
                  <c:v>0.32263334776135577</c:v>
                </c:pt>
                <c:pt idx="8">
                  <c:v>0.32263334776135577</c:v>
                </c:pt>
                <c:pt idx="9">
                  <c:v>0.32263334776135577</c:v>
                </c:pt>
                <c:pt idx="10">
                  <c:v>0.32263334776135577</c:v>
                </c:pt>
                <c:pt idx="11">
                  <c:v>0.32263334776135577</c:v>
                </c:pt>
                <c:pt idx="12">
                  <c:v>0.32263334776135577</c:v>
                </c:pt>
                <c:pt idx="13">
                  <c:v>0.1613166643739225</c:v>
                </c:pt>
              </c:numCache>
            </c:numRef>
          </c:val>
          <c:extLst>
            <c:ext xmlns:c16="http://schemas.microsoft.com/office/drawing/2014/chart" uri="{C3380CC4-5D6E-409C-BE32-E72D297353CC}">
              <c16:uniqueId val="{00000002-BCA7-4EF3-B8AE-518E8A4A1F83}"/>
            </c:ext>
          </c:extLst>
        </c:ser>
        <c:ser>
          <c:idx val="3"/>
          <c:order val="3"/>
          <c:tx>
            <c:strRef>
              <c:f>UXERZ!$I$17</c:f>
              <c:strCache>
                <c:ptCount val="1"/>
                <c:pt idx="0">
                  <c:v>Դրամային պարտատոմսեր</c:v>
                </c:pt>
              </c:strCache>
            </c:strRef>
          </c:tx>
          <c:spPr>
            <a:solidFill>
              <a:srgbClr val="D92529"/>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UXERZ!$J$17:$AO$17</c:f>
              <c:numCache>
                <c:formatCode>_(* #,##0.0_);_(* \(#,##0.0\);_(* "-"??_);_(@_)</c:formatCode>
                <c:ptCount val="32"/>
                <c:pt idx="0">
                  <c:v>148.34252739934996</c:v>
                </c:pt>
                <c:pt idx="1">
                  <c:v>93.999927399349971</c:v>
                </c:pt>
                <c:pt idx="2">
                  <c:v>177.74892</c:v>
                </c:pt>
                <c:pt idx="3">
                  <c:v>72.891999999999996</c:v>
                </c:pt>
                <c:pt idx="4">
                  <c:v>124.9200000000002</c:v>
                </c:pt>
                <c:pt idx="5">
                  <c:v>16.690090000000001</c:v>
                </c:pt>
                <c:pt idx="6">
                  <c:v>153.761459</c:v>
                </c:pt>
                <c:pt idx="8">
                  <c:v>185.77914999999999</c:v>
                </c:pt>
                <c:pt idx="9">
                  <c:v>35.5</c:v>
                </c:pt>
                <c:pt idx="13">
                  <c:v>71</c:v>
                </c:pt>
                <c:pt idx="14">
                  <c:v>75.266499999999994</c:v>
                </c:pt>
                <c:pt idx="24">
                  <c:v>115.700405</c:v>
                </c:pt>
                <c:pt idx="27">
                  <c:v>138.406792</c:v>
                </c:pt>
                <c:pt idx="29" formatCode="_(* #,##0_);_(* \(#,##0\);_(* &quot;-&quot;??_);_(@_)">
                  <c:v>18</c:v>
                </c:pt>
              </c:numCache>
            </c:numRef>
          </c:val>
          <c:extLst>
            <c:ext xmlns:c16="http://schemas.microsoft.com/office/drawing/2014/chart" uri="{C3380CC4-5D6E-409C-BE32-E72D297353CC}">
              <c16:uniqueId val="{00000003-BCA7-4EF3-B8AE-518E8A4A1F83}"/>
            </c:ext>
          </c:extLst>
        </c:ser>
        <c:dLbls>
          <c:showLegendKey val="0"/>
          <c:showVal val="0"/>
          <c:showCatName val="0"/>
          <c:showSerName val="0"/>
          <c:showPercent val="0"/>
          <c:showBubbleSize val="0"/>
        </c:dLbls>
        <c:gapWidth val="75"/>
        <c:shape val="box"/>
        <c:axId val="166249472"/>
        <c:axId val="65630720"/>
        <c:axId val="0"/>
      </c:bar3DChart>
      <c:catAx>
        <c:axId val="166249472"/>
        <c:scaling>
          <c:orientation val="minMax"/>
        </c:scaling>
        <c:delete val="0"/>
        <c:axPos val="b"/>
        <c:numFmt formatCode="General" sourceLinked="1"/>
        <c:majorTickMark val="none"/>
        <c:minorTickMark val="none"/>
        <c:tickLblPos val="nextTo"/>
        <c:txPr>
          <a:bodyPr rot="-3120000" vert="horz"/>
          <a:lstStyle/>
          <a:p>
            <a:pPr>
              <a:defRPr sz="700"/>
            </a:pPr>
            <a:endParaRPr lang="en-US"/>
          </a:p>
        </c:txPr>
        <c:crossAx val="65630720"/>
        <c:crosses val="autoZero"/>
        <c:auto val="1"/>
        <c:lblAlgn val="ctr"/>
        <c:lblOffset val="100"/>
        <c:noMultiLvlLbl val="0"/>
      </c:catAx>
      <c:valAx>
        <c:axId val="65630720"/>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a:pPr>
            <a:endParaRPr lang="en-US"/>
          </a:p>
        </c:txPr>
        <c:crossAx val="166249472"/>
        <c:crosses val="autoZero"/>
        <c:crossBetween val="between"/>
      </c:valAx>
      <c:spPr>
        <a:noFill/>
        <a:ln w="25400">
          <a:noFill/>
        </a:ln>
      </c:spPr>
    </c:plotArea>
    <c:legend>
      <c:legendPos val="b"/>
      <c:layout>
        <c:manualLayout>
          <c:xMode val="edge"/>
          <c:yMode val="edge"/>
          <c:x val="1.2947000362085829E-2"/>
          <c:y val="0.88553499111580125"/>
          <c:w val="0.96339258210431311"/>
          <c:h val="9.3851863877840058E-2"/>
        </c:manualLayout>
      </c:layout>
      <c:overlay val="0"/>
      <c:txPr>
        <a:bodyPr/>
        <a:lstStyle/>
        <a:p>
          <a:pPr>
            <a:defRPr sz="900"/>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hy-AM" b="1"/>
              <a:t>Մասհանումների կառուցվածքն ըստ վարկատուների (%)</a:t>
            </a:r>
          </a:p>
        </c:rich>
      </c:tx>
      <c:layout>
        <c:manualLayout>
          <c:xMode val="edge"/>
          <c:yMode val="edge"/>
          <c:x val="0.22124391347633274"/>
          <c:y val="9.23777781012124E-3"/>
        </c:manualLayout>
      </c:layout>
      <c:overlay val="0"/>
    </c:title>
    <c:autoTitleDeleted val="0"/>
    <c:view3D>
      <c:rotX val="30"/>
      <c:rotY val="30"/>
      <c:rAngAx val="0"/>
      <c:perspective val="0"/>
    </c:view3D>
    <c:floor>
      <c:thickness val="0"/>
    </c:floor>
    <c:sideWall>
      <c:thickness val="0"/>
    </c:sideWall>
    <c:backWall>
      <c:thickness val="0"/>
    </c:backWall>
    <c:plotArea>
      <c:layout>
        <c:manualLayout>
          <c:layoutTarget val="inner"/>
          <c:xMode val="edge"/>
          <c:yMode val="edge"/>
          <c:x val="9.993196220283225E-2"/>
          <c:y val="0.21078519126565864"/>
          <c:w val="0.81388888888888888"/>
          <c:h val="0.6921908719743366"/>
        </c:manualLayout>
      </c:layout>
      <c:pie3DChart>
        <c:varyColors val="1"/>
        <c:ser>
          <c:idx val="0"/>
          <c:order val="0"/>
          <c:explosion val="20"/>
          <c:dPt>
            <c:idx val="0"/>
            <c:bubble3D val="0"/>
            <c:extLst>
              <c:ext xmlns:c16="http://schemas.microsoft.com/office/drawing/2014/chart" uri="{C3380CC4-5D6E-409C-BE32-E72D297353CC}">
                <c16:uniqueId val="{00000000-4992-4BD7-BA61-FA184858167B}"/>
              </c:ext>
            </c:extLst>
          </c:dPt>
          <c:dPt>
            <c:idx val="1"/>
            <c:bubble3D val="0"/>
            <c:extLst>
              <c:ext xmlns:c16="http://schemas.microsoft.com/office/drawing/2014/chart" uri="{C3380CC4-5D6E-409C-BE32-E72D297353CC}">
                <c16:uniqueId val="{00000001-4992-4BD7-BA61-FA184858167B}"/>
              </c:ext>
            </c:extLst>
          </c:dPt>
          <c:dPt>
            <c:idx val="2"/>
            <c:bubble3D val="0"/>
            <c:extLst>
              <c:ext xmlns:c16="http://schemas.microsoft.com/office/drawing/2014/chart" uri="{C3380CC4-5D6E-409C-BE32-E72D297353CC}">
                <c16:uniqueId val="{00000002-4992-4BD7-BA61-FA184858167B}"/>
              </c:ext>
            </c:extLst>
          </c:dPt>
          <c:dPt>
            <c:idx val="3"/>
            <c:bubble3D val="0"/>
            <c:extLst>
              <c:ext xmlns:c16="http://schemas.microsoft.com/office/drawing/2014/chart" uri="{C3380CC4-5D6E-409C-BE32-E72D297353CC}">
                <c16:uniqueId val="{00000003-4992-4BD7-BA61-FA184858167B}"/>
              </c:ext>
            </c:extLst>
          </c:dPt>
          <c:dPt>
            <c:idx val="4"/>
            <c:bubble3D val="0"/>
            <c:extLst>
              <c:ext xmlns:c16="http://schemas.microsoft.com/office/drawing/2014/chart" uri="{C3380CC4-5D6E-409C-BE32-E72D297353CC}">
                <c16:uniqueId val="{00000004-4992-4BD7-BA61-FA184858167B}"/>
              </c:ext>
            </c:extLst>
          </c:dPt>
          <c:dPt>
            <c:idx val="5"/>
            <c:bubble3D val="0"/>
            <c:extLst>
              <c:ext xmlns:c16="http://schemas.microsoft.com/office/drawing/2014/chart" uri="{C3380CC4-5D6E-409C-BE32-E72D297353CC}">
                <c16:uniqueId val="{00000005-4992-4BD7-BA61-FA184858167B}"/>
              </c:ext>
            </c:extLst>
          </c:dPt>
          <c:dPt>
            <c:idx val="6"/>
            <c:bubble3D val="0"/>
            <c:extLst>
              <c:ext xmlns:c16="http://schemas.microsoft.com/office/drawing/2014/chart" uri="{C3380CC4-5D6E-409C-BE32-E72D297353CC}">
                <c16:uniqueId val="{00000006-4992-4BD7-BA61-FA184858167B}"/>
              </c:ext>
            </c:extLst>
          </c:dPt>
          <c:dPt>
            <c:idx val="7"/>
            <c:bubble3D val="0"/>
            <c:extLst>
              <c:ext xmlns:c16="http://schemas.microsoft.com/office/drawing/2014/chart" uri="{C3380CC4-5D6E-409C-BE32-E72D297353CC}">
                <c16:uniqueId val="{00000007-4992-4BD7-BA61-FA184858167B}"/>
              </c:ext>
            </c:extLst>
          </c:dPt>
          <c:dPt>
            <c:idx val="8"/>
            <c:bubble3D val="0"/>
            <c:extLst>
              <c:ext xmlns:c16="http://schemas.microsoft.com/office/drawing/2014/chart" uri="{C3380CC4-5D6E-409C-BE32-E72D297353CC}">
                <c16:uniqueId val="{00000008-4992-4BD7-BA61-FA184858167B}"/>
              </c:ext>
            </c:extLst>
          </c:dPt>
          <c:dPt>
            <c:idx val="9"/>
            <c:bubble3D val="0"/>
            <c:extLst>
              <c:ext xmlns:c16="http://schemas.microsoft.com/office/drawing/2014/chart" uri="{C3380CC4-5D6E-409C-BE32-E72D297353CC}">
                <c16:uniqueId val="{00000009-4992-4BD7-BA61-FA184858167B}"/>
              </c:ext>
            </c:extLst>
          </c:dPt>
          <c:dPt>
            <c:idx val="10"/>
            <c:bubble3D val="0"/>
            <c:extLst>
              <c:ext xmlns:c16="http://schemas.microsoft.com/office/drawing/2014/chart" uri="{C3380CC4-5D6E-409C-BE32-E72D297353CC}">
                <c16:uniqueId val="{0000000A-4992-4BD7-BA61-FA184858167B}"/>
              </c:ext>
            </c:extLst>
          </c:dPt>
          <c:dPt>
            <c:idx val="11"/>
            <c:bubble3D val="0"/>
            <c:extLst>
              <c:ext xmlns:c16="http://schemas.microsoft.com/office/drawing/2014/chart" uri="{C3380CC4-5D6E-409C-BE32-E72D297353CC}">
                <c16:uniqueId val="{0000000B-4992-4BD7-BA61-FA184858167B}"/>
              </c:ext>
            </c:extLst>
          </c:dPt>
          <c:dLbls>
            <c:dLbl>
              <c:idx val="0"/>
              <c:layout>
                <c:manualLayout>
                  <c:x val="1.2744420357777481E-2"/>
                  <c:y val="6.7663419596816099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992-4BD7-BA61-FA184858167B}"/>
                </c:ext>
              </c:extLst>
            </c:dLbl>
            <c:dLbl>
              <c:idx val="1"/>
              <c:layout>
                <c:manualLayout>
                  <c:x val="2.3401574803149566E-2"/>
                  <c:y val="6.079872868175297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92-4BD7-BA61-FA184858167B}"/>
                </c:ext>
              </c:extLst>
            </c:dLbl>
            <c:dLbl>
              <c:idx val="2"/>
              <c:layout>
                <c:manualLayout>
                  <c:x val="5.587242189224695E-3"/>
                  <c:y val="8.4965236995346985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992-4BD7-BA61-FA184858167B}"/>
                </c:ext>
              </c:extLst>
            </c:dLbl>
            <c:dLbl>
              <c:idx val="3"/>
              <c:layout>
                <c:manualLayout>
                  <c:x val="-3.862646887451731E-2"/>
                  <c:y val="3.4451178245359718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92-4BD7-BA61-FA184858167B}"/>
                </c:ext>
              </c:extLst>
            </c:dLbl>
            <c:dLbl>
              <c:idx val="4"/>
              <c:layout>
                <c:manualLayout>
                  <c:x val="-3.342718689041934E-2"/>
                  <c:y val="-2.2812812463159367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992-4BD7-BA61-FA184858167B}"/>
                </c:ext>
              </c:extLst>
            </c:dLbl>
            <c:dLbl>
              <c:idx val="5"/>
              <c:layout>
                <c:manualLayout>
                  <c:x val="-0.10571861304226667"/>
                  <c:y val="-3.88214781081124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92-4BD7-BA61-FA184858167B}"/>
                </c:ext>
              </c:extLst>
            </c:dLbl>
            <c:dLbl>
              <c:idx val="6"/>
              <c:layout>
                <c:manualLayout>
                  <c:x val="-4.9533144902412805E-2"/>
                  <c:y val="-0.13814783118729815"/>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992-4BD7-BA61-FA184858167B}"/>
                </c:ext>
              </c:extLst>
            </c:dLbl>
            <c:dLbl>
              <c:idx val="7"/>
              <c:layout>
                <c:manualLayout>
                  <c:x val="-2.8278933254197173E-2"/>
                  <c:y val="-3.1033822795274502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92-4BD7-BA61-FA184858167B}"/>
                </c:ext>
              </c:extLst>
            </c:dLbl>
            <c:dLbl>
              <c:idx val="8"/>
              <c:layout>
                <c:manualLayout>
                  <c:x val="-7.3741934082955443E-2"/>
                  <c:y val="-7.6694014242862409E-3"/>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992-4BD7-BA61-FA184858167B}"/>
                </c:ext>
              </c:extLst>
            </c:dLbl>
            <c:dLbl>
              <c:idx val="9"/>
              <c:layout>
                <c:manualLayout>
                  <c:x val="-1.1275274413083545E-2"/>
                  <c:y val="-3.3939229872460452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92-4BD7-BA61-FA184858167B}"/>
                </c:ext>
              </c:extLst>
            </c:dLbl>
            <c:dLbl>
              <c:idx val="10"/>
              <c:layout>
                <c:manualLayout>
                  <c:x val="-5.3209176416941409E-2"/>
                  <c:y val="-1.91713204120038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4992-4BD7-BA61-FA184858167B}"/>
                </c:ext>
              </c:extLst>
            </c:dLbl>
            <c:dLbl>
              <c:idx val="11"/>
              <c:layout>
                <c:manualLayout>
                  <c:x val="3.1334662724334647E-2"/>
                  <c:y val="5.1759545090025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992-4BD7-BA61-FA184858167B}"/>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Budget'!$C$114:$C$125</c:f>
              <c:strCache>
                <c:ptCount val="12"/>
                <c:pt idx="0">
                  <c:v>Ենթակա է հստակեցման</c:v>
                </c:pt>
                <c:pt idx="1">
                  <c:v>ՎԶՄԲ</c:v>
                </c:pt>
                <c:pt idx="2">
                  <c:v>ԶՄԸ</c:v>
                </c:pt>
                <c:pt idx="3">
                  <c:v>ՎԶԵԲ</c:v>
                </c:pt>
                <c:pt idx="4">
                  <c:v>ԵՆԲ</c:v>
                </c:pt>
                <c:pt idx="5">
                  <c:v>ԳԶՄՀ</c:v>
                </c:pt>
                <c:pt idx="6">
                  <c:v>ՕՄԶՀ</c:v>
                </c:pt>
                <c:pt idx="7">
                  <c:v>ԱԶԲ</c:v>
                </c:pt>
                <c:pt idx="8">
                  <c:v>ԵԶԲ (ԿԶԵՀ).</c:v>
                </c:pt>
                <c:pt idx="9">
                  <c:v>Ֆրանսիա</c:v>
                </c:pt>
                <c:pt idx="10">
                  <c:v>Գերմանիա (ՎՎԲ)</c:v>
                </c:pt>
                <c:pt idx="11">
                  <c:v>Ռուսաստանի Դաշնություն</c:v>
                </c:pt>
              </c:strCache>
            </c:strRef>
          </c:cat>
          <c:val>
            <c:numRef>
              <c:f>'Disbursement for Budget'!$D$114:$D$125</c:f>
              <c:numCache>
                <c:formatCode>_(* #,##0.0_);_(* \(#,##0.0\);_(* "-"??_);_(@_)</c:formatCode>
                <c:ptCount val="12"/>
                <c:pt idx="0">
                  <c:v>222.90778363047002</c:v>
                </c:pt>
                <c:pt idx="1">
                  <c:v>47.589763920481779</c:v>
                </c:pt>
                <c:pt idx="2">
                  <c:v>4.4057358115574621</c:v>
                </c:pt>
                <c:pt idx="3">
                  <c:v>16.364247306472041</c:v>
                </c:pt>
                <c:pt idx="4">
                  <c:v>26.565560879254459</c:v>
                </c:pt>
                <c:pt idx="5">
                  <c:v>0</c:v>
                </c:pt>
                <c:pt idx="6">
                  <c:v>0</c:v>
                </c:pt>
                <c:pt idx="7">
                  <c:v>61.898686790923833</c:v>
                </c:pt>
                <c:pt idx="8">
                  <c:v>19.43444084278768</c:v>
                </c:pt>
                <c:pt idx="9">
                  <c:v>8.0327048217179886</c:v>
                </c:pt>
                <c:pt idx="10">
                  <c:v>50.367783630470022</c:v>
                </c:pt>
                <c:pt idx="11">
                  <c:v>0</c:v>
                </c:pt>
              </c:numCache>
            </c:numRef>
          </c:val>
          <c:extLst>
            <c:ext xmlns:c16="http://schemas.microsoft.com/office/drawing/2014/chart" uri="{C3380CC4-5D6E-409C-BE32-E72D297353CC}">
              <c16:uniqueId val="{0000000C-4992-4BD7-BA61-FA184858167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hy-AM" b="1"/>
              <a:t>Մասհանումների կառուցվածքն ըստ ոլորտների (մլն ԱՄՆ դոլար)</a:t>
            </a:r>
          </a:p>
        </c:rich>
      </c:tx>
      <c:overlay val="0"/>
    </c:title>
    <c:autoTitleDeleted val="0"/>
    <c:plotArea>
      <c:layout/>
      <c:barChart>
        <c:barDir val="bar"/>
        <c:grouping val="clustered"/>
        <c:varyColors val="0"/>
        <c:ser>
          <c:idx val="0"/>
          <c:order val="0"/>
          <c:spPr>
            <a:scene3d>
              <a:camera prst="orthographicFront"/>
              <a:lightRig rig="threePt" dir="t"/>
            </a:scene3d>
            <a:sp3d>
              <a:bevelT w="101600" prst="riblet"/>
              <a:bevelB/>
            </a:sp3d>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'Disbursement for Budget'!$C$130:$C$139</c:f>
              <c:strCache>
                <c:ptCount val="10"/>
                <c:pt idx="1">
                  <c:v>Կոշտ թափոնների կառավարում</c:v>
                </c:pt>
                <c:pt idx="2">
                  <c:v>Ջրամատակարարում և ջրահեռացում</c:v>
                </c:pt>
                <c:pt idx="3">
                  <c:v>Կրթություն և սոց. ոլորտ</c:v>
                </c:pt>
                <c:pt idx="4">
                  <c:v>Պետական հատվածի բարեփոխումներ և այլն</c:v>
                </c:pt>
                <c:pt idx="5">
                  <c:v>Գյուղատնտեսություն և ոռոգում</c:v>
                </c:pt>
                <c:pt idx="6">
                  <c:v>Էներգետիկա</c:v>
                </c:pt>
                <c:pt idx="7">
                  <c:v>Ենթակա է հստակեցման</c:v>
                </c:pt>
                <c:pt idx="8">
                  <c:v>Ճանապարհաշինություն</c:v>
                </c:pt>
                <c:pt idx="9">
                  <c:v>Բյուջետային աջակցություն</c:v>
                </c:pt>
              </c:strCache>
            </c:strRef>
          </c:cat>
          <c:val>
            <c:numRef>
              <c:f>'Disbursement for Budget'!$D$130:$D$139</c:f>
              <c:numCache>
                <c:formatCode>_(* #,##0.0_);_(* \(#,##0.0\);_(* "-"??_);_(@_)</c:formatCode>
                <c:ptCount val="10"/>
                <c:pt idx="1">
                  <c:v>7.8778081442463526</c:v>
                </c:pt>
                <c:pt idx="2">
                  <c:v>13.362274513776338</c:v>
                </c:pt>
                <c:pt idx="3">
                  <c:v>22.056519895889817</c:v>
                </c:pt>
                <c:pt idx="4">
                  <c:v>29.361787777802586</c:v>
                </c:pt>
                <c:pt idx="5">
                  <c:v>24.929920786061587</c:v>
                </c:pt>
                <c:pt idx="6">
                  <c:v>45.171679700162066</c:v>
                </c:pt>
                <c:pt idx="7">
                  <c:v>22.907783630470014</c:v>
                </c:pt>
                <c:pt idx="8">
                  <c:v>91.898933185726492</c:v>
                </c:pt>
                <c:pt idx="9">
                  <c:v>200</c:v>
                </c:pt>
              </c:numCache>
            </c:numRef>
          </c:val>
          <c:extLst>
            <c:ext xmlns:c16="http://schemas.microsoft.com/office/drawing/2014/chart" uri="{C3380CC4-5D6E-409C-BE32-E72D297353CC}">
              <c16:uniqueId val="{00000000-EE41-4319-870B-20794D939CCC}"/>
            </c:ext>
          </c:extLst>
        </c:ser>
        <c:dLbls>
          <c:showLegendKey val="0"/>
          <c:showVal val="0"/>
          <c:showCatName val="0"/>
          <c:showSerName val="0"/>
          <c:showPercent val="0"/>
          <c:showBubbleSize val="0"/>
        </c:dLbls>
        <c:gapWidth val="29"/>
        <c:overlap val="-25"/>
        <c:axId val="180222976"/>
        <c:axId val="180345024"/>
      </c:barChart>
      <c:catAx>
        <c:axId val="180222976"/>
        <c:scaling>
          <c:orientation val="minMax"/>
        </c:scaling>
        <c:delete val="0"/>
        <c:axPos val="l"/>
        <c:numFmt formatCode="General" sourceLinked="1"/>
        <c:majorTickMark val="none"/>
        <c:minorTickMark val="none"/>
        <c:tickLblPos val="nextTo"/>
        <c:txPr>
          <a:bodyPr rot="0" vert="horz"/>
          <a:lstStyle/>
          <a:p>
            <a:pPr>
              <a:defRPr/>
            </a:pPr>
            <a:endParaRPr lang="en-US"/>
          </a:p>
        </c:txPr>
        <c:crossAx val="180345024"/>
        <c:crosses val="autoZero"/>
        <c:auto val="1"/>
        <c:lblAlgn val="ctr"/>
        <c:lblOffset val="100"/>
        <c:noMultiLvlLbl val="0"/>
      </c:catAx>
      <c:valAx>
        <c:axId val="180345024"/>
        <c:scaling>
          <c:orientation val="minMax"/>
        </c:scaling>
        <c:delete val="1"/>
        <c:axPos val="b"/>
        <c:numFmt formatCode="_(* #,##0.0_);_(* \(#,##0.0\);_(* &quot;-&quot;??_);_(@_)" sourceLinked="1"/>
        <c:majorTickMark val="out"/>
        <c:minorTickMark val="none"/>
        <c:tickLblPos val="nextTo"/>
        <c:crossAx val="180222976"/>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Տնտեսական աճի փոփոխություն</a:t>
            </a:r>
            <a:endParaRPr lang="en-US" sz="800"/>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rgbClr val="C00000"/>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8906-4497-A1BD-8DA23E18F200}"/>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3-8906-4497-A1BD-8DA23E18F20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-3.1</c:v>
                </c:pt>
                <c:pt idx="1">
                  <c:v>5.5</c:v>
                </c:pt>
                <c:pt idx="2">
                  <c:v>-6</c:v>
                </c:pt>
                <c:pt idx="3">
                  <c:v>9.1999999999999993</c:v>
                </c:pt>
              </c:numCache>
            </c:numRef>
          </c:val>
          <c:extLst>
            <c:ext xmlns:c16="http://schemas.microsoft.com/office/drawing/2014/chart" uri="{C3380CC4-5D6E-409C-BE32-E72D297353CC}">
              <c16:uniqueId val="{00000004-8906-4497-A1BD-8DA23E18F200}"/>
            </c:ext>
          </c:extLst>
        </c:ser>
        <c:dLbls>
          <c:showLegendKey val="0"/>
          <c:showVal val="0"/>
          <c:showCatName val="0"/>
          <c:showSerName val="0"/>
          <c:showPercent val="0"/>
          <c:showBubbleSize val="0"/>
        </c:dLbls>
        <c:gapWidth val="219"/>
        <c:overlap val="-27"/>
        <c:axId val="303078016"/>
        <c:axId val="303083904"/>
      </c:barChart>
      <c:catAx>
        <c:axId val="3030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083904"/>
        <c:crosses val="autoZero"/>
        <c:auto val="1"/>
        <c:lblAlgn val="ctr"/>
        <c:lblOffset val="100"/>
        <c:noMultiLvlLbl val="0"/>
      </c:catAx>
      <c:valAx>
        <c:axId val="30308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տոկոսային</a:t>
                </a:r>
                <a:r>
                  <a:rPr lang="hy-AM"/>
                  <a:t> կետ</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07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y-AM"/>
              <a:t>Մասհանումների կառուցվածքն ըստ տոկոսադրույքի տեսակի (%)</a:t>
            </a:r>
          </a:p>
        </c:rich>
      </c:tx>
      <c:layout>
        <c:manualLayout>
          <c:xMode val="edge"/>
          <c:yMode val="edge"/>
          <c:x val="0.19693498692026307"/>
          <c:y val="1.9643406258561213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074638926046888E-2"/>
          <c:y val="0.24850730345825808"/>
          <c:w val="0.86638771298542872"/>
          <c:h val="0.73628704415910262"/>
        </c:manualLayout>
      </c:layout>
      <c:pie3DChart>
        <c:varyColors val="1"/>
        <c:ser>
          <c:idx val="0"/>
          <c:order val="0"/>
          <c:explosion val="2"/>
          <c:dPt>
            <c:idx val="0"/>
            <c:bubble3D val="0"/>
            <c:extLst>
              <c:ext xmlns:c16="http://schemas.microsoft.com/office/drawing/2014/chart" uri="{C3380CC4-5D6E-409C-BE32-E72D297353CC}">
                <c16:uniqueId val="{00000000-E29F-4556-9100-8389F1D0AA9B}"/>
              </c:ext>
            </c:extLst>
          </c:dPt>
          <c:dPt>
            <c:idx val="1"/>
            <c:bubble3D val="0"/>
            <c:extLst>
              <c:ext xmlns:c16="http://schemas.microsoft.com/office/drawing/2014/chart" uri="{C3380CC4-5D6E-409C-BE32-E72D297353CC}">
                <c16:uniqueId val="{00000001-E29F-4556-9100-8389F1D0AA9B}"/>
              </c:ext>
            </c:extLst>
          </c:dPt>
          <c:dPt>
            <c:idx val="2"/>
            <c:bubble3D val="0"/>
            <c:extLst>
              <c:ext xmlns:c16="http://schemas.microsoft.com/office/drawing/2014/chart" uri="{C3380CC4-5D6E-409C-BE32-E72D297353CC}">
                <c16:uniqueId val="{00000002-E29F-4556-9100-8389F1D0AA9B}"/>
              </c:ext>
            </c:extLst>
          </c:dPt>
          <c:dLbls>
            <c:dLbl>
              <c:idx val="0"/>
              <c:layout>
                <c:manualLayout>
                  <c:x val="-2.551602849207912E-2"/>
                  <c:y val="-0.218671825893397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29F-4556-9100-8389F1D0AA9B}"/>
                </c:ext>
              </c:extLst>
            </c:dLbl>
            <c:dLbl>
              <c:idx val="1"/>
              <c:layout>
                <c:manualLayout>
                  <c:x val="-8.2832639591495824E-2"/>
                  <c:y val="-8.05600567438051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9F-4556-9100-8389F1D0AA9B}"/>
                </c:ext>
              </c:extLst>
            </c:dLbl>
            <c:dLbl>
              <c:idx val="2"/>
              <c:layout>
                <c:manualLayout>
                  <c:x val="-8.2190413461081427E-2"/>
                  <c:y val="0.126081390453892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29F-4556-9100-8389F1D0AA9B}"/>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Budget'!$C$145:$C$147</c:f>
              <c:strCache>
                <c:ptCount val="3"/>
                <c:pt idx="0">
                  <c:v>ենթակա է հստակեցման</c:v>
                </c:pt>
                <c:pt idx="1">
                  <c:v>լողացող տոկոսադրույքով</c:v>
                </c:pt>
                <c:pt idx="2">
                  <c:v>ֆիքսված տոկոսադրույքով</c:v>
                </c:pt>
              </c:strCache>
            </c:strRef>
          </c:cat>
          <c:val>
            <c:numRef>
              <c:f>'Disbursement for Budget'!$D$145:$D$147</c:f>
              <c:numCache>
                <c:formatCode>_(* #,##0.0_);_(* \(#,##0.0\);_(* "-"??_);_(@_)</c:formatCode>
                <c:ptCount val="3"/>
                <c:pt idx="0">
                  <c:v>222.90778363047002</c:v>
                </c:pt>
                <c:pt idx="1">
                  <c:v>135.5637907042634</c:v>
                </c:pt>
                <c:pt idx="2">
                  <c:v>99.095133299401866</c:v>
                </c:pt>
              </c:numCache>
            </c:numRef>
          </c:val>
          <c:extLst>
            <c:ext xmlns:c16="http://schemas.microsoft.com/office/drawing/2014/chart" uri="{C3380CC4-5D6E-409C-BE32-E72D297353CC}">
              <c16:uniqueId val="{00000003-E29F-4556-9100-8389F1D0AA9B}"/>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800"/>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y-AM"/>
              <a:t>Մասհանումների կառուցվածքն ըստ վարկի արժույթի (%)</a:t>
            </a:r>
          </a:p>
        </c:rich>
      </c:tx>
      <c:layout>
        <c:manualLayout>
          <c:xMode val="edge"/>
          <c:yMode val="edge"/>
          <c:x val="0.13704315916043069"/>
          <c:y val="6.7139684462519111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7416117283928834E-2"/>
          <c:y val="0.20326550215172096"/>
          <c:w val="0.88453756269741102"/>
          <c:h val="0.75297997215127566"/>
        </c:manualLayout>
      </c:layout>
      <c:pie3DChart>
        <c:varyColors val="1"/>
        <c:ser>
          <c:idx val="0"/>
          <c:order val="0"/>
          <c:dPt>
            <c:idx val="0"/>
            <c:bubble3D val="0"/>
            <c:extLst>
              <c:ext xmlns:c16="http://schemas.microsoft.com/office/drawing/2014/chart" uri="{C3380CC4-5D6E-409C-BE32-E72D297353CC}">
                <c16:uniqueId val="{00000000-7072-40B4-B09D-3FB0E39374FC}"/>
              </c:ext>
            </c:extLst>
          </c:dPt>
          <c:dPt>
            <c:idx val="1"/>
            <c:bubble3D val="0"/>
            <c:extLst>
              <c:ext xmlns:c16="http://schemas.microsoft.com/office/drawing/2014/chart" uri="{C3380CC4-5D6E-409C-BE32-E72D297353CC}">
                <c16:uniqueId val="{00000001-7072-40B4-B09D-3FB0E39374FC}"/>
              </c:ext>
            </c:extLst>
          </c:dPt>
          <c:dPt>
            <c:idx val="2"/>
            <c:bubble3D val="0"/>
            <c:extLst>
              <c:ext xmlns:c16="http://schemas.microsoft.com/office/drawing/2014/chart" uri="{C3380CC4-5D6E-409C-BE32-E72D297353CC}">
                <c16:uniqueId val="{00000002-7072-40B4-B09D-3FB0E39374FC}"/>
              </c:ext>
            </c:extLst>
          </c:dPt>
          <c:dLbls>
            <c:dLbl>
              <c:idx val="0"/>
              <c:layout>
                <c:manualLayout>
                  <c:x val="5.8839576621282037E-2"/>
                  <c:y val="-0.3811094276646874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072-40B4-B09D-3FB0E39374FC}"/>
                </c:ext>
              </c:extLst>
            </c:dLbl>
            <c:dLbl>
              <c:idx val="1"/>
              <c:layout>
                <c:manualLayout>
                  <c:x val="-9.527676973536521E-2"/>
                  <c:y val="-8.91117103950033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72-40B4-B09D-3FB0E39374FC}"/>
                </c:ext>
              </c:extLst>
            </c:dLbl>
            <c:dLbl>
              <c:idx val="2"/>
              <c:layout>
                <c:manualLayout>
                  <c:x val="-2.0777361751152058E-2"/>
                  <c:y val="-9.72826420805155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072-40B4-B09D-3FB0E39374FC}"/>
                </c:ext>
              </c:extLst>
            </c:dLbl>
            <c:numFmt formatCode="0.0%" sourceLinked="0"/>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Budget'!$C$153:$C$155</c:f>
              <c:strCache>
                <c:ptCount val="3"/>
                <c:pt idx="0">
                  <c:v>USD</c:v>
                </c:pt>
                <c:pt idx="1">
                  <c:v>SDR</c:v>
                </c:pt>
                <c:pt idx="2">
                  <c:v>EUR</c:v>
                </c:pt>
              </c:strCache>
            </c:strRef>
          </c:cat>
          <c:val>
            <c:numRef>
              <c:f>'Disbursement for Budget'!$D$153:$D$155</c:f>
              <c:numCache>
                <c:formatCode>_(* #,##0.0_);_(* \(#,##0.0\);_(* "-"??_);_(@_)</c:formatCode>
                <c:ptCount val="3"/>
                <c:pt idx="0">
                  <c:v>304.05244503879618</c:v>
                </c:pt>
                <c:pt idx="1">
                  <c:v>21.43011749713283</c:v>
                </c:pt>
                <c:pt idx="2">
                  <c:v>132.08414509820622</c:v>
                </c:pt>
              </c:numCache>
            </c:numRef>
          </c:val>
          <c:extLst>
            <c:ext xmlns:c16="http://schemas.microsoft.com/office/drawing/2014/chart" uri="{C3380CC4-5D6E-409C-BE32-E72D297353CC}">
              <c16:uniqueId val="{00000003-7072-40B4-B09D-3FB0E39374FC}"/>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800"/>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1"/>
            </a:pPr>
            <a:r>
              <a:rPr lang="hy-AM" b="1"/>
              <a:t>Սպասարկման ծախսերի կառուցվածքը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2671204097315015E-2"/>
          <c:y val="0.22146410471297076"/>
          <c:w val="0.85489933817620689"/>
          <c:h val="0.68211979638797848"/>
        </c:manualLayout>
      </c:layout>
      <c:pie3DChart>
        <c:varyColors val="1"/>
        <c:ser>
          <c:idx val="0"/>
          <c:order val="0"/>
          <c:spPr>
            <a:scene3d>
              <a:camera prst="orthographicFront"/>
              <a:lightRig rig="threePt" dir="t"/>
            </a:scene3d>
            <a:sp3d>
              <a:bevelT/>
              <a:bevelB/>
            </a:sp3d>
          </c:spPr>
          <c:explosion val="19"/>
          <c:dPt>
            <c:idx val="0"/>
            <c:bubble3D val="0"/>
            <c:explosion val="0"/>
            <c:spPr>
              <a:solidFill>
                <a:srgbClr val="D92529"/>
              </a:solidFill>
              <a:scene3d>
                <a:camera prst="orthographicFront"/>
                <a:lightRig rig="threePt" dir="t"/>
              </a:scene3d>
              <a:sp3d>
                <a:bevelT/>
                <a:bevelB/>
              </a:sp3d>
            </c:spPr>
            <c:extLst>
              <c:ext xmlns:c16="http://schemas.microsoft.com/office/drawing/2014/chart" uri="{C3380CC4-5D6E-409C-BE32-E72D297353CC}">
                <c16:uniqueId val="{00000001-84AB-42DF-B296-449F670E1809}"/>
              </c:ext>
            </c:extLst>
          </c:dPt>
          <c:dPt>
            <c:idx val="1"/>
            <c:bubble3D val="0"/>
            <c:spPr>
              <a:solidFill>
                <a:srgbClr val="FFC000"/>
              </a:solidFill>
              <a:scene3d>
                <a:camera prst="orthographicFront"/>
                <a:lightRig rig="threePt" dir="t"/>
              </a:scene3d>
              <a:sp3d>
                <a:bevelT/>
                <a:bevelB/>
              </a:sp3d>
            </c:spPr>
            <c:extLst>
              <c:ext xmlns:c16="http://schemas.microsoft.com/office/drawing/2014/chart" uri="{C3380CC4-5D6E-409C-BE32-E72D297353CC}">
                <c16:uniqueId val="{00000003-84AB-42DF-B296-449F670E1809}"/>
              </c:ext>
            </c:extLst>
          </c:dPt>
          <c:dPt>
            <c:idx val="2"/>
            <c:bubble3D val="0"/>
            <c:spPr>
              <a:solidFill>
                <a:srgbClr val="00B0F0"/>
              </a:solidFill>
              <a:scene3d>
                <a:camera prst="orthographicFront"/>
                <a:lightRig rig="threePt" dir="t"/>
              </a:scene3d>
              <a:sp3d>
                <a:bevelT/>
                <a:bevelB/>
              </a:sp3d>
            </c:spPr>
            <c:extLst>
              <c:ext xmlns:c16="http://schemas.microsoft.com/office/drawing/2014/chart" uri="{C3380CC4-5D6E-409C-BE32-E72D297353CC}">
                <c16:uniqueId val="{00000005-84AB-42DF-B296-449F670E1809}"/>
              </c:ext>
            </c:extLst>
          </c:dPt>
          <c:dLbls>
            <c:dLbl>
              <c:idx val="0"/>
              <c:layout>
                <c:manualLayout>
                  <c:x val="-4.3458516542925228E-2"/>
                  <c:y val="0.14475234177068069"/>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4AB-42DF-B296-449F670E1809}"/>
                </c:ext>
              </c:extLst>
            </c:dLbl>
            <c:dLbl>
              <c:idx val="1"/>
              <c:layout>
                <c:manualLayout>
                  <c:x val="1.3430297593780611E-2"/>
                  <c:y val="0.10833740092508658"/>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4AB-42DF-B296-449F670E1809}"/>
                </c:ext>
              </c:extLst>
            </c:dLbl>
            <c:dLbl>
              <c:idx val="2"/>
              <c:layout>
                <c:manualLayout>
                  <c:x val="-0.10111474569424474"/>
                  <c:y val="6.9658001535183145E-2"/>
                </c:manualLayout>
              </c:layout>
              <c:numFmt formatCode="0.0%" sourceLinked="0"/>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4AB-42DF-B296-449F670E1809}"/>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UXERZ!$G$89:$G$91</c:f>
              <c:strCache>
                <c:ptCount val="3"/>
                <c:pt idx="0">
                  <c:v>պետ. գանձ. պարտ.</c:v>
                </c:pt>
                <c:pt idx="1">
                  <c:v>արտարժ. պետ. պարտ.</c:v>
                </c:pt>
                <c:pt idx="2">
                  <c:v>արտաքին վարկեր</c:v>
                </c:pt>
              </c:strCache>
            </c:strRef>
          </c:cat>
          <c:val>
            <c:numRef>
              <c:f>UXERZ!$H$89:$H$91</c:f>
              <c:numCache>
                <c:formatCode>_(* #,##0.0_);_(* \(#,##0.0\);_(* "-"??_);_(@_)</c:formatCode>
                <c:ptCount val="3"/>
                <c:pt idx="0">
                  <c:v>129.4489652</c:v>
                </c:pt>
                <c:pt idx="1">
                  <c:v>42.350879999999989</c:v>
                </c:pt>
                <c:pt idx="2">
                  <c:v>42.615449599999963</c:v>
                </c:pt>
              </c:numCache>
            </c:numRef>
          </c:val>
          <c:extLst>
            <c:ext xmlns:c16="http://schemas.microsoft.com/office/drawing/2014/chart" uri="{C3380CC4-5D6E-409C-BE32-E72D297353CC}">
              <c16:uniqueId val="{00000006-84AB-42DF-B296-449F670E1809}"/>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'Budget 22-1'!$B$3</c:f>
              <c:strCache>
                <c:ptCount val="1"/>
              </c:strCache>
            </c:strRef>
          </c:tx>
          <c:spPr>
            <a:no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22-1'!$B$4:$B$87</c:f>
              <c:numCache>
                <c:formatCode>General</c:formatCode>
                <c:ptCount val="10"/>
                <c:pt idx="0">
                  <c:v>16.389092714898766</c:v>
                </c:pt>
                <c:pt idx="1">
                  <c:v>-5.402548022928471</c:v>
                </c:pt>
                <c:pt idx="2">
                  <c:v>-4.6185653302145795</c:v>
                </c:pt>
                <c:pt idx="3">
                  <c:v>10.276758343158804</c:v>
                </c:pt>
                <c:pt idx="4">
                  <c:v>6.8637498858163442</c:v>
                </c:pt>
                <c:pt idx="5">
                  <c:v>8.9159218759493086</c:v>
                </c:pt>
                <c:pt idx="6">
                  <c:v>13.965400948854533</c:v>
                </c:pt>
                <c:pt idx="7">
                  <c:v>12.655008250236627</c:v>
                </c:pt>
                <c:pt idx="8">
                  <c:v>11.715606759866885</c:v>
                </c:pt>
                <c:pt idx="9">
                  <c:v>10.356068377707405</c:v>
                </c:pt>
              </c:numCache>
            </c:numRef>
          </c:val>
          <c:extLst>
            <c:ext xmlns:c16="http://schemas.microsoft.com/office/drawing/2014/chart" uri="{C3380CC4-5D6E-409C-BE32-E72D297353CC}">
              <c16:uniqueId val="{00000000-DFDF-49C9-A860-3A48C9A52D06}"/>
            </c:ext>
          </c:extLst>
        </c:ser>
        <c:ser>
          <c:idx val="1"/>
          <c:order val="1"/>
          <c:tx>
            <c:strRef>
              <c:f>'Budget 22-1'!$C$3</c:f>
              <c:strCache>
                <c:ptCount val="1"/>
              </c:strCache>
            </c:strRef>
          </c:tx>
          <c:spPr>
            <a:solidFill>
              <a:srgbClr val="FF0000">
                <a:alpha val="2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22-1'!$C$4:$C$87</c:f>
              <c:numCache>
                <c:formatCode>General</c:formatCode>
                <c:ptCount val="10"/>
                <c:pt idx="4">
                  <c:v>1.0280506040130417</c:v>
                </c:pt>
                <c:pt idx="5">
                  <c:v>1.152668519855137</c:v>
                </c:pt>
                <c:pt idx="6">
                  <c:v>1.3244188527626228</c:v>
                </c:pt>
                <c:pt idx="7">
                  <c:v>1.3567536646891973</c:v>
                </c:pt>
                <c:pt idx="8">
                  <c:v>1.3745790878384518</c:v>
                </c:pt>
                <c:pt idx="9">
                  <c:v>1.3845422471371762</c:v>
                </c:pt>
              </c:numCache>
            </c:numRef>
          </c:val>
          <c:extLst>
            <c:ext xmlns:c16="http://schemas.microsoft.com/office/drawing/2014/chart" uri="{C3380CC4-5D6E-409C-BE32-E72D297353CC}">
              <c16:uniqueId val="{00000001-DFDF-49C9-A860-3A48C9A52D06}"/>
            </c:ext>
          </c:extLst>
        </c:ser>
        <c:ser>
          <c:idx val="2"/>
          <c:order val="2"/>
          <c:tx>
            <c:strRef>
              <c:f>'Budget 22-1'!$D$3</c:f>
              <c:strCache>
                <c:ptCount val="1"/>
              </c:strCache>
            </c:strRef>
          </c:tx>
          <c:spPr>
            <a:solidFill>
              <a:srgbClr val="FF0000">
                <a:alpha val="3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22-1'!$D$4:$D$87</c:f>
              <c:numCache>
                <c:formatCode>General</c:formatCode>
                <c:ptCount val="10"/>
                <c:pt idx="4">
                  <c:v>0.69362086184641036</c:v>
                </c:pt>
                <c:pt idx="5">
                  <c:v>0.77769997804018764</c:v>
                </c:pt>
                <c:pt idx="6">
                  <c:v>0.89357911226633391</c:v>
                </c:pt>
                <c:pt idx="7">
                  <c:v>0.91539525636333252</c:v>
                </c:pt>
                <c:pt idx="8">
                  <c:v>0.92742198473574611</c:v>
                </c:pt>
                <c:pt idx="9">
                  <c:v>0.93414408101438973</c:v>
                </c:pt>
              </c:numCache>
            </c:numRef>
          </c:val>
          <c:extLst>
            <c:ext xmlns:c16="http://schemas.microsoft.com/office/drawing/2014/chart" uri="{C3380CC4-5D6E-409C-BE32-E72D297353CC}">
              <c16:uniqueId val="{00000002-DFDF-49C9-A860-3A48C9A52D06}"/>
            </c:ext>
          </c:extLst>
        </c:ser>
        <c:ser>
          <c:idx val="3"/>
          <c:order val="3"/>
          <c:tx>
            <c:strRef>
              <c:f>'Budget 22-1'!$E$3</c:f>
              <c:strCache>
                <c:ptCount val="1"/>
              </c:strCache>
            </c:strRef>
          </c:tx>
          <c:spPr>
            <a:solidFill>
              <a:srgbClr val="FF0000">
                <a:alpha val="4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22-1'!$E$4:$E$87</c:f>
              <c:numCache>
                <c:formatCode>General</c:formatCode>
                <c:ptCount val="10"/>
                <c:pt idx="4">
                  <c:v>0.55126787276674172</c:v>
                </c:pt>
                <c:pt idx="5">
                  <c:v>0.61809128895533405</c:v>
                </c:pt>
                <c:pt idx="6">
                  <c:v>0.71018835139496517</c:v>
                </c:pt>
                <c:pt idx="7">
                  <c:v>0.72752713113741407</c:v>
                </c:pt>
                <c:pt idx="8">
                  <c:v>0.73708559359276293</c:v>
                </c:pt>
                <c:pt idx="9">
                  <c:v>0.74242810262024328</c:v>
                </c:pt>
              </c:numCache>
            </c:numRef>
          </c:val>
          <c:extLst>
            <c:ext xmlns:c16="http://schemas.microsoft.com/office/drawing/2014/chart" uri="{C3380CC4-5D6E-409C-BE32-E72D297353CC}">
              <c16:uniqueId val="{00000003-DFDF-49C9-A860-3A48C9A52D06}"/>
            </c:ext>
          </c:extLst>
        </c:ser>
        <c:ser>
          <c:idx val="4"/>
          <c:order val="4"/>
          <c:tx>
            <c:strRef>
              <c:f>'Budget 22-1'!$F$3</c:f>
              <c:strCache>
                <c:ptCount val="1"/>
              </c:strCache>
            </c:strRef>
          </c:tx>
          <c:spPr>
            <a:solidFill>
              <a:srgbClr val="FF0000">
                <a:alpha val="5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22-1'!$F$4:$F$87</c:f>
              <c:numCache>
                <c:formatCode>General</c:formatCode>
                <c:ptCount val="10"/>
                <c:pt idx="4">
                  <c:v>0.47293874901172828</c:v>
                </c:pt>
                <c:pt idx="5">
                  <c:v>0.53026729003174111</c:v>
                </c:pt>
                <c:pt idx="6">
                  <c:v>0.60927836912701139</c:v>
                </c:pt>
                <c:pt idx="7">
                  <c:v>0.62415349827180933</c:v>
                </c:pt>
                <c:pt idx="8">
                  <c:v>0.63235380795686424</c:v>
                </c:pt>
                <c:pt idx="9">
                  <c:v>0.63693720499641415</c:v>
                </c:pt>
              </c:numCache>
            </c:numRef>
          </c:val>
          <c:extLst>
            <c:ext xmlns:c16="http://schemas.microsoft.com/office/drawing/2014/chart" uri="{C3380CC4-5D6E-409C-BE32-E72D297353CC}">
              <c16:uniqueId val="{00000004-DFDF-49C9-A860-3A48C9A52D06}"/>
            </c:ext>
          </c:extLst>
        </c:ser>
        <c:ser>
          <c:idx val="5"/>
          <c:order val="5"/>
          <c:tx>
            <c:strRef>
              <c:f>'Budget 22-1'!$G$3</c:f>
              <c:strCache>
                <c:ptCount val="1"/>
              </c:strCache>
            </c:strRef>
          </c:tx>
          <c:spPr>
            <a:solidFill>
              <a:srgbClr val="FF0000">
                <a:alpha val="6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22-1'!$G$4:$G$87</c:f>
              <c:numCache>
                <c:formatCode>General</c:formatCode>
                <c:ptCount val="10"/>
                <c:pt idx="4">
                  <c:v>0.42471361339905478</c:v>
                </c:pt>
                <c:pt idx="5">
                  <c:v>0.47619641504807042</c:v>
                </c:pt>
                <c:pt idx="6">
                  <c:v>0.54715080601567578</c:v>
                </c:pt>
                <c:pt idx="7">
                  <c:v>0.56050913172290606</c:v>
                </c:pt>
                <c:pt idx="8">
                  <c:v>0.5678732632613066</c:v>
                </c:pt>
                <c:pt idx="9">
                  <c:v>0.57198929545866584</c:v>
                </c:pt>
              </c:numCache>
            </c:numRef>
          </c:val>
          <c:extLst>
            <c:ext xmlns:c16="http://schemas.microsoft.com/office/drawing/2014/chart" uri="{C3380CC4-5D6E-409C-BE32-E72D297353CC}">
              <c16:uniqueId val="{00000005-DFDF-49C9-A860-3A48C9A52D06}"/>
            </c:ext>
          </c:extLst>
        </c:ser>
        <c:ser>
          <c:idx val="6"/>
          <c:order val="6"/>
          <c:tx>
            <c:strRef>
              <c:f>'Budget 22-1'!$H$3</c:f>
              <c:strCache>
                <c:ptCount val="1"/>
              </c:strCache>
            </c:strRef>
          </c:tx>
          <c:spPr>
            <a:solidFill>
              <a:srgbClr val="FF0000">
                <a:alpha val="7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22-1'!$H$4:$H$87</c:f>
              <c:numCache>
                <c:formatCode>General</c:formatCode>
                <c:ptCount val="10"/>
                <c:pt idx="4">
                  <c:v>0.39356045779557114</c:v>
                </c:pt>
                <c:pt idx="5">
                  <c:v>0.44126694599459171</c:v>
                </c:pt>
                <c:pt idx="6">
                  <c:v>0.50701676354418979</c:v>
                </c:pt>
                <c:pt idx="7">
                  <c:v>0.51939524310042984</c:v>
                </c:pt>
                <c:pt idx="8">
                  <c:v>0.52621920844575065</c:v>
                </c:pt>
                <c:pt idx="9">
                  <c:v>0.53003332568802541</c:v>
                </c:pt>
              </c:numCache>
            </c:numRef>
          </c:val>
          <c:extLst>
            <c:ext xmlns:c16="http://schemas.microsoft.com/office/drawing/2014/chart" uri="{C3380CC4-5D6E-409C-BE32-E72D297353CC}">
              <c16:uniqueId val="{00000006-DFDF-49C9-A860-3A48C9A52D06}"/>
            </c:ext>
          </c:extLst>
        </c:ser>
        <c:ser>
          <c:idx val="7"/>
          <c:order val="7"/>
          <c:tx>
            <c:strRef>
              <c:f>'Budget 22-1'!$I$3</c:f>
              <c:strCache>
                <c:ptCount val="1"/>
              </c:strCache>
            </c:strRef>
          </c:tx>
          <c:spPr>
            <a:solidFill>
              <a:srgbClr val="FF0000">
                <a:alpha val="8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22-1'!$I$4:$I$87</c:f>
              <c:numCache>
                <c:formatCode>General</c:formatCode>
                <c:ptCount val="10"/>
                <c:pt idx="4">
                  <c:v>0.37345038808691733</c:v>
                </c:pt>
                <c:pt idx="5">
                  <c:v>0.41871918016013687</c:v>
                </c:pt>
                <c:pt idx="6">
                  <c:v>0.48110932732603118</c:v>
                </c:pt>
                <c:pt idx="7">
                  <c:v>0.49285529393074512</c:v>
                </c:pt>
                <c:pt idx="8">
                  <c:v>0.49933056972642831</c:v>
                </c:pt>
                <c:pt idx="9">
                  <c:v>0.50294979400600859</c:v>
                </c:pt>
              </c:numCache>
            </c:numRef>
          </c:val>
          <c:extLst>
            <c:ext xmlns:c16="http://schemas.microsoft.com/office/drawing/2014/chart" uri="{C3380CC4-5D6E-409C-BE32-E72D297353CC}">
              <c16:uniqueId val="{00000007-DFDF-49C9-A860-3A48C9A52D06}"/>
            </c:ext>
          </c:extLst>
        </c:ser>
        <c:ser>
          <c:idx val="8"/>
          <c:order val="8"/>
          <c:tx>
            <c:strRef>
              <c:f>'Budget 22-1'!$J$3</c:f>
              <c:strCache>
                <c:ptCount val="1"/>
              </c:strCache>
            </c:strRef>
          </c:tx>
          <c:spPr>
            <a:solidFill>
              <a:srgbClr val="FF0000">
                <a:alpha val="9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22-1'!$J$4:$J$87</c:f>
              <c:numCache>
                <c:formatCode>General</c:formatCode>
                <c:ptCount val="10"/>
                <c:pt idx="4">
                  <c:v>0.36131757238022288</c:v>
                </c:pt>
                <c:pt idx="5">
                  <c:v>0.40511565260252524</c:v>
                </c:pt>
                <c:pt idx="6">
                  <c:v>0.46547884202081491</c:v>
                </c:pt>
                <c:pt idx="7">
                  <c:v>0.4768432006458454</c:v>
                </c:pt>
                <c:pt idx="8">
                  <c:v>0.48310810491592449</c:v>
                </c:pt>
                <c:pt idx="9">
                  <c:v>0.486609746291359</c:v>
                </c:pt>
              </c:numCache>
            </c:numRef>
          </c:val>
          <c:extLst>
            <c:ext xmlns:c16="http://schemas.microsoft.com/office/drawing/2014/chart" uri="{C3380CC4-5D6E-409C-BE32-E72D297353CC}">
              <c16:uniqueId val="{00000008-DFDF-49C9-A860-3A48C9A52D06}"/>
            </c:ext>
          </c:extLst>
        </c:ser>
        <c:ser>
          <c:idx val="9"/>
          <c:order val="9"/>
          <c:tx>
            <c:strRef>
              <c:f>'Budget 22-1'!$K$3</c:f>
              <c:strCache>
                <c:ptCount val="1"/>
              </c:strCache>
            </c:strRef>
          </c:tx>
          <c:spPr>
            <a:solidFill>
              <a:srgbClr val="FF0000"/>
            </a:solidFill>
            <a:ln>
              <a:solidFill>
                <a:srgbClr val="FF0000"/>
              </a:solidFill>
              <a:prstDash val="solid"/>
            </a:ln>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22-1'!$K$4:$K$87</c:f>
              <c:numCache>
                <c:formatCode>General</c:formatCode>
                <c:ptCount val="10"/>
                <c:pt idx="4">
                  <c:v>0.50852599670449017</c:v>
                </c:pt>
                <c:pt idx="5">
                  <c:v>0.59473335311941611</c:v>
                </c:pt>
                <c:pt idx="6">
                  <c:v>0.67114130823476614</c:v>
                </c:pt>
                <c:pt idx="7">
                  <c:v>0.69350967025982158</c:v>
                </c:pt>
                <c:pt idx="8">
                  <c:v>0.70584082341938625</c:v>
                </c:pt>
                <c:pt idx="9">
                  <c:v>0.71273307176810619</c:v>
                </c:pt>
              </c:numCache>
            </c:numRef>
          </c:val>
          <c:extLst>
            <c:ext xmlns:c16="http://schemas.microsoft.com/office/drawing/2014/chart" uri="{C3380CC4-5D6E-409C-BE32-E72D297353CC}">
              <c16:uniqueId val="{00000009-DFDF-49C9-A860-3A48C9A52D06}"/>
            </c:ext>
          </c:extLst>
        </c:ser>
        <c:ser>
          <c:idx val="10"/>
          <c:order val="10"/>
          <c:tx>
            <c:strRef>
              <c:f>'Budget 22-1'!$L$3</c:f>
              <c:strCache>
                <c:ptCount val="1"/>
              </c:strCache>
            </c:strRef>
          </c:tx>
          <c:spPr>
            <a:solidFill>
              <a:srgbClr val="FF0000">
                <a:alpha val="9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22-1'!$L$4:$L$87</c:f>
              <c:numCache>
                <c:formatCode>General</c:formatCode>
                <c:ptCount val="10"/>
                <c:pt idx="4">
                  <c:v>0.15540079888240754</c:v>
                </c:pt>
                <c:pt idx="5">
                  <c:v>0.1991988791047099</c:v>
                </c:pt>
                <c:pt idx="6">
                  <c:v>0.21647458007662834</c:v>
                </c:pt>
                <c:pt idx="7">
                  <c:v>0.22783893870165528</c:v>
                </c:pt>
                <c:pt idx="8">
                  <c:v>0.23410384297173437</c:v>
                </c:pt>
                <c:pt idx="9">
                  <c:v>0.23760548434717066</c:v>
                </c:pt>
              </c:numCache>
            </c:numRef>
          </c:val>
          <c:extLst>
            <c:ext xmlns:c16="http://schemas.microsoft.com/office/drawing/2014/chart" uri="{C3380CC4-5D6E-409C-BE32-E72D297353CC}">
              <c16:uniqueId val="{0000000A-DFDF-49C9-A860-3A48C9A52D06}"/>
            </c:ext>
          </c:extLst>
        </c:ser>
        <c:ser>
          <c:idx val="11"/>
          <c:order val="11"/>
          <c:tx>
            <c:strRef>
              <c:f>'Budget 22-1'!$M$3</c:f>
              <c:strCache>
                <c:ptCount val="1"/>
              </c:strCache>
            </c:strRef>
          </c:tx>
          <c:spPr>
            <a:solidFill>
              <a:srgbClr val="FF0000">
                <a:alpha val="8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22-1'!$M$4:$M$87</c:f>
              <c:numCache>
                <c:formatCode>General</c:formatCode>
                <c:ptCount val="10"/>
                <c:pt idx="4">
                  <c:v>0.16061905948648558</c:v>
                </c:pt>
                <c:pt idx="5">
                  <c:v>0.20588785155970335</c:v>
                </c:pt>
                <c:pt idx="6">
                  <c:v>0.22374365965100651</c:v>
                </c:pt>
                <c:pt idx="7">
                  <c:v>0.235489626255724</c:v>
                </c:pt>
                <c:pt idx="8">
                  <c:v>0.24196490205140719</c:v>
                </c:pt>
                <c:pt idx="9">
                  <c:v>0.2455841263309857</c:v>
                </c:pt>
              </c:numCache>
            </c:numRef>
          </c:val>
          <c:extLst>
            <c:ext xmlns:c16="http://schemas.microsoft.com/office/drawing/2014/chart" uri="{C3380CC4-5D6E-409C-BE32-E72D297353CC}">
              <c16:uniqueId val="{0000000B-DFDF-49C9-A860-3A48C9A52D06}"/>
            </c:ext>
          </c:extLst>
        </c:ser>
        <c:ser>
          <c:idx val="12"/>
          <c:order val="12"/>
          <c:tx>
            <c:strRef>
              <c:f>'Budget 22-1'!$N$3</c:f>
              <c:strCache>
                <c:ptCount val="1"/>
              </c:strCache>
            </c:strRef>
          </c:tx>
          <c:spPr>
            <a:solidFill>
              <a:srgbClr val="FF0000">
                <a:alpha val="7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22-1'!$N$4:$N$87</c:f>
              <c:numCache>
                <c:formatCode>General</c:formatCode>
                <c:ptCount val="10"/>
                <c:pt idx="4">
                  <c:v>0.16926829533106158</c:v>
                </c:pt>
                <c:pt idx="5">
                  <c:v>0.21697478353008393</c:v>
                </c:pt>
                <c:pt idx="6">
                  <c:v>0.23579211571367154</c:v>
                </c:pt>
                <c:pt idx="7">
                  <c:v>0.24817059526991514</c:v>
                </c:pt>
                <c:pt idx="8">
                  <c:v>0.25499456061523418</c:v>
                </c:pt>
                <c:pt idx="9">
                  <c:v>0.25880867785750894</c:v>
                </c:pt>
              </c:numCache>
            </c:numRef>
          </c:val>
          <c:extLst>
            <c:ext xmlns:c16="http://schemas.microsoft.com/office/drawing/2014/chart" uri="{C3380CC4-5D6E-409C-BE32-E72D297353CC}">
              <c16:uniqueId val="{0000000C-DFDF-49C9-A860-3A48C9A52D06}"/>
            </c:ext>
          </c:extLst>
        </c:ser>
        <c:ser>
          <c:idx val="13"/>
          <c:order val="13"/>
          <c:tx>
            <c:strRef>
              <c:f>'Budget 22-1'!$O$3</c:f>
              <c:strCache>
                <c:ptCount val="1"/>
              </c:strCache>
            </c:strRef>
          </c:tx>
          <c:spPr>
            <a:solidFill>
              <a:srgbClr val="FF0000">
                <a:alpha val="6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22-1'!$O$4:$O$87</c:f>
              <c:numCache>
                <c:formatCode>General</c:formatCode>
                <c:ptCount val="10"/>
                <c:pt idx="4">
                  <c:v>0.18266710468483005</c:v>
                </c:pt>
                <c:pt idx="5">
                  <c:v>0.23414990633384569</c:v>
                </c:pt>
                <c:pt idx="6">
                  <c:v>0.25445676640558546</c:v>
                </c:pt>
                <c:pt idx="7">
                  <c:v>0.26781509211280863</c:v>
                </c:pt>
                <c:pt idx="8">
                  <c:v>0.27517922365121095</c:v>
                </c:pt>
                <c:pt idx="9">
                  <c:v>0.27929525584857018</c:v>
                </c:pt>
              </c:numCache>
            </c:numRef>
          </c:val>
          <c:extLst>
            <c:ext xmlns:c16="http://schemas.microsoft.com/office/drawing/2014/chart" uri="{C3380CC4-5D6E-409C-BE32-E72D297353CC}">
              <c16:uniqueId val="{0000000D-DFDF-49C9-A860-3A48C9A52D06}"/>
            </c:ext>
          </c:extLst>
        </c:ser>
        <c:ser>
          <c:idx val="14"/>
          <c:order val="14"/>
          <c:tx>
            <c:strRef>
              <c:f>'Budget 22-1'!$P$3</c:f>
              <c:strCache>
                <c:ptCount val="1"/>
              </c:strCache>
            </c:strRef>
          </c:tx>
          <c:spPr>
            <a:solidFill>
              <a:srgbClr val="FF0000">
                <a:alpha val="5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22-1'!$P$4:$P$87</c:f>
              <c:numCache>
                <c:formatCode>General</c:formatCode>
                <c:ptCount val="10"/>
                <c:pt idx="4">
                  <c:v>0.20340848338682171</c:v>
                </c:pt>
                <c:pt idx="5">
                  <c:v>0.26073702440683277</c:v>
                </c:pt>
                <c:pt idx="6">
                  <c:v>0.28334967607538175</c:v>
                </c:pt>
                <c:pt idx="7">
                  <c:v>0.29822480522017969</c:v>
                </c:pt>
                <c:pt idx="8">
                  <c:v>0.30642511490523816</c:v>
                </c:pt>
                <c:pt idx="9">
                  <c:v>0.31100851194478452</c:v>
                </c:pt>
              </c:numCache>
            </c:numRef>
          </c:val>
          <c:extLst>
            <c:ext xmlns:c16="http://schemas.microsoft.com/office/drawing/2014/chart" uri="{C3380CC4-5D6E-409C-BE32-E72D297353CC}">
              <c16:uniqueId val="{0000000E-DFDF-49C9-A860-3A48C9A52D06}"/>
            </c:ext>
          </c:extLst>
        </c:ser>
        <c:ser>
          <c:idx val="15"/>
          <c:order val="15"/>
          <c:tx>
            <c:strRef>
              <c:f>'Budget 22-1'!$Q$3</c:f>
              <c:strCache>
                <c:ptCount val="1"/>
              </c:strCache>
            </c:strRef>
          </c:tx>
          <c:spPr>
            <a:solidFill>
              <a:srgbClr val="FF0000">
                <a:alpha val="4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22-1'!$Q$4:$Q$87</c:f>
              <c:numCache>
                <c:formatCode>General</c:formatCode>
                <c:ptCount val="10"/>
                <c:pt idx="4">
                  <c:v>0.23709743000267558</c:v>
                </c:pt>
                <c:pt idx="5">
                  <c:v>0.30392084619126969</c:v>
                </c:pt>
                <c:pt idx="6">
                  <c:v>0.33027865343160201</c:v>
                </c:pt>
                <c:pt idx="7">
                  <c:v>0.34761743317405447</c:v>
                </c:pt>
                <c:pt idx="8">
                  <c:v>0.35717589562939978</c:v>
                </c:pt>
                <c:pt idx="9">
                  <c:v>0.3625184046568819</c:v>
                </c:pt>
              </c:numCache>
            </c:numRef>
          </c:val>
          <c:extLst>
            <c:ext xmlns:c16="http://schemas.microsoft.com/office/drawing/2014/chart" uri="{C3380CC4-5D6E-409C-BE32-E72D297353CC}">
              <c16:uniqueId val="{0000000F-DFDF-49C9-A860-3A48C9A52D06}"/>
            </c:ext>
          </c:extLst>
        </c:ser>
        <c:ser>
          <c:idx val="16"/>
          <c:order val="16"/>
          <c:tx>
            <c:strRef>
              <c:f>'Budget 22-1'!$R$3</c:f>
              <c:strCache>
                <c:ptCount val="1"/>
              </c:strCache>
            </c:strRef>
          </c:tx>
          <c:spPr>
            <a:solidFill>
              <a:srgbClr val="FF0000">
                <a:alpha val="3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22-1'!$R$4:$R$87</c:f>
              <c:numCache>
                <c:formatCode>General</c:formatCode>
                <c:ptCount val="10"/>
                <c:pt idx="4">
                  <c:v>0.29832270637257174</c:v>
                </c:pt>
                <c:pt idx="5">
                  <c:v>0.3824018225663508</c:v>
                </c:pt>
                <c:pt idx="6">
                  <c:v>0.41556596268332413</c:v>
                </c:pt>
                <c:pt idx="7">
                  <c:v>0.43738210678032274</c:v>
                </c:pt>
                <c:pt idx="8">
                  <c:v>0.44940883515273811</c:v>
                </c:pt>
                <c:pt idx="9">
                  <c:v>0.45613093143138173</c:v>
                </c:pt>
              </c:numCache>
            </c:numRef>
          </c:val>
          <c:extLst>
            <c:ext xmlns:c16="http://schemas.microsoft.com/office/drawing/2014/chart" uri="{C3380CC4-5D6E-409C-BE32-E72D297353CC}">
              <c16:uniqueId val="{00000010-DFDF-49C9-A860-3A48C9A52D06}"/>
            </c:ext>
          </c:extLst>
        </c:ser>
        <c:ser>
          <c:idx val="17"/>
          <c:order val="17"/>
          <c:tx>
            <c:strRef>
              <c:f>'Budget 22-1'!$S$3</c:f>
              <c:strCache>
                <c:ptCount val="1"/>
              </c:strCache>
            </c:strRef>
          </c:tx>
          <c:spPr>
            <a:solidFill>
              <a:srgbClr val="FF0000">
                <a:alpha val="2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22-1'!$S$4:$S$87</c:f>
              <c:numCache>
                <c:formatCode>General</c:formatCode>
                <c:ptCount val="10"/>
                <c:pt idx="4">
                  <c:v>0.44215919005192816</c:v>
                </c:pt>
                <c:pt idx="5">
                  <c:v>0.56677710589402253</c:v>
                </c:pt>
                <c:pt idx="6">
                  <c:v>0.61593135737958349</c:v>
                </c:pt>
                <c:pt idx="7">
                  <c:v>0.64826616930615799</c:v>
                </c:pt>
                <c:pt idx="8">
                  <c:v>0.6660915924554125</c:v>
                </c:pt>
                <c:pt idx="9">
                  <c:v>0.67605475175413332</c:v>
                </c:pt>
              </c:numCache>
            </c:numRef>
          </c:val>
          <c:extLst>
            <c:ext xmlns:c16="http://schemas.microsoft.com/office/drawing/2014/chart" uri="{C3380CC4-5D6E-409C-BE32-E72D297353CC}">
              <c16:uniqueId val="{00000011-DFDF-49C9-A860-3A48C9A52D06}"/>
            </c:ext>
          </c:extLst>
        </c:ser>
        <c:dLbls>
          <c:showLegendKey val="0"/>
          <c:showVal val="0"/>
          <c:showCatName val="0"/>
          <c:showSerName val="0"/>
          <c:showPercent val="0"/>
          <c:showBubbleSize val="0"/>
        </c:dLbls>
        <c:axId val="455201920"/>
        <c:axId val="455203456"/>
      </c:areaChart>
      <c:lineChart>
        <c:grouping val="standard"/>
        <c:varyColors val="0"/>
        <c:ser>
          <c:idx val="19"/>
          <c:order val="18"/>
          <c:tx>
            <c:strRef>
              <c:f>'Budget 22-1'!$U$3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22-1'!$U$4:$U$87</c:f>
              <c:numCache>
                <c:formatCode>General</c:formatCode>
                <c:ptCount val="10"/>
              </c:numCache>
            </c:numRef>
          </c:val>
          <c:smooth val="0"/>
          <c:extLst>
            <c:ext xmlns:c16="http://schemas.microsoft.com/office/drawing/2014/chart" uri="{C3380CC4-5D6E-409C-BE32-E72D297353CC}">
              <c16:uniqueId val="{00000012-DFDF-49C9-A860-3A48C9A52D06}"/>
            </c:ext>
          </c:extLst>
        </c:ser>
        <c:ser>
          <c:idx val="20"/>
          <c:order val="19"/>
          <c:tx>
            <c:strRef>
              <c:f>'Budget 22-1'!$V$3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22-1'!$V$4:$V$87</c:f>
              <c:numCache>
                <c:formatCode>General</c:formatCode>
                <c:ptCount val="10"/>
              </c:numCache>
            </c:numRef>
          </c:val>
          <c:smooth val="0"/>
          <c:extLst>
            <c:ext xmlns:c16="http://schemas.microsoft.com/office/drawing/2014/chart" uri="{C3380CC4-5D6E-409C-BE32-E72D297353CC}">
              <c16:uniqueId val="{00000013-DFDF-49C9-A860-3A48C9A52D06}"/>
            </c:ext>
          </c:extLst>
        </c:ser>
        <c:ser>
          <c:idx val="21"/>
          <c:order val="20"/>
          <c:tx>
            <c:strRef>
              <c:f>'Budget 22-1'!$W$3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22-1'!$W$4:$W$87</c:f>
              <c:numCache>
                <c:formatCode>General</c:formatCode>
                <c:ptCount val="10"/>
              </c:numCache>
            </c:numRef>
          </c:val>
          <c:smooth val="0"/>
          <c:extLst>
            <c:ext xmlns:c16="http://schemas.microsoft.com/office/drawing/2014/chart" uri="{C3380CC4-5D6E-409C-BE32-E72D297353CC}">
              <c16:uniqueId val="{00000014-DFDF-49C9-A860-3A48C9A52D06}"/>
            </c:ext>
          </c:extLst>
        </c:ser>
        <c:ser>
          <c:idx val="22"/>
          <c:order val="21"/>
          <c:tx>
            <c:strRef>
              <c:f>'Budget 22-1'!$X$3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22-1'!$X$4:$X$87</c:f>
              <c:numCache>
                <c:formatCode>General</c:formatCode>
                <c:ptCount val="10"/>
              </c:numCache>
            </c:numRef>
          </c:val>
          <c:smooth val="0"/>
          <c:extLst>
            <c:ext xmlns:c16="http://schemas.microsoft.com/office/drawing/2014/chart" uri="{C3380CC4-5D6E-409C-BE32-E72D297353CC}">
              <c16:uniqueId val="{00000015-DFDF-49C9-A860-3A48C9A52D06}"/>
            </c:ext>
          </c:extLst>
        </c:ser>
        <c:ser>
          <c:idx val="23"/>
          <c:order val="22"/>
          <c:tx>
            <c:strRef>
              <c:f>'Budget 22-1'!$Y$3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22-1'!$Y$4:$Y$87</c:f>
              <c:numCache>
                <c:formatCode>General</c:formatCode>
                <c:ptCount val="10"/>
              </c:numCache>
            </c:numRef>
          </c:val>
          <c:smooth val="0"/>
          <c:extLst>
            <c:ext xmlns:c16="http://schemas.microsoft.com/office/drawing/2014/chart" uri="{C3380CC4-5D6E-409C-BE32-E72D297353CC}">
              <c16:uniqueId val="{00000016-DFDF-49C9-A860-3A48C9A52D06}"/>
            </c:ext>
          </c:extLst>
        </c:ser>
        <c:ser>
          <c:idx val="24"/>
          <c:order val="23"/>
          <c:tx>
            <c:strRef>
              <c:f>'Budget 22-1'!$Z$3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22-1'!$Z$4:$Z$87</c:f>
              <c:numCache>
                <c:formatCode>General</c:formatCode>
                <c:ptCount val="10"/>
              </c:numCache>
            </c:numRef>
          </c:val>
          <c:smooth val="0"/>
          <c:extLst>
            <c:ext xmlns:c16="http://schemas.microsoft.com/office/drawing/2014/chart" uri="{C3380CC4-5D6E-409C-BE32-E72D297353CC}">
              <c16:uniqueId val="{00000017-DFDF-49C9-A860-3A48C9A52D06}"/>
            </c:ext>
          </c:extLst>
        </c:ser>
        <c:dLbls>
          <c:showLegendKey val="0"/>
          <c:showVal val="0"/>
          <c:showCatName val="0"/>
          <c:showSerName val="0"/>
          <c:showPercent val="0"/>
          <c:showBubbleSize val="0"/>
        </c:dLbls>
        <c:marker val="1"/>
        <c:smooth val="0"/>
        <c:axId val="455201920"/>
        <c:axId val="455203456"/>
      </c:lineChart>
      <c:catAx>
        <c:axId val="455201920"/>
        <c:scaling>
          <c:orientation val="minMax"/>
        </c:scaling>
        <c:delete val="0"/>
        <c:axPos val="b"/>
        <c:numFmt formatCode="General" sourceLinked="1"/>
        <c:majorTickMark val="out"/>
        <c:minorTickMark val="none"/>
        <c:tickLblPos val="nextTo"/>
        <c:crossAx val="455203456"/>
        <c:crosses val="autoZero"/>
        <c:auto val="1"/>
        <c:lblAlgn val="ctr"/>
        <c:lblOffset val="100"/>
        <c:noMultiLvlLbl val="0"/>
      </c:catAx>
      <c:valAx>
        <c:axId val="455203456"/>
        <c:scaling>
          <c:orientation val="minMax"/>
        </c:scaling>
        <c:delete val="0"/>
        <c:axPos val="l"/>
        <c:majorGridlines/>
        <c:numFmt formatCode="General" sourceLinked="1"/>
        <c:majorTickMark val="out"/>
        <c:minorTickMark val="none"/>
        <c:tickLblPos val="nextTo"/>
        <c:crossAx val="455201920"/>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[SOE Database 2020.xlsx]Ակտիվներ!PivotTable1</c:name>
    <c:fmtId val="-1"/>
  </c:pivotSource>
  <c:chart>
    <c:autoTitleDeleted val="1"/>
    <c:pivotFmts>
      <c:pivotFmt>
        <c:idx val="0"/>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
        <c:dLbl>
          <c:idx val="0"/>
          <c:delete val="1"/>
          <c:extLst>
            <c:ext xmlns:c15="http://schemas.microsoft.com/office/drawing/2012/chart" uri="{CE6537A1-D6FC-4f65-9D91-7224C49458BB}"/>
          </c:extLst>
        </c:dLbl>
      </c:pivotFmt>
      <c:pivotFmt>
        <c:idx val="2"/>
        <c:dLbl>
          <c:idx val="0"/>
          <c:delete val="1"/>
          <c:extLst>
            <c:ext xmlns:c15="http://schemas.microsoft.com/office/drawing/2012/chart" uri="{CE6537A1-D6FC-4f65-9D91-7224C49458BB}"/>
          </c:extLst>
        </c:dLbl>
      </c:pivotFmt>
      <c:pivotFmt>
        <c:idx val="3"/>
        <c:dLbl>
          <c:idx val="0"/>
          <c:delete val="1"/>
          <c:extLst>
            <c:ext xmlns:c15="http://schemas.microsoft.com/office/drawing/2012/chart" uri="{CE6537A1-D6FC-4f65-9D91-7224C49458BB}"/>
          </c:extLst>
        </c:dLbl>
      </c:pivotFmt>
      <c:pivotFmt>
        <c:idx val="4"/>
        <c:dLbl>
          <c:idx val="0"/>
          <c:delete val="1"/>
          <c:extLst>
            <c:ext xmlns:c15="http://schemas.microsoft.com/office/drawing/2012/chart" uri="{CE6537A1-D6FC-4f65-9D91-7224C49458BB}"/>
          </c:extLst>
        </c:dLbl>
      </c:pivotFmt>
      <c:pivotFmt>
        <c:idx val="5"/>
        <c:dLbl>
          <c:idx val="0"/>
          <c:delete val="1"/>
          <c:extLst>
            <c:ext xmlns:c15="http://schemas.microsoft.com/office/drawing/2012/chart" uri="{CE6537A1-D6FC-4f65-9D91-7224C49458BB}"/>
          </c:extLst>
        </c:dLbl>
      </c:pivotFmt>
      <c:pivotFmt>
        <c:idx val="6"/>
        <c:dLbl>
          <c:idx val="0"/>
          <c:delete val="1"/>
          <c:extLst>
            <c:ext xmlns:c15="http://schemas.microsoft.com/office/drawing/2012/chart" uri="{CE6537A1-D6FC-4f65-9D91-7224C49458BB}"/>
          </c:extLst>
        </c:dLbl>
      </c:pivotFmt>
      <c:pivotFmt>
        <c:idx val="7"/>
        <c:dLbl>
          <c:idx val="0"/>
          <c:delete val="1"/>
          <c:extLst>
            <c:ext xmlns:c15="http://schemas.microsoft.com/office/drawing/2012/chart" uri="{CE6537A1-D6FC-4f65-9D91-7224C49458BB}"/>
          </c:extLst>
        </c:dLbl>
      </c:pivotFmt>
      <c:pivotFmt>
        <c:idx val="8"/>
        <c:dLbl>
          <c:idx val="0"/>
          <c:delete val="1"/>
          <c:extLst>
            <c:ext xmlns:c15="http://schemas.microsoft.com/office/drawing/2012/chart" uri="{CE6537A1-D6FC-4f65-9D91-7224C49458BB}"/>
          </c:extLst>
        </c:dLbl>
      </c:pivotFmt>
      <c:pivotFmt>
        <c:idx val="9"/>
        <c:dLbl>
          <c:idx val="0"/>
          <c:delete val="1"/>
          <c:extLst>
            <c:ext xmlns:c15="http://schemas.microsoft.com/office/drawing/2012/chart" uri="{CE6537A1-D6FC-4f65-9D91-7224C49458BB}"/>
          </c:extLst>
        </c:dLbl>
      </c:pivotFmt>
      <c:pivotFmt>
        <c:idx val="10"/>
        <c:dLbl>
          <c:idx val="0"/>
          <c:delete val="1"/>
          <c:extLst>
            <c:ext xmlns:c15="http://schemas.microsoft.com/office/drawing/2012/chart" uri="{CE6537A1-D6FC-4f65-9D91-7224C49458BB}"/>
          </c:extLst>
        </c:dLbl>
      </c:pivotFmt>
      <c:pivotFmt>
        <c:idx val="11"/>
        <c:dLbl>
          <c:idx val="0"/>
          <c:delete val="1"/>
          <c:extLst>
            <c:ext xmlns:c15="http://schemas.microsoft.com/office/drawing/2012/chart" uri="{CE6537A1-D6FC-4f65-9D91-7224C49458BB}"/>
          </c:extLst>
        </c:dLbl>
      </c:pivotFmt>
      <c:pivotFmt>
        <c:idx val="12"/>
        <c:dLbl>
          <c:idx val="0"/>
          <c:delete val="1"/>
          <c:extLst>
            <c:ext xmlns:c15="http://schemas.microsoft.com/office/drawing/2012/chart" uri="{CE6537A1-D6FC-4f65-9D91-7224C49458BB}"/>
          </c:extLst>
        </c:dLbl>
      </c:pivotFmt>
      <c:pivotFmt>
        <c:idx val="13"/>
        <c:dLbl>
          <c:idx val="0"/>
          <c:delete val="1"/>
          <c:extLst>
            <c:ext xmlns:c15="http://schemas.microsoft.com/office/drawing/2012/chart" uri="{CE6537A1-D6FC-4f65-9D91-7224C49458BB}"/>
          </c:extLst>
        </c:dLbl>
      </c:pivotFmt>
      <c:pivotFmt>
        <c:idx val="14"/>
        <c:dLbl>
          <c:idx val="0"/>
          <c:delete val="1"/>
          <c:extLst>
            <c:ext xmlns:c15="http://schemas.microsoft.com/office/drawing/2012/chart" uri="{CE6537A1-D6FC-4f65-9D91-7224C49458BB}"/>
          </c:extLst>
        </c:dLbl>
      </c:pivotFmt>
      <c:pivotFmt>
        <c:idx val="15"/>
        <c:dLbl>
          <c:idx val="0"/>
          <c:delete val="1"/>
          <c:extLst>
            <c:ext xmlns:c15="http://schemas.microsoft.com/office/drawing/2012/chart" uri="{CE6537A1-D6FC-4f65-9D91-7224C49458BB}"/>
          </c:extLst>
        </c:dLbl>
      </c:pivotFmt>
      <c:pivotFmt>
        <c:idx val="16"/>
        <c:dLbl>
          <c:idx val="0"/>
          <c:delete val="1"/>
          <c:extLst>
            <c:ext xmlns:c15="http://schemas.microsoft.com/office/drawing/2012/chart" uri="{CE6537A1-D6FC-4f65-9D91-7224C49458BB}"/>
          </c:extLst>
        </c:dLbl>
      </c:pivotFmt>
      <c:pivotFmt>
        <c:idx val="17"/>
        <c:dLbl>
          <c:idx val="0"/>
          <c:delete val="1"/>
          <c:extLst>
            <c:ext xmlns:c15="http://schemas.microsoft.com/office/drawing/2012/chart" uri="{CE6537A1-D6FC-4f65-9D91-7224C49458BB}"/>
          </c:extLst>
        </c:dLbl>
      </c:pivotFmt>
      <c:pivotFmt>
        <c:idx val="18"/>
        <c:dLbl>
          <c:idx val="0"/>
          <c:delete val="1"/>
          <c:extLst>
            <c:ext xmlns:c15="http://schemas.microsoft.com/office/drawing/2012/chart" uri="{CE6537A1-D6FC-4f65-9D91-7224C49458BB}"/>
          </c:extLst>
        </c:dLbl>
      </c:pivotFmt>
      <c:pivotFmt>
        <c:idx val="19"/>
        <c:dLbl>
          <c:idx val="0"/>
          <c:delete val="1"/>
          <c:extLst>
            <c:ext xmlns:c15="http://schemas.microsoft.com/office/drawing/2012/chart" uri="{CE6537A1-D6FC-4f65-9D91-7224C49458BB}"/>
          </c:extLst>
        </c:dLbl>
      </c:pivotFmt>
      <c:pivotFmt>
        <c:idx val="20"/>
        <c:dLbl>
          <c:idx val="0"/>
          <c:delete val="1"/>
          <c:extLst>
            <c:ext xmlns:c15="http://schemas.microsoft.com/office/drawing/2012/chart" uri="{CE6537A1-D6FC-4f65-9D91-7224C49458BB}"/>
          </c:extLst>
        </c:dLbl>
      </c:pivotFmt>
      <c:pivotFmt>
        <c:idx val="21"/>
        <c:dLbl>
          <c:idx val="0"/>
          <c:delete val="1"/>
          <c:extLst>
            <c:ext xmlns:c15="http://schemas.microsoft.com/office/drawing/2012/chart" uri="{CE6537A1-D6FC-4f65-9D91-7224C49458BB}"/>
          </c:extLst>
        </c:dLbl>
      </c:pivotFmt>
      <c:pivotFmt>
        <c:idx val="22"/>
        <c:dLbl>
          <c:idx val="0"/>
          <c:delete val="1"/>
          <c:extLst>
            <c:ext xmlns:c15="http://schemas.microsoft.com/office/drawing/2012/chart" uri="{CE6537A1-D6FC-4f65-9D91-7224C49458BB}"/>
          </c:extLst>
        </c:dLbl>
      </c:pivotFmt>
      <c:pivotFmt>
        <c:idx val="23"/>
        <c:dLbl>
          <c:idx val="0"/>
          <c:delete val="1"/>
          <c:extLst>
            <c:ext xmlns:c15="http://schemas.microsoft.com/office/drawing/2012/chart" uri="{CE6537A1-D6FC-4f65-9D91-7224C49458BB}"/>
          </c:extLst>
        </c:dLbl>
      </c:pivotFmt>
      <c:pivotFmt>
        <c:idx val="24"/>
        <c:dLbl>
          <c:idx val="0"/>
          <c:delete val="1"/>
          <c:extLst>
            <c:ext xmlns:c15="http://schemas.microsoft.com/office/drawing/2012/chart" uri="{CE6537A1-D6FC-4f65-9D91-7224C49458BB}"/>
          </c:extLst>
        </c:dLbl>
      </c:pivotFmt>
      <c:pivotFmt>
        <c:idx val="25"/>
        <c:dLbl>
          <c:idx val="0"/>
          <c:delete val="1"/>
          <c:extLst>
            <c:ext xmlns:c15="http://schemas.microsoft.com/office/drawing/2012/chart" uri="{CE6537A1-D6FC-4f65-9D91-7224C49458BB}"/>
          </c:extLst>
        </c:dLbl>
      </c:pivotFmt>
      <c:pivotFmt>
        <c:idx val="26"/>
        <c:dLbl>
          <c:idx val="0"/>
          <c:delete val="1"/>
          <c:extLst>
            <c:ext xmlns:c15="http://schemas.microsoft.com/office/drawing/2012/chart" uri="{CE6537A1-D6FC-4f65-9D91-7224C49458BB}"/>
          </c:extLst>
        </c:dLbl>
      </c:pivotFmt>
      <c:pivotFmt>
        <c:idx val="27"/>
        <c:dLbl>
          <c:idx val="0"/>
          <c:layout>
            <c:manualLayout>
              <c:x val="0.15359168099080422"/>
              <c:y val="-4.134201609712707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layout>
            <c:manualLayout>
              <c:x val="-7.7251275488736726E-2"/>
              <c:y val="3.92711772618486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9"/>
        <c:dLbl>
          <c:idx val="0"/>
          <c:layout>
            <c:manualLayout>
              <c:x val="-1.9321453602738913E-2"/>
              <c:y val="-9.10314734403567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layout>
            <c:manualLayout>
              <c:x val="-1.3823251289172436E-2"/>
              <c:y val="4.134201609712699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1"/>
        <c:dLbl>
          <c:idx val="0"/>
          <c:layout>
            <c:manualLayout>
              <c:x val="-6.5053181890891876E-2"/>
              <c:y val="-1.082249698866151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2"/>
      </c:pivotFmt>
      <c:pivotFmt>
        <c:idx val="33"/>
      </c:pivotFmt>
      <c:pivotFmt>
        <c:idx val="34"/>
      </c:pivotFmt>
      <c:pivotFmt>
        <c:idx val="35"/>
      </c:pivotFmt>
      <c:pivotFmt>
        <c:idx val="36"/>
        <c:dLbl>
          <c:idx val="0"/>
          <c:delete val="1"/>
          <c:extLst>
            <c:ext xmlns:c15="http://schemas.microsoft.com/office/drawing/2012/chart" uri="{CE6537A1-D6FC-4f65-9D91-7224C49458BB}"/>
          </c:extLst>
        </c:dLbl>
      </c:pivotFmt>
      <c:pivotFmt>
        <c:idx val="37"/>
        <c:dLbl>
          <c:idx val="0"/>
          <c:delete val="1"/>
          <c:extLst>
            <c:ext xmlns:c15="http://schemas.microsoft.com/office/drawing/2012/chart" uri="{CE6537A1-D6FC-4f65-9D91-7224C49458BB}"/>
          </c:extLst>
        </c:dLbl>
      </c:pivotFmt>
      <c:pivotFmt>
        <c:idx val="38"/>
        <c:dLbl>
          <c:idx val="0"/>
          <c:delete val="1"/>
          <c:extLst>
            <c:ext xmlns:c15="http://schemas.microsoft.com/office/drawing/2012/chart" uri="{CE6537A1-D6FC-4f65-9D91-7224C49458BB}"/>
          </c:extLst>
        </c:dLbl>
      </c:pivotFmt>
      <c:pivotFmt>
        <c:idx val="39"/>
        <c:dLbl>
          <c:idx val="0"/>
          <c:delete val="1"/>
          <c:extLst>
            <c:ext xmlns:c15="http://schemas.microsoft.com/office/drawing/2012/chart" uri="{CE6537A1-D6FC-4f65-9D91-7224C49458BB}"/>
          </c:extLst>
        </c:dLbl>
      </c:pivotFmt>
      <c:pivotFmt>
        <c:idx val="40"/>
        <c:dLbl>
          <c:idx val="0"/>
          <c:delete val="1"/>
          <c:extLst>
            <c:ext xmlns:c15="http://schemas.microsoft.com/office/drawing/2012/chart" uri="{CE6537A1-D6FC-4f65-9D91-7224C49458BB}"/>
          </c:extLst>
        </c:dLbl>
      </c:pivotFmt>
      <c:pivotFmt>
        <c:idx val="41"/>
        <c:dLbl>
          <c:idx val="0"/>
          <c:delete val="1"/>
          <c:extLst>
            <c:ext xmlns:c15="http://schemas.microsoft.com/office/drawing/2012/chart" uri="{CE6537A1-D6FC-4f65-9D91-7224C49458BB}"/>
          </c:extLst>
        </c:dLbl>
      </c:pivotFmt>
      <c:pivotFmt>
        <c:idx val="42"/>
        <c:dLbl>
          <c:idx val="0"/>
          <c:delete val="1"/>
          <c:extLst>
            <c:ext xmlns:c15="http://schemas.microsoft.com/office/drawing/2012/chart" uri="{CE6537A1-D6FC-4f65-9D91-7224C49458BB}"/>
          </c:extLst>
        </c:dLbl>
      </c:pivotFmt>
      <c:pivotFmt>
        <c:idx val="43"/>
        <c:dLbl>
          <c:idx val="0"/>
          <c:delete val="1"/>
          <c:extLst>
            <c:ext xmlns:c15="http://schemas.microsoft.com/office/drawing/2012/chart" uri="{CE6537A1-D6FC-4f65-9D91-7224C49458BB}"/>
          </c:extLst>
        </c:dLbl>
      </c:pivotFmt>
      <c:pivotFmt>
        <c:idx val="44"/>
        <c:dLbl>
          <c:idx val="0"/>
          <c:delete val="1"/>
          <c:extLst>
            <c:ext xmlns:c15="http://schemas.microsoft.com/office/drawing/2012/chart" uri="{CE6537A1-D6FC-4f65-9D91-7224C49458BB}"/>
          </c:extLst>
        </c:dLbl>
      </c:pivotFmt>
      <c:pivotFmt>
        <c:idx val="45"/>
        <c:dLbl>
          <c:idx val="0"/>
          <c:delete val="1"/>
          <c:extLst>
            <c:ext xmlns:c15="http://schemas.microsoft.com/office/drawing/2012/chart" uri="{CE6537A1-D6FC-4f65-9D91-7224C49458BB}"/>
          </c:extLst>
        </c:dLbl>
      </c:pivotFmt>
      <c:pivotFmt>
        <c:idx val="46"/>
        <c:dLbl>
          <c:idx val="0"/>
          <c:delete val="1"/>
          <c:extLst>
            <c:ext xmlns:c15="http://schemas.microsoft.com/office/drawing/2012/chart" uri="{CE6537A1-D6FC-4f65-9D91-7224C49458BB}"/>
          </c:extLst>
        </c:dLbl>
      </c:pivotFmt>
      <c:pivotFmt>
        <c:idx val="47"/>
        <c:dLbl>
          <c:idx val="0"/>
          <c:delete val="1"/>
          <c:extLst>
            <c:ext xmlns:c15="http://schemas.microsoft.com/office/drawing/2012/chart" uri="{CE6537A1-D6FC-4f65-9D91-7224C49458BB}"/>
          </c:extLst>
        </c:dLbl>
      </c:pivotFmt>
      <c:pivotFmt>
        <c:idx val="48"/>
        <c:dLbl>
          <c:idx val="0"/>
          <c:delete val="1"/>
          <c:extLst>
            <c:ext xmlns:c15="http://schemas.microsoft.com/office/drawing/2012/chart" uri="{CE6537A1-D6FC-4f65-9D91-7224C49458BB}"/>
          </c:extLst>
        </c:dLbl>
      </c:pivotFmt>
      <c:pivotFmt>
        <c:idx val="49"/>
        <c:dLbl>
          <c:idx val="0"/>
          <c:delete val="1"/>
          <c:extLst>
            <c:ext xmlns:c15="http://schemas.microsoft.com/office/drawing/2012/chart" uri="{CE6537A1-D6FC-4f65-9D91-7224C49458BB}"/>
          </c:extLst>
        </c:dLbl>
      </c:pivotFmt>
      <c:pivotFmt>
        <c:idx val="50"/>
        <c:dLbl>
          <c:idx val="0"/>
          <c:delete val="1"/>
          <c:extLst>
            <c:ext xmlns:c15="http://schemas.microsoft.com/office/drawing/2012/chart" uri="{CE6537A1-D6FC-4f65-9D91-7224C49458BB}"/>
          </c:extLst>
        </c:dLbl>
      </c:pivotFmt>
      <c:pivotFmt>
        <c:idx val="51"/>
        <c:dLbl>
          <c:idx val="0"/>
          <c:delete val="1"/>
          <c:extLst>
            <c:ext xmlns:c15="http://schemas.microsoft.com/office/drawing/2012/chart" uri="{CE6537A1-D6FC-4f65-9D91-7224C49458BB}"/>
          </c:extLst>
        </c:dLbl>
      </c:pivotFmt>
      <c:pivotFmt>
        <c:idx val="52"/>
        <c:dLbl>
          <c:idx val="0"/>
          <c:delete val="1"/>
          <c:extLst>
            <c:ext xmlns:c15="http://schemas.microsoft.com/office/drawing/2012/chart" uri="{CE6537A1-D6FC-4f65-9D91-7224C49458BB}"/>
          </c:extLst>
        </c:dLbl>
      </c:pivotFmt>
      <c:pivotFmt>
        <c:idx val="53"/>
        <c:dLbl>
          <c:idx val="0"/>
          <c:delete val="1"/>
          <c:extLst>
            <c:ext xmlns:c15="http://schemas.microsoft.com/office/drawing/2012/chart" uri="{CE6537A1-D6FC-4f65-9D91-7224C49458BB}"/>
          </c:extLst>
        </c:dLbl>
      </c:pivotFmt>
      <c:pivotFmt>
        <c:idx val="54"/>
        <c:dLbl>
          <c:idx val="0"/>
          <c:delete val="1"/>
          <c:extLst>
            <c:ext xmlns:c15="http://schemas.microsoft.com/office/drawing/2012/chart" uri="{CE6537A1-D6FC-4f65-9D91-7224C49458BB}"/>
          </c:extLst>
        </c:dLbl>
      </c:pivotFmt>
      <c:pivotFmt>
        <c:idx val="55"/>
        <c:dLbl>
          <c:idx val="0"/>
          <c:delete val="1"/>
          <c:extLst>
            <c:ext xmlns:c15="http://schemas.microsoft.com/office/drawing/2012/chart" uri="{CE6537A1-D6FC-4f65-9D91-7224C49458BB}"/>
          </c:extLst>
        </c:dLbl>
      </c:pivotFmt>
      <c:pivotFmt>
        <c:idx val="56"/>
        <c:dLbl>
          <c:idx val="0"/>
          <c:delete val="1"/>
          <c:extLst>
            <c:ext xmlns:c15="http://schemas.microsoft.com/office/drawing/2012/chart" uri="{CE6537A1-D6FC-4f65-9D91-7224C49458BB}"/>
          </c:extLst>
        </c:dLbl>
      </c:pivotFmt>
      <c:pivotFmt>
        <c:idx val="57"/>
        <c:dLbl>
          <c:idx val="0"/>
          <c:delete val="1"/>
          <c:extLst>
            <c:ext xmlns:c15="http://schemas.microsoft.com/office/drawing/2012/chart" uri="{CE6537A1-D6FC-4f65-9D91-7224C49458BB}"/>
          </c:extLst>
        </c:dLbl>
      </c:pivotFmt>
      <c:pivotFmt>
        <c:idx val="58"/>
        <c:dLbl>
          <c:idx val="0"/>
          <c:delete val="1"/>
          <c:extLst>
            <c:ext xmlns:c15="http://schemas.microsoft.com/office/drawing/2012/chart" uri="{CE6537A1-D6FC-4f65-9D91-7224C49458BB}"/>
          </c:extLst>
        </c:dLbl>
      </c:pivotFmt>
      <c:pivotFmt>
        <c:idx val="59"/>
        <c:dLbl>
          <c:idx val="0"/>
          <c:delete val="1"/>
          <c:extLst>
            <c:ext xmlns:c15="http://schemas.microsoft.com/office/drawing/2012/chart" uri="{CE6537A1-D6FC-4f65-9D91-7224C49458BB}"/>
          </c:extLst>
        </c:dLbl>
      </c:pivotFmt>
      <c:pivotFmt>
        <c:idx val="60"/>
        <c:dLbl>
          <c:idx val="0"/>
          <c:delete val="1"/>
          <c:extLst>
            <c:ext xmlns:c15="http://schemas.microsoft.com/office/drawing/2012/chart" uri="{CE6537A1-D6FC-4f65-9D91-7224C49458BB}"/>
          </c:extLst>
        </c:dLbl>
      </c:pivotFmt>
      <c:pivotFmt>
        <c:idx val="61"/>
        <c:dLbl>
          <c:idx val="0"/>
          <c:delete val="1"/>
          <c:extLst>
            <c:ext xmlns:c15="http://schemas.microsoft.com/office/drawing/2012/chart" uri="{CE6537A1-D6FC-4f65-9D91-7224C49458BB}"/>
          </c:extLst>
        </c:dLbl>
      </c:pivotFmt>
      <c:pivotFmt>
        <c:idx val="62"/>
        <c:dLbl>
          <c:idx val="0"/>
          <c:delete val="1"/>
          <c:extLst>
            <c:ext xmlns:c15="http://schemas.microsoft.com/office/drawing/2012/chart" uri="{CE6537A1-D6FC-4f65-9D91-7224C49458BB}"/>
          </c:extLst>
        </c:dLbl>
      </c:pivotFmt>
      <c:pivotFmt>
        <c:idx val="63"/>
        <c:dLbl>
          <c:idx val="0"/>
          <c:delete val="1"/>
          <c:extLst>
            <c:ext xmlns:c15="http://schemas.microsoft.com/office/drawing/2012/chart" uri="{CE6537A1-D6FC-4f65-9D91-7224C49458BB}"/>
          </c:extLst>
        </c:dLbl>
      </c:pivotFmt>
      <c:pivotFmt>
        <c:idx val="64"/>
        <c:dLbl>
          <c:idx val="0"/>
          <c:delete val="1"/>
          <c:extLst>
            <c:ext xmlns:c15="http://schemas.microsoft.com/office/drawing/2012/chart" uri="{CE6537A1-D6FC-4f65-9D91-7224C49458BB}"/>
          </c:extLst>
        </c:dLbl>
      </c:pivotFmt>
      <c:pivotFmt>
        <c:idx val="65"/>
        <c:dLbl>
          <c:idx val="0"/>
          <c:delete val="1"/>
          <c:extLst>
            <c:ext xmlns:c15="http://schemas.microsoft.com/office/drawing/2012/chart" uri="{CE6537A1-D6FC-4f65-9D91-7224C49458BB}"/>
          </c:extLst>
        </c:dLbl>
      </c:pivotFmt>
      <c:pivotFmt>
        <c:idx val="66"/>
        <c:dLbl>
          <c:idx val="0"/>
          <c:delete val="1"/>
          <c:extLst>
            <c:ext xmlns:c15="http://schemas.microsoft.com/office/drawing/2012/chart" uri="{CE6537A1-D6FC-4f65-9D91-7224C49458BB}"/>
          </c:extLst>
        </c:dLbl>
      </c:pivotFmt>
      <c:pivotFmt>
        <c:idx val="67"/>
        <c:dLbl>
          <c:idx val="0"/>
          <c:delete val="1"/>
          <c:extLst>
            <c:ext xmlns:c15="http://schemas.microsoft.com/office/drawing/2012/chart" uri="{CE6537A1-D6FC-4f65-9D91-7224C49458BB}"/>
          </c:extLst>
        </c:dLbl>
      </c:pivotFmt>
      <c:pivotFmt>
        <c:idx val="68"/>
        <c:dLbl>
          <c:idx val="0"/>
          <c:delete val="1"/>
          <c:extLst>
            <c:ext xmlns:c15="http://schemas.microsoft.com/office/drawing/2012/chart" uri="{CE6537A1-D6FC-4f65-9D91-7224C49458BB}"/>
          </c:extLst>
        </c:dLbl>
      </c:pivotFmt>
      <c:pivotFmt>
        <c:idx val="69"/>
        <c:dLbl>
          <c:idx val="0"/>
          <c:delete val="1"/>
          <c:extLst>
            <c:ext xmlns:c15="http://schemas.microsoft.com/office/drawing/2012/chart" uri="{CE6537A1-D6FC-4f65-9D91-7224C49458BB}"/>
          </c:extLst>
        </c:dLbl>
      </c:pivotFmt>
      <c:pivotFmt>
        <c:idx val="70"/>
        <c:dLbl>
          <c:idx val="0"/>
          <c:delete val="1"/>
          <c:extLst>
            <c:ext xmlns:c15="http://schemas.microsoft.com/office/drawing/2012/chart" uri="{CE6537A1-D6FC-4f65-9D91-7224C49458BB}"/>
          </c:extLst>
        </c:dLbl>
      </c:pivotFmt>
      <c:pivotFmt>
        <c:idx val="71"/>
        <c:dLbl>
          <c:idx val="0"/>
          <c:delete val="1"/>
          <c:extLst>
            <c:ext xmlns:c15="http://schemas.microsoft.com/office/drawing/2012/chart" uri="{CE6537A1-D6FC-4f65-9D91-7224C49458BB}"/>
          </c:extLst>
        </c:dLbl>
      </c:pivotFmt>
      <c:pivotFmt>
        <c:idx val="72"/>
        <c:dLbl>
          <c:idx val="0"/>
          <c:delete val="1"/>
          <c:extLst>
            <c:ext xmlns:c15="http://schemas.microsoft.com/office/drawing/2012/chart" uri="{CE6537A1-D6FC-4f65-9D91-7224C49458BB}"/>
          </c:extLst>
        </c:dLbl>
      </c:pivotFmt>
      <c:pivotFmt>
        <c:idx val="73"/>
        <c:dLbl>
          <c:idx val="0"/>
          <c:layout>
            <c:manualLayout>
              <c:x val="0.11907919235107058"/>
              <c:y val="-8.1168727414961377E-3"/>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74"/>
      </c:pivotFmt>
      <c:pivotFmt>
        <c:idx val="75"/>
      </c:pivotFmt>
      <c:pivotFmt>
        <c:idx val="76"/>
      </c:pivotFmt>
      <c:pivotFmt>
        <c:idx val="77"/>
      </c:pivotFmt>
      <c:pivotFmt>
        <c:idx val="78"/>
      </c:pivotFmt>
      <c:pivotFmt>
        <c:idx val="79"/>
      </c:pivotFmt>
      <c:pivotFmt>
        <c:idx val="80"/>
      </c:pivotFmt>
      <c:pivotFmt>
        <c:idx val="81"/>
      </c:pivotFmt>
      <c:pivotFmt>
        <c:idx val="82"/>
      </c:pivotFmt>
      <c:pivotFmt>
        <c:idx val="83"/>
      </c:pivotFmt>
      <c:pivotFmt>
        <c:idx val="84"/>
      </c:pivotFmt>
      <c:pivotFmt>
        <c:idx val="85"/>
      </c:pivotFmt>
      <c:pivotFmt>
        <c:idx val="86"/>
        <c:dLbl>
          <c:idx val="0"/>
          <c:delete val="1"/>
          <c:extLst>
            <c:ext xmlns:c15="http://schemas.microsoft.com/office/drawing/2012/chart" uri="{CE6537A1-D6FC-4f65-9D91-7224C49458BB}"/>
          </c:extLst>
        </c:dLbl>
      </c:pivotFmt>
      <c:pivotFmt>
        <c:idx val="87"/>
        <c:dLbl>
          <c:idx val="0"/>
          <c:delete val="1"/>
          <c:extLst>
            <c:ext xmlns:c15="http://schemas.microsoft.com/office/drawing/2012/chart" uri="{CE6537A1-D6FC-4f65-9D91-7224C49458BB}"/>
          </c:extLst>
        </c:dLbl>
      </c:pivotFmt>
      <c:pivotFmt>
        <c:idx val="8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8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9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0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01"/>
        <c:spPr>
          <a:solidFill>
            <a:schemeClr val="accent1"/>
          </a:solidFill>
          <a:ln>
            <a:noFill/>
          </a:ln>
          <a:effectLst>
            <a:outerShdw blurRad="254000" sx="102000" sy="102000" algn="ctr" rotWithShape="0">
              <a:prstClr val="black">
                <a:alpha val="20000"/>
              </a:prstClr>
            </a:outerShdw>
          </a:effectLst>
          <a:sp3d/>
        </c:spPr>
      </c:pivotFmt>
      <c:pivotFmt>
        <c:idx val="102"/>
        <c:spPr>
          <a:solidFill>
            <a:schemeClr val="accent1"/>
          </a:solidFill>
          <a:ln>
            <a:noFill/>
          </a:ln>
          <a:effectLst>
            <a:outerShdw blurRad="254000" sx="102000" sy="102000" algn="ctr" rotWithShape="0">
              <a:prstClr val="black">
                <a:alpha val="20000"/>
              </a:prstClr>
            </a:outerShdw>
          </a:effectLst>
          <a:sp3d/>
        </c:spPr>
      </c:pivotFmt>
      <c:pivotFmt>
        <c:idx val="103"/>
        <c:spPr>
          <a:solidFill>
            <a:schemeClr val="accent1"/>
          </a:solidFill>
          <a:ln>
            <a:noFill/>
          </a:ln>
          <a:effectLst>
            <a:outerShdw blurRad="254000" sx="102000" sy="102000" algn="ctr" rotWithShape="0">
              <a:prstClr val="black">
                <a:alpha val="20000"/>
              </a:prstClr>
            </a:outerShdw>
          </a:effectLst>
          <a:sp3d/>
        </c:spPr>
      </c:pivotFmt>
      <c:pivotFmt>
        <c:idx val="104"/>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05"/>
        <c:spPr>
          <a:solidFill>
            <a:schemeClr val="accent1"/>
          </a:solidFill>
          <a:ln>
            <a:noFill/>
          </a:ln>
          <a:effectLst>
            <a:outerShdw blurRad="254000" sx="102000" sy="102000" algn="ctr" rotWithShape="0">
              <a:prstClr val="black">
                <a:alpha val="20000"/>
              </a:prstClr>
            </a:outerShdw>
          </a:effectLst>
          <a:sp3d/>
        </c:spPr>
      </c:pivotFmt>
      <c:pivotFmt>
        <c:idx val="106"/>
        <c:spPr>
          <a:solidFill>
            <a:schemeClr val="accent1"/>
          </a:solidFill>
          <a:ln>
            <a:noFill/>
          </a:ln>
          <a:effectLst>
            <a:outerShdw blurRad="254000" sx="102000" sy="102000" algn="ctr" rotWithShape="0">
              <a:prstClr val="black">
                <a:alpha val="20000"/>
              </a:prstClr>
            </a:outerShdw>
          </a:effectLst>
          <a:sp3d/>
        </c:spPr>
      </c:pivotFmt>
      <c:pivotFmt>
        <c:idx val="107"/>
        <c:spPr>
          <a:solidFill>
            <a:schemeClr val="accent1"/>
          </a:solidFill>
          <a:ln>
            <a:noFill/>
          </a:ln>
          <a:effectLst>
            <a:outerShdw blurRad="254000" sx="102000" sy="102000" algn="ctr" rotWithShape="0">
              <a:prstClr val="black">
                <a:alpha val="20000"/>
              </a:prstClr>
            </a:outerShdw>
          </a:effectLst>
          <a:sp3d/>
        </c:spPr>
      </c:pivotFmt>
      <c:pivotFmt>
        <c:idx val="108"/>
        <c:spPr>
          <a:solidFill>
            <a:schemeClr val="accent1"/>
          </a:solidFill>
          <a:ln>
            <a:noFill/>
          </a:ln>
          <a:effectLst>
            <a:outerShdw blurRad="254000" sx="102000" sy="102000" algn="ctr" rotWithShape="0">
              <a:prstClr val="black">
                <a:alpha val="20000"/>
              </a:prstClr>
            </a:outerShdw>
          </a:effectLst>
          <a:sp3d/>
        </c:spPr>
      </c:pivotFmt>
      <c:pivotFmt>
        <c:idx val="109"/>
        <c:spPr>
          <a:solidFill>
            <a:schemeClr val="accent1"/>
          </a:solidFill>
          <a:ln>
            <a:noFill/>
          </a:ln>
          <a:effectLst>
            <a:outerShdw blurRad="254000" sx="102000" sy="102000" algn="ctr" rotWithShape="0">
              <a:prstClr val="black">
                <a:alpha val="20000"/>
              </a:prstClr>
            </a:outerShdw>
          </a:effectLst>
          <a:sp3d/>
        </c:spPr>
      </c:pivotFmt>
      <c:pivotFmt>
        <c:idx val="110"/>
        <c:spPr>
          <a:solidFill>
            <a:schemeClr val="accent1"/>
          </a:solidFill>
          <a:ln>
            <a:noFill/>
          </a:ln>
          <a:effectLst>
            <a:outerShdw blurRad="254000" sx="102000" sy="102000" algn="ctr" rotWithShape="0">
              <a:prstClr val="black">
                <a:alpha val="20000"/>
              </a:prstClr>
            </a:outerShdw>
          </a:effectLst>
          <a:sp3d/>
        </c:spPr>
      </c:pivotFmt>
      <c:pivotFmt>
        <c:idx val="111"/>
        <c:spPr>
          <a:solidFill>
            <a:schemeClr val="accent1"/>
          </a:solidFill>
          <a:ln>
            <a:noFill/>
          </a:ln>
          <a:effectLst>
            <a:outerShdw blurRad="254000" sx="102000" sy="102000" algn="ctr" rotWithShape="0">
              <a:prstClr val="black">
                <a:alpha val="20000"/>
              </a:prstClr>
            </a:outerShdw>
          </a:effectLst>
          <a:sp3d/>
        </c:spPr>
      </c:pivotFmt>
      <c:pivotFmt>
        <c:idx val="11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1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1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1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1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1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1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1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2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2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2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2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2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25"/>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26"/>
        <c:spPr>
          <a:solidFill>
            <a:schemeClr val="accent1"/>
          </a:solidFill>
          <a:ln>
            <a:noFill/>
          </a:ln>
          <a:effectLst>
            <a:outerShdw blurRad="254000" sx="102000" sy="102000" algn="ctr" rotWithShape="0">
              <a:prstClr val="black">
                <a:alpha val="20000"/>
              </a:prstClr>
            </a:outerShdw>
          </a:effectLst>
          <a:sp3d/>
        </c:spPr>
      </c:pivotFmt>
      <c:pivotFmt>
        <c:idx val="127"/>
        <c:spPr>
          <a:solidFill>
            <a:schemeClr val="accent1"/>
          </a:solidFill>
          <a:ln>
            <a:noFill/>
          </a:ln>
          <a:effectLst>
            <a:outerShdw blurRad="254000" sx="102000" sy="102000" algn="ctr" rotWithShape="0">
              <a:prstClr val="black">
                <a:alpha val="20000"/>
              </a:prstClr>
            </a:outerShdw>
          </a:effectLst>
          <a:sp3d/>
        </c:spPr>
      </c:pivotFmt>
      <c:pivotFmt>
        <c:idx val="128"/>
        <c:spPr>
          <a:solidFill>
            <a:schemeClr val="accent1"/>
          </a:solidFill>
          <a:ln>
            <a:noFill/>
          </a:ln>
          <a:effectLst>
            <a:outerShdw blurRad="254000" sx="102000" sy="102000" algn="ctr" rotWithShape="0">
              <a:prstClr val="black">
                <a:alpha val="20000"/>
              </a:prstClr>
            </a:outerShdw>
          </a:effectLst>
          <a:sp3d/>
        </c:spPr>
      </c:pivotFmt>
      <c:pivotFmt>
        <c:idx val="129"/>
        <c:spPr>
          <a:solidFill>
            <a:schemeClr val="accent1"/>
          </a:solidFill>
          <a:ln>
            <a:noFill/>
          </a:ln>
          <a:effectLst>
            <a:outerShdw blurRad="254000" sx="102000" sy="102000" algn="ctr" rotWithShape="0">
              <a:prstClr val="black">
                <a:alpha val="20000"/>
              </a:prstClr>
            </a:outerShdw>
          </a:effectLst>
          <a:sp3d/>
        </c:spPr>
      </c:pivotFmt>
      <c:pivotFmt>
        <c:idx val="130"/>
        <c:spPr>
          <a:solidFill>
            <a:schemeClr val="accent1"/>
          </a:solidFill>
          <a:ln>
            <a:noFill/>
          </a:ln>
          <a:effectLst>
            <a:outerShdw blurRad="254000" sx="102000" sy="102000" algn="ctr" rotWithShape="0">
              <a:prstClr val="black">
                <a:alpha val="20000"/>
              </a:prstClr>
            </a:outerShdw>
          </a:effectLst>
          <a:sp3d/>
        </c:spPr>
      </c:pivotFmt>
      <c:pivotFmt>
        <c:idx val="131"/>
        <c:spPr>
          <a:solidFill>
            <a:schemeClr val="accent1"/>
          </a:solidFill>
          <a:ln>
            <a:noFill/>
          </a:ln>
          <a:effectLst>
            <a:outerShdw blurRad="254000" sx="102000" sy="102000" algn="ctr" rotWithShape="0">
              <a:prstClr val="black">
                <a:alpha val="20000"/>
              </a:prstClr>
            </a:outerShdw>
          </a:effectLst>
          <a:sp3d/>
        </c:spPr>
      </c:pivotFmt>
      <c:pivotFmt>
        <c:idx val="132"/>
        <c:spPr>
          <a:solidFill>
            <a:schemeClr val="accent1"/>
          </a:solidFill>
          <a:ln>
            <a:noFill/>
          </a:ln>
          <a:effectLst>
            <a:outerShdw blurRad="254000" sx="102000" sy="102000" algn="ctr" rotWithShape="0">
              <a:prstClr val="black">
                <a:alpha val="20000"/>
              </a:prstClr>
            </a:outerShdw>
          </a:effectLst>
          <a:sp3d/>
        </c:spPr>
      </c:pivotFmt>
      <c:pivotFmt>
        <c:idx val="13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3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3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3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3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3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3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4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4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4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4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4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4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779088549130177"/>
          <c:w val="1"/>
          <c:h val="0.39563205751002417"/>
        </c:manualLayout>
      </c:layout>
      <c:pie3DChart>
        <c:varyColors val="1"/>
        <c:ser>
          <c:idx val="0"/>
          <c:order val="0"/>
          <c:tx>
            <c:strRef>
              <c:f>Ակտիվներ!$B$3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996-4D49-9416-7C6AFB4667A7}"/>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996-4D49-9416-7C6AFB4667A7}"/>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996-4D49-9416-7C6AFB4667A7}"/>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996-4D49-9416-7C6AFB4667A7}"/>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996-4D49-9416-7C6AFB4667A7}"/>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996-4D49-9416-7C6AFB4667A7}"/>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996-4D49-9416-7C6AFB4667A7}"/>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6996-4D49-9416-7C6AFB4667A7}"/>
              </c:ext>
            </c:extLst>
          </c:dPt>
          <c:dPt>
            <c:idx val="8"/>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996-4D49-9416-7C6AFB4667A7}"/>
              </c:ext>
            </c:extLst>
          </c:dPt>
          <c:dPt>
            <c:idx val="9"/>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6996-4D49-9416-7C6AFB4667A7}"/>
              </c:ext>
            </c:extLst>
          </c:dPt>
          <c:dPt>
            <c:idx val="1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6996-4D49-9416-7C6AFB4667A7}"/>
              </c:ext>
            </c:extLst>
          </c:dPt>
          <c:dPt>
            <c:idx val="11"/>
            <c:bubble3D val="0"/>
            <c:spPr>
              <a:solidFill>
                <a:schemeClr val="accent5">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6996-4D49-9416-7C6AFB4667A7}"/>
              </c:ext>
            </c:extLst>
          </c:dPt>
          <c:dPt>
            <c:idx val="12"/>
            <c:bubble3D val="0"/>
            <c:spPr>
              <a:solidFill>
                <a:schemeClr val="accent1">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6996-4D49-9416-7C6AFB4667A7}"/>
              </c:ext>
            </c:extLst>
          </c:dPt>
          <c:dPt>
            <c:idx val="13"/>
            <c:bubble3D val="0"/>
            <c:spPr>
              <a:solidFill>
                <a:schemeClr val="accent3">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6996-4D49-9416-7C6AFB4667A7}"/>
              </c:ext>
            </c:extLst>
          </c:dPt>
          <c:dPt>
            <c:idx val="14"/>
            <c:bubble3D val="0"/>
            <c:spPr>
              <a:solidFill>
                <a:schemeClr val="accent5">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6996-4D49-9416-7C6AFB4667A7}"/>
              </c:ext>
            </c:extLst>
          </c:dPt>
          <c:dPt>
            <c:idx val="15"/>
            <c:bubble3D val="0"/>
            <c:spPr>
              <a:solidFill>
                <a:schemeClr val="accent1">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6996-4D49-9416-7C6AFB4667A7}"/>
              </c:ext>
            </c:extLst>
          </c:dPt>
          <c:dPt>
            <c:idx val="16"/>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6996-4D49-9416-7C6AFB4667A7}"/>
              </c:ext>
            </c:extLst>
          </c:dPt>
          <c:dPt>
            <c:idx val="17"/>
            <c:bubble3D val="0"/>
            <c:spPr>
              <a:solidFill>
                <a:schemeClr val="accent5">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6996-4D49-9416-7C6AFB4667A7}"/>
              </c:ext>
            </c:extLst>
          </c:dPt>
          <c:dPt>
            <c:idx val="18"/>
            <c:bubble3D val="0"/>
            <c:spPr>
              <a:solidFill>
                <a:schemeClr val="accent1">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6996-4D49-9416-7C6AFB4667A7}"/>
              </c:ext>
            </c:extLst>
          </c:dPt>
          <c:dPt>
            <c:idx val="19"/>
            <c:bubble3D val="0"/>
            <c:spPr>
              <a:solidFill>
                <a:schemeClr val="accent3">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6996-4D49-9416-7C6AFB4667A7}"/>
              </c:ext>
            </c:extLst>
          </c:dPt>
          <c:dLbls>
            <c:dLbl>
              <c:idx val="7"/>
              <c:delete val="1"/>
              <c:extLst>
                <c:ext xmlns:c15="http://schemas.microsoft.com/office/drawing/2012/chart" uri="{CE6537A1-D6FC-4f65-9D91-7224C49458BB}"/>
                <c:ext xmlns:c16="http://schemas.microsoft.com/office/drawing/2014/chart" uri="{C3380CC4-5D6E-409C-BE32-E72D297353CC}">
                  <c16:uniqueId val="{0000000F-6996-4D49-9416-7C6AFB4667A7}"/>
                </c:ext>
              </c:extLst>
            </c:dLbl>
            <c:dLbl>
              <c:idx val="8"/>
              <c:delete val="1"/>
              <c:extLst>
                <c:ext xmlns:c15="http://schemas.microsoft.com/office/drawing/2012/chart" uri="{CE6537A1-D6FC-4f65-9D91-7224C49458BB}"/>
                <c:ext xmlns:c16="http://schemas.microsoft.com/office/drawing/2014/chart" uri="{C3380CC4-5D6E-409C-BE32-E72D297353CC}">
                  <c16:uniqueId val="{00000011-6996-4D49-9416-7C6AFB4667A7}"/>
                </c:ext>
              </c:extLst>
            </c:dLbl>
            <c:dLbl>
              <c:idx val="9"/>
              <c:delete val="1"/>
              <c:extLst>
                <c:ext xmlns:c15="http://schemas.microsoft.com/office/drawing/2012/chart" uri="{CE6537A1-D6FC-4f65-9D91-7224C49458BB}"/>
                <c:ext xmlns:c16="http://schemas.microsoft.com/office/drawing/2014/chart" uri="{C3380CC4-5D6E-409C-BE32-E72D297353CC}">
                  <c16:uniqueId val="{00000013-6996-4D49-9416-7C6AFB4667A7}"/>
                </c:ext>
              </c:extLst>
            </c:dLbl>
            <c:dLbl>
              <c:idx val="10"/>
              <c:delete val="1"/>
              <c:extLst>
                <c:ext xmlns:c15="http://schemas.microsoft.com/office/drawing/2012/chart" uri="{CE6537A1-D6FC-4f65-9D91-7224C49458BB}"/>
                <c:ext xmlns:c16="http://schemas.microsoft.com/office/drawing/2014/chart" uri="{C3380CC4-5D6E-409C-BE32-E72D297353CC}">
                  <c16:uniqueId val="{00000015-6996-4D49-9416-7C6AFB4667A7}"/>
                </c:ext>
              </c:extLst>
            </c:dLbl>
            <c:dLbl>
              <c:idx val="11"/>
              <c:delete val="1"/>
              <c:extLst>
                <c:ext xmlns:c15="http://schemas.microsoft.com/office/drawing/2012/chart" uri="{CE6537A1-D6FC-4f65-9D91-7224C49458BB}"/>
                <c:ext xmlns:c16="http://schemas.microsoft.com/office/drawing/2014/chart" uri="{C3380CC4-5D6E-409C-BE32-E72D297353CC}">
                  <c16:uniqueId val="{00000017-6996-4D49-9416-7C6AFB4667A7}"/>
                </c:ext>
              </c:extLst>
            </c:dLbl>
            <c:dLbl>
              <c:idx val="12"/>
              <c:delete val="1"/>
              <c:extLst>
                <c:ext xmlns:c15="http://schemas.microsoft.com/office/drawing/2012/chart" uri="{CE6537A1-D6FC-4f65-9D91-7224C49458BB}"/>
                <c:ext xmlns:c16="http://schemas.microsoft.com/office/drawing/2014/chart" uri="{C3380CC4-5D6E-409C-BE32-E72D297353CC}">
                  <c16:uniqueId val="{00000019-6996-4D49-9416-7C6AFB4667A7}"/>
                </c:ext>
              </c:extLst>
            </c:dLbl>
            <c:dLbl>
              <c:idx val="13"/>
              <c:delete val="1"/>
              <c:extLst>
                <c:ext xmlns:c15="http://schemas.microsoft.com/office/drawing/2012/chart" uri="{CE6537A1-D6FC-4f65-9D91-7224C49458BB}"/>
                <c:ext xmlns:c16="http://schemas.microsoft.com/office/drawing/2014/chart" uri="{C3380CC4-5D6E-409C-BE32-E72D297353CC}">
                  <c16:uniqueId val="{0000001B-6996-4D49-9416-7C6AFB4667A7}"/>
                </c:ext>
              </c:extLst>
            </c:dLbl>
            <c:dLbl>
              <c:idx val="14"/>
              <c:delete val="1"/>
              <c:extLst>
                <c:ext xmlns:c15="http://schemas.microsoft.com/office/drawing/2012/chart" uri="{CE6537A1-D6FC-4f65-9D91-7224C49458BB}"/>
                <c:ext xmlns:c16="http://schemas.microsoft.com/office/drawing/2014/chart" uri="{C3380CC4-5D6E-409C-BE32-E72D297353CC}">
                  <c16:uniqueId val="{0000001D-6996-4D49-9416-7C6AFB4667A7}"/>
                </c:ext>
              </c:extLst>
            </c:dLbl>
            <c:dLbl>
              <c:idx val="15"/>
              <c:delete val="1"/>
              <c:extLst>
                <c:ext xmlns:c15="http://schemas.microsoft.com/office/drawing/2012/chart" uri="{CE6537A1-D6FC-4f65-9D91-7224C49458BB}"/>
                <c:ext xmlns:c16="http://schemas.microsoft.com/office/drawing/2014/chart" uri="{C3380CC4-5D6E-409C-BE32-E72D297353CC}">
                  <c16:uniqueId val="{0000001F-6996-4D49-9416-7C6AFB4667A7}"/>
                </c:ext>
              </c:extLst>
            </c:dLbl>
            <c:dLbl>
              <c:idx val="16"/>
              <c:delete val="1"/>
              <c:extLst>
                <c:ext xmlns:c15="http://schemas.microsoft.com/office/drawing/2012/chart" uri="{CE6537A1-D6FC-4f65-9D91-7224C49458BB}"/>
                <c:ext xmlns:c16="http://schemas.microsoft.com/office/drawing/2014/chart" uri="{C3380CC4-5D6E-409C-BE32-E72D297353CC}">
                  <c16:uniqueId val="{00000021-6996-4D49-9416-7C6AFB4667A7}"/>
                </c:ext>
              </c:extLst>
            </c:dLbl>
            <c:dLbl>
              <c:idx val="17"/>
              <c:delete val="1"/>
              <c:extLst>
                <c:ext xmlns:c15="http://schemas.microsoft.com/office/drawing/2012/chart" uri="{CE6537A1-D6FC-4f65-9D91-7224C49458BB}"/>
                <c:ext xmlns:c16="http://schemas.microsoft.com/office/drawing/2014/chart" uri="{C3380CC4-5D6E-409C-BE32-E72D297353CC}">
                  <c16:uniqueId val="{00000023-6996-4D49-9416-7C6AFB4667A7}"/>
                </c:ext>
              </c:extLst>
            </c:dLbl>
            <c:dLbl>
              <c:idx val="18"/>
              <c:delete val="1"/>
              <c:extLst>
                <c:ext xmlns:c15="http://schemas.microsoft.com/office/drawing/2012/chart" uri="{CE6537A1-D6FC-4f65-9D91-7224C49458BB}"/>
                <c:ext xmlns:c16="http://schemas.microsoft.com/office/drawing/2014/chart" uri="{C3380CC4-5D6E-409C-BE32-E72D297353CC}">
                  <c16:uniqueId val="{00000025-6996-4D49-9416-7C6AFB4667A7}"/>
                </c:ext>
              </c:extLst>
            </c:dLbl>
            <c:dLbl>
              <c:idx val="19"/>
              <c:delete val="1"/>
              <c:extLst>
                <c:ext xmlns:c15="http://schemas.microsoft.com/office/drawing/2012/chart" uri="{CE6537A1-D6FC-4f65-9D91-7224C49458BB}"/>
                <c:ext xmlns:c16="http://schemas.microsoft.com/office/drawing/2014/chart" uri="{C3380CC4-5D6E-409C-BE32-E72D297353CC}">
                  <c16:uniqueId val="{00000027-6996-4D49-9416-7C6AFB4667A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Ակտիվներ!$A$4:$A$24</c:f>
              <c:strCache>
                <c:ptCount val="20"/>
                <c:pt idx="0">
                  <c:v>էներգետիկա</c:v>
                </c:pt>
                <c:pt idx="1">
                  <c:v>Առողջապահություն</c:v>
                </c:pt>
                <c:pt idx="2">
                  <c:v>ջրային տնտեսություն</c:v>
                </c:pt>
                <c:pt idx="3">
                  <c:v>Այլ</c:v>
                </c:pt>
                <c:pt idx="4">
                  <c:v>հեռուստառադիո-հեռարձակում, կապ</c:v>
                </c:pt>
                <c:pt idx="5">
                  <c:v>Տրասնպորտ</c:v>
                </c:pt>
                <c:pt idx="6">
                  <c:v>Արդյունաբերություն</c:v>
                </c:pt>
                <c:pt idx="7">
                  <c:v>Շինարարություն</c:v>
                </c:pt>
                <c:pt idx="8">
                  <c:v>Ապահովագրություն</c:v>
                </c:pt>
                <c:pt idx="9">
                  <c:v>Կրթություն</c:v>
                </c:pt>
                <c:pt idx="10">
                  <c:v>գիտություն</c:v>
                </c:pt>
                <c:pt idx="11">
                  <c:v>կոմունալ</c:v>
                </c:pt>
                <c:pt idx="12">
                  <c:v>Մշակույթ</c:v>
                </c:pt>
                <c:pt idx="13">
                  <c:v>ավտոկայանատեղի կազմակերպում</c:v>
                </c:pt>
                <c:pt idx="14">
                  <c:v>Գյուղատնտեսություն</c:v>
                </c:pt>
                <c:pt idx="15">
                  <c:v>Սպորտային և մարզական միջոցառումների կազմակերպում  </c:v>
                </c:pt>
                <c:pt idx="16">
                  <c:v>բարեկարգում</c:v>
                </c:pt>
                <c:pt idx="17">
                  <c:v>Սեփական կամ վարձակալված անշարժ գույքի հանձնում վարձակալության </c:v>
                </c:pt>
                <c:pt idx="18">
                  <c:v>լրատվական գործակալություն</c:v>
                </c:pt>
                <c:pt idx="19">
                  <c:v>Հրատարակչական, տեղեկատվական ծառայություններ</c:v>
                </c:pt>
              </c:strCache>
            </c:strRef>
          </c:cat>
          <c:val>
            <c:numRef>
              <c:f>Ակտիվներ!$B$4:$B$24</c:f>
              <c:numCache>
                <c:formatCode>_(* #,##0_);_(* \(#,##0\);_(* "-"??_);_(@_)</c:formatCode>
                <c:ptCount val="20"/>
                <c:pt idx="0">
                  <c:v>465344218.10000002</c:v>
                </c:pt>
                <c:pt idx="1">
                  <c:v>103170311.10564999</c:v>
                </c:pt>
                <c:pt idx="2">
                  <c:v>61066496.700000003</c:v>
                </c:pt>
                <c:pt idx="3">
                  <c:v>44516599.700000003</c:v>
                </c:pt>
                <c:pt idx="4">
                  <c:v>20986939</c:v>
                </c:pt>
                <c:pt idx="5">
                  <c:v>18992425.899999999</c:v>
                </c:pt>
                <c:pt idx="6">
                  <c:v>12584869.199999999</c:v>
                </c:pt>
                <c:pt idx="7">
                  <c:v>11247095.1</c:v>
                </c:pt>
                <c:pt idx="8">
                  <c:v>3556871</c:v>
                </c:pt>
                <c:pt idx="9">
                  <c:v>2588461.7690900001</c:v>
                </c:pt>
                <c:pt idx="10">
                  <c:v>2326419</c:v>
                </c:pt>
                <c:pt idx="11">
                  <c:v>1838035.5</c:v>
                </c:pt>
                <c:pt idx="12">
                  <c:v>1601617.6</c:v>
                </c:pt>
                <c:pt idx="13">
                  <c:v>932611.9</c:v>
                </c:pt>
                <c:pt idx="14">
                  <c:v>690517</c:v>
                </c:pt>
                <c:pt idx="15">
                  <c:v>463759.2</c:v>
                </c:pt>
                <c:pt idx="16">
                  <c:v>368396.3</c:v>
                </c:pt>
                <c:pt idx="17">
                  <c:v>75281.7</c:v>
                </c:pt>
                <c:pt idx="18">
                  <c:v>75003</c:v>
                </c:pt>
                <c:pt idx="19">
                  <c:v>66733.399999999994</c:v>
                </c:pt>
              </c:numCache>
            </c:numRef>
          </c:val>
          <c:extLst>
            <c:ext xmlns:c16="http://schemas.microsoft.com/office/drawing/2014/chart" uri="{C3380CC4-5D6E-409C-BE32-E72D297353CC}">
              <c16:uniqueId val="{00000064-6996-4D49-9416-7C6AFB4667A7}"/>
            </c:ext>
          </c:extLst>
        </c:ser>
        <c:dLbls>
          <c:dLblPos val="ctr"/>
          <c:showLegendKey val="0"/>
          <c:showVal val="0"/>
          <c:showCatName val="0"/>
          <c:showSerName val="0"/>
          <c:showPercent val="1"/>
          <c:showBubbleSize val="0"/>
          <c:showLeaderLines val="0"/>
        </c:dLbls>
      </c:pie3DChart>
      <c:spPr>
        <a:noFill/>
        <a:ln>
          <a:noFill/>
        </a:ln>
        <a:effectLst/>
      </c:spPr>
    </c:plotArea>
    <c:legend>
      <c:legendPos val="b"/>
      <c:layout>
        <c:manualLayout>
          <c:xMode val="edge"/>
          <c:yMode val="edge"/>
          <c:x val="2.2419913856921731E-2"/>
          <c:y val="0.60183986574579507"/>
          <c:w val="0.95139642611759212"/>
          <c:h val="0.394781281165642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[SOE Database 2020.xlsx]Equity!PivotTable1</c:name>
    <c:fmtId val="-1"/>
  </c:pivotSource>
  <c:chart>
    <c:autoTitleDeleted val="1"/>
    <c:pivotFmts>
      <c:pivotFmt>
        <c:idx val="0"/>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1"/>
        <c:dLbl>
          <c:idx val="0"/>
          <c:delete val="1"/>
          <c:extLst>
            <c:ext xmlns:c15="http://schemas.microsoft.com/office/drawing/2012/chart" uri="{CE6537A1-D6FC-4f65-9D91-7224C49458BB}"/>
          </c:extLst>
        </c:dLbl>
      </c:pivotFmt>
      <c:pivotFmt>
        <c:idx val="2"/>
        <c:dLbl>
          <c:idx val="0"/>
          <c:delete val="1"/>
          <c:extLst>
            <c:ext xmlns:c15="http://schemas.microsoft.com/office/drawing/2012/chart" uri="{CE6537A1-D6FC-4f65-9D91-7224C49458BB}"/>
          </c:extLst>
        </c:dLbl>
      </c:pivotFmt>
      <c:pivotFmt>
        <c:idx val="3"/>
        <c:dLbl>
          <c:idx val="0"/>
          <c:delete val="1"/>
          <c:extLst>
            <c:ext xmlns:c15="http://schemas.microsoft.com/office/drawing/2012/chart" uri="{CE6537A1-D6FC-4f65-9D91-7224C49458BB}"/>
          </c:extLst>
        </c:dLbl>
      </c:pivotFmt>
      <c:pivotFmt>
        <c:idx val="4"/>
        <c:dLbl>
          <c:idx val="0"/>
          <c:delete val="1"/>
          <c:extLst>
            <c:ext xmlns:c15="http://schemas.microsoft.com/office/drawing/2012/chart" uri="{CE6537A1-D6FC-4f65-9D91-7224C49458BB}"/>
          </c:extLst>
        </c:dLbl>
      </c:pivotFmt>
      <c:pivotFmt>
        <c:idx val="5"/>
        <c:dLbl>
          <c:idx val="0"/>
          <c:delete val="1"/>
          <c:extLst>
            <c:ext xmlns:c15="http://schemas.microsoft.com/office/drawing/2012/chart" uri="{CE6537A1-D6FC-4f65-9D91-7224C49458BB}"/>
          </c:extLst>
        </c:dLbl>
      </c:pivotFmt>
      <c:pivotFmt>
        <c:idx val="6"/>
        <c:dLbl>
          <c:idx val="0"/>
          <c:delete val="1"/>
          <c:extLst>
            <c:ext xmlns:c15="http://schemas.microsoft.com/office/drawing/2012/chart" uri="{CE6537A1-D6FC-4f65-9D91-7224C49458BB}"/>
          </c:extLst>
        </c:dLbl>
      </c:pivotFmt>
      <c:pivotFmt>
        <c:idx val="7"/>
        <c:dLbl>
          <c:idx val="0"/>
          <c:delete val="1"/>
          <c:extLst>
            <c:ext xmlns:c15="http://schemas.microsoft.com/office/drawing/2012/chart" uri="{CE6537A1-D6FC-4f65-9D91-7224C49458BB}"/>
          </c:extLst>
        </c:dLbl>
      </c:pivotFmt>
      <c:pivotFmt>
        <c:idx val="8"/>
        <c:dLbl>
          <c:idx val="0"/>
          <c:delete val="1"/>
          <c:extLst>
            <c:ext xmlns:c15="http://schemas.microsoft.com/office/drawing/2012/chart" uri="{CE6537A1-D6FC-4f65-9D91-7224C49458BB}"/>
          </c:extLst>
        </c:dLbl>
      </c:pivotFmt>
      <c:pivotFmt>
        <c:idx val="9"/>
        <c:dLbl>
          <c:idx val="0"/>
          <c:delete val="1"/>
          <c:extLst>
            <c:ext xmlns:c15="http://schemas.microsoft.com/office/drawing/2012/chart" uri="{CE6537A1-D6FC-4f65-9D91-7224C49458BB}"/>
          </c:extLst>
        </c:dLbl>
      </c:pivotFmt>
      <c:pivotFmt>
        <c:idx val="10"/>
        <c:dLbl>
          <c:idx val="0"/>
          <c:delete val="1"/>
          <c:extLst>
            <c:ext xmlns:c15="http://schemas.microsoft.com/office/drawing/2012/chart" uri="{CE6537A1-D6FC-4f65-9D91-7224C49458BB}"/>
          </c:extLst>
        </c:dLbl>
      </c:pivotFmt>
      <c:pivotFmt>
        <c:idx val="11"/>
        <c:dLbl>
          <c:idx val="0"/>
          <c:delete val="1"/>
          <c:extLst>
            <c:ext xmlns:c15="http://schemas.microsoft.com/office/drawing/2012/chart" uri="{CE6537A1-D6FC-4f65-9D91-7224C49458BB}"/>
          </c:extLst>
        </c:dLbl>
      </c:pivotFmt>
      <c:pivotFmt>
        <c:idx val="12"/>
        <c:dLbl>
          <c:idx val="0"/>
          <c:delete val="1"/>
          <c:extLst>
            <c:ext xmlns:c15="http://schemas.microsoft.com/office/drawing/2012/chart" uri="{CE6537A1-D6FC-4f65-9D91-7224C49458BB}"/>
          </c:extLst>
        </c:dLbl>
      </c:pivotFmt>
      <c:pivotFmt>
        <c:idx val="13"/>
        <c:dLbl>
          <c:idx val="0"/>
          <c:delete val="1"/>
          <c:extLst>
            <c:ext xmlns:c15="http://schemas.microsoft.com/office/drawing/2012/chart" uri="{CE6537A1-D6FC-4f65-9D91-7224C49458BB}"/>
          </c:extLst>
        </c:dLbl>
      </c:pivotFmt>
      <c:pivotFmt>
        <c:idx val="14"/>
        <c:dLbl>
          <c:idx val="0"/>
          <c:delete val="1"/>
          <c:extLst>
            <c:ext xmlns:c15="http://schemas.microsoft.com/office/drawing/2012/chart" uri="{CE6537A1-D6FC-4f65-9D91-7224C49458BB}"/>
          </c:extLst>
        </c:dLbl>
      </c:pivotFmt>
      <c:pivotFmt>
        <c:idx val="15"/>
        <c:dLbl>
          <c:idx val="0"/>
          <c:delete val="1"/>
          <c:extLst>
            <c:ext xmlns:c15="http://schemas.microsoft.com/office/drawing/2012/chart" uri="{CE6537A1-D6FC-4f65-9D91-7224C49458BB}"/>
          </c:extLst>
        </c:dLbl>
      </c:pivotFmt>
      <c:pivotFmt>
        <c:idx val="16"/>
        <c:dLbl>
          <c:idx val="0"/>
          <c:delete val="1"/>
          <c:extLst>
            <c:ext xmlns:c15="http://schemas.microsoft.com/office/drawing/2012/chart" uri="{CE6537A1-D6FC-4f65-9D91-7224C49458BB}"/>
          </c:extLst>
        </c:dLbl>
      </c:pivotFmt>
      <c:pivotFmt>
        <c:idx val="17"/>
        <c:dLbl>
          <c:idx val="0"/>
          <c:delete val="1"/>
          <c:extLst>
            <c:ext xmlns:c15="http://schemas.microsoft.com/office/drawing/2012/chart" uri="{CE6537A1-D6FC-4f65-9D91-7224C49458BB}"/>
          </c:extLst>
        </c:dLbl>
      </c:pivotFmt>
      <c:pivotFmt>
        <c:idx val="18"/>
        <c:dLbl>
          <c:idx val="0"/>
          <c:delete val="1"/>
          <c:extLst>
            <c:ext xmlns:c15="http://schemas.microsoft.com/office/drawing/2012/chart" uri="{CE6537A1-D6FC-4f65-9D91-7224C49458BB}"/>
          </c:extLst>
        </c:dLbl>
      </c:pivotFmt>
      <c:pivotFmt>
        <c:idx val="19"/>
        <c:dLbl>
          <c:idx val="0"/>
          <c:delete val="1"/>
          <c:extLst>
            <c:ext xmlns:c15="http://schemas.microsoft.com/office/drawing/2012/chart" uri="{CE6537A1-D6FC-4f65-9D91-7224C49458BB}"/>
          </c:extLst>
        </c:dLbl>
      </c:pivotFmt>
      <c:pivotFmt>
        <c:idx val="20"/>
        <c:dLbl>
          <c:idx val="0"/>
          <c:delete val="1"/>
          <c:extLst>
            <c:ext xmlns:c15="http://schemas.microsoft.com/office/drawing/2012/chart" uri="{CE6537A1-D6FC-4f65-9D91-7224C49458BB}"/>
          </c:extLst>
        </c:dLbl>
      </c:pivotFmt>
      <c:pivotFmt>
        <c:idx val="21"/>
        <c:dLbl>
          <c:idx val="0"/>
          <c:delete val="1"/>
          <c:extLst>
            <c:ext xmlns:c15="http://schemas.microsoft.com/office/drawing/2012/chart" uri="{CE6537A1-D6FC-4f65-9D91-7224C49458BB}"/>
          </c:extLst>
        </c:dLbl>
      </c:pivotFmt>
      <c:pivotFmt>
        <c:idx val="22"/>
        <c:dLbl>
          <c:idx val="0"/>
          <c:delete val="1"/>
          <c:extLst>
            <c:ext xmlns:c15="http://schemas.microsoft.com/office/drawing/2012/chart" uri="{CE6537A1-D6FC-4f65-9D91-7224C49458BB}"/>
          </c:extLst>
        </c:dLbl>
      </c:pivotFmt>
      <c:pivotFmt>
        <c:idx val="23"/>
        <c:dLbl>
          <c:idx val="0"/>
          <c:delete val="1"/>
          <c:extLst>
            <c:ext xmlns:c15="http://schemas.microsoft.com/office/drawing/2012/chart" uri="{CE6537A1-D6FC-4f65-9D91-7224C49458BB}"/>
          </c:extLst>
        </c:dLbl>
      </c:pivotFmt>
      <c:pivotFmt>
        <c:idx val="24"/>
        <c:dLbl>
          <c:idx val="0"/>
          <c:delete val="1"/>
          <c:extLst>
            <c:ext xmlns:c15="http://schemas.microsoft.com/office/drawing/2012/chart" uri="{CE6537A1-D6FC-4f65-9D91-7224C49458BB}"/>
          </c:extLst>
        </c:dLbl>
      </c:pivotFmt>
      <c:pivotFmt>
        <c:idx val="25"/>
        <c:dLbl>
          <c:idx val="0"/>
          <c:delete val="1"/>
          <c:extLst>
            <c:ext xmlns:c15="http://schemas.microsoft.com/office/drawing/2012/chart" uri="{CE6537A1-D6FC-4f65-9D91-7224C49458BB}"/>
          </c:extLst>
        </c:dLbl>
      </c:pivotFmt>
      <c:pivotFmt>
        <c:idx val="26"/>
        <c:dLbl>
          <c:idx val="0"/>
          <c:delete val="1"/>
          <c:extLst>
            <c:ext xmlns:c15="http://schemas.microsoft.com/office/drawing/2012/chart" uri="{CE6537A1-D6FC-4f65-9D91-7224C49458BB}"/>
          </c:extLst>
        </c:dLbl>
      </c:pivotFmt>
      <c:pivotFmt>
        <c:idx val="27"/>
        <c:dLbl>
          <c:idx val="0"/>
          <c:layout>
            <c:manualLayout>
              <c:x val="0.15359168099080422"/>
              <c:y val="-4.134201609712707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layout>
            <c:manualLayout>
              <c:x val="-7.7251275488736726E-2"/>
              <c:y val="3.92711772618486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9"/>
        <c:dLbl>
          <c:idx val="0"/>
          <c:layout>
            <c:manualLayout>
              <c:x val="-1.9321453602738913E-2"/>
              <c:y val="-9.10314734403567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layout>
            <c:manualLayout>
              <c:x val="-1.3823251289172436E-2"/>
              <c:y val="4.134201609712699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1"/>
        <c:dLbl>
          <c:idx val="0"/>
          <c:layout>
            <c:manualLayout>
              <c:x val="-6.5053181890891876E-2"/>
              <c:y val="-1.082249698866151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2"/>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33"/>
      </c:pivotFmt>
      <c:pivotFmt>
        <c:idx val="34"/>
      </c:pivotFmt>
      <c:pivotFmt>
        <c:idx val="35"/>
      </c:pivotFmt>
      <c:pivotFmt>
        <c:idx val="36"/>
        <c:dLbl>
          <c:idx val="0"/>
          <c:layout>
            <c:manualLayout>
              <c:x val="-1.3823251289172436E-2"/>
              <c:y val="4.134201609712699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7"/>
        <c:dLbl>
          <c:idx val="0"/>
          <c:layout>
            <c:manualLayout>
              <c:x val="-7.7251275488736726E-2"/>
              <c:y val="3.92711772618486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8"/>
        <c:dLbl>
          <c:idx val="0"/>
          <c:layout>
            <c:manualLayout>
              <c:x val="-6.5053181890891876E-2"/>
              <c:y val="-1.082249698866151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9"/>
        <c:dLbl>
          <c:idx val="0"/>
          <c:layout>
            <c:manualLayout>
              <c:x val="-1.9321453602738913E-2"/>
              <c:y val="-9.10314734403567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0"/>
        <c:dLbl>
          <c:idx val="0"/>
          <c:layout>
            <c:manualLayout>
              <c:x val="0.15359168099080422"/>
              <c:y val="-4.134201609712707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1"/>
        <c:dLbl>
          <c:idx val="0"/>
          <c:delete val="1"/>
          <c:extLst>
            <c:ext xmlns:c15="http://schemas.microsoft.com/office/drawing/2012/chart" uri="{CE6537A1-D6FC-4f65-9D91-7224C49458BB}"/>
          </c:extLst>
        </c:dLbl>
      </c:pivotFmt>
      <c:pivotFmt>
        <c:idx val="42"/>
        <c:dLbl>
          <c:idx val="0"/>
          <c:delete val="1"/>
          <c:extLst>
            <c:ext xmlns:c15="http://schemas.microsoft.com/office/drawing/2012/chart" uri="{CE6537A1-D6FC-4f65-9D91-7224C49458BB}"/>
          </c:extLst>
        </c:dLbl>
      </c:pivotFmt>
      <c:pivotFmt>
        <c:idx val="43"/>
        <c:dLbl>
          <c:idx val="0"/>
          <c:delete val="1"/>
          <c:extLst>
            <c:ext xmlns:c15="http://schemas.microsoft.com/office/drawing/2012/chart" uri="{CE6537A1-D6FC-4f65-9D91-7224C49458BB}"/>
          </c:extLst>
        </c:dLbl>
      </c:pivotFmt>
      <c:pivotFmt>
        <c:idx val="44"/>
        <c:dLbl>
          <c:idx val="0"/>
          <c:delete val="1"/>
          <c:extLst>
            <c:ext xmlns:c15="http://schemas.microsoft.com/office/drawing/2012/chart" uri="{CE6537A1-D6FC-4f65-9D91-7224C49458BB}"/>
          </c:extLst>
        </c:dLbl>
      </c:pivotFmt>
      <c:pivotFmt>
        <c:idx val="45"/>
        <c:dLbl>
          <c:idx val="0"/>
          <c:delete val="1"/>
          <c:extLst>
            <c:ext xmlns:c15="http://schemas.microsoft.com/office/drawing/2012/chart" uri="{CE6537A1-D6FC-4f65-9D91-7224C49458BB}"/>
          </c:extLst>
        </c:dLbl>
      </c:pivotFmt>
      <c:pivotFmt>
        <c:idx val="46"/>
        <c:dLbl>
          <c:idx val="0"/>
          <c:delete val="1"/>
          <c:extLst>
            <c:ext xmlns:c15="http://schemas.microsoft.com/office/drawing/2012/chart" uri="{CE6537A1-D6FC-4f65-9D91-7224C49458BB}"/>
          </c:extLst>
        </c:dLbl>
      </c:pivotFmt>
      <c:pivotFmt>
        <c:idx val="47"/>
        <c:dLbl>
          <c:idx val="0"/>
          <c:delete val="1"/>
          <c:extLst>
            <c:ext xmlns:c15="http://schemas.microsoft.com/office/drawing/2012/chart" uri="{CE6537A1-D6FC-4f65-9D91-7224C49458BB}"/>
          </c:extLst>
        </c:dLbl>
      </c:pivotFmt>
      <c:pivotFmt>
        <c:idx val="48"/>
        <c:dLbl>
          <c:idx val="0"/>
          <c:delete val="1"/>
          <c:extLst>
            <c:ext xmlns:c15="http://schemas.microsoft.com/office/drawing/2012/chart" uri="{CE6537A1-D6FC-4f65-9D91-7224C49458BB}"/>
          </c:extLst>
        </c:dLbl>
      </c:pivotFmt>
      <c:pivotFmt>
        <c:idx val="49"/>
        <c:dLbl>
          <c:idx val="0"/>
          <c:delete val="1"/>
          <c:extLst>
            <c:ext xmlns:c15="http://schemas.microsoft.com/office/drawing/2012/chart" uri="{CE6537A1-D6FC-4f65-9D91-7224C49458BB}"/>
          </c:extLst>
        </c:dLbl>
      </c:pivotFmt>
      <c:pivotFmt>
        <c:idx val="50"/>
        <c:dLbl>
          <c:idx val="0"/>
          <c:delete val="1"/>
          <c:extLst>
            <c:ext xmlns:c15="http://schemas.microsoft.com/office/drawing/2012/chart" uri="{CE6537A1-D6FC-4f65-9D91-7224C49458BB}"/>
          </c:extLst>
        </c:dLbl>
      </c:pivotFmt>
      <c:pivotFmt>
        <c:idx val="51"/>
        <c:dLbl>
          <c:idx val="0"/>
          <c:delete val="1"/>
          <c:extLst>
            <c:ext xmlns:c15="http://schemas.microsoft.com/office/drawing/2012/chart" uri="{CE6537A1-D6FC-4f65-9D91-7224C49458BB}"/>
          </c:extLst>
        </c:dLbl>
      </c:pivotFmt>
      <c:pivotFmt>
        <c:idx val="52"/>
        <c:dLbl>
          <c:idx val="0"/>
          <c:delete val="1"/>
          <c:extLst>
            <c:ext xmlns:c15="http://schemas.microsoft.com/office/drawing/2012/chart" uri="{CE6537A1-D6FC-4f65-9D91-7224C49458BB}"/>
          </c:extLst>
        </c:dLbl>
      </c:pivotFmt>
      <c:pivotFmt>
        <c:idx val="53"/>
        <c:dLbl>
          <c:idx val="0"/>
          <c:delete val="1"/>
          <c:extLst>
            <c:ext xmlns:c15="http://schemas.microsoft.com/office/drawing/2012/chart" uri="{CE6537A1-D6FC-4f65-9D91-7224C49458BB}"/>
          </c:extLst>
        </c:dLbl>
      </c:pivotFmt>
      <c:pivotFmt>
        <c:idx val="54"/>
        <c:dLbl>
          <c:idx val="0"/>
          <c:delete val="1"/>
          <c:extLst>
            <c:ext xmlns:c15="http://schemas.microsoft.com/office/drawing/2012/chart" uri="{CE6537A1-D6FC-4f65-9D91-7224C49458BB}"/>
          </c:extLst>
        </c:dLbl>
      </c:pivotFmt>
      <c:pivotFmt>
        <c:idx val="55"/>
        <c:dLbl>
          <c:idx val="0"/>
          <c:delete val="1"/>
          <c:extLst>
            <c:ext xmlns:c15="http://schemas.microsoft.com/office/drawing/2012/chart" uri="{CE6537A1-D6FC-4f65-9D91-7224C49458BB}"/>
          </c:extLst>
        </c:dLbl>
      </c:pivotFmt>
      <c:pivotFmt>
        <c:idx val="56"/>
        <c:dLbl>
          <c:idx val="0"/>
          <c:delete val="1"/>
          <c:extLst>
            <c:ext xmlns:c15="http://schemas.microsoft.com/office/drawing/2012/chart" uri="{CE6537A1-D6FC-4f65-9D91-7224C49458BB}"/>
          </c:extLst>
        </c:dLbl>
      </c:pivotFmt>
      <c:pivotFmt>
        <c:idx val="57"/>
        <c:dLbl>
          <c:idx val="0"/>
          <c:delete val="1"/>
          <c:extLst>
            <c:ext xmlns:c15="http://schemas.microsoft.com/office/drawing/2012/chart" uri="{CE6537A1-D6FC-4f65-9D91-7224C49458BB}"/>
          </c:extLst>
        </c:dLbl>
      </c:pivotFmt>
      <c:pivotFmt>
        <c:idx val="58"/>
        <c:dLbl>
          <c:idx val="0"/>
          <c:delete val="1"/>
          <c:extLst>
            <c:ext xmlns:c15="http://schemas.microsoft.com/office/drawing/2012/chart" uri="{CE6537A1-D6FC-4f65-9D91-7224C49458BB}"/>
          </c:extLst>
        </c:dLbl>
      </c:pivotFmt>
      <c:pivotFmt>
        <c:idx val="59"/>
        <c:dLbl>
          <c:idx val="0"/>
          <c:delete val="1"/>
          <c:extLst>
            <c:ext xmlns:c15="http://schemas.microsoft.com/office/drawing/2012/chart" uri="{CE6537A1-D6FC-4f65-9D91-7224C49458BB}"/>
          </c:extLst>
        </c:dLbl>
      </c:pivotFmt>
      <c:pivotFmt>
        <c:idx val="60"/>
        <c:dLbl>
          <c:idx val="0"/>
          <c:delete val="1"/>
          <c:extLst>
            <c:ext xmlns:c15="http://schemas.microsoft.com/office/drawing/2012/chart" uri="{CE6537A1-D6FC-4f65-9D91-7224C49458BB}"/>
          </c:extLst>
        </c:dLbl>
      </c:pivotFmt>
      <c:pivotFmt>
        <c:idx val="61"/>
        <c:dLbl>
          <c:idx val="0"/>
          <c:delete val="1"/>
          <c:extLst>
            <c:ext xmlns:c15="http://schemas.microsoft.com/office/drawing/2012/chart" uri="{CE6537A1-D6FC-4f65-9D91-7224C49458BB}"/>
          </c:extLst>
        </c:dLbl>
      </c:pivotFmt>
      <c:pivotFmt>
        <c:idx val="62"/>
        <c:dLbl>
          <c:idx val="0"/>
          <c:delete val="1"/>
          <c:extLst>
            <c:ext xmlns:c15="http://schemas.microsoft.com/office/drawing/2012/chart" uri="{CE6537A1-D6FC-4f65-9D91-7224C49458BB}"/>
          </c:extLst>
        </c:dLbl>
      </c:pivotFmt>
      <c:pivotFmt>
        <c:idx val="63"/>
      </c:pivotFmt>
      <c:pivotFmt>
        <c:idx val="64"/>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5"/>
        <c:dLbl>
          <c:idx val="0"/>
          <c:delete val="1"/>
          <c:extLst>
            <c:ext xmlns:c15="http://schemas.microsoft.com/office/drawing/2012/chart" uri="{CE6537A1-D6FC-4f65-9D91-7224C49458BB}"/>
          </c:extLst>
        </c:dLbl>
      </c:pivotFmt>
      <c:pivotFmt>
        <c:idx val="66"/>
        <c:dLbl>
          <c:idx val="0"/>
          <c:delete val="1"/>
          <c:extLst>
            <c:ext xmlns:c15="http://schemas.microsoft.com/office/drawing/2012/chart" uri="{CE6537A1-D6FC-4f65-9D91-7224C49458BB}"/>
          </c:extLst>
        </c:dLbl>
      </c:pivotFmt>
      <c:pivotFmt>
        <c:idx val="67"/>
        <c:dLbl>
          <c:idx val="0"/>
          <c:delete val="1"/>
          <c:extLst>
            <c:ext xmlns:c15="http://schemas.microsoft.com/office/drawing/2012/chart" uri="{CE6537A1-D6FC-4f65-9D91-7224C49458BB}"/>
          </c:extLst>
        </c:dLbl>
      </c:pivotFmt>
      <c:pivotFmt>
        <c:idx val="68"/>
        <c:dLbl>
          <c:idx val="0"/>
          <c:delete val="1"/>
          <c:extLst>
            <c:ext xmlns:c15="http://schemas.microsoft.com/office/drawing/2012/chart" uri="{CE6537A1-D6FC-4f65-9D91-7224C49458BB}"/>
          </c:extLst>
        </c:dLbl>
      </c:pivotFmt>
      <c:pivotFmt>
        <c:idx val="69"/>
        <c:dLbl>
          <c:idx val="0"/>
          <c:delete val="1"/>
          <c:extLst>
            <c:ext xmlns:c15="http://schemas.microsoft.com/office/drawing/2012/chart" uri="{CE6537A1-D6FC-4f65-9D91-7224C49458BB}"/>
          </c:extLst>
        </c:dLbl>
      </c:pivotFmt>
      <c:pivotFmt>
        <c:idx val="70"/>
        <c:dLbl>
          <c:idx val="0"/>
          <c:delete val="1"/>
          <c:extLst>
            <c:ext xmlns:c15="http://schemas.microsoft.com/office/drawing/2012/chart" uri="{CE6537A1-D6FC-4f65-9D91-7224C49458BB}"/>
          </c:extLst>
        </c:dLbl>
      </c:pivotFmt>
      <c:pivotFmt>
        <c:idx val="71"/>
        <c:dLbl>
          <c:idx val="0"/>
          <c:delete val="1"/>
          <c:extLst>
            <c:ext xmlns:c15="http://schemas.microsoft.com/office/drawing/2012/chart" uri="{CE6537A1-D6FC-4f65-9D91-7224C49458BB}"/>
          </c:extLst>
        </c:dLbl>
      </c:pivotFmt>
      <c:pivotFmt>
        <c:idx val="72"/>
        <c:dLbl>
          <c:idx val="0"/>
          <c:delete val="1"/>
          <c:extLst>
            <c:ext xmlns:c15="http://schemas.microsoft.com/office/drawing/2012/chart" uri="{CE6537A1-D6FC-4f65-9D91-7224C49458BB}"/>
          </c:extLst>
        </c:dLbl>
      </c:pivotFmt>
      <c:pivotFmt>
        <c:idx val="73"/>
        <c:dLbl>
          <c:idx val="0"/>
          <c:delete val="1"/>
          <c:extLst>
            <c:ext xmlns:c15="http://schemas.microsoft.com/office/drawing/2012/chart" uri="{CE6537A1-D6FC-4f65-9D91-7224C49458BB}"/>
          </c:extLst>
        </c:dLbl>
      </c:pivotFmt>
      <c:pivotFmt>
        <c:idx val="74"/>
        <c:dLbl>
          <c:idx val="0"/>
          <c:delete val="1"/>
          <c:extLst>
            <c:ext xmlns:c15="http://schemas.microsoft.com/office/drawing/2012/chart" uri="{CE6537A1-D6FC-4f65-9D91-7224C49458BB}"/>
          </c:extLst>
        </c:dLbl>
      </c:pivotFmt>
      <c:pivotFmt>
        <c:idx val="75"/>
        <c:dLbl>
          <c:idx val="0"/>
          <c:delete val="1"/>
          <c:extLst>
            <c:ext xmlns:c15="http://schemas.microsoft.com/office/drawing/2012/chart" uri="{CE6537A1-D6FC-4f65-9D91-7224C49458BB}"/>
          </c:extLst>
        </c:dLbl>
      </c:pivotFmt>
      <c:pivotFmt>
        <c:idx val="76"/>
        <c:dLbl>
          <c:idx val="0"/>
          <c:delete val="1"/>
          <c:extLst>
            <c:ext xmlns:c15="http://schemas.microsoft.com/office/drawing/2012/chart" uri="{CE6537A1-D6FC-4f65-9D91-7224C49458BB}"/>
          </c:extLst>
        </c:dLbl>
      </c:pivotFmt>
      <c:pivotFmt>
        <c:idx val="77"/>
        <c:dLbl>
          <c:idx val="0"/>
          <c:delete val="1"/>
          <c:extLst>
            <c:ext xmlns:c15="http://schemas.microsoft.com/office/drawing/2012/chart" uri="{CE6537A1-D6FC-4f65-9D91-7224C49458BB}"/>
          </c:extLst>
        </c:dLbl>
      </c:pivotFmt>
      <c:pivotFmt>
        <c:idx val="78"/>
        <c:dLbl>
          <c:idx val="0"/>
          <c:delete val="1"/>
          <c:extLst>
            <c:ext xmlns:c15="http://schemas.microsoft.com/office/drawing/2012/chart" uri="{CE6537A1-D6FC-4f65-9D91-7224C49458BB}"/>
          </c:extLst>
        </c:dLbl>
      </c:pivotFmt>
      <c:pivotFmt>
        <c:idx val="79"/>
        <c:dLbl>
          <c:idx val="0"/>
          <c:delete val="1"/>
          <c:extLst>
            <c:ext xmlns:c15="http://schemas.microsoft.com/office/drawing/2012/chart" uri="{CE6537A1-D6FC-4f65-9D91-7224C49458BB}"/>
          </c:extLst>
        </c:dLbl>
      </c:pivotFmt>
      <c:pivotFmt>
        <c:idx val="80"/>
        <c:dLbl>
          <c:idx val="0"/>
          <c:delete val="1"/>
          <c:extLst>
            <c:ext xmlns:c15="http://schemas.microsoft.com/office/drawing/2012/chart" uri="{CE6537A1-D6FC-4f65-9D91-7224C49458BB}"/>
          </c:extLst>
        </c:dLbl>
      </c:pivotFmt>
      <c:pivotFmt>
        <c:idx val="81"/>
        <c:dLbl>
          <c:idx val="0"/>
          <c:delete val="1"/>
          <c:extLst>
            <c:ext xmlns:c15="http://schemas.microsoft.com/office/drawing/2012/chart" uri="{CE6537A1-D6FC-4f65-9D91-7224C49458BB}"/>
          </c:extLst>
        </c:dLbl>
      </c:pivotFmt>
      <c:pivotFmt>
        <c:idx val="82"/>
        <c:dLbl>
          <c:idx val="0"/>
          <c:delete val="1"/>
          <c:extLst>
            <c:ext xmlns:c15="http://schemas.microsoft.com/office/drawing/2012/chart" uri="{CE6537A1-D6FC-4f65-9D91-7224C49458BB}"/>
          </c:extLst>
        </c:dLbl>
      </c:pivotFmt>
      <c:pivotFmt>
        <c:idx val="83"/>
        <c:dLbl>
          <c:idx val="0"/>
          <c:delete val="1"/>
          <c:extLst>
            <c:ext xmlns:c15="http://schemas.microsoft.com/office/drawing/2012/chart" uri="{CE6537A1-D6FC-4f65-9D91-7224C49458BB}"/>
          </c:extLst>
        </c:dLbl>
      </c:pivotFmt>
      <c:pivotFmt>
        <c:idx val="84"/>
        <c:dLbl>
          <c:idx val="0"/>
          <c:delete val="1"/>
          <c:extLst>
            <c:ext xmlns:c15="http://schemas.microsoft.com/office/drawing/2012/chart" uri="{CE6537A1-D6FC-4f65-9D91-7224C49458BB}"/>
          </c:extLst>
        </c:dLbl>
      </c:pivotFmt>
      <c:pivotFmt>
        <c:idx val="85"/>
        <c:dLbl>
          <c:idx val="0"/>
          <c:layout>
            <c:manualLayout>
              <c:x val="2.6462042744682366E-2"/>
              <c:y val="-0.11363621838094595"/>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6"/>
        <c:dLbl>
          <c:idx val="0"/>
          <c:layout>
            <c:manualLayout>
              <c:x val="-2.4571896834347944E-2"/>
              <c:y val="-5.411248494330760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7"/>
        <c:dLbl>
          <c:idx val="0"/>
          <c:layout>
            <c:manualLayout>
              <c:x val="-2.2681750924013457E-2"/>
              <c:y val="4.870123644897672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8"/>
        <c:dLbl>
          <c:idx val="0"/>
          <c:layout>
            <c:manualLayout>
              <c:x val="-0.13042006781307738"/>
              <c:y val="-1.352812123582689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9"/>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90"/>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pivotFmt>
      <c:pivotFmt>
        <c:idx val="123"/>
      </c:pivotFmt>
      <c:pivotFmt>
        <c:idx val="124"/>
      </c:pivotFmt>
      <c:pivotFmt>
        <c:idx val="125"/>
      </c:pivotFmt>
      <c:pivotFmt>
        <c:idx val="126"/>
      </c:pivotFmt>
      <c:pivotFmt>
        <c:idx val="127"/>
      </c:pivotFmt>
      <c:pivotFmt>
        <c:idx val="128"/>
      </c:pivotFmt>
      <c:pivotFmt>
        <c:idx val="129"/>
      </c:pivotFmt>
      <c:pivotFmt>
        <c:idx val="130"/>
      </c:pivotFmt>
      <c:pivotFmt>
        <c:idx val="131"/>
      </c:pivotFmt>
      <c:pivotFmt>
        <c:idx val="132"/>
      </c:pivotFmt>
      <c:pivotFmt>
        <c:idx val="133"/>
      </c:pivotFmt>
      <c:pivotFmt>
        <c:idx val="134"/>
      </c:pivotFmt>
      <c:pivotFmt>
        <c:idx val="135"/>
      </c:pivotFmt>
      <c:pivotFmt>
        <c:idx val="136"/>
      </c:pivotFmt>
      <c:pivotFmt>
        <c:idx val="137"/>
      </c:pivotFmt>
      <c:pivotFmt>
        <c:idx val="138"/>
      </c:pivotFmt>
      <c:pivotFmt>
        <c:idx val="139"/>
      </c:pivotFmt>
      <c:pivotFmt>
        <c:idx val="140"/>
      </c:pivotFmt>
      <c:pivotFmt>
        <c:idx val="141"/>
      </c:pivotFmt>
      <c:pivotFmt>
        <c:idx val="142"/>
      </c:pivotFmt>
      <c:pivotFmt>
        <c:idx val="143"/>
      </c:pivotFmt>
      <c:pivotFmt>
        <c:idx val="144"/>
      </c:pivotFmt>
      <c:pivotFmt>
        <c:idx val="145"/>
      </c:pivotFmt>
      <c:pivotFmt>
        <c:idx val="146"/>
      </c:pivotFmt>
      <c:pivotFmt>
        <c:idx val="147"/>
      </c:pivotFmt>
      <c:pivotFmt>
        <c:idx val="148"/>
      </c:pivotFmt>
      <c:pivotFmt>
        <c:idx val="149"/>
      </c:pivotFmt>
      <c:pivotFmt>
        <c:idx val="150"/>
      </c:pivotFmt>
      <c:pivotFmt>
        <c:idx val="151"/>
      </c:pivotFmt>
      <c:pivotFmt>
        <c:idx val="152"/>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7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80"/>
        <c:spPr>
          <a:solidFill>
            <a:schemeClr val="accent1"/>
          </a:solidFill>
          <a:ln>
            <a:noFill/>
          </a:ln>
          <a:effectLst>
            <a:outerShdw blurRad="254000" sx="102000" sy="102000" algn="ctr" rotWithShape="0">
              <a:prstClr val="black">
                <a:alpha val="20000"/>
              </a:prstClr>
            </a:outerShdw>
          </a:effectLst>
          <a:sp3d/>
        </c:spPr>
      </c:pivotFmt>
      <c:pivotFmt>
        <c:idx val="181"/>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82"/>
        <c:spPr>
          <a:solidFill>
            <a:schemeClr val="accent1"/>
          </a:solidFill>
          <a:ln>
            <a:noFill/>
          </a:ln>
          <a:effectLst>
            <a:outerShdw blurRad="254000" sx="102000" sy="102000" algn="ctr" rotWithShape="0">
              <a:prstClr val="black">
                <a:alpha val="20000"/>
              </a:prstClr>
            </a:outerShdw>
          </a:effectLst>
          <a:sp3d/>
        </c:spPr>
      </c:pivotFmt>
      <c:pivotFmt>
        <c:idx val="183"/>
        <c:spPr>
          <a:solidFill>
            <a:schemeClr val="accent1"/>
          </a:solidFill>
          <a:ln>
            <a:noFill/>
          </a:ln>
          <a:effectLst>
            <a:outerShdw blurRad="254000" sx="102000" sy="102000" algn="ctr" rotWithShape="0">
              <a:prstClr val="black">
                <a:alpha val="20000"/>
              </a:prstClr>
            </a:outerShdw>
          </a:effectLst>
          <a:sp3d/>
        </c:spPr>
      </c:pivotFmt>
      <c:pivotFmt>
        <c:idx val="184"/>
        <c:spPr>
          <a:solidFill>
            <a:schemeClr val="accent1"/>
          </a:solidFill>
          <a:ln>
            <a:noFill/>
          </a:ln>
          <a:effectLst>
            <a:outerShdw blurRad="254000" sx="102000" sy="102000" algn="ctr" rotWithShape="0">
              <a:prstClr val="black">
                <a:alpha val="20000"/>
              </a:prstClr>
            </a:outerShdw>
          </a:effectLst>
          <a:sp3d/>
        </c:spPr>
      </c:pivotFmt>
      <c:pivotFmt>
        <c:idx val="185"/>
        <c:spPr>
          <a:solidFill>
            <a:schemeClr val="accent1"/>
          </a:solidFill>
          <a:ln>
            <a:noFill/>
          </a:ln>
          <a:effectLst>
            <a:outerShdw blurRad="254000" sx="102000" sy="102000" algn="ctr" rotWithShape="0">
              <a:prstClr val="black">
                <a:alpha val="20000"/>
              </a:prstClr>
            </a:outerShdw>
          </a:effectLst>
          <a:sp3d/>
        </c:spPr>
      </c:pivotFmt>
      <c:pivotFmt>
        <c:idx val="186"/>
        <c:spPr>
          <a:solidFill>
            <a:schemeClr val="accent1"/>
          </a:solidFill>
          <a:ln>
            <a:noFill/>
          </a:ln>
          <a:effectLst>
            <a:outerShdw blurRad="254000" sx="102000" sy="102000" algn="ctr" rotWithShape="0">
              <a:prstClr val="black">
                <a:alpha val="20000"/>
              </a:prstClr>
            </a:outerShdw>
          </a:effectLst>
          <a:sp3d/>
        </c:spPr>
      </c:pivotFmt>
      <c:pivotFmt>
        <c:idx val="187"/>
        <c:spPr>
          <a:solidFill>
            <a:schemeClr val="accent1"/>
          </a:solidFill>
          <a:ln>
            <a:noFill/>
          </a:ln>
          <a:effectLst>
            <a:outerShdw blurRad="254000" sx="102000" sy="102000" algn="ctr" rotWithShape="0">
              <a:prstClr val="black">
                <a:alpha val="20000"/>
              </a:prstClr>
            </a:outerShdw>
          </a:effectLst>
          <a:sp3d/>
        </c:spPr>
      </c:pivotFmt>
      <c:pivotFmt>
        <c:idx val="188"/>
        <c:spPr>
          <a:solidFill>
            <a:schemeClr val="accent1"/>
          </a:solidFill>
          <a:ln>
            <a:noFill/>
          </a:ln>
          <a:effectLst>
            <a:outerShdw blurRad="254000" sx="102000" sy="102000" algn="ctr" rotWithShape="0">
              <a:prstClr val="black">
                <a:alpha val="20000"/>
              </a:prstClr>
            </a:outerShdw>
          </a:effectLst>
          <a:sp3d/>
        </c:spPr>
      </c:pivotFmt>
      <c:pivotFmt>
        <c:idx val="189"/>
        <c:spPr>
          <a:solidFill>
            <a:schemeClr val="accent1"/>
          </a:solidFill>
          <a:ln>
            <a:noFill/>
          </a:ln>
          <a:effectLst>
            <a:outerShdw blurRad="254000" sx="102000" sy="102000" algn="ctr" rotWithShape="0">
              <a:prstClr val="black">
                <a:alpha val="20000"/>
              </a:prstClr>
            </a:outerShdw>
          </a:effectLst>
          <a:sp3d/>
        </c:spPr>
      </c:pivotFmt>
      <c:pivotFmt>
        <c:idx val="19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91"/>
        <c:spPr>
          <a:solidFill>
            <a:schemeClr val="accent1"/>
          </a:solidFill>
          <a:ln>
            <a:noFill/>
          </a:ln>
          <a:effectLst>
            <a:outerShdw blurRad="254000" sx="102000" sy="102000" algn="ctr" rotWithShape="0">
              <a:prstClr val="black">
                <a:alpha val="20000"/>
              </a:prstClr>
            </a:outerShdw>
          </a:effectLst>
          <a:sp3d/>
        </c:spPr>
      </c:pivotFmt>
      <c:pivotFmt>
        <c:idx val="192"/>
        <c:spPr>
          <a:solidFill>
            <a:schemeClr val="accent1"/>
          </a:solidFill>
          <a:ln>
            <a:noFill/>
          </a:ln>
          <a:effectLst>
            <a:outerShdw blurRad="254000" sx="102000" sy="102000" algn="ctr" rotWithShape="0">
              <a:prstClr val="black">
                <a:alpha val="20000"/>
              </a:prstClr>
            </a:outerShdw>
          </a:effectLst>
          <a:sp3d/>
        </c:spPr>
      </c:pivotFmt>
      <c:pivotFmt>
        <c:idx val="19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9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9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9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9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9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19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0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01"/>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02"/>
        <c:spPr>
          <a:solidFill>
            <a:schemeClr val="accent1"/>
          </a:solidFill>
          <a:ln>
            <a:noFill/>
          </a:ln>
          <a:effectLst>
            <a:outerShdw blurRad="254000" sx="102000" sy="102000" algn="ctr" rotWithShape="0">
              <a:prstClr val="black">
                <a:alpha val="20000"/>
              </a:prstClr>
            </a:outerShdw>
          </a:effectLst>
          <a:sp3d/>
        </c:spPr>
      </c:pivotFmt>
      <c:pivotFmt>
        <c:idx val="203"/>
        <c:spPr>
          <a:solidFill>
            <a:schemeClr val="accent1"/>
          </a:solidFill>
          <a:ln>
            <a:noFill/>
          </a:ln>
          <a:effectLst>
            <a:outerShdw blurRad="254000" sx="102000" sy="102000" algn="ctr" rotWithShape="0">
              <a:prstClr val="black">
                <a:alpha val="20000"/>
              </a:prstClr>
            </a:outerShdw>
          </a:effectLst>
          <a:sp3d/>
        </c:spPr>
      </c:pivotFmt>
      <c:pivotFmt>
        <c:idx val="204"/>
        <c:spPr>
          <a:solidFill>
            <a:schemeClr val="accent1"/>
          </a:solidFill>
          <a:ln>
            <a:noFill/>
          </a:ln>
          <a:effectLst>
            <a:outerShdw blurRad="254000" sx="102000" sy="102000" algn="ctr" rotWithShape="0">
              <a:prstClr val="black">
                <a:alpha val="20000"/>
              </a:prstClr>
            </a:outerShdw>
          </a:effectLst>
          <a:sp3d/>
        </c:spPr>
      </c:pivotFmt>
      <c:pivotFmt>
        <c:idx val="205"/>
        <c:spPr>
          <a:solidFill>
            <a:schemeClr val="accent1"/>
          </a:solidFill>
          <a:ln>
            <a:noFill/>
          </a:ln>
          <a:effectLst>
            <a:outerShdw blurRad="254000" sx="102000" sy="102000" algn="ctr" rotWithShape="0">
              <a:prstClr val="black">
                <a:alpha val="20000"/>
              </a:prstClr>
            </a:outerShdw>
          </a:effectLst>
          <a:sp3d/>
        </c:spPr>
      </c:pivotFmt>
      <c:pivotFmt>
        <c:idx val="206"/>
        <c:spPr>
          <a:solidFill>
            <a:schemeClr val="accent1"/>
          </a:solidFill>
          <a:ln>
            <a:noFill/>
          </a:ln>
          <a:effectLst>
            <a:outerShdw blurRad="254000" sx="102000" sy="102000" algn="ctr" rotWithShape="0">
              <a:prstClr val="black">
                <a:alpha val="20000"/>
              </a:prstClr>
            </a:outerShdw>
          </a:effectLst>
          <a:sp3d/>
        </c:spPr>
      </c:pivotFmt>
      <c:pivotFmt>
        <c:idx val="207"/>
        <c:spPr>
          <a:solidFill>
            <a:schemeClr val="accent1"/>
          </a:solidFill>
          <a:ln>
            <a:noFill/>
          </a:ln>
          <a:effectLst>
            <a:outerShdw blurRad="254000" sx="102000" sy="102000" algn="ctr" rotWithShape="0">
              <a:prstClr val="black">
                <a:alpha val="20000"/>
              </a:prstClr>
            </a:outerShdw>
          </a:effectLst>
          <a:sp3d/>
        </c:spPr>
      </c:pivotFmt>
      <c:pivotFmt>
        <c:idx val="208"/>
        <c:spPr>
          <a:solidFill>
            <a:schemeClr val="accent1"/>
          </a:solidFill>
          <a:ln>
            <a:noFill/>
          </a:ln>
          <a:effectLst>
            <a:outerShdw blurRad="254000" sx="102000" sy="102000" algn="ctr" rotWithShape="0">
              <a:prstClr val="black">
                <a:alpha val="20000"/>
              </a:prstClr>
            </a:outerShdw>
          </a:effectLst>
          <a:sp3d/>
        </c:spPr>
      </c:pivotFmt>
      <c:pivotFmt>
        <c:idx val="209"/>
        <c:spPr>
          <a:solidFill>
            <a:schemeClr val="accent1"/>
          </a:solidFill>
          <a:ln>
            <a:noFill/>
          </a:ln>
          <a:effectLst>
            <a:outerShdw blurRad="254000" sx="102000" sy="102000" algn="ctr" rotWithShape="0">
              <a:prstClr val="black">
                <a:alpha val="20000"/>
              </a:prstClr>
            </a:outerShdw>
          </a:effectLst>
          <a:sp3d/>
        </c:spPr>
      </c:pivotFmt>
      <c:pivotFmt>
        <c:idx val="21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1"/>
        <c:spPr>
          <a:solidFill>
            <a:schemeClr val="accent1"/>
          </a:solidFill>
          <a:ln>
            <a:noFill/>
          </a:ln>
          <a:effectLst>
            <a:outerShdw blurRad="254000" sx="102000" sy="102000" algn="ctr" rotWithShape="0">
              <a:prstClr val="black">
                <a:alpha val="20000"/>
              </a:prstClr>
            </a:outerShdw>
          </a:effectLst>
          <a:sp3d/>
        </c:spPr>
      </c:pivotFmt>
      <c:pivotFmt>
        <c:idx val="212"/>
        <c:spPr>
          <a:solidFill>
            <a:schemeClr val="accent1"/>
          </a:solidFill>
          <a:ln>
            <a:noFill/>
          </a:ln>
          <a:effectLst>
            <a:outerShdw blurRad="254000" sx="102000" sy="102000" algn="ctr" rotWithShape="0">
              <a:prstClr val="black">
                <a:alpha val="20000"/>
              </a:prstClr>
            </a:outerShdw>
          </a:effectLst>
          <a:sp3d/>
        </c:spPr>
      </c:pivotFmt>
      <c:pivotFmt>
        <c:idx val="21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2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296110597096865"/>
          <c:w val="0.80561018586654287"/>
          <c:h val="0.73186435158405505"/>
        </c:manualLayout>
      </c:layout>
      <c:pie3DChart>
        <c:varyColors val="1"/>
        <c:ser>
          <c:idx val="0"/>
          <c:order val="0"/>
          <c:tx>
            <c:strRef>
              <c:f>Equity!$B$3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350-4262-A148-FDB547DACF42}"/>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350-4262-A148-FDB547DACF42}"/>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350-4262-A148-FDB547DACF42}"/>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350-4262-A148-FDB547DACF42}"/>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350-4262-A148-FDB547DACF42}"/>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350-4262-A148-FDB547DACF42}"/>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A350-4262-A148-FDB547DACF42}"/>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A350-4262-A148-FDB547DACF42}"/>
              </c:ext>
            </c:extLst>
          </c:dPt>
          <c:dPt>
            <c:idx val="8"/>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A350-4262-A148-FDB547DACF42}"/>
              </c:ext>
            </c:extLst>
          </c:dPt>
          <c:dPt>
            <c:idx val="9"/>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A350-4262-A148-FDB547DACF42}"/>
              </c:ext>
            </c:extLst>
          </c:dPt>
          <c:dPt>
            <c:idx val="1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A350-4262-A148-FDB547DACF42}"/>
              </c:ext>
            </c:extLst>
          </c:dPt>
          <c:dPt>
            <c:idx val="11"/>
            <c:bubble3D val="0"/>
            <c:spPr>
              <a:solidFill>
                <a:schemeClr val="accent5">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A350-4262-A148-FDB547DACF42}"/>
              </c:ext>
            </c:extLst>
          </c:dPt>
          <c:dPt>
            <c:idx val="12"/>
            <c:bubble3D val="0"/>
            <c:spPr>
              <a:solidFill>
                <a:schemeClr val="accent1">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A350-4262-A148-FDB547DACF42}"/>
              </c:ext>
            </c:extLst>
          </c:dPt>
          <c:dPt>
            <c:idx val="13"/>
            <c:bubble3D val="0"/>
            <c:spPr>
              <a:solidFill>
                <a:schemeClr val="accent3">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A350-4262-A148-FDB547DACF42}"/>
              </c:ext>
            </c:extLst>
          </c:dPt>
          <c:dPt>
            <c:idx val="14"/>
            <c:bubble3D val="0"/>
            <c:spPr>
              <a:solidFill>
                <a:schemeClr val="accent5">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A350-4262-A148-FDB547DACF42}"/>
              </c:ext>
            </c:extLst>
          </c:dPt>
          <c:dPt>
            <c:idx val="15"/>
            <c:bubble3D val="0"/>
            <c:spPr>
              <a:solidFill>
                <a:schemeClr val="accent1">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A350-4262-A148-FDB547DACF42}"/>
              </c:ext>
            </c:extLst>
          </c:dPt>
          <c:dPt>
            <c:idx val="16"/>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A350-4262-A148-FDB547DACF42}"/>
              </c:ext>
            </c:extLst>
          </c:dPt>
          <c:dPt>
            <c:idx val="17"/>
            <c:bubble3D val="0"/>
            <c:spPr>
              <a:solidFill>
                <a:schemeClr val="accent5">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A350-4262-A148-FDB547DACF42}"/>
              </c:ext>
            </c:extLst>
          </c:dPt>
          <c:dPt>
            <c:idx val="18"/>
            <c:bubble3D val="0"/>
            <c:spPr>
              <a:solidFill>
                <a:schemeClr val="accent1">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A350-4262-A148-FDB547DACF42}"/>
              </c:ext>
            </c:extLst>
          </c:dPt>
          <c:dLbls>
            <c:dLbl>
              <c:idx val="8"/>
              <c:delete val="1"/>
              <c:extLst>
                <c:ext xmlns:c15="http://schemas.microsoft.com/office/drawing/2012/chart" uri="{CE6537A1-D6FC-4f65-9D91-7224C49458BB}"/>
                <c:ext xmlns:c16="http://schemas.microsoft.com/office/drawing/2014/chart" uri="{C3380CC4-5D6E-409C-BE32-E72D297353CC}">
                  <c16:uniqueId val="{00000011-A350-4262-A148-FDB547DACF42}"/>
                </c:ext>
              </c:extLst>
            </c:dLbl>
            <c:dLbl>
              <c:idx val="11"/>
              <c:delete val="1"/>
              <c:extLst>
                <c:ext xmlns:c15="http://schemas.microsoft.com/office/drawing/2012/chart" uri="{CE6537A1-D6FC-4f65-9D91-7224C49458BB}"/>
                <c:ext xmlns:c16="http://schemas.microsoft.com/office/drawing/2014/chart" uri="{C3380CC4-5D6E-409C-BE32-E72D297353CC}">
                  <c16:uniqueId val="{00000017-A350-4262-A148-FDB547DACF42}"/>
                </c:ext>
              </c:extLst>
            </c:dLbl>
            <c:dLbl>
              <c:idx val="12"/>
              <c:delete val="1"/>
              <c:extLst>
                <c:ext xmlns:c15="http://schemas.microsoft.com/office/drawing/2012/chart" uri="{CE6537A1-D6FC-4f65-9D91-7224C49458BB}"/>
                <c:ext xmlns:c16="http://schemas.microsoft.com/office/drawing/2014/chart" uri="{C3380CC4-5D6E-409C-BE32-E72D297353CC}">
                  <c16:uniqueId val="{00000019-A350-4262-A148-FDB547DACF42}"/>
                </c:ext>
              </c:extLst>
            </c:dLbl>
            <c:dLbl>
              <c:idx val="13"/>
              <c:delete val="1"/>
              <c:extLst>
                <c:ext xmlns:c15="http://schemas.microsoft.com/office/drawing/2012/chart" uri="{CE6537A1-D6FC-4f65-9D91-7224C49458BB}"/>
                <c:ext xmlns:c16="http://schemas.microsoft.com/office/drawing/2014/chart" uri="{C3380CC4-5D6E-409C-BE32-E72D297353CC}">
                  <c16:uniqueId val="{0000001B-A350-4262-A148-FDB547DACF42}"/>
                </c:ext>
              </c:extLst>
            </c:dLbl>
            <c:dLbl>
              <c:idx val="14"/>
              <c:delete val="1"/>
              <c:extLst>
                <c:ext xmlns:c15="http://schemas.microsoft.com/office/drawing/2012/chart" uri="{CE6537A1-D6FC-4f65-9D91-7224C49458BB}"/>
                <c:ext xmlns:c16="http://schemas.microsoft.com/office/drawing/2014/chart" uri="{C3380CC4-5D6E-409C-BE32-E72D297353CC}">
                  <c16:uniqueId val="{0000001D-A350-4262-A148-FDB547DACF42}"/>
                </c:ext>
              </c:extLst>
            </c:dLbl>
            <c:dLbl>
              <c:idx val="15"/>
              <c:delete val="1"/>
              <c:extLst>
                <c:ext xmlns:c15="http://schemas.microsoft.com/office/drawing/2012/chart" uri="{CE6537A1-D6FC-4f65-9D91-7224C49458BB}"/>
                <c:ext xmlns:c16="http://schemas.microsoft.com/office/drawing/2014/chart" uri="{C3380CC4-5D6E-409C-BE32-E72D297353CC}">
                  <c16:uniqueId val="{0000001F-A350-4262-A148-FDB547DACF42}"/>
                </c:ext>
              </c:extLst>
            </c:dLbl>
            <c:dLbl>
              <c:idx val="16"/>
              <c:delete val="1"/>
              <c:extLst>
                <c:ext xmlns:c15="http://schemas.microsoft.com/office/drawing/2012/chart" uri="{CE6537A1-D6FC-4f65-9D91-7224C49458BB}"/>
                <c:ext xmlns:c16="http://schemas.microsoft.com/office/drawing/2014/chart" uri="{C3380CC4-5D6E-409C-BE32-E72D297353CC}">
                  <c16:uniqueId val="{00000021-A350-4262-A148-FDB547DACF42}"/>
                </c:ext>
              </c:extLst>
            </c:dLbl>
            <c:dLbl>
              <c:idx val="17"/>
              <c:delete val="1"/>
              <c:extLst>
                <c:ext xmlns:c15="http://schemas.microsoft.com/office/drawing/2012/chart" uri="{CE6537A1-D6FC-4f65-9D91-7224C49458BB}"/>
                <c:ext xmlns:c16="http://schemas.microsoft.com/office/drawing/2014/chart" uri="{C3380CC4-5D6E-409C-BE32-E72D297353CC}">
                  <c16:uniqueId val="{00000023-A350-4262-A148-FDB547DACF42}"/>
                </c:ext>
              </c:extLst>
            </c:dLbl>
            <c:dLbl>
              <c:idx val="18"/>
              <c:delete val="1"/>
              <c:extLst>
                <c:ext xmlns:c15="http://schemas.microsoft.com/office/drawing/2012/chart" uri="{CE6537A1-D6FC-4f65-9D91-7224C49458BB}"/>
                <c:ext xmlns:c16="http://schemas.microsoft.com/office/drawing/2014/chart" uri="{C3380CC4-5D6E-409C-BE32-E72D297353CC}">
                  <c16:uniqueId val="{00000025-A350-4262-A148-FDB547DACF4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Equity!$A$4:$A$23</c:f>
              <c:strCache>
                <c:ptCount val="19"/>
                <c:pt idx="0">
                  <c:v>ջրային տնտեսություն</c:v>
                </c:pt>
                <c:pt idx="1">
                  <c:v>Առողջապահություն</c:v>
                </c:pt>
                <c:pt idx="2">
                  <c:v>էներգետիկա</c:v>
                </c:pt>
                <c:pt idx="3">
                  <c:v>Այլ</c:v>
                </c:pt>
                <c:pt idx="4">
                  <c:v>հեռուստառադիո-հեռարձակում, կապ</c:v>
                </c:pt>
                <c:pt idx="5">
                  <c:v>Փոստ և կապ</c:v>
                </c:pt>
                <c:pt idx="6">
                  <c:v>Շինարարություն</c:v>
                </c:pt>
                <c:pt idx="7">
                  <c:v>Արդյունաբերություն</c:v>
                </c:pt>
                <c:pt idx="8">
                  <c:v>Տրասնպորտ</c:v>
                </c:pt>
                <c:pt idx="9">
                  <c:v>Ապահովագրություն</c:v>
                </c:pt>
                <c:pt idx="10">
                  <c:v>Մշակույթ</c:v>
                </c:pt>
                <c:pt idx="11">
                  <c:v>գիտություն</c:v>
                </c:pt>
                <c:pt idx="12">
                  <c:v>Կրթություն</c:v>
                </c:pt>
                <c:pt idx="13">
                  <c:v>կոմունալ</c:v>
                </c:pt>
                <c:pt idx="14">
                  <c:v>Գյուղատնտեսություն</c:v>
                </c:pt>
                <c:pt idx="15">
                  <c:v>բարեկարգում</c:v>
                </c:pt>
                <c:pt idx="16">
                  <c:v>Սպորտային և մարզական միջոցառումների կազմակերպում  </c:v>
                </c:pt>
                <c:pt idx="17">
                  <c:v>Հրատարակչական, տեղեկատվական ծառայություններ</c:v>
                </c:pt>
                <c:pt idx="18">
                  <c:v>ավտոկայանատեղի կազմակերպում</c:v>
                </c:pt>
              </c:strCache>
            </c:strRef>
          </c:cat>
          <c:val>
            <c:numRef>
              <c:f>Equity!$B$4:$B$23</c:f>
              <c:numCache>
                <c:formatCode>_(* #,##0.0_);_(* \(#,##0.0\);_(* "-"??_);_(@_)</c:formatCode>
                <c:ptCount val="19"/>
                <c:pt idx="0">
                  <c:v>60662786.5</c:v>
                </c:pt>
                <c:pt idx="1">
                  <c:v>48212795.779509991</c:v>
                </c:pt>
                <c:pt idx="2">
                  <c:v>45732560.600000001</c:v>
                </c:pt>
                <c:pt idx="3">
                  <c:v>35743173.5</c:v>
                </c:pt>
                <c:pt idx="4">
                  <c:v>15474719</c:v>
                </c:pt>
                <c:pt idx="5">
                  <c:v>13375407</c:v>
                </c:pt>
                <c:pt idx="6">
                  <c:v>11247053.9</c:v>
                </c:pt>
                <c:pt idx="7">
                  <c:v>8484337</c:v>
                </c:pt>
                <c:pt idx="8">
                  <c:v>5930123.0999999996</c:v>
                </c:pt>
                <c:pt idx="9">
                  <c:v>2409927</c:v>
                </c:pt>
                <c:pt idx="10">
                  <c:v>1416105.9</c:v>
                </c:pt>
                <c:pt idx="11">
                  <c:v>1406819</c:v>
                </c:pt>
                <c:pt idx="12">
                  <c:v>969145</c:v>
                </c:pt>
                <c:pt idx="13">
                  <c:v>857900.9</c:v>
                </c:pt>
                <c:pt idx="14">
                  <c:v>466753</c:v>
                </c:pt>
                <c:pt idx="15">
                  <c:v>56320.7</c:v>
                </c:pt>
                <c:pt idx="16">
                  <c:v>42369.7</c:v>
                </c:pt>
                <c:pt idx="17">
                  <c:v>29857.4</c:v>
                </c:pt>
                <c:pt idx="18">
                  <c:v>-101741.6</c:v>
                </c:pt>
              </c:numCache>
            </c:numRef>
          </c:val>
          <c:extLst>
            <c:ext xmlns:c16="http://schemas.microsoft.com/office/drawing/2014/chart" uri="{C3380CC4-5D6E-409C-BE32-E72D297353CC}">
              <c16:uniqueId val="{00000064-A350-4262-A148-FDB547DACF42}"/>
            </c:ext>
          </c:extLst>
        </c:ser>
        <c:dLbls>
          <c:dLblPos val="ctr"/>
          <c:showLegendKey val="0"/>
          <c:showVal val="0"/>
          <c:showCatName val="0"/>
          <c:showSerName val="0"/>
          <c:showPercent val="1"/>
          <c:showBubbleSize val="0"/>
          <c:showLeaderLines val="0"/>
        </c:dLbls>
      </c:pie3DChart>
      <c:spPr>
        <a:noFill/>
        <a:ln>
          <a:noFill/>
        </a:ln>
        <a:effectLst/>
      </c:spPr>
    </c:plotArea>
    <c:legend>
      <c:legendPos val="b"/>
      <c:layout>
        <c:manualLayout>
          <c:xMode val="edge"/>
          <c:yMode val="edge"/>
          <c:x val="0.64684981518714024"/>
          <c:y val="0.17358269636090712"/>
          <c:w val="0.34977914112577102"/>
          <c:h val="0.7546915850535748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[SOE Database 2020.xlsx]Liabilities sector!PivotTable1</c:name>
    <c:fmtId val="-1"/>
  </c:pivotSource>
  <c:chart>
    <c:autoTitleDeleted val="1"/>
    <c:pivotFmts>
      <c:pivotFmt>
        <c:idx val="0"/>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1"/>
        <c:dLbl>
          <c:idx val="0"/>
          <c:delete val="1"/>
          <c:extLst>
            <c:ext xmlns:c15="http://schemas.microsoft.com/office/drawing/2012/chart" uri="{CE6537A1-D6FC-4f65-9D91-7224C49458BB}"/>
          </c:extLst>
        </c:dLbl>
      </c:pivotFmt>
      <c:pivotFmt>
        <c:idx val="2"/>
        <c:dLbl>
          <c:idx val="0"/>
          <c:delete val="1"/>
          <c:extLst>
            <c:ext xmlns:c15="http://schemas.microsoft.com/office/drawing/2012/chart" uri="{CE6537A1-D6FC-4f65-9D91-7224C49458BB}"/>
          </c:extLst>
        </c:dLbl>
      </c:pivotFmt>
      <c:pivotFmt>
        <c:idx val="3"/>
        <c:dLbl>
          <c:idx val="0"/>
          <c:delete val="1"/>
          <c:extLst>
            <c:ext xmlns:c15="http://schemas.microsoft.com/office/drawing/2012/chart" uri="{CE6537A1-D6FC-4f65-9D91-7224C49458BB}"/>
          </c:extLst>
        </c:dLbl>
      </c:pivotFmt>
      <c:pivotFmt>
        <c:idx val="4"/>
        <c:dLbl>
          <c:idx val="0"/>
          <c:delete val="1"/>
          <c:extLst>
            <c:ext xmlns:c15="http://schemas.microsoft.com/office/drawing/2012/chart" uri="{CE6537A1-D6FC-4f65-9D91-7224C49458BB}"/>
          </c:extLst>
        </c:dLbl>
      </c:pivotFmt>
      <c:pivotFmt>
        <c:idx val="5"/>
        <c:dLbl>
          <c:idx val="0"/>
          <c:delete val="1"/>
          <c:extLst>
            <c:ext xmlns:c15="http://schemas.microsoft.com/office/drawing/2012/chart" uri="{CE6537A1-D6FC-4f65-9D91-7224C49458BB}"/>
          </c:extLst>
        </c:dLbl>
      </c:pivotFmt>
      <c:pivotFmt>
        <c:idx val="6"/>
        <c:dLbl>
          <c:idx val="0"/>
          <c:delete val="1"/>
          <c:extLst>
            <c:ext xmlns:c15="http://schemas.microsoft.com/office/drawing/2012/chart" uri="{CE6537A1-D6FC-4f65-9D91-7224C49458BB}"/>
          </c:extLst>
        </c:dLbl>
      </c:pivotFmt>
      <c:pivotFmt>
        <c:idx val="7"/>
        <c:dLbl>
          <c:idx val="0"/>
          <c:delete val="1"/>
          <c:extLst>
            <c:ext xmlns:c15="http://schemas.microsoft.com/office/drawing/2012/chart" uri="{CE6537A1-D6FC-4f65-9D91-7224C49458BB}"/>
          </c:extLst>
        </c:dLbl>
      </c:pivotFmt>
      <c:pivotFmt>
        <c:idx val="8"/>
        <c:dLbl>
          <c:idx val="0"/>
          <c:delete val="1"/>
          <c:extLst>
            <c:ext xmlns:c15="http://schemas.microsoft.com/office/drawing/2012/chart" uri="{CE6537A1-D6FC-4f65-9D91-7224C49458BB}"/>
          </c:extLst>
        </c:dLbl>
      </c:pivotFmt>
      <c:pivotFmt>
        <c:idx val="9"/>
        <c:dLbl>
          <c:idx val="0"/>
          <c:delete val="1"/>
          <c:extLst>
            <c:ext xmlns:c15="http://schemas.microsoft.com/office/drawing/2012/chart" uri="{CE6537A1-D6FC-4f65-9D91-7224C49458BB}"/>
          </c:extLst>
        </c:dLbl>
      </c:pivotFmt>
      <c:pivotFmt>
        <c:idx val="10"/>
        <c:dLbl>
          <c:idx val="0"/>
          <c:delete val="1"/>
          <c:extLst>
            <c:ext xmlns:c15="http://schemas.microsoft.com/office/drawing/2012/chart" uri="{CE6537A1-D6FC-4f65-9D91-7224C49458BB}"/>
          </c:extLst>
        </c:dLbl>
      </c:pivotFmt>
      <c:pivotFmt>
        <c:idx val="11"/>
        <c:dLbl>
          <c:idx val="0"/>
          <c:delete val="1"/>
          <c:extLst>
            <c:ext xmlns:c15="http://schemas.microsoft.com/office/drawing/2012/chart" uri="{CE6537A1-D6FC-4f65-9D91-7224C49458BB}"/>
          </c:extLst>
        </c:dLbl>
      </c:pivotFmt>
      <c:pivotFmt>
        <c:idx val="12"/>
        <c:dLbl>
          <c:idx val="0"/>
          <c:delete val="1"/>
          <c:extLst>
            <c:ext xmlns:c15="http://schemas.microsoft.com/office/drawing/2012/chart" uri="{CE6537A1-D6FC-4f65-9D91-7224C49458BB}"/>
          </c:extLst>
        </c:dLbl>
      </c:pivotFmt>
      <c:pivotFmt>
        <c:idx val="13"/>
        <c:dLbl>
          <c:idx val="0"/>
          <c:delete val="1"/>
          <c:extLst>
            <c:ext xmlns:c15="http://schemas.microsoft.com/office/drawing/2012/chart" uri="{CE6537A1-D6FC-4f65-9D91-7224C49458BB}"/>
          </c:extLst>
        </c:dLbl>
      </c:pivotFmt>
      <c:pivotFmt>
        <c:idx val="14"/>
        <c:dLbl>
          <c:idx val="0"/>
          <c:delete val="1"/>
          <c:extLst>
            <c:ext xmlns:c15="http://schemas.microsoft.com/office/drawing/2012/chart" uri="{CE6537A1-D6FC-4f65-9D91-7224C49458BB}"/>
          </c:extLst>
        </c:dLbl>
      </c:pivotFmt>
      <c:pivotFmt>
        <c:idx val="15"/>
        <c:dLbl>
          <c:idx val="0"/>
          <c:delete val="1"/>
          <c:extLst>
            <c:ext xmlns:c15="http://schemas.microsoft.com/office/drawing/2012/chart" uri="{CE6537A1-D6FC-4f65-9D91-7224C49458BB}"/>
          </c:extLst>
        </c:dLbl>
      </c:pivotFmt>
      <c:pivotFmt>
        <c:idx val="16"/>
        <c:dLbl>
          <c:idx val="0"/>
          <c:delete val="1"/>
          <c:extLst>
            <c:ext xmlns:c15="http://schemas.microsoft.com/office/drawing/2012/chart" uri="{CE6537A1-D6FC-4f65-9D91-7224C49458BB}"/>
          </c:extLst>
        </c:dLbl>
      </c:pivotFmt>
      <c:pivotFmt>
        <c:idx val="17"/>
        <c:dLbl>
          <c:idx val="0"/>
          <c:delete val="1"/>
          <c:extLst>
            <c:ext xmlns:c15="http://schemas.microsoft.com/office/drawing/2012/chart" uri="{CE6537A1-D6FC-4f65-9D91-7224C49458BB}"/>
          </c:extLst>
        </c:dLbl>
      </c:pivotFmt>
      <c:pivotFmt>
        <c:idx val="18"/>
        <c:dLbl>
          <c:idx val="0"/>
          <c:delete val="1"/>
          <c:extLst>
            <c:ext xmlns:c15="http://schemas.microsoft.com/office/drawing/2012/chart" uri="{CE6537A1-D6FC-4f65-9D91-7224C49458BB}"/>
          </c:extLst>
        </c:dLbl>
      </c:pivotFmt>
      <c:pivotFmt>
        <c:idx val="19"/>
        <c:dLbl>
          <c:idx val="0"/>
          <c:delete val="1"/>
          <c:extLst>
            <c:ext xmlns:c15="http://schemas.microsoft.com/office/drawing/2012/chart" uri="{CE6537A1-D6FC-4f65-9D91-7224C49458BB}"/>
          </c:extLst>
        </c:dLbl>
      </c:pivotFmt>
      <c:pivotFmt>
        <c:idx val="20"/>
        <c:dLbl>
          <c:idx val="0"/>
          <c:delete val="1"/>
          <c:extLst>
            <c:ext xmlns:c15="http://schemas.microsoft.com/office/drawing/2012/chart" uri="{CE6537A1-D6FC-4f65-9D91-7224C49458BB}"/>
          </c:extLst>
        </c:dLbl>
      </c:pivotFmt>
      <c:pivotFmt>
        <c:idx val="21"/>
        <c:dLbl>
          <c:idx val="0"/>
          <c:delete val="1"/>
          <c:extLst>
            <c:ext xmlns:c15="http://schemas.microsoft.com/office/drawing/2012/chart" uri="{CE6537A1-D6FC-4f65-9D91-7224C49458BB}"/>
          </c:extLst>
        </c:dLbl>
      </c:pivotFmt>
      <c:pivotFmt>
        <c:idx val="22"/>
        <c:dLbl>
          <c:idx val="0"/>
          <c:delete val="1"/>
          <c:extLst>
            <c:ext xmlns:c15="http://schemas.microsoft.com/office/drawing/2012/chart" uri="{CE6537A1-D6FC-4f65-9D91-7224C49458BB}"/>
          </c:extLst>
        </c:dLbl>
      </c:pivotFmt>
      <c:pivotFmt>
        <c:idx val="23"/>
        <c:dLbl>
          <c:idx val="0"/>
          <c:delete val="1"/>
          <c:extLst>
            <c:ext xmlns:c15="http://schemas.microsoft.com/office/drawing/2012/chart" uri="{CE6537A1-D6FC-4f65-9D91-7224C49458BB}"/>
          </c:extLst>
        </c:dLbl>
      </c:pivotFmt>
      <c:pivotFmt>
        <c:idx val="24"/>
        <c:dLbl>
          <c:idx val="0"/>
          <c:delete val="1"/>
          <c:extLst>
            <c:ext xmlns:c15="http://schemas.microsoft.com/office/drawing/2012/chart" uri="{CE6537A1-D6FC-4f65-9D91-7224C49458BB}"/>
          </c:extLst>
        </c:dLbl>
      </c:pivotFmt>
      <c:pivotFmt>
        <c:idx val="25"/>
        <c:dLbl>
          <c:idx val="0"/>
          <c:delete val="1"/>
          <c:extLst>
            <c:ext xmlns:c15="http://schemas.microsoft.com/office/drawing/2012/chart" uri="{CE6537A1-D6FC-4f65-9D91-7224C49458BB}"/>
          </c:extLst>
        </c:dLbl>
      </c:pivotFmt>
      <c:pivotFmt>
        <c:idx val="26"/>
        <c:dLbl>
          <c:idx val="0"/>
          <c:delete val="1"/>
          <c:extLst>
            <c:ext xmlns:c15="http://schemas.microsoft.com/office/drawing/2012/chart" uri="{CE6537A1-D6FC-4f65-9D91-7224C49458BB}"/>
          </c:extLst>
        </c:dLbl>
      </c:pivotFmt>
      <c:pivotFmt>
        <c:idx val="27"/>
        <c:dLbl>
          <c:idx val="0"/>
          <c:layout>
            <c:manualLayout>
              <c:x val="0.15359168099080422"/>
              <c:y val="-4.134201609712707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8"/>
        <c:dLbl>
          <c:idx val="0"/>
          <c:layout>
            <c:manualLayout>
              <c:x val="-7.7251275488736726E-2"/>
              <c:y val="3.92711772618486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29"/>
        <c:dLbl>
          <c:idx val="0"/>
          <c:layout>
            <c:manualLayout>
              <c:x val="-1.9321453602738913E-2"/>
              <c:y val="-9.10314734403567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0"/>
        <c:dLbl>
          <c:idx val="0"/>
          <c:layout>
            <c:manualLayout>
              <c:x val="-1.3823251289172436E-2"/>
              <c:y val="4.134201609712699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1"/>
        <c:dLbl>
          <c:idx val="0"/>
          <c:layout>
            <c:manualLayout>
              <c:x val="-6.5053181890891876E-2"/>
              <c:y val="-1.082249698866151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2"/>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33"/>
      </c:pivotFmt>
      <c:pivotFmt>
        <c:idx val="34"/>
      </c:pivotFmt>
      <c:pivotFmt>
        <c:idx val="35"/>
      </c:pivotFmt>
      <c:pivotFmt>
        <c:idx val="36"/>
        <c:dLbl>
          <c:idx val="0"/>
          <c:layout>
            <c:manualLayout>
              <c:x val="-1.3823251289172436E-2"/>
              <c:y val="4.134201609712699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7"/>
        <c:dLbl>
          <c:idx val="0"/>
          <c:layout>
            <c:manualLayout>
              <c:x val="-7.7251275488736726E-2"/>
              <c:y val="3.927117726184861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8"/>
        <c:dLbl>
          <c:idx val="0"/>
          <c:layout>
            <c:manualLayout>
              <c:x val="-6.5053181890891876E-2"/>
              <c:y val="-1.082249698866151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39"/>
        <c:dLbl>
          <c:idx val="0"/>
          <c:layout>
            <c:manualLayout>
              <c:x val="-1.9321453602738913E-2"/>
              <c:y val="-9.10314734403567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0"/>
        <c:dLbl>
          <c:idx val="0"/>
          <c:layout>
            <c:manualLayout>
              <c:x val="0.15359168099080422"/>
              <c:y val="-4.1342016097127073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41"/>
        <c:dLbl>
          <c:idx val="0"/>
          <c:delete val="1"/>
          <c:extLst>
            <c:ext xmlns:c15="http://schemas.microsoft.com/office/drawing/2012/chart" uri="{CE6537A1-D6FC-4f65-9D91-7224C49458BB}"/>
          </c:extLst>
        </c:dLbl>
      </c:pivotFmt>
      <c:pivotFmt>
        <c:idx val="42"/>
        <c:dLbl>
          <c:idx val="0"/>
          <c:delete val="1"/>
          <c:extLst>
            <c:ext xmlns:c15="http://schemas.microsoft.com/office/drawing/2012/chart" uri="{CE6537A1-D6FC-4f65-9D91-7224C49458BB}"/>
          </c:extLst>
        </c:dLbl>
      </c:pivotFmt>
      <c:pivotFmt>
        <c:idx val="43"/>
        <c:dLbl>
          <c:idx val="0"/>
          <c:delete val="1"/>
          <c:extLst>
            <c:ext xmlns:c15="http://schemas.microsoft.com/office/drawing/2012/chart" uri="{CE6537A1-D6FC-4f65-9D91-7224C49458BB}"/>
          </c:extLst>
        </c:dLbl>
      </c:pivotFmt>
      <c:pivotFmt>
        <c:idx val="44"/>
        <c:dLbl>
          <c:idx val="0"/>
          <c:delete val="1"/>
          <c:extLst>
            <c:ext xmlns:c15="http://schemas.microsoft.com/office/drawing/2012/chart" uri="{CE6537A1-D6FC-4f65-9D91-7224C49458BB}"/>
          </c:extLst>
        </c:dLbl>
      </c:pivotFmt>
      <c:pivotFmt>
        <c:idx val="45"/>
        <c:dLbl>
          <c:idx val="0"/>
          <c:delete val="1"/>
          <c:extLst>
            <c:ext xmlns:c15="http://schemas.microsoft.com/office/drawing/2012/chart" uri="{CE6537A1-D6FC-4f65-9D91-7224C49458BB}"/>
          </c:extLst>
        </c:dLbl>
      </c:pivotFmt>
      <c:pivotFmt>
        <c:idx val="46"/>
        <c:dLbl>
          <c:idx val="0"/>
          <c:delete val="1"/>
          <c:extLst>
            <c:ext xmlns:c15="http://schemas.microsoft.com/office/drawing/2012/chart" uri="{CE6537A1-D6FC-4f65-9D91-7224C49458BB}"/>
          </c:extLst>
        </c:dLbl>
      </c:pivotFmt>
      <c:pivotFmt>
        <c:idx val="47"/>
        <c:dLbl>
          <c:idx val="0"/>
          <c:delete val="1"/>
          <c:extLst>
            <c:ext xmlns:c15="http://schemas.microsoft.com/office/drawing/2012/chart" uri="{CE6537A1-D6FC-4f65-9D91-7224C49458BB}"/>
          </c:extLst>
        </c:dLbl>
      </c:pivotFmt>
      <c:pivotFmt>
        <c:idx val="48"/>
        <c:dLbl>
          <c:idx val="0"/>
          <c:delete val="1"/>
          <c:extLst>
            <c:ext xmlns:c15="http://schemas.microsoft.com/office/drawing/2012/chart" uri="{CE6537A1-D6FC-4f65-9D91-7224C49458BB}"/>
          </c:extLst>
        </c:dLbl>
      </c:pivotFmt>
      <c:pivotFmt>
        <c:idx val="49"/>
        <c:dLbl>
          <c:idx val="0"/>
          <c:delete val="1"/>
          <c:extLst>
            <c:ext xmlns:c15="http://schemas.microsoft.com/office/drawing/2012/chart" uri="{CE6537A1-D6FC-4f65-9D91-7224C49458BB}"/>
          </c:extLst>
        </c:dLbl>
      </c:pivotFmt>
      <c:pivotFmt>
        <c:idx val="50"/>
        <c:dLbl>
          <c:idx val="0"/>
          <c:delete val="1"/>
          <c:extLst>
            <c:ext xmlns:c15="http://schemas.microsoft.com/office/drawing/2012/chart" uri="{CE6537A1-D6FC-4f65-9D91-7224C49458BB}"/>
          </c:extLst>
        </c:dLbl>
      </c:pivotFmt>
      <c:pivotFmt>
        <c:idx val="51"/>
        <c:dLbl>
          <c:idx val="0"/>
          <c:delete val="1"/>
          <c:extLst>
            <c:ext xmlns:c15="http://schemas.microsoft.com/office/drawing/2012/chart" uri="{CE6537A1-D6FC-4f65-9D91-7224C49458BB}"/>
          </c:extLst>
        </c:dLbl>
      </c:pivotFmt>
      <c:pivotFmt>
        <c:idx val="52"/>
        <c:dLbl>
          <c:idx val="0"/>
          <c:delete val="1"/>
          <c:extLst>
            <c:ext xmlns:c15="http://schemas.microsoft.com/office/drawing/2012/chart" uri="{CE6537A1-D6FC-4f65-9D91-7224C49458BB}"/>
          </c:extLst>
        </c:dLbl>
      </c:pivotFmt>
      <c:pivotFmt>
        <c:idx val="53"/>
        <c:dLbl>
          <c:idx val="0"/>
          <c:delete val="1"/>
          <c:extLst>
            <c:ext xmlns:c15="http://schemas.microsoft.com/office/drawing/2012/chart" uri="{CE6537A1-D6FC-4f65-9D91-7224C49458BB}"/>
          </c:extLst>
        </c:dLbl>
      </c:pivotFmt>
      <c:pivotFmt>
        <c:idx val="54"/>
        <c:dLbl>
          <c:idx val="0"/>
          <c:delete val="1"/>
          <c:extLst>
            <c:ext xmlns:c15="http://schemas.microsoft.com/office/drawing/2012/chart" uri="{CE6537A1-D6FC-4f65-9D91-7224C49458BB}"/>
          </c:extLst>
        </c:dLbl>
      </c:pivotFmt>
      <c:pivotFmt>
        <c:idx val="55"/>
        <c:dLbl>
          <c:idx val="0"/>
          <c:delete val="1"/>
          <c:extLst>
            <c:ext xmlns:c15="http://schemas.microsoft.com/office/drawing/2012/chart" uri="{CE6537A1-D6FC-4f65-9D91-7224C49458BB}"/>
          </c:extLst>
        </c:dLbl>
      </c:pivotFmt>
      <c:pivotFmt>
        <c:idx val="56"/>
        <c:dLbl>
          <c:idx val="0"/>
          <c:delete val="1"/>
          <c:extLst>
            <c:ext xmlns:c15="http://schemas.microsoft.com/office/drawing/2012/chart" uri="{CE6537A1-D6FC-4f65-9D91-7224C49458BB}"/>
          </c:extLst>
        </c:dLbl>
      </c:pivotFmt>
      <c:pivotFmt>
        <c:idx val="57"/>
        <c:dLbl>
          <c:idx val="0"/>
          <c:delete val="1"/>
          <c:extLst>
            <c:ext xmlns:c15="http://schemas.microsoft.com/office/drawing/2012/chart" uri="{CE6537A1-D6FC-4f65-9D91-7224C49458BB}"/>
          </c:extLst>
        </c:dLbl>
      </c:pivotFmt>
      <c:pivotFmt>
        <c:idx val="58"/>
        <c:dLbl>
          <c:idx val="0"/>
          <c:delete val="1"/>
          <c:extLst>
            <c:ext xmlns:c15="http://schemas.microsoft.com/office/drawing/2012/chart" uri="{CE6537A1-D6FC-4f65-9D91-7224C49458BB}"/>
          </c:extLst>
        </c:dLbl>
      </c:pivotFmt>
      <c:pivotFmt>
        <c:idx val="59"/>
        <c:dLbl>
          <c:idx val="0"/>
          <c:delete val="1"/>
          <c:extLst>
            <c:ext xmlns:c15="http://schemas.microsoft.com/office/drawing/2012/chart" uri="{CE6537A1-D6FC-4f65-9D91-7224C49458BB}"/>
          </c:extLst>
        </c:dLbl>
      </c:pivotFmt>
      <c:pivotFmt>
        <c:idx val="60"/>
        <c:dLbl>
          <c:idx val="0"/>
          <c:delete val="1"/>
          <c:extLst>
            <c:ext xmlns:c15="http://schemas.microsoft.com/office/drawing/2012/chart" uri="{CE6537A1-D6FC-4f65-9D91-7224C49458BB}"/>
          </c:extLst>
        </c:dLbl>
      </c:pivotFmt>
      <c:pivotFmt>
        <c:idx val="61"/>
        <c:dLbl>
          <c:idx val="0"/>
          <c:delete val="1"/>
          <c:extLst>
            <c:ext xmlns:c15="http://schemas.microsoft.com/office/drawing/2012/chart" uri="{CE6537A1-D6FC-4f65-9D91-7224C49458BB}"/>
          </c:extLst>
        </c:dLbl>
      </c:pivotFmt>
      <c:pivotFmt>
        <c:idx val="62"/>
        <c:dLbl>
          <c:idx val="0"/>
          <c:delete val="1"/>
          <c:extLst>
            <c:ext xmlns:c15="http://schemas.microsoft.com/office/drawing/2012/chart" uri="{CE6537A1-D6FC-4f65-9D91-7224C49458BB}"/>
          </c:extLst>
        </c:dLbl>
      </c:pivotFmt>
      <c:pivotFmt>
        <c:idx val="63"/>
      </c:pivotFmt>
      <c:pivotFmt>
        <c:idx val="64"/>
        <c:dLbl>
          <c:idx val="0"/>
          <c:dLblPos val="outEnd"/>
          <c:showLegendKey val="0"/>
          <c:showVal val="0"/>
          <c:showCatName val="1"/>
          <c:showSerName val="0"/>
          <c:showPercent val="1"/>
          <c:showBubbleSize val="0"/>
          <c:extLst>
            <c:ext xmlns:c15="http://schemas.microsoft.com/office/drawing/2012/chart" uri="{CE6537A1-D6FC-4f65-9D91-7224C49458BB}"/>
          </c:extLst>
        </c:dLbl>
      </c:pivotFmt>
      <c:pivotFmt>
        <c:idx val="65"/>
        <c:dLbl>
          <c:idx val="0"/>
          <c:delete val="1"/>
          <c:extLst>
            <c:ext xmlns:c15="http://schemas.microsoft.com/office/drawing/2012/chart" uri="{CE6537A1-D6FC-4f65-9D91-7224C49458BB}"/>
          </c:extLst>
        </c:dLbl>
      </c:pivotFmt>
      <c:pivotFmt>
        <c:idx val="66"/>
        <c:dLbl>
          <c:idx val="0"/>
          <c:delete val="1"/>
          <c:extLst>
            <c:ext xmlns:c15="http://schemas.microsoft.com/office/drawing/2012/chart" uri="{CE6537A1-D6FC-4f65-9D91-7224C49458BB}"/>
          </c:extLst>
        </c:dLbl>
      </c:pivotFmt>
      <c:pivotFmt>
        <c:idx val="67"/>
        <c:dLbl>
          <c:idx val="0"/>
          <c:delete val="1"/>
          <c:extLst>
            <c:ext xmlns:c15="http://schemas.microsoft.com/office/drawing/2012/chart" uri="{CE6537A1-D6FC-4f65-9D91-7224C49458BB}"/>
          </c:extLst>
        </c:dLbl>
      </c:pivotFmt>
      <c:pivotFmt>
        <c:idx val="68"/>
        <c:dLbl>
          <c:idx val="0"/>
          <c:delete val="1"/>
          <c:extLst>
            <c:ext xmlns:c15="http://schemas.microsoft.com/office/drawing/2012/chart" uri="{CE6537A1-D6FC-4f65-9D91-7224C49458BB}"/>
          </c:extLst>
        </c:dLbl>
      </c:pivotFmt>
      <c:pivotFmt>
        <c:idx val="69"/>
        <c:dLbl>
          <c:idx val="0"/>
          <c:delete val="1"/>
          <c:extLst>
            <c:ext xmlns:c15="http://schemas.microsoft.com/office/drawing/2012/chart" uri="{CE6537A1-D6FC-4f65-9D91-7224C49458BB}"/>
          </c:extLst>
        </c:dLbl>
      </c:pivotFmt>
      <c:pivotFmt>
        <c:idx val="70"/>
        <c:dLbl>
          <c:idx val="0"/>
          <c:delete val="1"/>
          <c:extLst>
            <c:ext xmlns:c15="http://schemas.microsoft.com/office/drawing/2012/chart" uri="{CE6537A1-D6FC-4f65-9D91-7224C49458BB}"/>
          </c:extLst>
        </c:dLbl>
      </c:pivotFmt>
      <c:pivotFmt>
        <c:idx val="71"/>
        <c:dLbl>
          <c:idx val="0"/>
          <c:delete val="1"/>
          <c:extLst>
            <c:ext xmlns:c15="http://schemas.microsoft.com/office/drawing/2012/chart" uri="{CE6537A1-D6FC-4f65-9D91-7224C49458BB}"/>
          </c:extLst>
        </c:dLbl>
      </c:pivotFmt>
      <c:pivotFmt>
        <c:idx val="72"/>
        <c:dLbl>
          <c:idx val="0"/>
          <c:delete val="1"/>
          <c:extLst>
            <c:ext xmlns:c15="http://schemas.microsoft.com/office/drawing/2012/chart" uri="{CE6537A1-D6FC-4f65-9D91-7224C49458BB}"/>
          </c:extLst>
        </c:dLbl>
      </c:pivotFmt>
      <c:pivotFmt>
        <c:idx val="73"/>
        <c:dLbl>
          <c:idx val="0"/>
          <c:delete val="1"/>
          <c:extLst>
            <c:ext xmlns:c15="http://schemas.microsoft.com/office/drawing/2012/chart" uri="{CE6537A1-D6FC-4f65-9D91-7224C49458BB}"/>
          </c:extLst>
        </c:dLbl>
      </c:pivotFmt>
      <c:pivotFmt>
        <c:idx val="74"/>
        <c:dLbl>
          <c:idx val="0"/>
          <c:delete val="1"/>
          <c:extLst>
            <c:ext xmlns:c15="http://schemas.microsoft.com/office/drawing/2012/chart" uri="{CE6537A1-D6FC-4f65-9D91-7224C49458BB}"/>
          </c:extLst>
        </c:dLbl>
      </c:pivotFmt>
      <c:pivotFmt>
        <c:idx val="75"/>
        <c:dLbl>
          <c:idx val="0"/>
          <c:delete val="1"/>
          <c:extLst>
            <c:ext xmlns:c15="http://schemas.microsoft.com/office/drawing/2012/chart" uri="{CE6537A1-D6FC-4f65-9D91-7224C49458BB}"/>
          </c:extLst>
        </c:dLbl>
      </c:pivotFmt>
      <c:pivotFmt>
        <c:idx val="76"/>
        <c:dLbl>
          <c:idx val="0"/>
          <c:delete val="1"/>
          <c:extLst>
            <c:ext xmlns:c15="http://schemas.microsoft.com/office/drawing/2012/chart" uri="{CE6537A1-D6FC-4f65-9D91-7224C49458BB}"/>
          </c:extLst>
        </c:dLbl>
      </c:pivotFmt>
      <c:pivotFmt>
        <c:idx val="77"/>
        <c:dLbl>
          <c:idx val="0"/>
          <c:delete val="1"/>
          <c:extLst>
            <c:ext xmlns:c15="http://schemas.microsoft.com/office/drawing/2012/chart" uri="{CE6537A1-D6FC-4f65-9D91-7224C49458BB}"/>
          </c:extLst>
        </c:dLbl>
      </c:pivotFmt>
      <c:pivotFmt>
        <c:idx val="78"/>
        <c:dLbl>
          <c:idx val="0"/>
          <c:delete val="1"/>
          <c:extLst>
            <c:ext xmlns:c15="http://schemas.microsoft.com/office/drawing/2012/chart" uri="{CE6537A1-D6FC-4f65-9D91-7224C49458BB}"/>
          </c:extLst>
        </c:dLbl>
      </c:pivotFmt>
      <c:pivotFmt>
        <c:idx val="79"/>
        <c:dLbl>
          <c:idx val="0"/>
          <c:delete val="1"/>
          <c:extLst>
            <c:ext xmlns:c15="http://schemas.microsoft.com/office/drawing/2012/chart" uri="{CE6537A1-D6FC-4f65-9D91-7224C49458BB}"/>
          </c:extLst>
        </c:dLbl>
      </c:pivotFmt>
      <c:pivotFmt>
        <c:idx val="80"/>
        <c:dLbl>
          <c:idx val="0"/>
          <c:delete val="1"/>
          <c:extLst>
            <c:ext xmlns:c15="http://schemas.microsoft.com/office/drawing/2012/chart" uri="{CE6537A1-D6FC-4f65-9D91-7224C49458BB}"/>
          </c:extLst>
        </c:dLbl>
      </c:pivotFmt>
      <c:pivotFmt>
        <c:idx val="81"/>
        <c:dLbl>
          <c:idx val="0"/>
          <c:delete val="1"/>
          <c:extLst>
            <c:ext xmlns:c15="http://schemas.microsoft.com/office/drawing/2012/chart" uri="{CE6537A1-D6FC-4f65-9D91-7224C49458BB}"/>
          </c:extLst>
        </c:dLbl>
      </c:pivotFmt>
      <c:pivotFmt>
        <c:idx val="82"/>
        <c:dLbl>
          <c:idx val="0"/>
          <c:delete val="1"/>
          <c:extLst>
            <c:ext xmlns:c15="http://schemas.microsoft.com/office/drawing/2012/chart" uri="{CE6537A1-D6FC-4f65-9D91-7224C49458BB}"/>
          </c:extLst>
        </c:dLbl>
      </c:pivotFmt>
      <c:pivotFmt>
        <c:idx val="83"/>
        <c:dLbl>
          <c:idx val="0"/>
          <c:delete val="1"/>
          <c:extLst>
            <c:ext xmlns:c15="http://schemas.microsoft.com/office/drawing/2012/chart" uri="{CE6537A1-D6FC-4f65-9D91-7224C49458BB}"/>
          </c:extLst>
        </c:dLbl>
      </c:pivotFmt>
      <c:pivotFmt>
        <c:idx val="84"/>
        <c:dLbl>
          <c:idx val="0"/>
          <c:delete val="1"/>
          <c:extLst>
            <c:ext xmlns:c15="http://schemas.microsoft.com/office/drawing/2012/chart" uri="{CE6537A1-D6FC-4f65-9D91-7224C49458BB}"/>
          </c:extLst>
        </c:dLbl>
      </c:pivotFmt>
      <c:pivotFmt>
        <c:idx val="85"/>
        <c:dLbl>
          <c:idx val="0"/>
          <c:layout>
            <c:manualLayout>
              <c:x val="2.6462042744682366E-2"/>
              <c:y val="-0.11363621838094595"/>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6"/>
        <c:dLbl>
          <c:idx val="0"/>
          <c:layout>
            <c:manualLayout>
              <c:x val="-2.4571896834347944E-2"/>
              <c:y val="-5.4112484943307608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7"/>
        <c:dLbl>
          <c:idx val="0"/>
          <c:layout>
            <c:manualLayout>
              <c:x val="-2.2681750924013457E-2"/>
              <c:y val="4.8701236448976726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8"/>
        <c:dLbl>
          <c:idx val="0"/>
          <c:layout>
            <c:manualLayout>
              <c:x val="-0.13042006781307738"/>
              <c:y val="-1.3528121235826897E-2"/>
            </c:manualLayout>
          </c:layout>
          <c:dLblPos val="bestFit"/>
          <c:showLegendKey val="0"/>
          <c:showVal val="0"/>
          <c:showCatName val="1"/>
          <c:showSerName val="0"/>
          <c:showPercent val="1"/>
          <c:showBubbleSize val="0"/>
          <c:extLst>
            <c:ext xmlns:c15="http://schemas.microsoft.com/office/drawing/2012/chart" uri="{CE6537A1-D6FC-4f65-9D91-7224C49458BB}"/>
          </c:extLst>
        </c:dLbl>
      </c:pivotFmt>
      <c:pivotFmt>
        <c:idx val="89"/>
      </c:pivotFmt>
      <c:pivotFmt>
        <c:idx val="90"/>
        <c:dLbl>
          <c:idx val="0"/>
          <c:delete val="1"/>
          <c:extLst>
            <c:ext xmlns:c15="http://schemas.microsoft.com/office/drawing/2012/chart" uri="{CE6537A1-D6FC-4f65-9D91-7224C49458BB}"/>
          </c:extLst>
        </c:dLbl>
      </c:pivotFmt>
      <c:pivotFmt>
        <c:idx val="91"/>
      </c:pivotFmt>
      <c:pivotFmt>
        <c:idx val="92"/>
      </c:pivotFmt>
      <c:pivotFmt>
        <c:idx val="93"/>
      </c:pivotFmt>
      <c:pivotFmt>
        <c:idx val="94"/>
      </c:pivotFmt>
      <c:pivotFmt>
        <c:idx val="95"/>
      </c:pivotFmt>
      <c:pivotFmt>
        <c:idx val="96"/>
      </c:pivotFmt>
      <c:pivotFmt>
        <c:idx val="97"/>
      </c:pivotFmt>
      <c:pivotFmt>
        <c:idx val="98"/>
      </c:pivotFmt>
      <c:pivotFmt>
        <c:idx val="99"/>
      </c:pivotFmt>
      <c:pivotFmt>
        <c:idx val="100"/>
      </c:pivotFmt>
      <c:pivotFmt>
        <c:idx val="101"/>
      </c:pivotFmt>
      <c:pivotFmt>
        <c:idx val="102"/>
      </c:pivotFmt>
      <c:pivotFmt>
        <c:idx val="103"/>
      </c:pivotFmt>
      <c:pivotFmt>
        <c:idx val="104"/>
      </c:pivotFmt>
      <c:pivotFmt>
        <c:idx val="105"/>
      </c:pivotFmt>
      <c:pivotFmt>
        <c:idx val="106"/>
      </c:pivotFmt>
      <c:pivotFmt>
        <c:idx val="107"/>
      </c:pivotFmt>
      <c:pivotFmt>
        <c:idx val="108"/>
      </c:pivotFmt>
      <c:pivotFmt>
        <c:idx val="109"/>
      </c:pivotFmt>
      <c:pivotFmt>
        <c:idx val="110"/>
      </c:pivotFmt>
      <c:pivotFmt>
        <c:idx val="111"/>
      </c:pivotFmt>
      <c:pivotFmt>
        <c:idx val="112"/>
      </c:pivotFmt>
      <c:pivotFmt>
        <c:idx val="113"/>
      </c:pivotFmt>
      <c:pivotFmt>
        <c:idx val="114"/>
      </c:pivotFmt>
      <c:pivotFmt>
        <c:idx val="115"/>
      </c:pivotFmt>
      <c:pivotFmt>
        <c:idx val="116"/>
      </c:pivotFmt>
      <c:pivotFmt>
        <c:idx val="117"/>
      </c:pivotFmt>
      <c:pivotFmt>
        <c:idx val="118"/>
      </c:pivotFmt>
      <c:pivotFmt>
        <c:idx val="119"/>
      </c:pivotFmt>
      <c:pivotFmt>
        <c:idx val="120"/>
      </c:pivotFmt>
      <c:pivotFmt>
        <c:idx val="121"/>
      </c:pivotFmt>
      <c:pivotFmt>
        <c:idx val="122"/>
        <c:spPr>
          <a:solidFill>
            <a:schemeClr val="accent1"/>
          </a:solidFill>
          <a:ln>
            <a:noFill/>
          </a:ln>
          <a:effectLst>
            <a:outerShdw blurRad="254000" sx="102000" sy="102000" algn="ctr" rotWithShape="0">
              <a:prstClr val="black">
                <a:alpha val="20000"/>
              </a:prstClr>
            </a:outerShdw>
          </a:effectLst>
          <a:sp3d/>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123"/>
        <c:dLbl>
          <c:idx val="0"/>
          <c:delete val="1"/>
          <c:extLst>
            <c:ext xmlns:c15="http://schemas.microsoft.com/office/drawing/2012/chart" uri="{CE6537A1-D6FC-4f65-9D91-7224C49458BB}"/>
          </c:extLst>
        </c:dLbl>
      </c:pivotFmt>
      <c:pivotFmt>
        <c:idx val="124"/>
        <c:dLbl>
          <c:idx val="0"/>
          <c:delete val="1"/>
          <c:extLst>
            <c:ext xmlns:c15="http://schemas.microsoft.com/office/drawing/2012/chart" uri="{CE6537A1-D6FC-4f65-9D91-7224C49458BB}"/>
          </c:extLst>
        </c:dLbl>
      </c:pivotFmt>
      <c:pivotFmt>
        <c:idx val="125"/>
        <c:dLbl>
          <c:idx val="0"/>
          <c:delete val="1"/>
          <c:extLst>
            <c:ext xmlns:c15="http://schemas.microsoft.com/office/drawing/2012/chart" uri="{CE6537A1-D6FC-4f65-9D91-7224C49458BB}"/>
          </c:extLst>
        </c:dLbl>
      </c:pivotFmt>
      <c:pivotFmt>
        <c:idx val="126"/>
        <c:dLbl>
          <c:idx val="0"/>
          <c:delete val="1"/>
          <c:extLst>
            <c:ext xmlns:c15="http://schemas.microsoft.com/office/drawing/2012/chart" uri="{CE6537A1-D6FC-4f65-9D91-7224C49458BB}"/>
          </c:extLst>
        </c:dLbl>
      </c:pivotFmt>
      <c:pivotFmt>
        <c:idx val="127"/>
        <c:dLbl>
          <c:idx val="0"/>
          <c:delete val="1"/>
          <c:extLst>
            <c:ext xmlns:c15="http://schemas.microsoft.com/office/drawing/2012/chart" uri="{CE6537A1-D6FC-4f65-9D91-7224C49458BB}"/>
          </c:extLst>
        </c:dLbl>
      </c:pivotFmt>
      <c:pivotFmt>
        <c:idx val="128"/>
        <c:dLbl>
          <c:idx val="0"/>
          <c:delete val="1"/>
          <c:extLst>
            <c:ext xmlns:c15="http://schemas.microsoft.com/office/drawing/2012/chart" uri="{CE6537A1-D6FC-4f65-9D91-7224C49458BB}"/>
          </c:extLst>
        </c:dLbl>
      </c:pivotFmt>
      <c:pivotFmt>
        <c:idx val="129"/>
        <c:dLbl>
          <c:idx val="0"/>
          <c:delete val="1"/>
          <c:extLst>
            <c:ext xmlns:c15="http://schemas.microsoft.com/office/drawing/2012/chart" uri="{CE6537A1-D6FC-4f65-9D91-7224C49458BB}"/>
          </c:extLst>
        </c:dLbl>
      </c:pivotFmt>
      <c:pivotFmt>
        <c:idx val="130"/>
        <c:dLbl>
          <c:idx val="0"/>
          <c:delete val="1"/>
          <c:extLst>
            <c:ext xmlns:c15="http://schemas.microsoft.com/office/drawing/2012/chart" uri="{CE6537A1-D6FC-4f65-9D91-7224C49458BB}"/>
          </c:extLst>
        </c:dLbl>
      </c:pivotFmt>
      <c:pivotFmt>
        <c:idx val="131"/>
        <c:dLbl>
          <c:idx val="0"/>
          <c:delete val="1"/>
          <c:extLst>
            <c:ext xmlns:c15="http://schemas.microsoft.com/office/drawing/2012/chart" uri="{CE6537A1-D6FC-4f65-9D91-7224C49458BB}"/>
          </c:extLst>
        </c:dLbl>
      </c:pivotFmt>
      <c:pivotFmt>
        <c:idx val="132"/>
        <c:dLbl>
          <c:idx val="0"/>
          <c:delete val="1"/>
          <c:extLst>
            <c:ext xmlns:c15="http://schemas.microsoft.com/office/drawing/2012/chart" uri="{CE6537A1-D6FC-4f65-9D91-7224C49458BB}"/>
          </c:extLst>
        </c:dLbl>
      </c:pivotFmt>
      <c:pivotFmt>
        <c:idx val="133"/>
        <c:dLbl>
          <c:idx val="0"/>
          <c:delete val="1"/>
          <c:extLst>
            <c:ext xmlns:c15="http://schemas.microsoft.com/office/drawing/2012/chart" uri="{CE6537A1-D6FC-4f65-9D91-7224C49458BB}"/>
          </c:extLst>
        </c:dLbl>
      </c:pivotFmt>
      <c:pivotFmt>
        <c:idx val="134"/>
        <c:dLbl>
          <c:idx val="0"/>
          <c:delete val="1"/>
          <c:extLst>
            <c:ext xmlns:c15="http://schemas.microsoft.com/office/drawing/2012/chart" uri="{CE6537A1-D6FC-4f65-9D91-7224C49458BB}"/>
          </c:extLst>
        </c:dLbl>
      </c:pivotFmt>
      <c:pivotFmt>
        <c:idx val="135"/>
        <c:dLbl>
          <c:idx val="0"/>
          <c:delete val="1"/>
          <c:extLst>
            <c:ext xmlns:c15="http://schemas.microsoft.com/office/drawing/2012/chart" uri="{CE6537A1-D6FC-4f65-9D91-7224C49458BB}"/>
          </c:extLst>
        </c:dLbl>
      </c:pivotFmt>
      <c:pivotFmt>
        <c:idx val="136"/>
        <c:dLbl>
          <c:idx val="0"/>
          <c:delete val="1"/>
          <c:extLst>
            <c:ext xmlns:c15="http://schemas.microsoft.com/office/drawing/2012/chart" uri="{CE6537A1-D6FC-4f65-9D91-7224C49458BB}"/>
          </c:extLst>
        </c:dLbl>
      </c:pivotFmt>
      <c:pivotFmt>
        <c:idx val="137"/>
        <c:dLbl>
          <c:idx val="0"/>
          <c:delete val="1"/>
          <c:extLst>
            <c:ext xmlns:c15="http://schemas.microsoft.com/office/drawing/2012/chart" uri="{CE6537A1-D6FC-4f65-9D91-7224C49458BB}"/>
          </c:extLst>
        </c:dLbl>
      </c:pivotFmt>
      <c:pivotFmt>
        <c:idx val="138"/>
        <c:dLbl>
          <c:idx val="0"/>
          <c:delete val="1"/>
          <c:extLst>
            <c:ext xmlns:c15="http://schemas.microsoft.com/office/drawing/2012/chart" uri="{CE6537A1-D6FC-4f65-9D91-7224C49458BB}"/>
          </c:extLst>
        </c:dLbl>
      </c:pivotFmt>
      <c:pivotFmt>
        <c:idx val="139"/>
        <c:dLbl>
          <c:idx val="0"/>
          <c:delete val="1"/>
          <c:extLst>
            <c:ext xmlns:c15="http://schemas.microsoft.com/office/drawing/2012/chart" uri="{CE6537A1-D6FC-4f65-9D91-7224C49458BB}"/>
          </c:extLst>
        </c:dLbl>
      </c:pivotFmt>
      <c:pivotFmt>
        <c:idx val="140"/>
        <c:dLbl>
          <c:idx val="0"/>
          <c:delete val="1"/>
          <c:extLst>
            <c:ext xmlns:c15="http://schemas.microsoft.com/office/drawing/2012/chart" uri="{CE6537A1-D6FC-4f65-9D91-7224C49458BB}"/>
          </c:extLst>
        </c:dLbl>
      </c:pivotFmt>
      <c:pivotFmt>
        <c:idx val="141"/>
        <c:dLbl>
          <c:idx val="0"/>
          <c:delete val="1"/>
          <c:extLst>
            <c:ext xmlns:c15="http://schemas.microsoft.com/office/drawing/2012/chart" uri="{CE6537A1-D6FC-4f65-9D91-7224C49458BB}"/>
          </c:extLst>
        </c:dLbl>
      </c:pivotFmt>
      <c:pivotFmt>
        <c:idx val="142"/>
        <c:dLbl>
          <c:idx val="0"/>
          <c:delete val="1"/>
          <c:extLst>
            <c:ext xmlns:c15="http://schemas.microsoft.com/office/drawing/2012/chart" uri="{CE6537A1-D6FC-4f65-9D91-7224C49458BB}"/>
          </c:extLst>
        </c:dLbl>
      </c:pivotFmt>
      <c:pivotFmt>
        <c:idx val="143"/>
        <c:dLbl>
          <c:idx val="0"/>
          <c:delete val="1"/>
          <c:extLst>
            <c:ext xmlns:c15="http://schemas.microsoft.com/office/drawing/2012/chart" uri="{CE6537A1-D6FC-4f65-9D91-7224C49458BB}"/>
          </c:extLst>
        </c:dLbl>
      </c:pivotFmt>
      <c:pivotFmt>
        <c:idx val="144"/>
        <c:dLbl>
          <c:idx val="0"/>
          <c:delete val="1"/>
          <c:extLst>
            <c:ext xmlns:c15="http://schemas.microsoft.com/office/drawing/2012/chart" uri="{CE6537A1-D6FC-4f65-9D91-7224C49458BB}"/>
          </c:extLst>
        </c:dLbl>
      </c:pivotFmt>
      <c:pivotFmt>
        <c:idx val="145"/>
        <c:dLbl>
          <c:idx val="0"/>
          <c:delete val="1"/>
          <c:extLst>
            <c:ext xmlns:c15="http://schemas.microsoft.com/office/drawing/2012/chart" uri="{CE6537A1-D6FC-4f65-9D91-7224C49458BB}"/>
          </c:extLst>
        </c:dLbl>
      </c:pivotFmt>
      <c:pivotFmt>
        <c:idx val="146"/>
        <c:dLbl>
          <c:idx val="0"/>
          <c:delete val="1"/>
          <c:extLst>
            <c:ext xmlns:c15="http://schemas.microsoft.com/office/drawing/2012/chart" uri="{CE6537A1-D6FC-4f65-9D91-7224C49458BB}"/>
          </c:extLst>
        </c:dLbl>
      </c:pivotFmt>
      <c:pivotFmt>
        <c:idx val="147"/>
        <c:dLbl>
          <c:idx val="0"/>
          <c:layout>
            <c:manualLayout>
              <c:x val="0.19620937152167756"/>
              <c:y val="-4.3170259873190411E-2"/>
            </c:manualLayout>
          </c:layout>
          <c:dLblPos val="bestFit"/>
          <c:showLegendKey val="0"/>
          <c:showVal val="0"/>
          <c:showCatName val="0"/>
          <c:showSerName val="0"/>
          <c:showPercent val="1"/>
          <c:showBubbleSize val="0"/>
          <c:extLst>
            <c:ext xmlns:c15="http://schemas.microsoft.com/office/drawing/2012/chart" uri="{CE6537A1-D6FC-4f65-9D91-7224C49458BB}"/>
          </c:extLst>
        </c:dLbl>
      </c:pivotFmt>
      <c:pivotFmt>
        <c:idx val="148"/>
        <c:dLbl>
          <c:idx val="0"/>
          <c:layout>
            <c:manualLayout>
              <c:x val="-7.908746510485426E-2"/>
              <c:y val="-3.1923600539735052E-2"/>
            </c:manualLayout>
          </c:layout>
          <c:dLblPos val="bestFit"/>
          <c:showLegendKey val="0"/>
          <c:showVal val="0"/>
          <c:showCatName val="0"/>
          <c:showSerName val="0"/>
          <c:showPercent val="1"/>
          <c:showBubbleSize val="0"/>
          <c:extLst>
            <c:ext xmlns:c15="http://schemas.microsoft.com/office/drawing/2012/chart" uri="{CE6537A1-D6FC-4f65-9D91-7224C49458BB}"/>
          </c:extLst>
        </c:dLbl>
      </c:pivotFmt>
      <c:pivotFmt>
        <c:idx val="149"/>
      </c:pivotFmt>
      <c:pivotFmt>
        <c:idx val="150"/>
      </c:pivotFmt>
      <c:pivotFmt>
        <c:idx val="151"/>
      </c:pivotFmt>
      <c:pivotFmt>
        <c:idx val="152"/>
        <c:dLbl>
          <c:idx val="0"/>
          <c:delete val="1"/>
          <c:extLst>
            <c:ext xmlns:c15="http://schemas.microsoft.com/office/drawing/2012/chart" uri="{CE6537A1-D6FC-4f65-9D91-7224C49458BB}"/>
          </c:extLst>
        </c:dLbl>
      </c:pivotFmt>
      <c:pivotFmt>
        <c:idx val="153"/>
      </c:pivotFmt>
      <c:pivotFmt>
        <c:idx val="154"/>
      </c:pivotFmt>
      <c:pivotFmt>
        <c:idx val="155"/>
      </c:pivotFmt>
      <c:pivotFmt>
        <c:idx val="156"/>
      </c:pivotFmt>
      <c:pivotFmt>
        <c:idx val="157"/>
      </c:pivotFmt>
      <c:pivotFmt>
        <c:idx val="158"/>
      </c:pivotFmt>
      <c:pivotFmt>
        <c:idx val="159"/>
      </c:pivotFmt>
      <c:pivotFmt>
        <c:idx val="160"/>
      </c:pivotFmt>
      <c:pivotFmt>
        <c:idx val="161"/>
      </c:pivotFmt>
      <c:pivotFmt>
        <c:idx val="162"/>
      </c:pivotFmt>
      <c:pivotFmt>
        <c:idx val="163"/>
      </c:pivotFmt>
      <c:pivotFmt>
        <c:idx val="164"/>
      </c:pivotFmt>
      <c:pivotFmt>
        <c:idx val="165"/>
      </c:pivotFmt>
      <c:pivotFmt>
        <c:idx val="166"/>
      </c:pivotFmt>
      <c:pivotFmt>
        <c:idx val="167"/>
      </c:pivotFmt>
      <c:pivotFmt>
        <c:idx val="168"/>
      </c:pivotFmt>
      <c:pivotFmt>
        <c:idx val="169"/>
      </c:pivotFmt>
      <c:pivotFmt>
        <c:idx val="170"/>
      </c:pivotFmt>
      <c:pivotFmt>
        <c:idx val="171"/>
      </c:pivotFmt>
      <c:pivotFmt>
        <c:idx val="172"/>
      </c:pivotFmt>
      <c:pivotFmt>
        <c:idx val="173"/>
      </c:pivotFmt>
      <c:pivotFmt>
        <c:idx val="174"/>
      </c:pivotFmt>
      <c:pivotFmt>
        <c:idx val="175"/>
      </c:pivotFmt>
      <c:pivotFmt>
        <c:idx val="176"/>
      </c:pivotFmt>
      <c:pivotFmt>
        <c:idx val="177"/>
      </c:pivotFmt>
      <c:pivotFmt>
        <c:idx val="178"/>
      </c:pivotFmt>
      <c:pivotFmt>
        <c:idx val="179"/>
      </c:pivotFmt>
      <c:pivotFmt>
        <c:idx val="180"/>
      </c:pivotFmt>
      <c:pivotFmt>
        <c:idx val="181"/>
      </c:pivotFmt>
      <c:pivotFmt>
        <c:idx val="182"/>
      </c:pivotFmt>
      <c:pivotFmt>
        <c:idx val="183"/>
      </c:pivotFmt>
      <c:pivotFmt>
        <c:idx val="184"/>
      </c:pivotFmt>
      <c:pivotFmt>
        <c:idx val="185"/>
      </c:pivotFmt>
      <c:pivotFmt>
        <c:idx val="186"/>
      </c:pivotFmt>
      <c:pivotFmt>
        <c:idx val="187"/>
      </c:pivotFmt>
      <c:pivotFmt>
        <c:idx val="188"/>
      </c:pivotFmt>
      <c:pivotFmt>
        <c:idx val="189"/>
      </c:pivotFmt>
      <c:pivotFmt>
        <c:idx val="190"/>
      </c:pivotFmt>
      <c:pivotFmt>
        <c:idx val="191"/>
      </c:pivotFmt>
      <c:pivotFmt>
        <c:idx val="192"/>
      </c:pivotFmt>
      <c:pivotFmt>
        <c:idx val="193"/>
      </c:pivotFmt>
      <c:pivotFmt>
        <c:idx val="194"/>
      </c:pivotFmt>
      <c:pivotFmt>
        <c:idx val="195"/>
      </c:pivotFmt>
      <c:pivotFmt>
        <c:idx val="196"/>
      </c:pivotFmt>
      <c:pivotFmt>
        <c:idx val="197"/>
      </c:pivotFmt>
      <c:pivotFmt>
        <c:idx val="198"/>
      </c:pivotFmt>
      <c:pivotFmt>
        <c:idx val="199"/>
      </c:pivotFmt>
      <c:pivotFmt>
        <c:idx val="200"/>
      </c:pivotFmt>
      <c:pivotFmt>
        <c:idx val="201"/>
      </c:pivotFmt>
      <c:pivotFmt>
        <c:idx val="202"/>
      </c:pivotFmt>
      <c:pivotFmt>
        <c:idx val="203"/>
      </c:pivotFmt>
      <c:pivotFmt>
        <c:idx val="20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0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0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0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0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0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1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2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21"/>
        <c:spPr>
          <a:solidFill>
            <a:schemeClr val="accent1"/>
          </a:solidFill>
          <a:ln>
            <a:noFill/>
          </a:ln>
          <a:effectLst>
            <a:outerShdw blurRad="254000" sx="102000" sy="102000" algn="ctr" rotWithShape="0">
              <a:prstClr val="black">
                <a:alpha val="20000"/>
              </a:prstClr>
            </a:outerShdw>
          </a:effectLst>
          <a:sp3d/>
        </c:spPr>
        <c:dLbl>
          <c:idx val="0"/>
          <c:layout>
            <c:manualLayout>
              <c:x val="0.10178513449669518"/>
              <c:y val="3.128377577731416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22"/>
        <c:spPr>
          <a:solidFill>
            <a:schemeClr val="accent1"/>
          </a:solidFill>
          <a:ln>
            <a:noFill/>
          </a:ln>
          <a:effectLst>
            <a:outerShdw blurRad="254000" sx="102000" sy="102000" algn="ctr" rotWithShape="0">
              <a:prstClr val="black">
                <a:alpha val="20000"/>
              </a:prstClr>
            </a:outerShdw>
          </a:effectLst>
          <a:sp3d/>
        </c:spPr>
        <c:dLbl>
          <c:idx val="0"/>
          <c:layout>
            <c:manualLayout>
              <c:x val="2.1548516939139267E-2"/>
              <c:y val="9.267534677960866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23"/>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24"/>
        <c:spPr>
          <a:solidFill>
            <a:schemeClr val="accent1"/>
          </a:solidFill>
          <a:ln>
            <a:noFill/>
          </a:ln>
          <a:effectLst>
            <a:outerShdw blurRad="254000" sx="102000" sy="102000" algn="ctr" rotWithShape="0">
              <a:prstClr val="black">
                <a:alpha val="20000"/>
              </a:prstClr>
            </a:outerShdw>
          </a:effectLst>
          <a:sp3d/>
        </c:spPr>
      </c:pivotFmt>
      <c:pivotFmt>
        <c:idx val="225"/>
        <c:spPr>
          <a:solidFill>
            <a:schemeClr val="accent1"/>
          </a:solidFill>
          <a:ln>
            <a:noFill/>
          </a:ln>
          <a:effectLst>
            <a:outerShdw blurRad="254000" sx="102000" sy="102000" algn="ctr" rotWithShape="0">
              <a:prstClr val="black">
                <a:alpha val="20000"/>
              </a:prstClr>
            </a:outerShdw>
          </a:effectLst>
          <a:sp3d/>
        </c:spPr>
      </c:pivotFmt>
      <c:pivotFmt>
        <c:idx val="226"/>
        <c:spPr>
          <a:solidFill>
            <a:schemeClr val="accent1"/>
          </a:solidFill>
          <a:ln>
            <a:noFill/>
          </a:ln>
          <a:effectLst>
            <a:outerShdw blurRad="254000" sx="102000" sy="102000" algn="ctr" rotWithShape="0">
              <a:prstClr val="black">
                <a:alpha val="20000"/>
              </a:prstClr>
            </a:outerShdw>
          </a:effectLst>
          <a:sp3d/>
        </c:spPr>
        <c:dLbl>
          <c:idx val="0"/>
          <c:layout>
            <c:manualLayout>
              <c:x val="2.1548516939139267E-2"/>
              <c:y val="9.267534677960866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27"/>
        <c:spPr>
          <a:solidFill>
            <a:schemeClr val="accent1"/>
          </a:solidFill>
          <a:ln>
            <a:noFill/>
          </a:ln>
          <a:effectLst>
            <a:outerShdw blurRad="254000" sx="102000" sy="102000" algn="ctr" rotWithShape="0">
              <a:prstClr val="black">
                <a:alpha val="20000"/>
              </a:prstClr>
            </a:outerShdw>
          </a:effectLst>
          <a:sp3d/>
        </c:spPr>
        <c:dLbl>
          <c:idx val="0"/>
          <c:layout>
            <c:manualLayout>
              <c:x val="0.10178513449669518"/>
              <c:y val="3.128377577731416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2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2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3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4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4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4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4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4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45"/>
        <c:spPr>
          <a:solidFill>
            <a:schemeClr val="accent1"/>
          </a:solidFill>
          <a:ln>
            <a:noFill/>
          </a:ln>
          <a:effectLst>
            <a:outerShdw blurRad="254000" sx="102000" sy="102000" algn="ctr" rotWithShape="0">
              <a:prstClr val="black">
                <a:alpha val="20000"/>
              </a:prstClr>
            </a:outerShdw>
          </a:effectLst>
          <a:sp3d/>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46"/>
        <c:spPr>
          <a:solidFill>
            <a:schemeClr val="accent1"/>
          </a:solidFill>
          <a:ln>
            <a:noFill/>
          </a:ln>
          <a:effectLst>
            <a:outerShdw blurRad="254000" sx="102000" sy="102000" algn="ctr" rotWithShape="0">
              <a:prstClr val="black">
                <a:alpha val="20000"/>
              </a:prstClr>
            </a:outerShdw>
          </a:effectLst>
          <a:sp3d/>
        </c:spPr>
      </c:pivotFmt>
      <c:pivotFmt>
        <c:idx val="247"/>
        <c:spPr>
          <a:solidFill>
            <a:schemeClr val="accent1"/>
          </a:solidFill>
          <a:ln>
            <a:noFill/>
          </a:ln>
          <a:effectLst>
            <a:outerShdw blurRad="254000" sx="102000" sy="102000" algn="ctr" rotWithShape="0">
              <a:prstClr val="black">
                <a:alpha val="20000"/>
              </a:prstClr>
            </a:outerShdw>
          </a:effectLst>
          <a:sp3d/>
        </c:spPr>
      </c:pivotFmt>
      <c:pivotFmt>
        <c:idx val="248"/>
        <c:spPr>
          <a:solidFill>
            <a:schemeClr val="accent1"/>
          </a:solidFill>
          <a:ln>
            <a:noFill/>
          </a:ln>
          <a:effectLst>
            <a:outerShdw blurRad="254000" sx="102000" sy="102000" algn="ctr" rotWithShape="0">
              <a:prstClr val="black">
                <a:alpha val="20000"/>
              </a:prstClr>
            </a:outerShdw>
          </a:effectLst>
          <a:sp3d/>
        </c:spPr>
        <c:dLbl>
          <c:idx val="0"/>
          <c:layout>
            <c:manualLayout>
              <c:x val="2.1548516939139267E-2"/>
              <c:y val="9.2675346779608661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49"/>
        <c:spPr>
          <a:solidFill>
            <a:schemeClr val="accent1"/>
          </a:solidFill>
          <a:ln>
            <a:noFill/>
          </a:ln>
          <a:effectLst>
            <a:outerShdw blurRad="254000" sx="102000" sy="102000" algn="ctr" rotWithShape="0">
              <a:prstClr val="black">
                <a:alpha val="20000"/>
              </a:prstClr>
            </a:outerShdw>
          </a:effectLst>
          <a:sp3d/>
        </c:spPr>
        <c:dLbl>
          <c:idx val="0"/>
          <c:layout>
            <c:manualLayout>
              <c:x val="0.10178513449669518"/>
              <c:y val="3.1283775777314164E-2"/>
            </c:manualLayout>
          </c:layout>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Lst>
        </c:dLbl>
      </c:pivotFmt>
      <c:pivotFmt>
        <c:idx val="25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7"/>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8"/>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59"/>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60"/>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61"/>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62"/>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63"/>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64"/>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65"/>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
        <c:idx val="266"/>
        <c:spPr>
          <a:solidFill>
            <a:schemeClr val="accent1"/>
          </a:solidFill>
          <a:ln>
            <a:noFill/>
          </a:ln>
          <a:effectLst>
            <a:outerShdw blurRad="254000" sx="102000" sy="102000" algn="ctr" rotWithShape="0">
              <a:prstClr val="black">
                <a:alpha val="20000"/>
              </a:prstClr>
            </a:outerShdw>
          </a:effectLst>
          <a:sp3d/>
        </c:spPr>
        <c:dLbl>
          <c:idx val="0"/>
          <c:delete val="1"/>
          <c:extLst>
            <c:ext xmlns:c15="http://schemas.microsoft.com/office/drawing/2012/chart" uri="{CE6537A1-D6FC-4f65-9D91-7224C49458BB}"/>
          </c:extLst>
        </c:dLbl>
      </c:pivotFmt>
    </c:pivotFmts>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77733163541975"/>
          <c:y val="0"/>
          <c:w val="0.47829883684797375"/>
          <c:h val="0.85984728362839069"/>
        </c:manualLayout>
      </c:layout>
      <c:pie3DChart>
        <c:varyColors val="1"/>
        <c:ser>
          <c:idx val="0"/>
          <c:order val="0"/>
          <c:tx>
            <c:strRef>
              <c:f>'Liabilities sector'!$B$3</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5E4-4EFF-91A6-236A7F1EA405}"/>
              </c:ext>
            </c:extLst>
          </c:dPt>
          <c:dPt>
            <c:idx val="1"/>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5E4-4EFF-91A6-236A7F1EA405}"/>
              </c:ext>
            </c:extLst>
          </c:dPt>
          <c:dPt>
            <c:idx val="2"/>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5E4-4EFF-91A6-236A7F1EA405}"/>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5E4-4EFF-91A6-236A7F1EA405}"/>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5E4-4EFF-91A6-236A7F1EA405}"/>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5E4-4EFF-91A6-236A7F1EA405}"/>
              </c:ext>
            </c:extLst>
          </c:dPt>
          <c:dPt>
            <c:idx val="6"/>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5E4-4EFF-91A6-236A7F1EA405}"/>
              </c:ext>
            </c:extLst>
          </c:dPt>
          <c:dPt>
            <c:idx val="7"/>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5E4-4EFF-91A6-236A7F1EA405}"/>
              </c:ext>
            </c:extLst>
          </c:dPt>
          <c:dPt>
            <c:idx val="8"/>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5E4-4EFF-91A6-236A7F1EA405}"/>
              </c:ext>
            </c:extLst>
          </c:dPt>
          <c:dPt>
            <c:idx val="9"/>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5E4-4EFF-91A6-236A7F1EA405}"/>
              </c:ext>
            </c:extLst>
          </c:dPt>
          <c:dPt>
            <c:idx val="1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25E4-4EFF-91A6-236A7F1EA405}"/>
              </c:ext>
            </c:extLst>
          </c:dPt>
          <c:dPt>
            <c:idx val="11"/>
            <c:bubble3D val="0"/>
            <c:spPr>
              <a:solidFill>
                <a:schemeClr val="accent5">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25E4-4EFF-91A6-236A7F1EA405}"/>
              </c:ext>
            </c:extLst>
          </c:dPt>
          <c:dPt>
            <c:idx val="12"/>
            <c:bubble3D val="0"/>
            <c:spPr>
              <a:solidFill>
                <a:schemeClr val="accent1">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25E4-4EFF-91A6-236A7F1EA405}"/>
              </c:ext>
            </c:extLst>
          </c:dPt>
          <c:dPt>
            <c:idx val="13"/>
            <c:bubble3D val="0"/>
            <c:spPr>
              <a:solidFill>
                <a:schemeClr val="accent3">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25E4-4EFF-91A6-236A7F1EA405}"/>
              </c:ext>
            </c:extLst>
          </c:dPt>
          <c:dPt>
            <c:idx val="14"/>
            <c:bubble3D val="0"/>
            <c:spPr>
              <a:solidFill>
                <a:schemeClr val="accent5">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25E4-4EFF-91A6-236A7F1EA405}"/>
              </c:ext>
            </c:extLst>
          </c:dPt>
          <c:dPt>
            <c:idx val="15"/>
            <c:bubble3D val="0"/>
            <c:spPr>
              <a:solidFill>
                <a:schemeClr val="accent1">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25E4-4EFF-91A6-236A7F1EA405}"/>
              </c:ext>
            </c:extLst>
          </c:dPt>
          <c:dPt>
            <c:idx val="16"/>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25E4-4EFF-91A6-236A7F1EA405}"/>
              </c:ext>
            </c:extLst>
          </c:dPt>
          <c:dPt>
            <c:idx val="17"/>
            <c:bubble3D val="0"/>
            <c:spPr>
              <a:solidFill>
                <a:schemeClr val="accent5">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25E4-4EFF-91A6-236A7F1EA405}"/>
              </c:ext>
            </c:extLst>
          </c:dPt>
          <c:dPt>
            <c:idx val="18"/>
            <c:bubble3D val="0"/>
            <c:spPr>
              <a:solidFill>
                <a:schemeClr val="accent1">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25E4-4EFF-91A6-236A7F1EA405}"/>
              </c:ext>
            </c:extLst>
          </c:dPt>
          <c:dPt>
            <c:idx val="19"/>
            <c:bubble3D val="0"/>
            <c:spPr>
              <a:solidFill>
                <a:schemeClr val="accent3">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25E4-4EFF-91A6-236A7F1EA405}"/>
              </c:ext>
            </c:extLst>
          </c:dPt>
          <c:dPt>
            <c:idx val="20"/>
            <c:bubble3D val="0"/>
            <c:spPr>
              <a:solidFill>
                <a:schemeClr val="accent5">
                  <a:lumMod val="70000"/>
                  <a:lumOff val="3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9-25E4-4EFF-91A6-236A7F1EA405}"/>
              </c:ext>
            </c:extLst>
          </c:dPt>
          <c:dLbls>
            <c:dLbl>
              <c:idx val="2"/>
              <c:layout>
                <c:manualLayout>
                  <c:x val="2.1548516939139267E-2"/>
                  <c:y val="9.267534677960866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E4-4EFF-91A6-236A7F1EA405}"/>
                </c:ext>
              </c:extLst>
            </c:dLbl>
            <c:dLbl>
              <c:idx val="3"/>
              <c:layout>
                <c:manualLayout>
                  <c:x val="0.10178513449669518"/>
                  <c:y val="3.12837757773141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E4-4EFF-91A6-236A7F1EA405}"/>
                </c:ext>
              </c:extLst>
            </c:dLbl>
            <c:dLbl>
              <c:idx val="4"/>
              <c:delete val="1"/>
              <c:extLst>
                <c:ext xmlns:c15="http://schemas.microsoft.com/office/drawing/2012/chart" uri="{CE6537A1-D6FC-4f65-9D91-7224C49458BB}"/>
                <c:ext xmlns:c16="http://schemas.microsoft.com/office/drawing/2014/chart" uri="{C3380CC4-5D6E-409C-BE32-E72D297353CC}">
                  <c16:uniqueId val="{00000009-25E4-4EFF-91A6-236A7F1EA405}"/>
                </c:ext>
              </c:extLst>
            </c:dLbl>
            <c:dLbl>
              <c:idx val="5"/>
              <c:delete val="1"/>
              <c:extLst>
                <c:ext xmlns:c15="http://schemas.microsoft.com/office/drawing/2012/chart" uri="{CE6537A1-D6FC-4f65-9D91-7224C49458BB}"/>
                <c:ext xmlns:c16="http://schemas.microsoft.com/office/drawing/2014/chart" uri="{C3380CC4-5D6E-409C-BE32-E72D297353CC}">
                  <c16:uniqueId val="{0000000B-25E4-4EFF-91A6-236A7F1EA405}"/>
                </c:ext>
              </c:extLst>
            </c:dLbl>
            <c:dLbl>
              <c:idx val="6"/>
              <c:delete val="1"/>
              <c:extLst>
                <c:ext xmlns:c15="http://schemas.microsoft.com/office/drawing/2012/chart" uri="{CE6537A1-D6FC-4f65-9D91-7224C49458BB}"/>
                <c:ext xmlns:c16="http://schemas.microsoft.com/office/drawing/2014/chart" uri="{C3380CC4-5D6E-409C-BE32-E72D297353CC}">
                  <c16:uniqueId val="{0000000D-25E4-4EFF-91A6-236A7F1EA405}"/>
                </c:ext>
              </c:extLst>
            </c:dLbl>
            <c:dLbl>
              <c:idx val="7"/>
              <c:delete val="1"/>
              <c:extLst>
                <c:ext xmlns:c15="http://schemas.microsoft.com/office/drawing/2012/chart" uri="{CE6537A1-D6FC-4f65-9D91-7224C49458BB}"/>
                <c:ext xmlns:c16="http://schemas.microsoft.com/office/drawing/2014/chart" uri="{C3380CC4-5D6E-409C-BE32-E72D297353CC}">
                  <c16:uniqueId val="{0000000F-25E4-4EFF-91A6-236A7F1EA405}"/>
                </c:ext>
              </c:extLst>
            </c:dLbl>
            <c:dLbl>
              <c:idx val="8"/>
              <c:delete val="1"/>
              <c:extLst>
                <c:ext xmlns:c15="http://schemas.microsoft.com/office/drawing/2012/chart" uri="{CE6537A1-D6FC-4f65-9D91-7224C49458BB}"/>
                <c:ext xmlns:c16="http://schemas.microsoft.com/office/drawing/2014/chart" uri="{C3380CC4-5D6E-409C-BE32-E72D297353CC}">
                  <c16:uniqueId val="{00000011-25E4-4EFF-91A6-236A7F1EA405}"/>
                </c:ext>
              </c:extLst>
            </c:dLbl>
            <c:dLbl>
              <c:idx val="9"/>
              <c:delete val="1"/>
              <c:extLst>
                <c:ext xmlns:c15="http://schemas.microsoft.com/office/drawing/2012/chart" uri="{CE6537A1-D6FC-4f65-9D91-7224C49458BB}"/>
                <c:ext xmlns:c16="http://schemas.microsoft.com/office/drawing/2014/chart" uri="{C3380CC4-5D6E-409C-BE32-E72D297353CC}">
                  <c16:uniqueId val="{00000013-25E4-4EFF-91A6-236A7F1EA405}"/>
                </c:ext>
              </c:extLst>
            </c:dLbl>
            <c:dLbl>
              <c:idx val="10"/>
              <c:delete val="1"/>
              <c:extLst>
                <c:ext xmlns:c15="http://schemas.microsoft.com/office/drawing/2012/chart" uri="{CE6537A1-D6FC-4f65-9D91-7224C49458BB}"/>
                <c:ext xmlns:c16="http://schemas.microsoft.com/office/drawing/2014/chart" uri="{C3380CC4-5D6E-409C-BE32-E72D297353CC}">
                  <c16:uniqueId val="{00000015-25E4-4EFF-91A6-236A7F1EA405}"/>
                </c:ext>
              </c:extLst>
            </c:dLbl>
            <c:dLbl>
              <c:idx val="11"/>
              <c:delete val="1"/>
              <c:extLst>
                <c:ext xmlns:c15="http://schemas.microsoft.com/office/drawing/2012/chart" uri="{CE6537A1-D6FC-4f65-9D91-7224C49458BB}"/>
                <c:ext xmlns:c16="http://schemas.microsoft.com/office/drawing/2014/chart" uri="{C3380CC4-5D6E-409C-BE32-E72D297353CC}">
                  <c16:uniqueId val="{00000017-25E4-4EFF-91A6-236A7F1EA405}"/>
                </c:ext>
              </c:extLst>
            </c:dLbl>
            <c:dLbl>
              <c:idx val="12"/>
              <c:delete val="1"/>
              <c:extLst>
                <c:ext xmlns:c15="http://schemas.microsoft.com/office/drawing/2012/chart" uri="{CE6537A1-D6FC-4f65-9D91-7224C49458BB}"/>
                <c:ext xmlns:c16="http://schemas.microsoft.com/office/drawing/2014/chart" uri="{C3380CC4-5D6E-409C-BE32-E72D297353CC}">
                  <c16:uniqueId val="{00000019-25E4-4EFF-91A6-236A7F1EA405}"/>
                </c:ext>
              </c:extLst>
            </c:dLbl>
            <c:dLbl>
              <c:idx val="13"/>
              <c:delete val="1"/>
              <c:extLst>
                <c:ext xmlns:c15="http://schemas.microsoft.com/office/drawing/2012/chart" uri="{CE6537A1-D6FC-4f65-9D91-7224C49458BB}"/>
                <c:ext xmlns:c16="http://schemas.microsoft.com/office/drawing/2014/chart" uri="{C3380CC4-5D6E-409C-BE32-E72D297353CC}">
                  <c16:uniqueId val="{0000001B-25E4-4EFF-91A6-236A7F1EA405}"/>
                </c:ext>
              </c:extLst>
            </c:dLbl>
            <c:dLbl>
              <c:idx val="14"/>
              <c:delete val="1"/>
              <c:extLst>
                <c:ext xmlns:c15="http://schemas.microsoft.com/office/drawing/2012/chart" uri="{CE6537A1-D6FC-4f65-9D91-7224C49458BB}"/>
                <c:ext xmlns:c16="http://schemas.microsoft.com/office/drawing/2014/chart" uri="{C3380CC4-5D6E-409C-BE32-E72D297353CC}">
                  <c16:uniqueId val="{0000001D-25E4-4EFF-91A6-236A7F1EA405}"/>
                </c:ext>
              </c:extLst>
            </c:dLbl>
            <c:dLbl>
              <c:idx val="15"/>
              <c:delete val="1"/>
              <c:extLst>
                <c:ext xmlns:c15="http://schemas.microsoft.com/office/drawing/2012/chart" uri="{CE6537A1-D6FC-4f65-9D91-7224C49458BB}"/>
                <c:ext xmlns:c16="http://schemas.microsoft.com/office/drawing/2014/chart" uri="{C3380CC4-5D6E-409C-BE32-E72D297353CC}">
                  <c16:uniqueId val="{0000001F-25E4-4EFF-91A6-236A7F1EA405}"/>
                </c:ext>
              </c:extLst>
            </c:dLbl>
            <c:dLbl>
              <c:idx val="16"/>
              <c:delete val="1"/>
              <c:extLst>
                <c:ext xmlns:c15="http://schemas.microsoft.com/office/drawing/2012/chart" uri="{CE6537A1-D6FC-4f65-9D91-7224C49458BB}"/>
                <c:ext xmlns:c16="http://schemas.microsoft.com/office/drawing/2014/chart" uri="{C3380CC4-5D6E-409C-BE32-E72D297353CC}">
                  <c16:uniqueId val="{00000021-25E4-4EFF-91A6-236A7F1EA405}"/>
                </c:ext>
              </c:extLst>
            </c:dLbl>
            <c:dLbl>
              <c:idx val="17"/>
              <c:delete val="1"/>
              <c:extLst>
                <c:ext xmlns:c15="http://schemas.microsoft.com/office/drawing/2012/chart" uri="{CE6537A1-D6FC-4f65-9D91-7224C49458BB}"/>
                <c:ext xmlns:c16="http://schemas.microsoft.com/office/drawing/2014/chart" uri="{C3380CC4-5D6E-409C-BE32-E72D297353CC}">
                  <c16:uniqueId val="{00000023-25E4-4EFF-91A6-236A7F1EA405}"/>
                </c:ext>
              </c:extLst>
            </c:dLbl>
            <c:dLbl>
              <c:idx val="18"/>
              <c:delete val="1"/>
              <c:extLst>
                <c:ext xmlns:c15="http://schemas.microsoft.com/office/drawing/2012/chart" uri="{CE6537A1-D6FC-4f65-9D91-7224C49458BB}"/>
                <c:ext xmlns:c16="http://schemas.microsoft.com/office/drawing/2014/chart" uri="{C3380CC4-5D6E-409C-BE32-E72D297353CC}">
                  <c16:uniqueId val="{00000025-25E4-4EFF-91A6-236A7F1EA405}"/>
                </c:ext>
              </c:extLst>
            </c:dLbl>
            <c:dLbl>
              <c:idx val="19"/>
              <c:delete val="1"/>
              <c:extLst>
                <c:ext xmlns:c15="http://schemas.microsoft.com/office/drawing/2012/chart" uri="{CE6537A1-D6FC-4f65-9D91-7224C49458BB}"/>
                <c:ext xmlns:c16="http://schemas.microsoft.com/office/drawing/2014/chart" uri="{C3380CC4-5D6E-409C-BE32-E72D297353CC}">
                  <c16:uniqueId val="{00000027-25E4-4EFF-91A6-236A7F1EA405}"/>
                </c:ext>
              </c:extLst>
            </c:dLbl>
            <c:dLbl>
              <c:idx val="20"/>
              <c:delete val="1"/>
              <c:extLst>
                <c:ext xmlns:c15="http://schemas.microsoft.com/office/drawing/2012/chart" uri="{CE6537A1-D6FC-4f65-9D91-7224C49458BB}"/>
                <c:ext xmlns:c16="http://schemas.microsoft.com/office/drawing/2014/chart" uri="{C3380CC4-5D6E-409C-BE32-E72D297353CC}">
                  <c16:uniqueId val="{00000029-25E4-4EFF-91A6-236A7F1EA40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'Liabilities sector'!$A$4:$A$25</c:f>
              <c:strCache>
                <c:ptCount val="21"/>
                <c:pt idx="0">
                  <c:v>էներգետիկա</c:v>
                </c:pt>
                <c:pt idx="1">
                  <c:v>Առողջապահություն</c:v>
                </c:pt>
                <c:pt idx="2">
                  <c:v>Տրասնպորտ</c:v>
                </c:pt>
                <c:pt idx="3">
                  <c:v>Փոստ և կապ</c:v>
                </c:pt>
                <c:pt idx="4">
                  <c:v>Այլ</c:v>
                </c:pt>
                <c:pt idx="5">
                  <c:v>հեռուստառադիո-հեռարձակում, կապ</c:v>
                </c:pt>
                <c:pt idx="6">
                  <c:v>Արդյունաբերություն</c:v>
                </c:pt>
                <c:pt idx="7">
                  <c:v>գիտություն</c:v>
                </c:pt>
                <c:pt idx="8">
                  <c:v>Կրթություն</c:v>
                </c:pt>
                <c:pt idx="9">
                  <c:v>Ապահովագրություն</c:v>
                </c:pt>
                <c:pt idx="10">
                  <c:v>ավտոկայանատեղի կազմակերպում</c:v>
                </c:pt>
                <c:pt idx="11">
                  <c:v>կոմունալ</c:v>
                </c:pt>
                <c:pt idx="12">
                  <c:v>ջրային տնտեսություն</c:v>
                </c:pt>
                <c:pt idx="13">
                  <c:v>բարեկարգում</c:v>
                </c:pt>
                <c:pt idx="14">
                  <c:v>Գյուղատնտեսություն</c:v>
                </c:pt>
                <c:pt idx="15">
                  <c:v>Մշակույթ</c:v>
                </c:pt>
                <c:pt idx="16">
                  <c:v>Սպորտային և մարզական միջոցառումների կազմակերպում  </c:v>
                </c:pt>
                <c:pt idx="17">
                  <c:v>Հրատարակչական, տեղեկատվական ծառայություններ</c:v>
                </c:pt>
                <c:pt idx="18">
                  <c:v>լրատվական գործակալություն</c:v>
                </c:pt>
                <c:pt idx="19">
                  <c:v>Սեփական կամ վարձակալված անշարժ գույքի հանձնում վարձակալության </c:v>
                </c:pt>
                <c:pt idx="20">
                  <c:v>Շինարարություն</c:v>
                </c:pt>
              </c:strCache>
            </c:strRef>
          </c:cat>
          <c:val>
            <c:numRef>
              <c:f>'Liabilities sector'!$B$4:$B$25</c:f>
              <c:numCache>
                <c:formatCode>_(* #,##0_);_(* \(#,##0\);_(* "-"??_);_(@_)</c:formatCode>
                <c:ptCount val="21"/>
                <c:pt idx="0">
                  <c:v>419580528.69999999</c:v>
                </c:pt>
                <c:pt idx="1">
                  <c:v>52019919.657140002</c:v>
                </c:pt>
                <c:pt idx="2">
                  <c:v>13505702.700000001</c:v>
                </c:pt>
                <c:pt idx="3">
                  <c:v>11288269</c:v>
                </c:pt>
                <c:pt idx="4">
                  <c:v>8854462.1999999993</c:v>
                </c:pt>
                <c:pt idx="5">
                  <c:v>5514145</c:v>
                </c:pt>
                <c:pt idx="6">
                  <c:v>3392519.2</c:v>
                </c:pt>
                <c:pt idx="7">
                  <c:v>2087749</c:v>
                </c:pt>
                <c:pt idx="8">
                  <c:v>1686239.1</c:v>
                </c:pt>
                <c:pt idx="9">
                  <c:v>1146944</c:v>
                </c:pt>
                <c:pt idx="10">
                  <c:v>1034353.5</c:v>
                </c:pt>
                <c:pt idx="11">
                  <c:v>980134.6</c:v>
                </c:pt>
                <c:pt idx="12">
                  <c:v>403709.2</c:v>
                </c:pt>
                <c:pt idx="13">
                  <c:v>312075.5</c:v>
                </c:pt>
                <c:pt idx="14">
                  <c:v>223764</c:v>
                </c:pt>
                <c:pt idx="15">
                  <c:v>185510.7</c:v>
                </c:pt>
                <c:pt idx="16">
                  <c:v>36956.027999999998</c:v>
                </c:pt>
                <c:pt idx="17">
                  <c:v>36875.9</c:v>
                </c:pt>
                <c:pt idx="18">
                  <c:v>31901.8</c:v>
                </c:pt>
                <c:pt idx="19">
                  <c:v>2702.9</c:v>
                </c:pt>
                <c:pt idx="20">
                  <c:v>41.2</c:v>
                </c:pt>
              </c:numCache>
            </c:numRef>
          </c:val>
          <c:extLst>
            <c:ext xmlns:c16="http://schemas.microsoft.com/office/drawing/2014/chart" uri="{C3380CC4-5D6E-409C-BE32-E72D297353CC}">
              <c16:uniqueId val="{00000064-25E4-4EFF-91A6-236A7F1EA405}"/>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F2-4D27-AE31-E7F43360902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3F2-4D27-AE31-E7F43360902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3F2-4D27-AE31-E7F43360902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3F2-4D27-AE31-E7F43360902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13F2-4D27-AE31-E7F4336090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'[Վարկային պորտֆել_31.07.2021.xlsx]working'!$B$144:$B$148</c:f>
              <c:strCache>
                <c:ptCount val="5"/>
                <c:pt idx="0">
                  <c:v>ՀՀ դրամ</c:v>
                </c:pt>
                <c:pt idx="1">
                  <c:v>ԱՄՆ դոլար</c:v>
                </c:pt>
                <c:pt idx="2">
                  <c:v>Ճապոնական իեն</c:v>
                </c:pt>
                <c:pt idx="3">
                  <c:v>Եվրո</c:v>
                </c:pt>
                <c:pt idx="4">
                  <c:v>ՀՓԻ</c:v>
                </c:pt>
              </c:strCache>
            </c:strRef>
          </c:cat>
          <c:val>
            <c:numRef>
              <c:f>'[Վարկային պորտֆել_31.07.2021.xlsx]working'!$D$144:$D$148</c:f>
              <c:numCache>
                <c:formatCode>_(* #,##0_);_(* \(#,##0\);_(* "-"??_);_(@_)</c:formatCode>
                <c:ptCount val="5"/>
                <c:pt idx="0">
                  <c:v>194162.68964104366</c:v>
                </c:pt>
                <c:pt idx="1">
                  <c:v>144491.98916572094</c:v>
                </c:pt>
                <c:pt idx="2">
                  <c:v>102521.44955198374</c:v>
                </c:pt>
                <c:pt idx="3">
                  <c:v>46886.91146331725</c:v>
                </c:pt>
                <c:pt idx="4">
                  <c:v>10960.654818268105</c:v>
                </c:pt>
              </c:numCache>
            </c:numRef>
          </c:val>
          <c:extLst>
            <c:ext xmlns:c16="http://schemas.microsoft.com/office/drawing/2014/chart" uri="{C3380CC4-5D6E-409C-BE32-E72D297353CC}">
              <c16:uniqueId val="{0000000A-13F2-4D27-AE31-E7F43360902F}"/>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19550960154242"/>
          <c:y val="0.10619396507909203"/>
          <c:w val="0.7792190231945022"/>
          <c:h val="0.7439179288289062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10-4EFD-8F4E-F7DE372599C1}"/>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10-4EFD-8F4E-F7DE372599C1}"/>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10-4EFD-8F4E-F7DE372599C1}"/>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510-4EFD-8F4E-F7DE372599C1}"/>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510-4EFD-8F4E-F7DE372599C1}"/>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2510-4EFD-8F4E-F7DE372599C1}"/>
              </c:ext>
            </c:extLst>
          </c:dPt>
          <c:dPt>
            <c:idx val="6"/>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510-4EFD-8F4E-F7DE372599C1}"/>
              </c:ext>
            </c:extLst>
          </c:dPt>
          <c:dPt>
            <c:idx val="7"/>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510-4EFD-8F4E-F7DE372599C1}"/>
              </c:ext>
            </c:extLst>
          </c:dPt>
          <c:dPt>
            <c:idx val="8"/>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510-4EFD-8F4E-F7DE372599C1}"/>
              </c:ext>
            </c:extLst>
          </c:dPt>
          <c:dPt>
            <c:idx val="9"/>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510-4EFD-8F4E-F7DE372599C1}"/>
              </c:ext>
            </c:extLst>
          </c:dPt>
          <c:dLbls>
            <c:dLbl>
              <c:idx val="0"/>
              <c:delete val="1"/>
              <c:extLst>
                <c:ext xmlns:c15="http://schemas.microsoft.com/office/drawing/2012/chart" uri="{CE6537A1-D6FC-4f65-9D91-7224C49458BB}"/>
                <c:ext xmlns:c16="http://schemas.microsoft.com/office/drawing/2014/chart" uri="{C3380CC4-5D6E-409C-BE32-E72D297353CC}">
                  <c16:uniqueId val="{00000001-2510-4EFD-8F4E-F7DE372599C1}"/>
                </c:ext>
              </c:extLst>
            </c:dLbl>
            <c:dLbl>
              <c:idx val="2"/>
              <c:delete val="1"/>
              <c:extLst>
                <c:ext xmlns:c15="http://schemas.microsoft.com/office/drawing/2012/chart" uri="{CE6537A1-D6FC-4f65-9D91-7224C49458BB}"/>
                <c:ext xmlns:c16="http://schemas.microsoft.com/office/drawing/2014/chart" uri="{C3380CC4-5D6E-409C-BE32-E72D297353CC}">
                  <c16:uniqueId val="{00000005-2510-4EFD-8F4E-F7DE372599C1}"/>
                </c:ext>
              </c:extLst>
            </c:dLbl>
            <c:dLbl>
              <c:idx val="3"/>
              <c:delete val="1"/>
              <c:extLst>
                <c:ext xmlns:c15="http://schemas.microsoft.com/office/drawing/2012/chart" uri="{CE6537A1-D6FC-4f65-9D91-7224C49458BB}"/>
                <c:ext xmlns:c16="http://schemas.microsoft.com/office/drawing/2014/chart" uri="{C3380CC4-5D6E-409C-BE32-E72D297353CC}">
                  <c16:uniqueId val="{00000007-2510-4EFD-8F4E-F7DE372599C1}"/>
                </c:ext>
              </c:extLst>
            </c:dLbl>
            <c:dLbl>
              <c:idx val="5"/>
              <c:layout>
                <c:manualLayout>
                  <c:x val="9.5571711830799728E-3"/>
                  <c:y val="-9.24079475169873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510-4EFD-8F4E-F7DE372599C1}"/>
                </c:ext>
              </c:extLst>
            </c:dLbl>
            <c:dLbl>
              <c:idx val="7"/>
              <c:layout>
                <c:manualLayout>
                  <c:x val="0.23514204974212988"/>
                  <c:y val="-0.299155986832331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510-4EFD-8F4E-F7DE372599C1}"/>
                </c:ext>
              </c:extLst>
            </c:dLbl>
            <c:dLbl>
              <c:idx val="9"/>
              <c:layout>
                <c:manualLayout>
                  <c:x val="0.31356913126695896"/>
                  <c:y val="-2.7263955461376659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0786778618371258"/>
                      <c:h val="0.12015888778550149"/>
                    </c:manualLayout>
                  </c15:layout>
                </c:ext>
                <c:ext xmlns:c16="http://schemas.microsoft.com/office/drawing/2014/chart" uri="{C3380CC4-5D6E-409C-BE32-E72D297353CC}">
                  <c16:uniqueId val="{00000013-2510-4EFD-8F4E-F7DE372599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'[Վարկային պորտֆել_31.07.2021.xlsx]Sheet3'!$A$63:$A$72</c:f>
              <c:strCache>
                <c:ptCount val="10"/>
                <c:pt idx="0">
                  <c:v>Մշակույթ</c:v>
                </c:pt>
                <c:pt idx="1">
                  <c:v>Էներգետիկա</c:v>
                </c:pt>
                <c:pt idx="2">
                  <c:v>Մունիցիպալ ծառայություններ</c:v>
                </c:pt>
                <c:pt idx="3">
                  <c:v>Քիմիա</c:v>
                </c:pt>
                <c:pt idx="4">
                  <c:v>Տրանսպորտ</c:v>
                </c:pt>
                <c:pt idx="5">
                  <c:v>Գյուղատնտեսություն</c:v>
                </c:pt>
                <c:pt idx="6">
                  <c:v>Առողջապահություն</c:v>
                </c:pt>
                <c:pt idx="7">
                  <c:v>Շինարարություն</c:v>
                </c:pt>
                <c:pt idx="8">
                  <c:v>Ֆինանսական </c:v>
                </c:pt>
                <c:pt idx="9">
                  <c:v>Այլ</c:v>
                </c:pt>
              </c:strCache>
            </c:strRef>
          </c:cat>
          <c:val>
            <c:numRef>
              <c:f>'[Վարկային պորտֆել_31.07.2021.xlsx]Sheet3'!$B$63:$B$72</c:f>
              <c:numCache>
                <c:formatCode>_(* #,##0_);_(* \(#,##0\);_(* "-"??_);_(@_)</c:formatCode>
                <c:ptCount val="10"/>
                <c:pt idx="0">
                  <c:v>144.4913395536</c:v>
                </c:pt>
                <c:pt idx="1">
                  <c:v>349946.81465229875</c:v>
                </c:pt>
                <c:pt idx="2">
                  <c:v>256.46862415644557</c:v>
                </c:pt>
                <c:pt idx="3">
                  <c:v>303.44419399999998</c:v>
                </c:pt>
                <c:pt idx="4">
                  <c:v>5023.6370674294321</c:v>
                </c:pt>
                <c:pt idx="5">
                  <c:v>11923.5475450416</c:v>
                </c:pt>
                <c:pt idx="6">
                  <c:v>2195.9667009999998</c:v>
                </c:pt>
                <c:pt idx="7">
                  <c:v>14125.850760793601</c:v>
                </c:pt>
                <c:pt idx="8">
                  <c:v>35256.863137299988</c:v>
                </c:pt>
                <c:pt idx="9">
                  <c:v>79846.6106187603</c:v>
                </c:pt>
              </c:numCache>
            </c:numRef>
          </c:val>
          <c:extLst>
            <c:ext xmlns:c16="http://schemas.microsoft.com/office/drawing/2014/chart" uri="{C3380CC4-5D6E-409C-BE32-E72D297353CC}">
              <c16:uniqueId val="{00000014-2510-4EFD-8F4E-F7DE372599C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Պետական պարտքի փոփոխություն</a:t>
            </a:r>
            <a:endParaRPr lang="en-US" sz="800"/>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EF31-499B-9689-B4FF19A3BC53}"/>
              </c:ext>
            </c:extLst>
          </c:dPt>
          <c:dPt>
            <c:idx val="2"/>
            <c:invertIfNegative val="0"/>
            <c:bubble3D val="0"/>
            <c:spPr>
              <a:solidFill>
                <a:srgbClr val="C00000"/>
              </a:solidFill>
              <a:ln>
                <a:noFill/>
              </a:ln>
              <a:effectLst/>
            </c:spPr>
            <c:extLst>
              <c:ext xmlns:c16="http://schemas.microsoft.com/office/drawing/2014/chart" uri="{C3380CC4-5D6E-409C-BE32-E72D297353CC}">
                <c16:uniqueId val="{00000003-EF31-499B-9689-B4FF19A3BC5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10.4</c:v>
                </c:pt>
                <c:pt idx="1">
                  <c:v>2.2999999999999998</c:v>
                </c:pt>
                <c:pt idx="2" formatCode="0.0">
                  <c:v>15</c:v>
                </c:pt>
                <c:pt idx="3">
                  <c:v>0.1</c:v>
                </c:pt>
              </c:numCache>
            </c:numRef>
          </c:val>
          <c:extLst>
            <c:ext xmlns:c16="http://schemas.microsoft.com/office/drawing/2014/chart" uri="{C3380CC4-5D6E-409C-BE32-E72D297353CC}">
              <c16:uniqueId val="{00000004-EF31-499B-9689-B4FF19A3BC53}"/>
            </c:ext>
          </c:extLst>
        </c:ser>
        <c:dLbls>
          <c:showLegendKey val="0"/>
          <c:showVal val="0"/>
          <c:showCatName val="0"/>
          <c:showSerName val="0"/>
          <c:showPercent val="0"/>
          <c:showBubbleSize val="0"/>
        </c:dLbls>
        <c:gapWidth val="219"/>
        <c:overlap val="-27"/>
        <c:axId val="303655552"/>
        <c:axId val="304046464"/>
      </c:barChart>
      <c:catAx>
        <c:axId val="3036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4046464"/>
        <c:crosses val="autoZero"/>
        <c:auto val="1"/>
        <c:lblAlgn val="ctr"/>
        <c:lblOffset val="100"/>
        <c:noMultiLvlLbl val="0"/>
      </c:catAx>
      <c:valAx>
        <c:axId val="3040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տոկոսային</a:t>
                </a:r>
                <a:r>
                  <a:rPr lang="hy-AM"/>
                  <a:t> կետ</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65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Բյուջեի հաշվեկշռի փոփոխություն</a:t>
            </a:r>
            <a:endParaRPr lang="en-US" sz="800"/>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10F-4FF9-AE21-12F724D086AD}"/>
              </c:ext>
            </c:extLst>
          </c:dPt>
          <c:dPt>
            <c:idx val="2"/>
            <c:invertIfNegative val="0"/>
            <c:bubble3D val="0"/>
            <c:spPr>
              <a:solidFill>
                <a:srgbClr val="C00000"/>
              </a:solidFill>
              <a:ln>
                <a:noFill/>
              </a:ln>
              <a:effectLst/>
            </c:spPr>
            <c:extLst>
              <c:ext xmlns:c16="http://schemas.microsoft.com/office/drawing/2014/chart" uri="{C3380CC4-5D6E-409C-BE32-E72D297353CC}">
                <c16:uniqueId val="{00000003-710F-4FF9-AE21-12F724D086A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-5.0999999999999996</c:v>
                </c:pt>
                <c:pt idx="1">
                  <c:v>1.4</c:v>
                </c:pt>
                <c:pt idx="2">
                  <c:v>-6.6</c:v>
                </c:pt>
                <c:pt idx="3">
                  <c:v>1.5</c:v>
                </c:pt>
              </c:numCache>
            </c:numRef>
          </c:val>
          <c:extLst>
            <c:ext xmlns:c16="http://schemas.microsoft.com/office/drawing/2014/chart" uri="{C3380CC4-5D6E-409C-BE32-E72D297353CC}">
              <c16:uniqueId val="{00000004-710F-4FF9-AE21-12F724D086AD}"/>
            </c:ext>
          </c:extLst>
        </c:ser>
        <c:dLbls>
          <c:showLegendKey val="0"/>
          <c:showVal val="0"/>
          <c:showCatName val="0"/>
          <c:showSerName val="0"/>
          <c:showPercent val="0"/>
          <c:showBubbleSize val="0"/>
        </c:dLbls>
        <c:gapWidth val="219"/>
        <c:overlap val="-27"/>
        <c:axId val="310332032"/>
        <c:axId val="310366592"/>
      </c:barChart>
      <c:catAx>
        <c:axId val="3103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10366592"/>
        <c:crosses val="autoZero"/>
        <c:auto val="1"/>
        <c:lblAlgn val="ctr"/>
        <c:lblOffset val="100"/>
        <c:noMultiLvlLbl val="0"/>
      </c:catAx>
      <c:valAx>
        <c:axId val="31036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a:t>
                </a:r>
                <a:r>
                  <a:rPr lang="hy-AM"/>
                  <a:t>ին կետ</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103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0.63696</cdr:x>
      <cdr:y>0.00474</cdr:y>
    </cdr:from>
    <cdr:to>
      <cdr:x>1</cdr:x>
      <cdr:y>0.85714</cdr:y>
    </cdr:to>
    <cdr:sp macro="" textlink="">
      <cdr:nvSpPr>
        <cdr:cNvPr id="2" name="Rectangle 1"/>
        <cdr:cNvSpPr/>
      </cdr:nvSpPr>
      <cdr:spPr>
        <a:xfrm xmlns:a="http://schemas.openxmlformats.org/drawingml/2006/main">
          <a:off x="2003729" y="8581"/>
          <a:ext cx="1142061" cy="1543172"/>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0.67788</cdr:x>
      <cdr:y>0.25092</cdr:y>
    </cdr:from>
    <cdr:to>
      <cdr:x>0.90808</cdr:x>
      <cdr:y>0.34034</cdr:y>
    </cdr:to>
    <cdr:cxnSp macro="">
      <cdr:nvCxnSpPr>
        <cdr:cNvPr id="4" name="Straight Arrow Connector 3"/>
        <cdr:cNvCxnSpPr/>
      </cdr:nvCxnSpPr>
      <cdr:spPr>
        <a:xfrm xmlns:a="http://schemas.openxmlformats.org/drawingml/2006/main" flipV="1">
          <a:off x="2085975" y="568823"/>
          <a:ext cx="708378" cy="20270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0.64693</cdr:x>
      <cdr:y>0.04305</cdr:y>
    </cdr:from>
    <cdr:to>
      <cdr:x>0.94986</cdr:x>
      <cdr:y>0.86975</cdr:y>
    </cdr:to>
    <cdr:sp macro="" textlink="">
      <cdr:nvSpPr>
        <cdr:cNvPr id="5" name="Rectangle 4"/>
        <cdr:cNvSpPr/>
      </cdr:nvSpPr>
      <cdr:spPr>
        <a:xfrm xmlns:a="http://schemas.openxmlformats.org/drawingml/2006/main">
          <a:off x="1990739" y="97592"/>
          <a:ext cx="932180" cy="1874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0.79063</cdr:x>
      <cdr:y>0.124</cdr:y>
    </cdr:from>
    <cdr:to>
      <cdr:x>0.95683</cdr:x>
      <cdr:y>0.20541</cdr:y>
    </cdr:to>
    <cdr:cxnSp macro="">
      <cdr:nvCxnSpPr>
        <cdr:cNvPr id="5" name="Straight Arrow Connector 4"/>
        <cdr:cNvCxnSpPr/>
      </cdr:nvCxnSpPr>
      <cdr:spPr>
        <a:xfrm xmlns:a="http://schemas.openxmlformats.org/drawingml/2006/main" flipV="1">
          <a:off x="2507740" y="249214"/>
          <a:ext cx="527157" cy="163615"/>
        </a:xfrm>
        <a:prstGeom xmlns:a="http://schemas.openxmlformats.org/drawingml/2006/main" prst="straightConnector1">
          <a:avLst/>
        </a:prstGeom>
        <a:ln xmlns:a="http://schemas.openxmlformats.org/drawingml/2006/main">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0.78311</cdr:x>
      <cdr:y>0.01779</cdr:y>
    </cdr:from>
    <cdr:to>
      <cdr:x>0.99248</cdr:x>
      <cdr:y>0.8587</cdr:y>
    </cdr:to>
    <cdr:sp macro="" textlink="">
      <cdr:nvSpPr>
        <cdr:cNvPr id="4" name="Rectangle 3"/>
        <cdr:cNvSpPr/>
      </cdr:nvSpPr>
      <cdr:spPr>
        <a:xfrm xmlns:a="http://schemas.openxmlformats.org/drawingml/2006/main">
          <a:off x="2483887" y="35761"/>
          <a:ext cx="664085" cy="169004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0.75015</cdr:x>
      <cdr:y>0.02879</cdr:y>
    </cdr:from>
    <cdr:to>
      <cdr:x>1</cdr:x>
      <cdr:y>0.86752</cdr:y>
    </cdr:to>
    <cdr:sp macro="" textlink="">
      <cdr:nvSpPr>
        <cdr:cNvPr id="4" name="Rectangle 3"/>
        <cdr:cNvSpPr/>
      </cdr:nvSpPr>
      <cdr:spPr>
        <a:xfrm xmlns:a="http://schemas.openxmlformats.org/drawingml/2006/main">
          <a:off x="2300271" y="57862"/>
          <a:ext cx="766144" cy="168565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0.80384</cdr:x>
      <cdr:y>0.37874</cdr:y>
    </cdr:from>
    <cdr:to>
      <cdr:x>0.94555</cdr:x>
      <cdr:y>0.44706</cdr:y>
    </cdr:to>
    <cdr:cxnSp macro="">
      <cdr:nvCxnSpPr>
        <cdr:cNvPr id="5" name="Straight Arrow Connector 4"/>
        <cdr:cNvCxnSpPr/>
      </cdr:nvCxnSpPr>
      <cdr:spPr>
        <a:xfrm xmlns:a="http://schemas.openxmlformats.org/drawingml/2006/main" flipV="1">
          <a:off x="2464905" y="761191"/>
          <a:ext cx="434533" cy="137306"/>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0.71978</cdr:x>
      <cdr:y>0.17642</cdr:y>
    </cdr:from>
    <cdr:to>
      <cdr:x>0.97487</cdr:x>
      <cdr:y>0.82037</cdr:y>
    </cdr:to>
    <cdr:sp macro="" textlink="">
      <cdr:nvSpPr>
        <cdr:cNvPr id="2" name="Rectangle 1"/>
        <cdr:cNvSpPr/>
      </cdr:nvSpPr>
      <cdr:spPr>
        <a:xfrm xmlns:a="http://schemas.openxmlformats.org/drawingml/2006/main">
          <a:off x="4391891" y="381000"/>
          <a:ext cx="1556488" cy="1390700"/>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16.xml><?xml version="1.0" encoding="utf-8"?>
<c:userShapes xmlns:c="http://schemas.openxmlformats.org/drawingml/2006/chart">
  <cdr:relSizeAnchor xmlns:cdr="http://schemas.openxmlformats.org/drawingml/2006/chartDrawing">
    <cdr:from>
      <cdr:x>0.71661</cdr:x>
      <cdr:y>0.00474</cdr:y>
    </cdr:from>
    <cdr:to>
      <cdr:x>1</cdr:x>
      <cdr:y>0.8033</cdr:y>
    </cdr:to>
    <cdr:sp macro="" textlink="">
      <cdr:nvSpPr>
        <cdr:cNvPr id="2" name="Rounded Rectangle 1"/>
        <cdr:cNvSpPr/>
      </cdr:nvSpPr>
      <cdr:spPr>
        <a:xfrm xmlns:a="http://schemas.openxmlformats.org/drawingml/2006/main">
          <a:off x="2115047" y="13545"/>
          <a:ext cx="836433" cy="22818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0.63623</cdr:x>
      <cdr:y>0</cdr:y>
    </cdr:from>
    <cdr:to>
      <cdr:x>1</cdr:x>
      <cdr:y>0.77724</cdr:y>
    </cdr:to>
    <cdr:sp macro="" textlink="">
      <cdr:nvSpPr>
        <cdr:cNvPr id="2" name="Rounded Rectangle 1"/>
        <cdr:cNvSpPr/>
      </cdr:nvSpPr>
      <cdr:spPr>
        <a:xfrm xmlns:a="http://schemas.openxmlformats.org/drawingml/2006/main">
          <a:off x="1992573" y="0"/>
          <a:ext cx="1139247" cy="2238234"/>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0.6266</cdr:x>
      <cdr:y>4.00713E-7</cdr:y>
    </cdr:from>
    <cdr:to>
      <cdr:x>1</cdr:x>
      <cdr:y>0.75318</cdr:y>
    </cdr:to>
    <cdr:sp macro="" textlink="">
      <cdr:nvSpPr>
        <cdr:cNvPr id="2" name="Rounded Rectangle 1"/>
        <cdr:cNvSpPr/>
      </cdr:nvSpPr>
      <cdr:spPr>
        <a:xfrm xmlns:a="http://schemas.openxmlformats.org/drawingml/2006/main">
          <a:off x="3740150" y="1"/>
          <a:ext cx="2228850" cy="187960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0.67556</cdr:x>
      <cdr:y>3.70455E-7</cdr:y>
    </cdr:from>
    <cdr:to>
      <cdr:x>1</cdr:x>
      <cdr:y>0.72218</cdr:y>
    </cdr:to>
    <cdr:sp macro="" textlink="">
      <cdr:nvSpPr>
        <cdr:cNvPr id="2" name="Rounded Rectangle 1"/>
        <cdr:cNvSpPr/>
      </cdr:nvSpPr>
      <cdr:spPr>
        <a:xfrm xmlns:a="http://schemas.openxmlformats.org/drawingml/2006/main">
          <a:off x="1993899" y="1"/>
          <a:ext cx="957581" cy="194945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0.63471</cdr:x>
      <cdr:y>0</cdr:y>
    </cdr:from>
    <cdr:to>
      <cdr:x>1</cdr:x>
      <cdr:y>0.83491</cdr:y>
    </cdr:to>
    <cdr:sp macro="" textlink="">
      <cdr:nvSpPr>
        <cdr:cNvPr id="2" name="Rectangle 1"/>
        <cdr:cNvSpPr/>
      </cdr:nvSpPr>
      <cdr:spPr>
        <a:xfrm xmlns:a="http://schemas.openxmlformats.org/drawingml/2006/main">
          <a:off x="2019632" y="0"/>
          <a:ext cx="1162353" cy="151150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0.68417</cdr:x>
      <cdr:y>3.70455E-7</cdr:y>
    </cdr:from>
    <cdr:to>
      <cdr:x>1</cdr:x>
      <cdr:y>0.69631</cdr:y>
    </cdr:to>
    <cdr:sp macro="" textlink="">
      <cdr:nvSpPr>
        <cdr:cNvPr id="2" name="Rounded Rectangle 1"/>
        <cdr:cNvSpPr/>
      </cdr:nvSpPr>
      <cdr:spPr>
        <a:xfrm xmlns:a="http://schemas.openxmlformats.org/drawingml/2006/main">
          <a:off x="2019300" y="1"/>
          <a:ext cx="932180" cy="187960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0.63115</cdr:x>
      <cdr:y>0.18483</cdr:y>
    </cdr:from>
    <cdr:to>
      <cdr:x>0.87483</cdr:x>
      <cdr:y>0.68245</cdr:y>
    </cdr:to>
    <cdr:sp macro="" textlink="">
      <cdr:nvSpPr>
        <cdr:cNvPr id="2" name="Rectangle 1"/>
        <cdr:cNvSpPr/>
      </cdr:nvSpPr>
      <cdr:spPr>
        <a:xfrm xmlns:a="http://schemas.openxmlformats.org/drawingml/2006/main">
          <a:off x="1794681" y="532262"/>
          <a:ext cx="692924" cy="1433015"/>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2.xml><?xml version="1.0" encoding="utf-8"?>
<c:userShapes xmlns:c="http://schemas.openxmlformats.org/drawingml/2006/chart">
  <cdr:relSizeAnchor xmlns:cdr="http://schemas.openxmlformats.org/drawingml/2006/chartDrawing">
    <cdr:from>
      <cdr:x>0.45572</cdr:x>
      <cdr:y>0.18095</cdr:y>
    </cdr:from>
    <cdr:to>
      <cdr:x>0.64945</cdr:x>
      <cdr:y>0.86774</cdr:y>
    </cdr:to>
    <cdr:sp macro="" textlink="">
      <cdr:nvSpPr>
        <cdr:cNvPr id="2" name="Rectangle 1"/>
        <cdr:cNvSpPr/>
      </cdr:nvSpPr>
      <cdr:spPr>
        <a:xfrm xmlns:a="http://schemas.openxmlformats.org/drawingml/2006/main">
          <a:off x="1351128" y="522235"/>
          <a:ext cx="574370" cy="1982129"/>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0.84338</cdr:x>
      <cdr:y>0.06064</cdr:y>
    </cdr:from>
    <cdr:to>
      <cdr:x>0.94599</cdr:x>
      <cdr:y>0.87668</cdr:y>
    </cdr:to>
    <cdr:sp macro="" textlink="">
      <cdr:nvSpPr>
        <cdr:cNvPr id="2" name="Rectangle 1"/>
        <cdr:cNvSpPr/>
      </cdr:nvSpPr>
      <cdr:spPr>
        <a:xfrm xmlns:a="http://schemas.openxmlformats.org/drawingml/2006/main">
          <a:off x="2538483" y="152793"/>
          <a:ext cx="308851" cy="2056160"/>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0.84188</cdr:x>
      <cdr:y>0.04048</cdr:y>
    </cdr:from>
    <cdr:to>
      <cdr:x>0.95573</cdr:x>
      <cdr:y>0.9</cdr:y>
    </cdr:to>
    <cdr:sp macro="" textlink="">
      <cdr:nvSpPr>
        <cdr:cNvPr id="2" name="Rectangle 1"/>
        <cdr:cNvSpPr/>
      </cdr:nvSpPr>
      <cdr:spPr>
        <a:xfrm xmlns:a="http://schemas.openxmlformats.org/drawingml/2006/main">
          <a:off x="2463421" y="101997"/>
          <a:ext cx="333121" cy="2165715"/>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0.78753</cdr:x>
      <cdr:y>0.03286</cdr:y>
    </cdr:from>
    <cdr:to>
      <cdr:x>0.79039</cdr:x>
      <cdr:y>0.60796</cdr:y>
    </cdr:to>
    <cdr:cxnSp macro="">
      <cdr:nvCxnSpPr>
        <cdr:cNvPr id="3" name="Straight Connector 2"/>
        <cdr:cNvCxnSpPr/>
      </cdr:nvCxnSpPr>
      <cdr:spPr>
        <a:xfrm xmlns:a="http://schemas.openxmlformats.org/drawingml/2006/main" flipH="1" flipV="1">
          <a:off x="4680760" y="101385"/>
          <a:ext cx="16999" cy="1774451"/>
        </a:xfrm>
        <a:prstGeom xmlns:a="http://schemas.openxmlformats.org/drawingml/2006/main" prst="line">
          <a:avLst/>
        </a:prstGeom>
        <a:ln xmlns:a="http://schemas.openxmlformats.org/drawingml/2006/main" w="2222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0.36132</cdr:x>
      <cdr:y>0.03297</cdr:y>
    </cdr:from>
    <cdr:to>
      <cdr:x>0.50965</cdr:x>
      <cdr:y>0.15385</cdr:y>
    </cdr:to>
    <cdr:sp macro="" textlink="">
      <cdr:nvSpPr>
        <cdr:cNvPr id="4" name="Text Box 3"/>
        <cdr:cNvSpPr txBox="1"/>
      </cdr:nvSpPr>
      <cdr:spPr>
        <a:xfrm xmlns:a="http://schemas.openxmlformats.org/drawingml/2006/main">
          <a:off x="2227386" y="105508"/>
          <a:ext cx="914400" cy="38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y-AM" sz="1100" b="1" i="1">
              <a:latin typeface="GHEA Grapalat" panose="02000506050000020003" pitchFamily="50" charset="0"/>
            </a:rPr>
            <a:t>Երկրներ</a:t>
          </a:r>
          <a:endParaRPr lang="en-US" sz="1100" b="1" i="1">
            <a:latin typeface="GHEA Grapalat" panose="02000506050000020003" pitchFamily="50" charset="0"/>
          </a:endParaRPr>
        </a:p>
      </cdr:txBody>
    </cdr:sp>
  </cdr:relSizeAnchor>
  <cdr:relSizeAnchor xmlns:cdr="http://schemas.openxmlformats.org/drawingml/2006/chartDrawing">
    <cdr:from>
      <cdr:x>0.77869</cdr:x>
      <cdr:y>0.02503</cdr:y>
    </cdr:from>
    <cdr:to>
      <cdr:x>0.92354</cdr:x>
      <cdr:y>0.20513</cdr:y>
    </cdr:to>
    <cdr:sp macro="" textlink="">
      <cdr:nvSpPr>
        <cdr:cNvPr id="5" name="Text Box 1"/>
        <cdr:cNvSpPr txBox="1"/>
      </cdr:nvSpPr>
      <cdr:spPr>
        <a:xfrm xmlns:a="http://schemas.openxmlformats.org/drawingml/2006/main">
          <a:off x="4628213" y="77229"/>
          <a:ext cx="860930" cy="5556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y-AM" sz="1100" b="1" i="1">
              <a:latin typeface="GHEA Grapalat" panose="02000506050000020003" pitchFamily="50" charset="0"/>
            </a:rPr>
            <a:t>Երկրների խմբեր</a:t>
          </a:r>
          <a:endParaRPr lang="en-US" sz="1100" b="1" i="1">
            <a:latin typeface="GHEA Grapalat" panose="02000506050000020003" pitchFamily="50"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0.84657</cdr:x>
      <cdr:y>0.09722</cdr:y>
    </cdr:from>
    <cdr:to>
      <cdr:x>0.86043</cdr:x>
      <cdr:y>0.77778</cdr:y>
    </cdr:to>
    <cdr:sp macro="" textlink="">
      <cdr:nvSpPr>
        <cdr:cNvPr id="2" name="Left Brace 1"/>
        <cdr:cNvSpPr/>
      </cdr:nvSpPr>
      <cdr:spPr>
        <a:xfrm xmlns:a="http://schemas.openxmlformats.org/drawingml/2006/main">
          <a:off x="5604173" y="333374"/>
          <a:ext cx="91778" cy="2333625"/>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0.17801</cdr:x>
      <cdr:y>0.36558</cdr:y>
    </cdr:from>
    <cdr:to>
      <cdr:x>0.18562</cdr:x>
      <cdr:y>0.78591</cdr:y>
    </cdr:to>
    <cdr:sp macro="" textlink="">
      <cdr:nvSpPr>
        <cdr:cNvPr id="4" name="Left Brace 3"/>
        <cdr:cNvSpPr/>
      </cdr:nvSpPr>
      <cdr:spPr>
        <a:xfrm xmlns:a="http://schemas.openxmlformats.org/drawingml/2006/main">
          <a:off x="1070002" y="1238250"/>
          <a:ext cx="45719" cy="1423698"/>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0.67968</cdr:x>
      <cdr:y>0.23622</cdr:y>
    </cdr:from>
    <cdr:to>
      <cdr:x>0.69565</cdr:x>
      <cdr:y>0.77158</cdr:y>
    </cdr:to>
    <cdr:sp macro="" textlink="">
      <cdr:nvSpPr>
        <cdr:cNvPr id="7" name="Left Brace 6"/>
        <cdr:cNvSpPr/>
      </cdr:nvSpPr>
      <cdr:spPr>
        <a:xfrm xmlns:a="http://schemas.openxmlformats.org/drawingml/2006/main">
          <a:off x="4085496" y="800099"/>
          <a:ext cx="95980" cy="1813311"/>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0.3401</cdr:x>
      <cdr:y>0.2784</cdr:y>
    </cdr:from>
    <cdr:to>
      <cdr:x>0.35654</cdr:x>
      <cdr:y>0.77991</cdr:y>
    </cdr:to>
    <cdr:sp macro="" textlink="">
      <cdr:nvSpPr>
        <cdr:cNvPr id="8" name="Left Brace 7"/>
        <cdr:cNvSpPr/>
      </cdr:nvSpPr>
      <cdr:spPr>
        <a:xfrm xmlns:a="http://schemas.openxmlformats.org/drawingml/2006/main">
          <a:off x="2044310" y="942975"/>
          <a:ext cx="98815" cy="1698650"/>
        </a:xfrm>
        <a:prstGeom xmlns:a="http://schemas.openxmlformats.org/drawingml/2006/main" prst="leftBrace">
          <a:avLst>
            <a:gd name="adj1" fmla="val 89859"/>
            <a:gd name="adj2" fmla="val 50411"/>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0.50696</cdr:x>
      <cdr:y>0.18841</cdr:y>
    </cdr:from>
    <cdr:to>
      <cdr:x>0.52609</cdr:x>
      <cdr:y>0.78002</cdr:y>
    </cdr:to>
    <cdr:sp macro="" textlink="">
      <cdr:nvSpPr>
        <cdr:cNvPr id="6" name="Left Brace 5"/>
        <cdr:cNvSpPr/>
      </cdr:nvSpPr>
      <cdr:spPr>
        <a:xfrm xmlns:a="http://schemas.openxmlformats.org/drawingml/2006/main">
          <a:off x="3047271" y="638174"/>
          <a:ext cx="115030" cy="2003811"/>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7.xml><?xml version="1.0" encoding="utf-8"?>
<c:userShapes xmlns:c="http://schemas.openxmlformats.org/drawingml/2006/chart">
  <cdr:relSizeAnchor xmlns:cdr="http://schemas.openxmlformats.org/drawingml/2006/chartDrawing">
    <cdr:from>
      <cdr:x>0.30468</cdr:x>
      <cdr:y>0.20248</cdr:y>
    </cdr:from>
    <cdr:to>
      <cdr:x>0.34084</cdr:x>
      <cdr:y>0.66781</cdr:y>
    </cdr:to>
    <cdr:sp macro="" textlink="">
      <cdr:nvSpPr>
        <cdr:cNvPr id="2" name="Left Brace 1"/>
        <cdr:cNvSpPr/>
      </cdr:nvSpPr>
      <cdr:spPr>
        <a:xfrm xmlns:a="http://schemas.openxmlformats.org/drawingml/2006/main">
          <a:off x="1805092" y="933449"/>
          <a:ext cx="214207" cy="214522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0.15435</cdr:x>
      <cdr:y>0.21074</cdr:y>
    </cdr:from>
    <cdr:to>
      <cdr:x>0.17042</cdr:x>
      <cdr:y>0.67293</cdr:y>
    </cdr:to>
    <cdr:sp macro="" textlink="">
      <cdr:nvSpPr>
        <cdr:cNvPr id="4" name="Left Brace 3"/>
        <cdr:cNvSpPr/>
      </cdr:nvSpPr>
      <cdr:spPr>
        <a:xfrm xmlns:a="http://schemas.openxmlformats.org/drawingml/2006/main">
          <a:off x="914454" y="971549"/>
          <a:ext cx="95196" cy="2130725"/>
        </a:xfrm>
        <a:prstGeom xmlns:a="http://schemas.openxmlformats.org/drawingml/2006/main" prst="leftBrace">
          <a:avLst>
            <a:gd name="adj1" fmla="val 89859"/>
            <a:gd name="adj2" fmla="val 48978"/>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0.64576</cdr:x>
      <cdr:y>0.12397</cdr:y>
    </cdr:from>
    <cdr:to>
      <cdr:x>0.67363</cdr:x>
      <cdr:y>0.65691</cdr:y>
    </cdr:to>
    <cdr:sp macro="" textlink="">
      <cdr:nvSpPr>
        <cdr:cNvPr id="5" name="Left Brace 4"/>
        <cdr:cNvSpPr/>
      </cdr:nvSpPr>
      <cdr:spPr>
        <a:xfrm xmlns:a="http://schemas.openxmlformats.org/drawingml/2006/main">
          <a:off x="3825837" y="571500"/>
          <a:ext cx="165138" cy="2456920"/>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0.82476</cdr:x>
      <cdr:y>0.16322</cdr:y>
    </cdr:from>
    <cdr:to>
      <cdr:x>0.84727</cdr:x>
      <cdr:y>0.67103</cdr:y>
    </cdr:to>
    <cdr:sp macro="" textlink="">
      <cdr:nvSpPr>
        <cdr:cNvPr id="6" name="Left Brace 5"/>
        <cdr:cNvSpPr/>
      </cdr:nvSpPr>
      <cdr:spPr>
        <a:xfrm xmlns:a="http://schemas.openxmlformats.org/drawingml/2006/main">
          <a:off x="4886332" y="752475"/>
          <a:ext cx="133343" cy="2341040"/>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8.xml><?xml version="1.0" encoding="utf-8"?>
<c:userShapes xmlns:c="http://schemas.openxmlformats.org/drawingml/2006/chart">
  <cdr:relSizeAnchor xmlns:cdr="http://schemas.openxmlformats.org/drawingml/2006/chartDrawing">
    <cdr:from>
      <cdr:x>0.14809</cdr:x>
      <cdr:y>0.48214</cdr:y>
    </cdr:from>
    <cdr:to>
      <cdr:x>0.16885</cdr:x>
      <cdr:y>0.7449</cdr:y>
    </cdr:to>
    <cdr:sp macro="" textlink="">
      <cdr:nvSpPr>
        <cdr:cNvPr id="2" name="Left Brace 1"/>
        <cdr:cNvSpPr>
          <a:spLocks xmlns:a="http://schemas.openxmlformats.org/drawingml/2006/main"/>
        </cdr:cNvSpPr>
      </cdr:nvSpPr>
      <cdr:spPr>
        <a:xfrm xmlns:a="http://schemas.openxmlformats.org/drawingml/2006/main">
          <a:off x="860425" y="1800224"/>
          <a:ext cx="120650" cy="981075"/>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0.64833</cdr:x>
      <cdr:y>0</cdr:y>
    </cdr:from>
    <cdr:to>
      <cdr:x>0.97237</cdr:x>
      <cdr:y>0.83248</cdr:y>
    </cdr:to>
    <cdr:sp macro="" textlink="">
      <cdr:nvSpPr>
        <cdr:cNvPr id="2" name="Rectangle 1"/>
        <cdr:cNvSpPr/>
      </cdr:nvSpPr>
      <cdr:spPr>
        <a:xfrm xmlns:a="http://schemas.openxmlformats.org/drawingml/2006/main">
          <a:off x="2007404" y="0"/>
          <a:ext cx="1003312" cy="144050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0.8322</cdr:x>
      <cdr:y>0</cdr:y>
    </cdr:from>
    <cdr:to>
      <cdr:x>0.90586</cdr:x>
      <cdr:y>0.87535</cdr:y>
    </cdr:to>
    <cdr:sp macro="" textlink="">
      <cdr:nvSpPr>
        <cdr:cNvPr id="2" name="Rectangle 1"/>
        <cdr:cNvSpPr/>
      </cdr:nvSpPr>
      <cdr:spPr>
        <a:xfrm xmlns:a="http://schemas.openxmlformats.org/drawingml/2006/main">
          <a:off x="2560321" y="0"/>
          <a:ext cx="226626" cy="164252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0.64143</cdr:x>
      <cdr:y>0</cdr:y>
    </cdr:from>
    <cdr:to>
      <cdr:x>0.98869</cdr:x>
      <cdr:y>0.71651</cdr:y>
    </cdr:to>
    <cdr:sp macro="" textlink="">
      <cdr:nvSpPr>
        <cdr:cNvPr id="2" name="Rectangle 1"/>
        <cdr:cNvSpPr/>
      </cdr:nvSpPr>
      <cdr:spPr>
        <a:xfrm xmlns:a="http://schemas.openxmlformats.org/drawingml/2006/main">
          <a:off x="1937981" y="0"/>
          <a:ext cx="1049177" cy="129078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0.62481</cdr:x>
      <cdr:y>0</cdr:y>
    </cdr:from>
    <cdr:to>
      <cdr:x>0.96722</cdr:x>
      <cdr:y>0.76567</cdr:y>
    </cdr:to>
    <cdr:sp macro="" textlink="">
      <cdr:nvSpPr>
        <cdr:cNvPr id="2" name="Rectangle 1"/>
        <cdr:cNvSpPr/>
      </cdr:nvSpPr>
      <cdr:spPr>
        <a:xfrm xmlns:a="http://schemas.openxmlformats.org/drawingml/2006/main">
          <a:off x="1951630" y="0"/>
          <a:ext cx="1069545" cy="1430402"/>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0.64026</cdr:x>
      <cdr:y>0.03501</cdr:y>
    </cdr:from>
    <cdr:to>
      <cdr:x>0.94714</cdr:x>
      <cdr:y>0.72003</cdr:y>
    </cdr:to>
    <cdr:sp macro="" textlink="">
      <cdr:nvSpPr>
        <cdr:cNvPr id="2" name="Rectangle 1"/>
        <cdr:cNvSpPr/>
      </cdr:nvSpPr>
      <cdr:spPr>
        <a:xfrm xmlns:a="http://schemas.openxmlformats.org/drawingml/2006/main">
          <a:off x="1992572" y="63293"/>
          <a:ext cx="955055" cy="123841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0.63563</cdr:x>
      <cdr:y>0.07084</cdr:y>
    </cdr:from>
    <cdr:to>
      <cdr:x>0.93694</cdr:x>
      <cdr:y>0.79503</cdr:y>
    </cdr:to>
    <cdr:sp macro="" textlink="">
      <cdr:nvSpPr>
        <cdr:cNvPr id="2" name="Rectangle 1"/>
        <cdr:cNvSpPr/>
      </cdr:nvSpPr>
      <cdr:spPr>
        <a:xfrm xmlns:a="http://schemas.openxmlformats.org/drawingml/2006/main">
          <a:off x="1972102" y="128068"/>
          <a:ext cx="934872" cy="1309223"/>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0.61847</cdr:x>
      <cdr:y>0.02286</cdr:y>
    </cdr:from>
    <cdr:to>
      <cdr:x>0.92016</cdr:x>
      <cdr:y>0.84874</cdr:y>
    </cdr:to>
    <cdr:sp macro="" textlink="">
      <cdr:nvSpPr>
        <cdr:cNvPr id="3" name="Rectangle 2"/>
        <cdr:cNvSpPr/>
      </cdr:nvSpPr>
      <cdr:spPr>
        <a:xfrm xmlns:a="http://schemas.openxmlformats.org/drawingml/2006/main">
          <a:off x="1990725" y="51822"/>
          <a:ext cx="971100" cy="187222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1</b:RefOrder>
  </b:Source>
</b:Sources>
</file>

<file path=customXml/itemProps1.xml><?xml version="1.0" encoding="utf-8"?>
<ds:datastoreItem xmlns:ds="http://schemas.openxmlformats.org/officeDocument/2006/customXml" ds:itemID="{FCE4FF0C-3B6C-45C2-B940-F007311A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243</Pages>
  <Words>80438</Words>
  <Characters>458499</Characters>
  <Application>Microsoft Office Word</Application>
  <DocSecurity>0</DocSecurity>
  <Lines>3820</Lines>
  <Paragraphs>1075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537862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keywords>https:/mul2-minfin.gov.am/tasks/372275/oneclick/3.2022_Uxerdz-30.09.21.docx?token=51287b283e7b91d2246d64cbec7c963c</cp:keywords>
  <cp:lastModifiedBy>Eduard Bagdasaryan</cp:lastModifiedBy>
  <cp:revision>19</cp:revision>
  <cp:lastPrinted>2021-10-01T11:06:00Z</cp:lastPrinted>
  <dcterms:created xsi:type="dcterms:W3CDTF">2021-10-01T11:01:00Z</dcterms:created>
  <dcterms:modified xsi:type="dcterms:W3CDTF">2021-10-01T14:39:00Z</dcterms:modified>
</cp:coreProperties>
</file>